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theme/themeOverride1.xml" ContentType="application/vnd.openxmlformats-officedocument.themeOverride+xml"/>
  <Override PartName="/word/charts/chart8.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9.xml" ContentType="application/vnd.openxmlformats-officedocument.drawingml.chart+xml"/>
  <Override PartName="/word/theme/themeOverride2.xml" ContentType="application/vnd.openxmlformats-officedocument.themeOverride+xml"/>
  <Override PartName="/word/charts/chart10.xml" ContentType="application/vnd.openxmlformats-officedocument.drawingml.chart+xml"/>
  <Override PartName="/word/theme/themeOverride3.xml" ContentType="application/vnd.openxmlformats-officedocument.themeOverride+xml"/>
  <Override PartName="/word/charts/chart11.xml" ContentType="application/vnd.openxmlformats-officedocument.drawingml.chart+xml"/>
  <Override PartName="/word/theme/themeOverride4.xml" ContentType="application/vnd.openxmlformats-officedocument.themeOverride+xml"/>
  <Override PartName="/word/drawings/drawing1.xml" ContentType="application/vnd.openxmlformats-officedocument.drawingml.chartshapes+xml"/>
  <Override PartName="/word/charts/chart12.xml" ContentType="application/vnd.openxmlformats-officedocument.drawingml.chart+xml"/>
  <Override PartName="/word/theme/themeOverride5.xml" ContentType="application/vnd.openxmlformats-officedocument.themeOverride+xml"/>
  <Override PartName="/word/drawings/drawing2.xml" ContentType="application/vnd.openxmlformats-officedocument.drawingml.chartshapes+xml"/>
  <Override PartName="/word/charts/chart13.xml" ContentType="application/vnd.openxmlformats-officedocument.drawingml.chart+xml"/>
  <Override PartName="/word/theme/themeOverride6.xml" ContentType="application/vnd.openxmlformats-officedocument.themeOverride+xml"/>
  <Override PartName="/word/drawings/drawing3.xml" ContentType="application/vnd.openxmlformats-officedocument.drawingml.chartshapes+xml"/>
  <Override PartName="/word/charts/chart14.xml" ContentType="application/vnd.openxmlformats-officedocument.drawingml.chart+xml"/>
  <Override PartName="/word/theme/themeOverride7.xml" ContentType="application/vnd.openxmlformats-officedocument.themeOverride+xml"/>
  <Override PartName="/word/charts/chart15.xml" ContentType="application/vnd.openxmlformats-officedocument.drawingml.chart+xml"/>
  <Override PartName="/word/theme/themeOverride8.xml" ContentType="application/vnd.openxmlformats-officedocument.themeOverride+xml"/>
  <Override PartName="/word/drawings/drawing4.xml" ContentType="application/vnd.openxmlformats-officedocument.drawingml.chartshapes+xml"/>
  <Override PartName="/word/charts/chart16.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9.xml" ContentType="application/vnd.openxmlformats-officedocument.themeOverride+xml"/>
  <Override PartName="/word/charts/chart1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10.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96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BD0D89" w:rsidRPr="00785AA7" w:rsidTr="00940C28">
        <w:trPr>
          <w:trHeight w:val="307"/>
          <w:jc w:val="center"/>
        </w:trPr>
        <w:tc>
          <w:tcPr>
            <w:tcW w:w="9606" w:type="dxa"/>
          </w:tcPr>
          <w:p w:rsidR="00785AA7" w:rsidRPr="00785AA7" w:rsidRDefault="00BD0D89" w:rsidP="00785AA7">
            <w:pPr>
              <w:jc w:val="center"/>
              <w:rPr>
                <w:b/>
                <w:sz w:val="48"/>
                <w:szCs w:val="48"/>
              </w:rPr>
            </w:pPr>
            <w:r w:rsidRPr="00785AA7">
              <w:rPr>
                <w:b/>
                <w:sz w:val="48"/>
                <w:szCs w:val="48"/>
              </w:rPr>
              <w:t>REPUBLIQUE DU BURKINA FASO</w:t>
            </w:r>
          </w:p>
        </w:tc>
      </w:tr>
      <w:tr w:rsidR="00BD0D89" w:rsidTr="00940C28">
        <w:trPr>
          <w:trHeight w:val="307"/>
          <w:jc w:val="center"/>
        </w:trPr>
        <w:tc>
          <w:tcPr>
            <w:tcW w:w="9606" w:type="dxa"/>
          </w:tcPr>
          <w:p w:rsidR="00785AA7" w:rsidRDefault="00785AA7" w:rsidP="00785AA7">
            <w:pPr>
              <w:jc w:val="center"/>
              <w:rPr>
                <w:b/>
                <w:sz w:val="36"/>
                <w:szCs w:val="36"/>
              </w:rPr>
            </w:pPr>
          </w:p>
          <w:p w:rsidR="00BD0D89" w:rsidRPr="00785AA7" w:rsidRDefault="00BD0D89" w:rsidP="00785AA7">
            <w:pPr>
              <w:jc w:val="center"/>
              <w:rPr>
                <w:b/>
                <w:sz w:val="36"/>
                <w:szCs w:val="36"/>
              </w:rPr>
            </w:pPr>
            <w:r w:rsidRPr="00785AA7">
              <w:rPr>
                <w:b/>
                <w:sz w:val="36"/>
                <w:szCs w:val="36"/>
              </w:rPr>
              <w:t>MINISTERE DE LA SANTE PUBLIQUE</w:t>
            </w:r>
          </w:p>
        </w:tc>
      </w:tr>
      <w:tr w:rsidR="00BD0D89" w:rsidTr="00940C28">
        <w:trPr>
          <w:trHeight w:val="307"/>
          <w:jc w:val="center"/>
        </w:trPr>
        <w:tc>
          <w:tcPr>
            <w:tcW w:w="9606" w:type="dxa"/>
          </w:tcPr>
          <w:p w:rsidR="00BD0D89" w:rsidRDefault="00BD0D89">
            <w:r w:rsidRPr="00BD0D89">
              <w:rPr>
                <w:noProof/>
                <w:lang w:eastAsia="fr-FR"/>
              </w:rPr>
              <w:drawing>
                <wp:anchor distT="36576" distB="36576" distL="36576" distR="36576" simplePos="0" relativeHeight="251659264" behindDoc="0" locked="0" layoutInCell="1" allowOverlap="1">
                  <wp:simplePos x="0" y="0"/>
                  <wp:positionH relativeFrom="column">
                    <wp:posOffset>2324927</wp:posOffset>
                  </wp:positionH>
                  <wp:positionV relativeFrom="paragraph">
                    <wp:posOffset>9363</wp:posOffset>
                  </wp:positionV>
                  <wp:extent cx="1490773" cy="1371600"/>
                  <wp:effectExtent l="19050" t="0" r="0" b="0"/>
                  <wp:wrapNone/>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0773" cy="1371600"/>
                          </a:xfrm>
                          <a:prstGeom prst="rect">
                            <a:avLst/>
                          </a:prstGeom>
                          <a:noFill/>
                          <a:ln>
                            <a:noFill/>
                          </a:ln>
                        </pic:spPr>
                      </pic:pic>
                    </a:graphicData>
                  </a:graphic>
                </wp:anchor>
              </w:drawing>
            </w:r>
          </w:p>
          <w:p w:rsidR="00785AA7" w:rsidRDefault="00785AA7"/>
          <w:p w:rsidR="00785AA7" w:rsidRDefault="00785AA7"/>
          <w:p w:rsidR="00785AA7" w:rsidRDefault="00785AA7"/>
          <w:p w:rsidR="00785AA7" w:rsidRDefault="00785AA7"/>
          <w:p w:rsidR="00785AA7" w:rsidRDefault="00785AA7"/>
          <w:p w:rsidR="00785AA7" w:rsidRDefault="00785AA7"/>
          <w:p w:rsidR="00785AA7" w:rsidRDefault="00785AA7"/>
        </w:tc>
      </w:tr>
      <w:tr w:rsidR="00BD0D89" w:rsidTr="00940C28">
        <w:trPr>
          <w:trHeight w:val="307"/>
          <w:jc w:val="center"/>
        </w:trPr>
        <w:tc>
          <w:tcPr>
            <w:tcW w:w="9606" w:type="dxa"/>
          </w:tcPr>
          <w:p w:rsidR="00BD0D89" w:rsidRDefault="00785AA7" w:rsidP="00785AA7">
            <w:pPr>
              <w:jc w:val="center"/>
            </w:pPr>
            <w:r w:rsidRPr="00B72473">
              <w:rPr>
                <w:rFonts w:ascii="Maiandra GD" w:hAnsi="Maiandra GD" w:cs="Arial"/>
                <w:b/>
                <w:bCs/>
                <w:i/>
                <w:caps/>
                <w:sz w:val="24"/>
                <w:szCs w:val="28"/>
              </w:rPr>
              <w:t>U</w:t>
            </w:r>
            <w:r w:rsidRPr="00B72473">
              <w:rPr>
                <w:rFonts w:ascii="Maiandra GD" w:hAnsi="Maiandra GD" w:cs="Arial"/>
                <w:b/>
                <w:bCs/>
                <w:i/>
                <w:sz w:val="24"/>
                <w:szCs w:val="28"/>
              </w:rPr>
              <w:t>nité - Progrès - Justice</w:t>
            </w:r>
          </w:p>
        </w:tc>
      </w:tr>
    </w:tbl>
    <w:p w:rsidR="004974CF" w:rsidRDefault="004974CF"/>
    <w:p w:rsidR="00785AA7" w:rsidRDefault="00785AA7"/>
    <w:p w:rsidR="00785AA7" w:rsidRDefault="00785AA7"/>
    <w:tbl>
      <w:tblPr>
        <w:tblStyle w:val="Grilledutableau"/>
        <w:tblW w:w="0" w:type="auto"/>
        <w:tblLook w:val="04A0" w:firstRow="1" w:lastRow="0" w:firstColumn="1" w:lastColumn="0" w:noHBand="0" w:noVBand="1"/>
      </w:tblPr>
      <w:tblGrid>
        <w:gridCol w:w="9062"/>
      </w:tblGrid>
      <w:tr w:rsidR="00785AA7" w:rsidTr="001D1300">
        <w:tc>
          <w:tcPr>
            <w:tcW w:w="9212" w:type="dxa"/>
            <w:tcBorders>
              <w:bottom w:val="single" w:sz="4" w:space="0" w:color="000000" w:themeColor="text1"/>
            </w:tcBorders>
          </w:tcPr>
          <w:p w:rsidR="00940C28" w:rsidRDefault="00785AA7" w:rsidP="00785AA7">
            <w:pPr>
              <w:tabs>
                <w:tab w:val="left" w:pos="5640"/>
              </w:tabs>
              <w:jc w:val="center"/>
              <w:rPr>
                <w:rFonts w:eastAsia="Arial" w:cstheme="minorHAnsi"/>
                <w:bCs/>
                <w:sz w:val="40"/>
                <w:szCs w:val="40"/>
              </w:rPr>
            </w:pPr>
            <w:r w:rsidRPr="00940C28">
              <w:rPr>
                <w:rFonts w:eastAsia="Arial" w:cstheme="minorHAnsi"/>
                <w:bCs/>
                <w:sz w:val="40"/>
                <w:szCs w:val="40"/>
              </w:rPr>
              <w:t>AMELIORATION DE LA SANTE DE LA REPRODUCTION, DE LA MERE, DU NOUVEAU-NE, DE L’ENFANT ET DE L’ADOLESCENT,</w:t>
            </w:r>
            <w:r w:rsidR="00940C28" w:rsidRPr="00940C28">
              <w:rPr>
                <w:rFonts w:eastAsia="Arial" w:cstheme="minorHAnsi"/>
                <w:bCs/>
                <w:sz w:val="40"/>
                <w:szCs w:val="40"/>
              </w:rPr>
              <w:t xml:space="preserve"> </w:t>
            </w:r>
            <w:r w:rsidRPr="00940C28">
              <w:rPr>
                <w:rFonts w:eastAsia="Arial" w:cstheme="minorHAnsi"/>
                <w:bCs/>
                <w:sz w:val="40"/>
                <w:szCs w:val="40"/>
              </w:rPr>
              <w:t xml:space="preserve">DE LA NUTRITION (SRMNEA-N) </w:t>
            </w:r>
          </w:p>
          <w:p w:rsidR="00785AA7" w:rsidRPr="00940C28" w:rsidRDefault="00785AA7" w:rsidP="00785AA7">
            <w:pPr>
              <w:tabs>
                <w:tab w:val="left" w:pos="5640"/>
              </w:tabs>
              <w:jc w:val="center"/>
              <w:rPr>
                <w:rFonts w:eastAsia="Arial" w:cstheme="minorHAnsi"/>
                <w:bCs/>
                <w:sz w:val="40"/>
                <w:szCs w:val="40"/>
              </w:rPr>
            </w:pPr>
            <w:r w:rsidRPr="00940C28">
              <w:rPr>
                <w:rFonts w:eastAsia="Arial" w:cstheme="minorHAnsi"/>
                <w:bCs/>
                <w:sz w:val="40"/>
                <w:szCs w:val="40"/>
              </w:rPr>
              <w:t xml:space="preserve">ET </w:t>
            </w:r>
            <w:r w:rsidR="00940C28" w:rsidRPr="00940C28">
              <w:rPr>
                <w:rFonts w:eastAsia="Arial" w:cstheme="minorHAnsi"/>
                <w:bCs/>
                <w:sz w:val="40"/>
                <w:szCs w:val="40"/>
              </w:rPr>
              <w:t>DE L’ETAT CIVIL</w:t>
            </w:r>
          </w:p>
          <w:p w:rsidR="00940C28" w:rsidRPr="00940C28" w:rsidRDefault="00940C28" w:rsidP="00785AA7">
            <w:pPr>
              <w:tabs>
                <w:tab w:val="left" w:pos="5640"/>
              </w:tabs>
              <w:jc w:val="center"/>
              <w:rPr>
                <w:rFonts w:eastAsia="Arial" w:cstheme="minorHAnsi"/>
                <w:b/>
                <w:bCs/>
                <w:sz w:val="56"/>
                <w:szCs w:val="56"/>
              </w:rPr>
            </w:pPr>
            <w:r w:rsidRPr="00940C28">
              <w:rPr>
                <w:rFonts w:eastAsia="Arial" w:cstheme="minorHAnsi"/>
                <w:b/>
                <w:bCs/>
                <w:sz w:val="56"/>
                <w:szCs w:val="56"/>
              </w:rPr>
              <w:t>DOSSIER D’INVESTISSEMENT</w:t>
            </w:r>
          </w:p>
          <w:p w:rsidR="00785AA7" w:rsidRDefault="00785AA7"/>
        </w:tc>
      </w:tr>
      <w:tr w:rsidR="001D1300" w:rsidTr="001D1300">
        <w:trPr>
          <w:trHeight w:val="1633"/>
        </w:trPr>
        <w:tc>
          <w:tcPr>
            <w:tcW w:w="9212" w:type="dxa"/>
            <w:tcBorders>
              <w:left w:val="nil"/>
              <w:bottom w:val="nil"/>
              <w:right w:val="nil"/>
            </w:tcBorders>
          </w:tcPr>
          <w:p w:rsidR="001D1300" w:rsidRPr="00940C28" w:rsidRDefault="001D1300" w:rsidP="001D1300">
            <w:pPr>
              <w:tabs>
                <w:tab w:val="left" w:pos="5640"/>
              </w:tabs>
              <w:rPr>
                <w:rFonts w:eastAsia="Arial" w:cstheme="minorHAnsi"/>
                <w:bCs/>
                <w:sz w:val="40"/>
                <w:szCs w:val="40"/>
              </w:rPr>
            </w:pPr>
          </w:p>
        </w:tc>
      </w:tr>
      <w:tr w:rsidR="001D1300" w:rsidTr="001D1300">
        <w:trPr>
          <w:trHeight w:val="1632"/>
        </w:trPr>
        <w:tc>
          <w:tcPr>
            <w:tcW w:w="9212" w:type="dxa"/>
            <w:tcBorders>
              <w:top w:val="nil"/>
              <w:left w:val="nil"/>
              <w:bottom w:val="nil"/>
              <w:right w:val="nil"/>
            </w:tcBorders>
          </w:tcPr>
          <w:p w:rsidR="001D1300" w:rsidRDefault="001D1300" w:rsidP="00785AA7">
            <w:pPr>
              <w:tabs>
                <w:tab w:val="left" w:pos="5640"/>
              </w:tabs>
              <w:jc w:val="center"/>
              <w:rPr>
                <w:rFonts w:eastAsia="Arial" w:cstheme="minorHAnsi"/>
                <w:bCs/>
                <w:sz w:val="40"/>
                <w:szCs w:val="40"/>
              </w:rPr>
            </w:pPr>
            <w:r w:rsidRPr="001D1300">
              <w:rPr>
                <w:rFonts w:eastAsia="Arial" w:cstheme="minorHAnsi"/>
                <w:bCs/>
                <w:noProof/>
                <w:sz w:val="40"/>
                <w:szCs w:val="40"/>
                <w:lang w:eastAsia="fr-FR"/>
              </w:rPr>
              <w:drawing>
                <wp:anchor distT="36576" distB="36576" distL="36576" distR="36576" simplePos="0" relativeHeight="251661312" behindDoc="0" locked="0" layoutInCell="1" allowOverlap="1">
                  <wp:simplePos x="0" y="0"/>
                  <wp:positionH relativeFrom="column">
                    <wp:posOffset>-8876</wp:posOffset>
                  </wp:positionH>
                  <wp:positionV relativeFrom="paragraph">
                    <wp:posOffset>77145</wp:posOffset>
                  </wp:positionV>
                  <wp:extent cx="5745539" cy="1509823"/>
                  <wp:effectExtent l="19050" t="0" r="7561" b="0"/>
                  <wp:wrapNone/>
                  <wp:docPr id="1"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5539" cy="1509823"/>
                          </a:xfrm>
                          <a:prstGeom prst="rect">
                            <a:avLst/>
                          </a:prstGeom>
                          <a:noFill/>
                          <a:ln>
                            <a:noFill/>
                          </a:ln>
                          <a:effectLst/>
                        </pic:spPr>
                      </pic:pic>
                    </a:graphicData>
                  </a:graphic>
                </wp:anchor>
              </w:drawing>
            </w:r>
          </w:p>
          <w:p w:rsidR="001D1300" w:rsidRDefault="001D1300" w:rsidP="00785AA7">
            <w:pPr>
              <w:tabs>
                <w:tab w:val="left" w:pos="5640"/>
              </w:tabs>
              <w:jc w:val="center"/>
              <w:rPr>
                <w:rFonts w:eastAsia="Arial" w:cstheme="minorHAnsi"/>
                <w:bCs/>
                <w:sz w:val="40"/>
                <w:szCs w:val="40"/>
              </w:rPr>
            </w:pPr>
          </w:p>
          <w:p w:rsidR="001D1300" w:rsidRDefault="001D1300" w:rsidP="00785AA7">
            <w:pPr>
              <w:tabs>
                <w:tab w:val="left" w:pos="5640"/>
              </w:tabs>
              <w:jc w:val="center"/>
              <w:rPr>
                <w:rFonts w:eastAsia="Arial" w:cstheme="minorHAnsi"/>
                <w:bCs/>
                <w:sz w:val="40"/>
                <w:szCs w:val="40"/>
              </w:rPr>
            </w:pPr>
          </w:p>
          <w:p w:rsidR="001D1300" w:rsidRDefault="001D1300" w:rsidP="00785AA7">
            <w:pPr>
              <w:tabs>
                <w:tab w:val="left" w:pos="5640"/>
              </w:tabs>
              <w:jc w:val="center"/>
              <w:rPr>
                <w:rFonts w:eastAsia="Arial" w:cstheme="minorHAnsi"/>
                <w:bCs/>
                <w:sz w:val="40"/>
                <w:szCs w:val="40"/>
              </w:rPr>
            </w:pPr>
          </w:p>
          <w:p w:rsidR="001D1300" w:rsidRDefault="001D1300" w:rsidP="00785AA7">
            <w:pPr>
              <w:tabs>
                <w:tab w:val="left" w:pos="5640"/>
              </w:tabs>
              <w:jc w:val="center"/>
              <w:rPr>
                <w:rFonts w:eastAsia="Arial" w:cstheme="minorHAnsi"/>
                <w:bCs/>
                <w:sz w:val="40"/>
                <w:szCs w:val="40"/>
              </w:rPr>
            </w:pPr>
          </w:p>
        </w:tc>
      </w:tr>
      <w:tr w:rsidR="001D1300" w:rsidTr="001D1300">
        <w:tc>
          <w:tcPr>
            <w:tcW w:w="9212" w:type="dxa"/>
            <w:tcBorders>
              <w:top w:val="nil"/>
              <w:left w:val="nil"/>
              <w:bottom w:val="nil"/>
              <w:right w:val="nil"/>
            </w:tcBorders>
          </w:tcPr>
          <w:p w:rsidR="001D1300" w:rsidRDefault="001D1300" w:rsidP="00785AA7">
            <w:pPr>
              <w:tabs>
                <w:tab w:val="left" w:pos="5640"/>
              </w:tabs>
              <w:jc w:val="center"/>
              <w:rPr>
                <w:rFonts w:eastAsia="Arial" w:cstheme="minorHAnsi"/>
                <w:bCs/>
                <w:sz w:val="40"/>
                <w:szCs w:val="40"/>
              </w:rPr>
            </w:pPr>
          </w:p>
          <w:p w:rsidR="001D1300" w:rsidRPr="00940C28" w:rsidRDefault="001D1300" w:rsidP="00785AA7">
            <w:pPr>
              <w:tabs>
                <w:tab w:val="left" w:pos="5640"/>
              </w:tabs>
              <w:jc w:val="center"/>
              <w:rPr>
                <w:rFonts w:eastAsia="Arial" w:cstheme="minorHAnsi"/>
                <w:bCs/>
                <w:sz w:val="40"/>
                <w:szCs w:val="40"/>
              </w:rPr>
            </w:pPr>
            <w:r>
              <w:rPr>
                <w:rFonts w:eastAsia="Arial" w:cstheme="minorHAnsi"/>
                <w:bCs/>
                <w:sz w:val="40"/>
                <w:szCs w:val="40"/>
              </w:rPr>
              <w:t>OCTOBRE 2018</w:t>
            </w:r>
          </w:p>
        </w:tc>
      </w:tr>
    </w:tbl>
    <w:p w:rsidR="00785AA7" w:rsidRDefault="00785AA7"/>
    <w:p w:rsidR="001D1300" w:rsidRDefault="001D1300">
      <w:pPr>
        <w:rPr>
          <w:b/>
          <w:sz w:val="28"/>
          <w:szCs w:val="28"/>
        </w:rPr>
      </w:pPr>
      <w:r w:rsidRPr="001D1300">
        <w:rPr>
          <w:b/>
          <w:sz w:val="28"/>
          <w:szCs w:val="28"/>
        </w:rPr>
        <w:lastRenderedPageBreak/>
        <w:t>TABLE DES MATIERES</w:t>
      </w:r>
      <w:r>
        <w:rPr>
          <w:b/>
          <w:sz w:val="28"/>
          <w:szCs w:val="28"/>
        </w:rPr>
        <w:br w:type="page"/>
      </w:r>
    </w:p>
    <w:p w:rsidR="001D1300" w:rsidRDefault="001D1300">
      <w:pPr>
        <w:rPr>
          <w:b/>
          <w:sz w:val="28"/>
          <w:szCs w:val="28"/>
        </w:rPr>
      </w:pPr>
      <w:r>
        <w:rPr>
          <w:b/>
          <w:sz w:val="28"/>
          <w:szCs w:val="28"/>
        </w:rPr>
        <w:lastRenderedPageBreak/>
        <w:t>AVANT-PROPOS</w:t>
      </w:r>
      <w:r>
        <w:rPr>
          <w:b/>
          <w:sz w:val="28"/>
          <w:szCs w:val="28"/>
        </w:rPr>
        <w:br w:type="page"/>
      </w:r>
    </w:p>
    <w:p w:rsidR="001D1300" w:rsidRDefault="001D1300">
      <w:pPr>
        <w:rPr>
          <w:b/>
          <w:sz w:val="28"/>
          <w:szCs w:val="28"/>
        </w:rPr>
      </w:pPr>
      <w:r>
        <w:rPr>
          <w:b/>
          <w:sz w:val="28"/>
          <w:szCs w:val="28"/>
        </w:rPr>
        <w:lastRenderedPageBreak/>
        <w:t>REMERCIEMENTS</w:t>
      </w:r>
      <w:r>
        <w:rPr>
          <w:b/>
          <w:sz w:val="28"/>
          <w:szCs w:val="28"/>
        </w:rPr>
        <w:br w:type="page"/>
      </w:r>
    </w:p>
    <w:p w:rsidR="001D1300" w:rsidRDefault="001D1300">
      <w:pPr>
        <w:rPr>
          <w:b/>
          <w:sz w:val="28"/>
          <w:szCs w:val="28"/>
        </w:rPr>
      </w:pPr>
      <w:r>
        <w:rPr>
          <w:b/>
          <w:sz w:val="28"/>
          <w:szCs w:val="28"/>
        </w:rPr>
        <w:lastRenderedPageBreak/>
        <w:t>SIGLES ET ACCRONYMES</w:t>
      </w:r>
      <w:r>
        <w:rPr>
          <w:b/>
          <w:sz w:val="28"/>
          <w:szCs w:val="28"/>
        </w:rPr>
        <w:br w:type="page"/>
      </w:r>
    </w:p>
    <w:p w:rsidR="001D1300" w:rsidRDefault="001D1300">
      <w:pPr>
        <w:rPr>
          <w:b/>
          <w:sz w:val="28"/>
          <w:szCs w:val="28"/>
        </w:rPr>
      </w:pPr>
      <w:r>
        <w:rPr>
          <w:b/>
          <w:sz w:val="28"/>
          <w:szCs w:val="28"/>
        </w:rPr>
        <w:lastRenderedPageBreak/>
        <w:t>RESUME</w:t>
      </w:r>
      <w:r>
        <w:rPr>
          <w:b/>
          <w:sz w:val="28"/>
          <w:szCs w:val="28"/>
        </w:rPr>
        <w:br w:type="page"/>
      </w:r>
    </w:p>
    <w:p w:rsidR="00940C28" w:rsidRPr="00EB2626" w:rsidRDefault="001D1300" w:rsidP="00EB2626">
      <w:pPr>
        <w:pStyle w:val="Paragraphedeliste"/>
        <w:numPr>
          <w:ilvl w:val="0"/>
          <w:numId w:val="1"/>
        </w:numPr>
        <w:spacing w:line="360" w:lineRule="auto"/>
        <w:jc w:val="both"/>
        <w:rPr>
          <w:b/>
          <w:sz w:val="24"/>
          <w:szCs w:val="24"/>
        </w:rPr>
      </w:pPr>
      <w:r w:rsidRPr="00EB2626">
        <w:rPr>
          <w:b/>
          <w:sz w:val="24"/>
          <w:szCs w:val="24"/>
        </w:rPr>
        <w:lastRenderedPageBreak/>
        <w:t>INTRODUCTION</w:t>
      </w:r>
    </w:p>
    <w:p w:rsidR="00E67D19" w:rsidRPr="00EB2626" w:rsidRDefault="00E67D19" w:rsidP="00EB2626">
      <w:pPr>
        <w:pStyle w:val="Paragraphedeliste"/>
        <w:numPr>
          <w:ilvl w:val="1"/>
          <w:numId w:val="1"/>
        </w:numPr>
        <w:spacing w:after="0" w:line="360" w:lineRule="auto"/>
        <w:jc w:val="both"/>
        <w:rPr>
          <w:rFonts w:eastAsia="Times New Roman" w:cstheme="minorHAnsi"/>
          <w:sz w:val="24"/>
          <w:szCs w:val="24"/>
          <w:lang w:eastAsia="fr-FR"/>
        </w:rPr>
      </w:pPr>
      <w:r w:rsidRPr="00EB2626">
        <w:rPr>
          <w:rFonts w:eastAsia="Times New Roman" w:cstheme="minorHAnsi"/>
          <w:sz w:val="24"/>
          <w:szCs w:val="24"/>
          <w:lang w:eastAsia="fr-FR"/>
        </w:rPr>
        <w:t>POURQUOI UN DOSSIER D’INVESTISSEMENT EN SRMNEA-N ET ETAT CIVIL POUR LE BURKINA FASO</w:t>
      </w:r>
    </w:p>
    <w:p w:rsidR="001D1300" w:rsidRPr="00EB2626" w:rsidRDefault="001D1300" w:rsidP="00EB2626">
      <w:pPr>
        <w:spacing w:after="0" w:line="360" w:lineRule="auto"/>
        <w:jc w:val="both"/>
        <w:rPr>
          <w:rFonts w:eastAsia="Times New Roman" w:cstheme="minorHAnsi"/>
          <w:sz w:val="24"/>
          <w:szCs w:val="24"/>
          <w:lang w:eastAsia="fr-FR"/>
        </w:rPr>
      </w:pPr>
      <w:r w:rsidRPr="00EB2626">
        <w:rPr>
          <w:rFonts w:eastAsia="Times New Roman" w:cstheme="minorHAnsi"/>
          <w:sz w:val="24"/>
          <w:szCs w:val="24"/>
          <w:lang w:eastAsia="fr-FR"/>
        </w:rPr>
        <w:t xml:space="preserve">La morbidité et la mortalité maternelle, néonatale et infanto-juvénile demeurent un problème majeur de santé publique dans plusieurs pays en voie de développement dont le Burkina Faso. Ces dernières années, des stratégies et initiatives internationales et nationales </w:t>
      </w:r>
      <w:r w:rsidR="00785797" w:rsidRPr="00EB2626">
        <w:rPr>
          <w:rFonts w:eastAsia="Times New Roman" w:cstheme="minorHAnsi"/>
          <w:sz w:val="24"/>
          <w:szCs w:val="24"/>
          <w:lang w:eastAsia="fr-FR"/>
        </w:rPr>
        <w:t xml:space="preserve">spécifiques </w:t>
      </w:r>
      <w:r w:rsidRPr="00EB2626">
        <w:rPr>
          <w:rFonts w:eastAsia="Times New Roman" w:cstheme="minorHAnsi"/>
          <w:sz w:val="24"/>
          <w:szCs w:val="24"/>
          <w:lang w:eastAsia="fr-FR"/>
        </w:rPr>
        <w:t>ont été lancées en vue d’intensifier et de mieux coordonner les efforts pour atteindre les Objectifs du Millénaire pour le Développement (OMD)</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4, 5 et 6 liés à la santé.</w:t>
      </w:r>
      <w:r w:rsidR="00785797" w:rsidRPr="00EB2626">
        <w:rPr>
          <w:rFonts w:eastAsia="Times New Roman" w:cstheme="minorHAnsi"/>
          <w:sz w:val="24"/>
          <w:szCs w:val="24"/>
          <w:lang w:eastAsia="fr-FR"/>
        </w:rPr>
        <w:t xml:space="preserve"> Parmi les plus </w:t>
      </w:r>
      <w:r w:rsidR="000327F9" w:rsidRPr="00EB2626">
        <w:rPr>
          <w:rFonts w:eastAsia="Times New Roman" w:cstheme="minorHAnsi"/>
          <w:sz w:val="24"/>
          <w:szCs w:val="24"/>
          <w:lang w:eastAsia="fr-FR"/>
        </w:rPr>
        <w:t>importantes,</w:t>
      </w:r>
      <w:r w:rsidR="00785797" w:rsidRPr="00EB2626">
        <w:rPr>
          <w:rFonts w:eastAsia="Times New Roman" w:cstheme="minorHAnsi"/>
          <w:sz w:val="24"/>
          <w:szCs w:val="24"/>
          <w:lang w:eastAsia="fr-FR"/>
        </w:rPr>
        <w:t xml:space="preserve"> il faut citer </w:t>
      </w:r>
      <w:r w:rsidRPr="00EB2626">
        <w:rPr>
          <w:rFonts w:eastAsia="Times New Roman" w:cstheme="minorHAnsi"/>
          <w:sz w:val="24"/>
          <w:szCs w:val="24"/>
          <w:lang w:eastAsia="fr-FR"/>
        </w:rPr>
        <w:t xml:space="preserve"> la Stratégie Mondiale pour la Santé des Femmes et des Enfants du Secrétaire Général des Nations Unies, la Campagne Africaine de Réduction de la Mortalité Mat</w:t>
      </w:r>
      <w:r w:rsidR="00785797" w:rsidRPr="00EB2626">
        <w:rPr>
          <w:rFonts w:eastAsia="Times New Roman" w:cstheme="minorHAnsi"/>
          <w:sz w:val="24"/>
          <w:szCs w:val="24"/>
          <w:lang w:eastAsia="fr-FR"/>
        </w:rPr>
        <w:t xml:space="preserve">ernelle en Afrique (CARMMA), </w:t>
      </w:r>
      <w:r w:rsidRPr="00EB2626">
        <w:rPr>
          <w:rFonts w:eastAsia="Times New Roman" w:cstheme="minorHAnsi"/>
          <w:sz w:val="24"/>
          <w:szCs w:val="24"/>
          <w:lang w:eastAsia="fr-FR"/>
        </w:rPr>
        <w:t xml:space="preserve">l’élimination virtuelle de la transmission du </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Virus d’Immunodéficience Humaine(VIH)</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de la mère à l’enfant</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 xml:space="preserve">la Stratégie Accélérée pour la Survie et le Développement du Jeune Enfant 2009-2015 </w:t>
      </w:r>
      <w:r w:rsidR="00785797" w:rsidRPr="00EB2626">
        <w:rPr>
          <w:rFonts w:eastAsia="Times New Roman" w:cstheme="minorHAnsi"/>
          <w:sz w:val="24"/>
          <w:szCs w:val="24"/>
          <w:lang w:eastAsia="fr-FR"/>
        </w:rPr>
        <w:t>(SASDE), l’engagement de MUSKOKA.</w:t>
      </w:r>
    </w:p>
    <w:p w:rsidR="00785797" w:rsidRPr="00EB2626" w:rsidRDefault="000327F9" w:rsidP="00EB2626">
      <w:pPr>
        <w:spacing w:after="0" w:line="360" w:lineRule="auto"/>
        <w:jc w:val="both"/>
        <w:rPr>
          <w:sz w:val="24"/>
          <w:szCs w:val="24"/>
        </w:rPr>
      </w:pPr>
      <w:r w:rsidRPr="00EB2626">
        <w:rPr>
          <w:sz w:val="24"/>
          <w:szCs w:val="24"/>
        </w:rPr>
        <w:t xml:space="preserve">Dans le cadre de l’agenda post 2015, d’autres initiatives nationales ont été lancées pour atteindre les ODD dont </w:t>
      </w:r>
      <w:r w:rsidR="00AF1842" w:rsidRPr="00EB2626">
        <w:rPr>
          <w:sz w:val="24"/>
          <w:szCs w:val="24"/>
        </w:rPr>
        <w:t xml:space="preserve">le PNDES 2016-2020, le PNDS 2011-2020, </w:t>
      </w:r>
      <w:r w:rsidRPr="00EB2626">
        <w:rPr>
          <w:sz w:val="24"/>
          <w:szCs w:val="24"/>
        </w:rPr>
        <w:t xml:space="preserve">le </w:t>
      </w:r>
      <w:r w:rsidR="00785797" w:rsidRPr="00EB2626">
        <w:rPr>
          <w:sz w:val="24"/>
          <w:szCs w:val="24"/>
        </w:rPr>
        <w:t xml:space="preserve">Plan stratégique 2015-2020 pour la survie de </w:t>
      </w:r>
      <w:r w:rsidRPr="00EB2626">
        <w:rPr>
          <w:sz w:val="24"/>
          <w:szCs w:val="24"/>
        </w:rPr>
        <w:t xml:space="preserve">l’enfant de moins de cinq ans, le </w:t>
      </w:r>
      <w:r w:rsidR="00785797" w:rsidRPr="00EB2626">
        <w:rPr>
          <w:sz w:val="24"/>
          <w:szCs w:val="24"/>
        </w:rPr>
        <w:t>plan stratégique santé des adolescents et des jeunes 2016-2020 et dernièrement le Plan stratégique i</w:t>
      </w:r>
      <w:r w:rsidRPr="00EB2626">
        <w:rPr>
          <w:sz w:val="24"/>
          <w:szCs w:val="24"/>
        </w:rPr>
        <w:t>ntégré SRMNEA-PA 2017-2020 développant</w:t>
      </w:r>
      <w:r w:rsidR="00785797" w:rsidRPr="00EB2626">
        <w:rPr>
          <w:sz w:val="24"/>
          <w:szCs w:val="24"/>
        </w:rPr>
        <w:t xml:space="preserve"> une vision plus holistique de la santé de la reproduction, de la mère, du nouveau-né, de l’enfant et de l’adolescent.</w:t>
      </w:r>
    </w:p>
    <w:p w:rsidR="00EA5478" w:rsidRPr="00EB2626" w:rsidRDefault="00EA5478"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 xml:space="preserve">Des progrès ont été réalisés en SRMNEA-N </w:t>
      </w:r>
      <w:r w:rsidR="003D320E" w:rsidRPr="00EB2626">
        <w:rPr>
          <w:rFonts w:asciiTheme="minorHAnsi" w:hAnsiTheme="minorHAnsi" w:cstheme="minorHAnsi"/>
          <w:color w:val="auto"/>
        </w:rPr>
        <w:t>avec des</w:t>
      </w:r>
      <w:r w:rsidRPr="00EB2626">
        <w:rPr>
          <w:rFonts w:asciiTheme="minorHAnsi" w:hAnsiTheme="minorHAnsi" w:cstheme="minorHAnsi"/>
          <w:color w:val="auto"/>
        </w:rPr>
        <w:t xml:space="preserve"> taux de mortalité maternelle et infanto-juvénile qui sont passés respectivement de 341 </w:t>
      </w:r>
      <w:r w:rsidR="00AF1842" w:rsidRPr="00EB2626">
        <w:rPr>
          <w:rFonts w:asciiTheme="minorHAnsi" w:hAnsiTheme="minorHAnsi" w:cstheme="minorHAnsi"/>
          <w:color w:val="auto"/>
        </w:rPr>
        <w:t xml:space="preserve">à 330 </w:t>
      </w:r>
      <w:r w:rsidRPr="00EB2626">
        <w:rPr>
          <w:rFonts w:asciiTheme="minorHAnsi" w:hAnsiTheme="minorHAnsi" w:cstheme="minorHAnsi"/>
          <w:color w:val="auto"/>
        </w:rPr>
        <w:t xml:space="preserve">pour 100 000 naissances vivantes et 129 </w:t>
      </w:r>
      <w:r w:rsidR="00AF1842" w:rsidRPr="00EB2626">
        <w:rPr>
          <w:rFonts w:asciiTheme="minorHAnsi" w:hAnsiTheme="minorHAnsi" w:cstheme="minorHAnsi"/>
          <w:color w:val="auto"/>
        </w:rPr>
        <w:t xml:space="preserve">à 81 </w:t>
      </w:r>
      <w:r w:rsidRPr="00EB2626">
        <w:rPr>
          <w:rFonts w:asciiTheme="minorHAnsi" w:hAnsiTheme="minorHAnsi" w:cstheme="minorHAnsi"/>
          <w:color w:val="auto"/>
        </w:rPr>
        <w:t xml:space="preserve">pour 1000 entre 2010 et 2015. La prévalence du retard de croissance chez les enfants de moins de 5 ans est passée de 33% en 2013 à 21% en 2017. La prévalence contraceptive est passée de 15 % en 2010 à 22.5 % en 2015. Mais ces progrès restent insuffisants et les niveaux de mortalité maternelle et infanto-juvénile restent inacceptables. </w:t>
      </w:r>
    </w:p>
    <w:p w:rsidR="00EA5478" w:rsidRPr="00EB2626" w:rsidRDefault="00EA5478"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 xml:space="preserve">Dans ce contexte, l’adhésion du Burkina Faso au Global Financing Facilities (GFF) en septembre 2017 apparait comme une </w:t>
      </w:r>
      <w:r w:rsidR="003D320E" w:rsidRPr="00EB2626">
        <w:rPr>
          <w:rFonts w:asciiTheme="minorHAnsi" w:hAnsiTheme="minorHAnsi" w:cstheme="minorHAnsi"/>
          <w:color w:val="auto"/>
        </w:rPr>
        <w:t>opportunité pour</w:t>
      </w:r>
      <w:r w:rsidRPr="00EB2626">
        <w:rPr>
          <w:rFonts w:asciiTheme="minorHAnsi" w:hAnsiTheme="minorHAnsi" w:cstheme="minorHAnsi"/>
          <w:color w:val="auto"/>
        </w:rPr>
        <w:t xml:space="preserve"> s’attaquer aux retards particuliers dans l'atteinte de certaines cibles et aux disparités pour plus d’impact et d’équité en SRMNEA-N et enregistrement des faits d’état civil et statistiques vitales. </w:t>
      </w:r>
    </w:p>
    <w:p w:rsidR="00AF1842" w:rsidRPr="00EB2626" w:rsidRDefault="00AF1842" w:rsidP="00EB2626">
      <w:pPr>
        <w:pStyle w:val="Standard"/>
        <w:spacing w:before="60" w:after="60" w:line="360" w:lineRule="auto"/>
        <w:jc w:val="both"/>
        <w:rPr>
          <w:rFonts w:asciiTheme="minorHAnsi" w:eastAsia="Helvetica" w:hAnsiTheme="minorHAnsi" w:cstheme="minorHAnsi"/>
          <w:lang w:eastAsia="fr-FR"/>
        </w:rPr>
      </w:pPr>
      <w:r w:rsidRPr="00EB2626">
        <w:rPr>
          <w:rFonts w:asciiTheme="minorHAnsi" w:eastAsia="Helvetica" w:hAnsiTheme="minorHAnsi" w:cstheme="minorHAnsi"/>
          <w:lang w:eastAsia="fr-FR"/>
        </w:rPr>
        <w:t xml:space="preserve">Le GFF, </w:t>
      </w:r>
      <w:r w:rsidRPr="00EB2626">
        <w:rPr>
          <w:rFonts w:asciiTheme="minorHAnsi" w:eastAsia="Helvetica" w:hAnsiTheme="minorHAnsi" w:cs="Arial"/>
          <w:lang w:eastAsia="fr-FR"/>
        </w:rPr>
        <w:t>officiellement lancé par le secrétaire gé</w:t>
      </w:r>
      <w:r w:rsidRPr="00EB2626">
        <w:rPr>
          <w:rFonts w:asciiTheme="minorHAnsi" w:eastAsia="Times New Roman" w:hAnsiTheme="minorHAnsi" w:cs="Arial"/>
          <w:lang w:eastAsia="fr-FR"/>
        </w:rPr>
        <w:t>n</w:t>
      </w:r>
      <w:r w:rsidRPr="00EB2626">
        <w:rPr>
          <w:rFonts w:asciiTheme="minorHAnsi" w:eastAsia="Helvetica" w:hAnsiTheme="minorHAnsi" w:cs="Arial"/>
          <w:lang w:eastAsia="fr-FR"/>
        </w:rPr>
        <w:t xml:space="preserve">éral des Nations Unies en juillet </w:t>
      </w:r>
      <w:r w:rsidR="003D320E" w:rsidRPr="00EB2626">
        <w:rPr>
          <w:rFonts w:asciiTheme="minorHAnsi" w:eastAsia="Helvetica" w:hAnsiTheme="minorHAnsi" w:cs="Arial"/>
          <w:lang w:eastAsia="fr-FR"/>
        </w:rPr>
        <w:t xml:space="preserve">2015, </w:t>
      </w:r>
      <w:r w:rsidR="003D320E" w:rsidRPr="00EB2626">
        <w:rPr>
          <w:rFonts w:asciiTheme="minorHAnsi" w:eastAsia="Helvetica" w:hAnsiTheme="minorHAnsi" w:cstheme="minorHAnsi"/>
          <w:lang w:eastAsia="fr-FR"/>
        </w:rPr>
        <w:t>a</w:t>
      </w:r>
      <w:r w:rsidRPr="00EB2626">
        <w:rPr>
          <w:rFonts w:asciiTheme="minorHAnsi" w:eastAsia="Helvetica" w:hAnsiTheme="minorHAnsi" w:cstheme="minorHAnsi"/>
          <w:lang w:eastAsia="fr-FR"/>
        </w:rPr>
        <w:t xml:space="preserve"> été conçu pour guider le programme de financement du développement, notamment en </w:t>
      </w:r>
      <w:r w:rsidRPr="00EB2626">
        <w:rPr>
          <w:rFonts w:asciiTheme="minorHAnsi" w:eastAsia="Helvetica" w:hAnsiTheme="minorHAnsi" w:cstheme="minorHAnsi"/>
          <w:lang w:eastAsia="fr-FR"/>
        </w:rPr>
        <w:lastRenderedPageBreak/>
        <w:t>mobilisant les ressources nationales, en attirant des ressour</w:t>
      </w:r>
      <w:r w:rsidRPr="00EB2626">
        <w:rPr>
          <w:rFonts w:asciiTheme="minorHAnsi" w:eastAsia="Times New Roman" w:hAnsiTheme="minorHAnsi" w:cstheme="minorHAnsi"/>
          <w:lang w:eastAsia="fr-FR"/>
        </w:rPr>
        <w:t>ces ext</w:t>
      </w:r>
      <w:r w:rsidRPr="00EB2626">
        <w:rPr>
          <w:rFonts w:asciiTheme="minorHAnsi" w:eastAsia="Helvetica" w:hAnsiTheme="minorHAnsi" w:cstheme="minorHAnsi"/>
          <w:lang w:eastAsia="fr-FR"/>
        </w:rPr>
        <w:t>érieures supplémentaires et en améliorant l'efficacité de leur utilisation, et en employant des stratégies novatrices de mobilisation des ressources et de prestation de services.</w:t>
      </w:r>
    </w:p>
    <w:p w:rsidR="00AF1842" w:rsidRPr="00EB2626" w:rsidRDefault="00AF1842" w:rsidP="00EB2626">
      <w:pPr>
        <w:pStyle w:val="Standard"/>
        <w:spacing w:before="60" w:after="60" w:line="360" w:lineRule="auto"/>
        <w:jc w:val="both"/>
        <w:rPr>
          <w:rFonts w:asciiTheme="minorHAnsi" w:eastAsia="Helvetica" w:hAnsiTheme="minorHAnsi" w:cstheme="minorHAnsi"/>
          <w:lang w:eastAsia="fr-FR"/>
        </w:rPr>
      </w:pPr>
      <w:r w:rsidRPr="00EB2626">
        <w:rPr>
          <w:rFonts w:asciiTheme="minorHAnsi" w:eastAsia="Helvetica" w:hAnsiTheme="minorHAnsi" w:cstheme="minorHAnsi"/>
          <w:lang w:eastAsia="fr-FR"/>
        </w:rPr>
        <w:t>L’approche du GFF est basse sur les principes suivants : Priorisation des interventions, Rendement de l’</w:t>
      </w:r>
      <w:r w:rsidR="00DB797E" w:rsidRPr="00EB2626">
        <w:rPr>
          <w:rFonts w:asciiTheme="minorHAnsi" w:eastAsia="Helvetica" w:hAnsiTheme="minorHAnsi" w:cstheme="minorHAnsi"/>
          <w:lang w:eastAsia="fr-FR"/>
        </w:rPr>
        <w:t>investissement, Réduction de la fragmentation, O</w:t>
      </w:r>
      <w:r w:rsidRPr="00EB2626">
        <w:rPr>
          <w:rFonts w:asciiTheme="minorHAnsi" w:eastAsia="Helvetica" w:hAnsiTheme="minorHAnsi" w:cstheme="minorHAnsi"/>
          <w:lang w:eastAsia="fr-FR"/>
        </w:rPr>
        <w:t xml:space="preserve">rientation de la mise en œuvre et </w:t>
      </w:r>
      <w:r w:rsidR="00DB797E" w:rsidRPr="00EB2626">
        <w:rPr>
          <w:rFonts w:asciiTheme="minorHAnsi" w:eastAsia="Times New Roman" w:hAnsiTheme="minorHAnsi" w:cstheme="minorHAnsi"/>
          <w:lang w:eastAsia="fr-FR"/>
        </w:rPr>
        <w:t xml:space="preserve">Orientation </w:t>
      </w:r>
      <w:r w:rsidR="00DB797E" w:rsidRPr="00EB2626">
        <w:rPr>
          <w:rFonts w:asciiTheme="minorHAnsi" w:eastAsia="Helvetica" w:hAnsiTheme="minorHAnsi" w:cstheme="minorHAnsi"/>
          <w:lang w:eastAsia="fr-FR"/>
        </w:rPr>
        <w:t>à plus long terme.</w:t>
      </w:r>
    </w:p>
    <w:p w:rsidR="00DB797E" w:rsidRPr="00EB2626" w:rsidRDefault="00DB797E"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 xml:space="preserve">Dans sa relation avec le GFF, le cadre sectoriel de dialogue a été retenu comme plateforme globale pour le GFF et l’équipe fonctionnelle 7 a été retenue pour être la plateforme technique en charge de conduire le processus l’élaboration du dossier d’investissement suivant une feuille de route consensuelle. </w:t>
      </w:r>
    </w:p>
    <w:p w:rsidR="00DB797E" w:rsidRPr="00EB2626" w:rsidRDefault="00DB797E"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En préparation de l’élaboration du dossier d’investissement, quelques activités ont été ou sont en cours de réalisation dont  (i) la cartographie des interventions, intervenants et des financements en matière de SRMNEA-N et des actions transversales qui soutiennent les objectifs de SRMNEA-N, (ii) l’analyse des gaps de performance en matière de SRMNEAN, iii) la priorisation des interventions coût-efficaces en SRMNEAN, iv) la sécurisation des ressources financières du budget de l’Etat pour contribuer à financer le dossier d’investissement.</w:t>
      </w:r>
    </w:p>
    <w:p w:rsidR="00DB797E" w:rsidRPr="00EB2626" w:rsidRDefault="00DB797E" w:rsidP="00EB2626">
      <w:pPr>
        <w:pStyle w:val="Standard"/>
        <w:spacing w:before="60" w:after="0" w:line="360" w:lineRule="auto"/>
        <w:jc w:val="both"/>
        <w:rPr>
          <w:rFonts w:asciiTheme="minorHAnsi" w:hAnsiTheme="minorHAnsi" w:cstheme="minorHAnsi"/>
          <w:color w:val="auto"/>
        </w:rPr>
      </w:pPr>
      <w:r w:rsidRPr="00EB2626">
        <w:rPr>
          <w:rFonts w:asciiTheme="minorHAnsi" w:hAnsiTheme="minorHAnsi" w:cstheme="minorHAnsi"/>
          <w:color w:val="auto"/>
        </w:rPr>
        <w:t>Pour appuyer l’EF7, il est donc apparu nécessaire de recruter une équipe de Consultants comprenant un consultant senior en santé publique, un consultant junior et un consultant senior économistes de la santé pour le volet costing à l’aide du logiciel One Health.</w:t>
      </w:r>
    </w:p>
    <w:p w:rsidR="00DB797E" w:rsidRPr="00EB2626" w:rsidRDefault="00DB797E" w:rsidP="00EB2626">
      <w:pPr>
        <w:pStyle w:val="Standard"/>
        <w:spacing w:before="60" w:after="0" w:line="360" w:lineRule="auto"/>
        <w:jc w:val="both"/>
        <w:rPr>
          <w:rFonts w:asciiTheme="minorHAnsi" w:hAnsiTheme="minorHAnsi" w:cstheme="minorHAnsi"/>
          <w:color w:val="auto"/>
        </w:rPr>
      </w:pPr>
      <w:r w:rsidRPr="00EB2626">
        <w:rPr>
          <w:rFonts w:asciiTheme="minorHAnsi" w:hAnsiTheme="minorHAnsi" w:cstheme="minorHAnsi"/>
          <w:color w:val="auto"/>
        </w:rPr>
        <w:t>L’Objectif de cette consultation est la production du Dossier d’investissement en SRMNE-N et Etat Civil.</w:t>
      </w:r>
    </w:p>
    <w:p w:rsidR="00E67D19" w:rsidRPr="00EB2626" w:rsidRDefault="00E67D19" w:rsidP="00EB2626">
      <w:pPr>
        <w:pStyle w:val="Standard"/>
        <w:numPr>
          <w:ilvl w:val="1"/>
          <w:numId w:val="1"/>
        </w:numPr>
        <w:spacing w:before="60" w:after="0" w:line="360" w:lineRule="auto"/>
        <w:jc w:val="both"/>
        <w:rPr>
          <w:rFonts w:asciiTheme="minorHAnsi" w:hAnsiTheme="minorHAnsi" w:cstheme="minorHAnsi"/>
          <w:color w:val="auto"/>
        </w:rPr>
      </w:pPr>
      <w:r w:rsidRPr="00EB2626">
        <w:rPr>
          <w:rFonts w:asciiTheme="minorHAnsi" w:hAnsiTheme="minorHAnsi" w:cstheme="minorHAnsi"/>
          <w:color w:val="auto"/>
        </w:rPr>
        <w:t>CONTEXTE DU PAYS</w:t>
      </w:r>
    </w:p>
    <w:p w:rsidR="00E67D19" w:rsidRPr="00EB2626" w:rsidRDefault="00170FB3" w:rsidP="00EB2626">
      <w:pPr>
        <w:pStyle w:val="Standard"/>
        <w:numPr>
          <w:ilvl w:val="2"/>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Contexte géographique et démographique</w:t>
      </w:r>
    </w:p>
    <w:p w:rsidR="00592C25" w:rsidRPr="00EB2626" w:rsidRDefault="00592C25" w:rsidP="00EB2626">
      <w:pPr>
        <w:pStyle w:val="Default"/>
        <w:spacing w:line="360" w:lineRule="auto"/>
        <w:jc w:val="both"/>
        <w:rPr>
          <w:rFonts w:asciiTheme="minorHAnsi" w:hAnsiTheme="minorHAnsi" w:cstheme="minorHAnsi"/>
        </w:rPr>
      </w:pPr>
      <w:r w:rsidRPr="00EB2626">
        <w:rPr>
          <w:rFonts w:asciiTheme="minorHAnsi" w:hAnsiTheme="minorHAnsi" w:cstheme="minorHAnsi"/>
        </w:rPr>
        <w:t xml:space="preserve">Le Burkina Faso est un pays sahélien enclavé d’une superficie d’environ 274 200 Km2. Il est limité au nord et à l’ouest par le Mali, au nord et à l’est par le Niger, au sud-est par le Bénin et au sud par la Côte d’Ivoire, le Ghana et le Togo. </w:t>
      </w:r>
    </w:p>
    <w:p w:rsidR="00592C25" w:rsidRPr="00EB2626" w:rsidRDefault="00592C25" w:rsidP="00EB2626">
      <w:pPr>
        <w:pStyle w:val="Standard"/>
        <w:spacing w:before="60" w:after="0" w:line="360" w:lineRule="auto"/>
        <w:jc w:val="both"/>
        <w:rPr>
          <w:rFonts w:asciiTheme="minorHAnsi" w:hAnsiTheme="minorHAnsi" w:cstheme="minorHAnsi"/>
          <w:b/>
          <w:color w:val="auto"/>
        </w:rPr>
      </w:pPr>
      <w:r w:rsidRPr="00EB2626">
        <w:rPr>
          <w:rFonts w:asciiTheme="minorHAnsi" w:hAnsiTheme="minorHAnsi" w:cstheme="minorHAnsi"/>
        </w:rPr>
        <w:t xml:space="preserve">Le Burkina a un climat tropical de type soudanien avec une pluviométrie moyenne annuelle varie de 300 mm au nord à plus de 1200 mm au sud-ouest. </w:t>
      </w:r>
    </w:p>
    <w:p w:rsidR="00C64E36" w:rsidRPr="00EB2626" w:rsidRDefault="00C64E36" w:rsidP="00EB2626">
      <w:pPr>
        <w:autoSpaceDE w:val="0"/>
        <w:autoSpaceDN w:val="0"/>
        <w:adjustRightInd w:val="0"/>
        <w:spacing w:after="0" w:line="360" w:lineRule="auto"/>
        <w:jc w:val="both"/>
        <w:rPr>
          <w:rFonts w:cstheme="minorHAnsi"/>
          <w:sz w:val="24"/>
          <w:szCs w:val="24"/>
        </w:rPr>
      </w:pPr>
      <w:r w:rsidRPr="00EB2626">
        <w:rPr>
          <w:rFonts w:cstheme="minorHAnsi"/>
          <w:sz w:val="24"/>
          <w:szCs w:val="24"/>
        </w:rPr>
        <w:lastRenderedPageBreak/>
        <w:t>La population du Burkina Faso est estimée à 19 034 397 habitants en 2016</w:t>
      </w:r>
      <w:r w:rsidR="00F812E1" w:rsidRPr="00EB2626">
        <w:rPr>
          <w:rFonts w:cstheme="minorHAnsi"/>
          <w:sz w:val="24"/>
          <w:szCs w:val="24"/>
        </w:rPr>
        <w:t>, soit une densité d’environ 69 habitants/km</w:t>
      </w:r>
      <w:r w:rsidR="00F812E1" w:rsidRPr="00EB2626">
        <w:rPr>
          <w:rFonts w:cstheme="minorHAnsi"/>
          <w:sz w:val="24"/>
          <w:szCs w:val="24"/>
          <w:vertAlign w:val="superscript"/>
        </w:rPr>
        <w:t>2</w:t>
      </w:r>
      <w:r w:rsidR="00F812E1" w:rsidRPr="00EB2626">
        <w:rPr>
          <w:rFonts w:cstheme="minorHAnsi"/>
          <w:sz w:val="24"/>
          <w:szCs w:val="24"/>
        </w:rPr>
        <w:t>. Avec une forte croissance démographique autour de 3,1%</w:t>
      </w:r>
      <w:r w:rsidR="00120BD6" w:rsidRPr="00EB2626">
        <w:rPr>
          <w:rStyle w:val="Appelnotedebasdep"/>
          <w:rFonts w:cstheme="minorHAnsi"/>
          <w:sz w:val="24"/>
          <w:szCs w:val="24"/>
        </w:rPr>
        <w:footnoteReference w:id="1"/>
      </w:r>
      <w:r w:rsidR="00F812E1" w:rsidRPr="00EB2626">
        <w:rPr>
          <w:rFonts w:cstheme="minorHAnsi"/>
          <w:sz w:val="24"/>
          <w:szCs w:val="24"/>
        </w:rPr>
        <w:t xml:space="preserve">, la population </w:t>
      </w:r>
      <w:r w:rsidRPr="00EB2626">
        <w:rPr>
          <w:rFonts w:cstheme="minorHAnsi"/>
          <w:sz w:val="24"/>
          <w:szCs w:val="24"/>
        </w:rPr>
        <w:t xml:space="preserve">pourrait atteindre </w:t>
      </w:r>
      <w:r w:rsidR="00592C25" w:rsidRPr="00EB2626">
        <w:rPr>
          <w:rFonts w:cstheme="minorHAnsi"/>
          <w:sz w:val="24"/>
          <w:szCs w:val="24"/>
        </w:rPr>
        <w:t>21 510 181 d'habitants en 2020</w:t>
      </w:r>
      <w:r w:rsidRPr="00EB2626">
        <w:rPr>
          <w:rFonts w:cstheme="minorHAnsi"/>
          <w:sz w:val="24"/>
          <w:szCs w:val="24"/>
        </w:rPr>
        <w:t xml:space="preserve">. </w:t>
      </w:r>
      <w:r w:rsidR="00120BD6" w:rsidRPr="00EB2626">
        <w:rPr>
          <w:sz w:val="24"/>
          <w:szCs w:val="24"/>
        </w:rPr>
        <w:t xml:space="preserve">Le taux brut de natalité est estimé à 46,0‰, celui de la mortalité générale est de 11,8‰ et l’espérance de vie à la naissance de 56,7 ans. L’indice synthétique de fécondité est de 6,2. </w:t>
      </w:r>
      <w:r w:rsidR="00120BD6" w:rsidRPr="00EB2626">
        <w:rPr>
          <w:rFonts w:cstheme="minorHAnsi"/>
          <w:sz w:val="24"/>
          <w:szCs w:val="24"/>
        </w:rPr>
        <w:t>La</w:t>
      </w:r>
      <w:r w:rsidRPr="00EB2626">
        <w:rPr>
          <w:rFonts w:cstheme="minorHAnsi"/>
          <w:sz w:val="24"/>
          <w:szCs w:val="24"/>
        </w:rPr>
        <w:t xml:space="preserve"> population</w:t>
      </w:r>
      <w:r w:rsidR="00120BD6" w:rsidRPr="00EB2626">
        <w:rPr>
          <w:rFonts w:cstheme="minorHAnsi"/>
          <w:sz w:val="24"/>
          <w:szCs w:val="24"/>
        </w:rPr>
        <w:t xml:space="preserve"> du Burkina Faso </w:t>
      </w:r>
      <w:r w:rsidRPr="00EB2626">
        <w:rPr>
          <w:rFonts w:cstheme="minorHAnsi"/>
          <w:sz w:val="24"/>
          <w:szCs w:val="24"/>
        </w:rPr>
        <w:t xml:space="preserve"> est caractérisée par son </w:t>
      </w:r>
      <w:r w:rsidR="00592C25" w:rsidRPr="00EB2626">
        <w:rPr>
          <w:rFonts w:cstheme="minorHAnsi"/>
          <w:sz w:val="24"/>
          <w:szCs w:val="24"/>
        </w:rPr>
        <w:t xml:space="preserve">extrême jeunesse avec </w:t>
      </w:r>
      <w:r w:rsidRPr="00EB2626">
        <w:rPr>
          <w:rFonts w:cstheme="minorHAnsi"/>
          <w:sz w:val="24"/>
          <w:szCs w:val="24"/>
        </w:rPr>
        <w:t>47% de la population âgée de moins de 15 ans, 67% de moins de 25 ans et 33,2% des jeunes ont un âge compris entre 15 et 35 ans.</w:t>
      </w:r>
      <w:r w:rsidR="00170FB3" w:rsidRPr="00EB2626">
        <w:rPr>
          <w:rFonts w:cstheme="minorHAnsi"/>
          <w:sz w:val="24"/>
          <w:szCs w:val="24"/>
        </w:rPr>
        <w:t xml:space="preserve"> L’espérance de vie à la naissance est de 55,5 ans.</w:t>
      </w:r>
    </w:p>
    <w:p w:rsidR="00170FB3" w:rsidRPr="00EB2626" w:rsidRDefault="00170FB3" w:rsidP="00EB2626">
      <w:pPr>
        <w:pStyle w:val="Paragraphedeliste"/>
        <w:numPr>
          <w:ilvl w:val="2"/>
          <w:numId w:val="1"/>
        </w:numPr>
        <w:autoSpaceDE w:val="0"/>
        <w:autoSpaceDN w:val="0"/>
        <w:adjustRightInd w:val="0"/>
        <w:spacing w:after="0" w:line="360" w:lineRule="auto"/>
        <w:jc w:val="both"/>
        <w:rPr>
          <w:rFonts w:cstheme="minorHAnsi"/>
          <w:b/>
          <w:sz w:val="24"/>
          <w:szCs w:val="24"/>
        </w:rPr>
      </w:pPr>
      <w:r w:rsidRPr="00EB2626">
        <w:rPr>
          <w:rFonts w:cstheme="minorHAnsi"/>
          <w:b/>
          <w:sz w:val="24"/>
          <w:szCs w:val="24"/>
        </w:rPr>
        <w:t xml:space="preserve">Contexte </w:t>
      </w:r>
      <w:r w:rsidR="009656DE" w:rsidRPr="00EB2626">
        <w:rPr>
          <w:rFonts w:cstheme="minorHAnsi"/>
          <w:b/>
          <w:sz w:val="24"/>
          <w:szCs w:val="24"/>
        </w:rPr>
        <w:t>politique</w:t>
      </w:r>
      <w:r w:rsidR="00FD2E8B" w:rsidRPr="00EB2626">
        <w:rPr>
          <w:rFonts w:cstheme="minorHAnsi"/>
          <w:b/>
          <w:sz w:val="24"/>
          <w:szCs w:val="24"/>
        </w:rPr>
        <w:t xml:space="preserve"> et administratif</w:t>
      </w:r>
    </w:p>
    <w:p w:rsidR="0055350B" w:rsidRPr="00EB2626" w:rsidRDefault="0055350B" w:rsidP="00EB2626">
      <w:pPr>
        <w:spacing w:after="0" w:line="360" w:lineRule="auto"/>
        <w:jc w:val="both"/>
        <w:rPr>
          <w:rFonts w:eastAsia="Times New Roman" w:cs="Times New Roman"/>
          <w:sz w:val="24"/>
          <w:szCs w:val="24"/>
          <w:lang w:eastAsia="fr-FR"/>
        </w:rPr>
      </w:pPr>
      <w:r w:rsidRPr="00EB2626">
        <w:rPr>
          <w:rFonts w:eastAsia="Times New Roman" w:cs="Times New Roman"/>
          <w:sz w:val="24"/>
          <w:szCs w:val="24"/>
          <w:lang w:eastAsia="fr-FR"/>
        </w:rPr>
        <w:t>Sur le plan administratif, le Burkina Faso est subdivisé en 13 régions dirigées chacune par un Gouverneur de région, 45 provinces subdivisées en départements qui sont constituées par un ensemble de villages.  On dénombre 18 centres urbains dans le pays dont Ouagadougou est la capitale politique et Bobo-Dioulasso la capitale économique.</w:t>
      </w:r>
    </w:p>
    <w:p w:rsidR="0055350B" w:rsidRPr="00EB2626" w:rsidRDefault="00AB5973" w:rsidP="00EB2626">
      <w:pPr>
        <w:spacing w:after="0" w:line="360" w:lineRule="auto"/>
        <w:jc w:val="both"/>
        <w:rPr>
          <w:rFonts w:eastAsia="Times New Roman" w:cs="Times New Roman"/>
          <w:sz w:val="24"/>
          <w:szCs w:val="24"/>
          <w:lang w:eastAsia="fr-FR"/>
        </w:rPr>
      </w:pPr>
      <w:r w:rsidRPr="00EB2626">
        <w:rPr>
          <w:rFonts w:eastAsia="Times New Roman" w:cs="Times New Roman"/>
          <w:sz w:val="24"/>
          <w:szCs w:val="24"/>
          <w:lang w:eastAsia="fr-FR"/>
        </w:rPr>
        <w:t>Depuis 2012,  l</w:t>
      </w:r>
      <w:r w:rsidR="0055350B" w:rsidRPr="00EB2626">
        <w:rPr>
          <w:rFonts w:eastAsia="Times New Roman" w:cs="Times New Roman"/>
          <w:sz w:val="24"/>
          <w:szCs w:val="24"/>
          <w:lang w:eastAsia="fr-FR"/>
        </w:rPr>
        <w:t xml:space="preserve">e Burkina Faso s’est </w:t>
      </w:r>
      <w:r w:rsidRPr="00EB2626">
        <w:rPr>
          <w:rFonts w:eastAsia="Times New Roman" w:cs="Times New Roman"/>
          <w:sz w:val="24"/>
          <w:szCs w:val="24"/>
          <w:lang w:eastAsia="fr-FR"/>
        </w:rPr>
        <w:t>engagé</w:t>
      </w:r>
      <w:r w:rsidR="0055350B" w:rsidRPr="00EB2626">
        <w:rPr>
          <w:rFonts w:eastAsia="Times New Roman" w:cs="Times New Roman"/>
          <w:sz w:val="24"/>
          <w:szCs w:val="24"/>
          <w:lang w:eastAsia="fr-FR"/>
        </w:rPr>
        <w:t xml:space="preserve"> </w:t>
      </w:r>
      <w:r w:rsidRPr="00EB2626">
        <w:rPr>
          <w:rFonts w:eastAsia="Times New Roman" w:cs="Times New Roman"/>
          <w:sz w:val="24"/>
          <w:szCs w:val="24"/>
          <w:lang w:eastAsia="fr-FR"/>
        </w:rPr>
        <w:t xml:space="preserve">dans une politique de décentralisation accompagnée d’une déconcentration des services de l’Etat dans le but de renforcer les capacités d’action des collectivités territoriales et </w:t>
      </w:r>
      <w:r w:rsidR="0055350B" w:rsidRPr="00EB2626">
        <w:rPr>
          <w:rFonts w:eastAsia="Times New Roman" w:cs="Times New Roman"/>
          <w:sz w:val="24"/>
          <w:szCs w:val="24"/>
          <w:lang w:eastAsia="fr-FR"/>
        </w:rPr>
        <w:t>a créé des col</w:t>
      </w:r>
      <w:r w:rsidRPr="00EB2626">
        <w:rPr>
          <w:rFonts w:eastAsia="Times New Roman" w:cs="Times New Roman"/>
          <w:sz w:val="24"/>
          <w:szCs w:val="24"/>
          <w:lang w:eastAsia="fr-FR"/>
        </w:rPr>
        <w:t xml:space="preserve">lectivités locales que sont les </w:t>
      </w:r>
      <w:r w:rsidR="0055350B" w:rsidRPr="00EB2626">
        <w:rPr>
          <w:rFonts w:eastAsia="Times New Roman" w:cs="Times New Roman"/>
          <w:sz w:val="24"/>
          <w:szCs w:val="24"/>
          <w:lang w:eastAsia="fr-FR"/>
        </w:rPr>
        <w:t>régions</w:t>
      </w:r>
      <w:r w:rsidRPr="00EB2626">
        <w:rPr>
          <w:rFonts w:eastAsia="Times New Roman" w:cs="Times New Roman"/>
          <w:sz w:val="24"/>
          <w:szCs w:val="24"/>
          <w:lang w:eastAsia="fr-FR"/>
        </w:rPr>
        <w:t xml:space="preserve"> (13)</w:t>
      </w:r>
      <w:r w:rsidR="0055350B" w:rsidRPr="00EB2626">
        <w:rPr>
          <w:rFonts w:eastAsia="Times New Roman" w:cs="Times New Roman"/>
          <w:sz w:val="24"/>
          <w:szCs w:val="24"/>
          <w:lang w:eastAsia="fr-FR"/>
        </w:rPr>
        <w:t xml:space="preserve"> et les communes</w:t>
      </w:r>
      <w:r w:rsidRPr="00EB2626">
        <w:rPr>
          <w:rFonts w:eastAsia="Times New Roman" w:cs="Times New Roman"/>
          <w:sz w:val="24"/>
          <w:szCs w:val="24"/>
          <w:lang w:eastAsia="fr-FR"/>
        </w:rPr>
        <w:t xml:space="preserve"> (350)</w:t>
      </w:r>
      <w:r w:rsidR="0055350B" w:rsidRPr="00EB2626">
        <w:rPr>
          <w:rFonts w:eastAsia="Times New Roman" w:cs="Times New Roman"/>
          <w:sz w:val="24"/>
          <w:szCs w:val="24"/>
          <w:lang w:eastAsia="fr-FR"/>
        </w:rPr>
        <w:t>.</w:t>
      </w:r>
    </w:p>
    <w:p w:rsidR="00120BD6" w:rsidRPr="00EB2626" w:rsidRDefault="00453A08" w:rsidP="00EB2626">
      <w:pPr>
        <w:spacing w:line="360" w:lineRule="auto"/>
        <w:jc w:val="both"/>
        <w:rPr>
          <w:sz w:val="24"/>
          <w:szCs w:val="24"/>
        </w:rPr>
      </w:pPr>
      <w:r w:rsidRPr="00EB2626">
        <w:rPr>
          <w:sz w:val="24"/>
          <w:szCs w:val="24"/>
        </w:rPr>
        <w:t xml:space="preserve">Sur le plan politique, le pays a connu une première crise en 2011suivie de plusieurs rebondissements qui ont conduit à  la chute de l’ancien régime.  Le gouvernement de transition, mis en place, a été lui-même secouée par une  tentative de coup d’état et finalement des institutions démocratiquement élus ont été mises en place en 2015. Le pays a été également touché par les effets de l’épidémie d’Ebola qui a frappé la sous-région </w:t>
      </w:r>
      <w:r w:rsidRPr="00EB2626">
        <w:rPr>
          <w:sz w:val="24"/>
          <w:szCs w:val="24"/>
          <w:highlight w:val="yellow"/>
        </w:rPr>
        <w:t>de … à …. .</w:t>
      </w:r>
    </w:p>
    <w:p w:rsidR="00E67D19" w:rsidRPr="00EB2626" w:rsidRDefault="00E67D19" w:rsidP="00EB2626">
      <w:pPr>
        <w:pStyle w:val="Standard"/>
        <w:numPr>
          <w:ilvl w:val="2"/>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Situation socio-économique</w:t>
      </w:r>
    </w:p>
    <w:p w:rsidR="009C0D79" w:rsidRPr="00EB2626" w:rsidRDefault="00685B2D" w:rsidP="00EB2626">
      <w:pPr>
        <w:autoSpaceDE w:val="0"/>
        <w:autoSpaceDN w:val="0"/>
        <w:adjustRightInd w:val="0"/>
        <w:spacing w:after="0" w:line="360" w:lineRule="auto"/>
        <w:jc w:val="both"/>
        <w:rPr>
          <w:rFonts w:cs="Rockwell"/>
          <w:sz w:val="24"/>
          <w:szCs w:val="24"/>
        </w:rPr>
      </w:pPr>
      <w:r w:rsidRPr="00EB2626">
        <w:rPr>
          <w:rFonts w:cs="Rockwell"/>
          <w:sz w:val="24"/>
          <w:szCs w:val="24"/>
        </w:rPr>
        <w:t xml:space="preserve">Le Burkina Faso connaît une croissance économique fluctuante, qui s'est renforcée ces dernières années avec un taux de croissance annuel moyen du Produit intérieur brut (PIB) réel de 5,5% entre 2011 et 2015. </w:t>
      </w:r>
      <w:r w:rsidR="009C0D79" w:rsidRPr="00EB2626">
        <w:rPr>
          <w:rFonts w:cs="Rockwell"/>
          <w:sz w:val="24"/>
          <w:szCs w:val="24"/>
        </w:rPr>
        <w:t>Mais le</w:t>
      </w:r>
      <w:r w:rsidRPr="00EB2626">
        <w:rPr>
          <w:rFonts w:cs="Rockwell"/>
          <w:sz w:val="24"/>
          <w:szCs w:val="24"/>
        </w:rPr>
        <w:t xml:space="preserve"> taux </w:t>
      </w:r>
      <w:r w:rsidR="009C0D79" w:rsidRPr="00EB2626">
        <w:rPr>
          <w:rFonts w:cs="Rockwell"/>
          <w:sz w:val="24"/>
          <w:szCs w:val="24"/>
        </w:rPr>
        <w:t xml:space="preserve">de la croissance moyenne du PIB par habitant n'a été que de 2,3% a cause </w:t>
      </w:r>
      <w:r w:rsidRPr="00EB2626">
        <w:rPr>
          <w:rFonts w:cs="Rockwell"/>
          <w:sz w:val="24"/>
          <w:szCs w:val="24"/>
        </w:rPr>
        <w:t>de</w:t>
      </w:r>
      <w:r w:rsidR="009C0D79" w:rsidRPr="00EB2626">
        <w:rPr>
          <w:rFonts w:cs="Rockwell"/>
          <w:sz w:val="24"/>
          <w:szCs w:val="24"/>
        </w:rPr>
        <w:t xml:space="preserve"> la forte</w:t>
      </w:r>
      <w:r w:rsidRPr="00EB2626">
        <w:rPr>
          <w:rFonts w:cs="Rockwell"/>
          <w:sz w:val="24"/>
          <w:szCs w:val="24"/>
        </w:rPr>
        <w:t xml:space="preserve"> cro</w:t>
      </w:r>
      <w:r w:rsidR="009C0D79" w:rsidRPr="00EB2626">
        <w:rPr>
          <w:rFonts w:cs="Rockwell"/>
          <w:sz w:val="24"/>
          <w:szCs w:val="24"/>
        </w:rPr>
        <w:t>issance démographique (</w:t>
      </w:r>
      <w:r w:rsidRPr="00EB2626">
        <w:rPr>
          <w:rFonts w:cs="Rockwell"/>
          <w:sz w:val="24"/>
          <w:szCs w:val="24"/>
        </w:rPr>
        <w:t>3,1%</w:t>
      </w:r>
      <w:r w:rsidR="009C0D79" w:rsidRPr="00EB2626">
        <w:rPr>
          <w:rFonts w:cs="Rockwell"/>
          <w:sz w:val="24"/>
          <w:szCs w:val="24"/>
        </w:rPr>
        <w:t>). L</w:t>
      </w:r>
      <w:r w:rsidRPr="00EB2626">
        <w:rPr>
          <w:rFonts w:cs="Rockwell"/>
          <w:sz w:val="24"/>
          <w:szCs w:val="24"/>
        </w:rPr>
        <w:t>'incidence de la</w:t>
      </w:r>
      <w:r w:rsidR="009C0D79" w:rsidRPr="00EB2626">
        <w:rPr>
          <w:rFonts w:cs="Rockwell"/>
          <w:sz w:val="24"/>
          <w:szCs w:val="24"/>
        </w:rPr>
        <w:t xml:space="preserve"> pauvreté monétaire n’a connu qu’une légère baisse passant de 46,7% en 2009, pour un seuil de 108 454 FCFA à 40,1% en 2014 pour un seuil de pauvreté, estimé à 153 530 FCFA.</w:t>
      </w:r>
      <w:r w:rsidR="00831EC3" w:rsidRPr="00EB2626">
        <w:rPr>
          <w:rFonts w:cs="Rockwell"/>
          <w:sz w:val="24"/>
          <w:szCs w:val="24"/>
        </w:rPr>
        <w:t xml:space="preserve"> La </w:t>
      </w:r>
      <w:r w:rsidR="00831EC3" w:rsidRPr="00EB2626">
        <w:rPr>
          <w:rFonts w:cs="Rockwell"/>
          <w:sz w:val="24"/>
          <w:szCs w:val="24"/>
        </w:rPr>
        <w:lastRenderedPageBreak/>
        <w:t>pauvreté est fondamentalement rurale, avec une incidence de 47,5% contre 13,6% en milieu urbain.</w:t>
      </w:r>
    </w:p>
    <w:p w:rsidR="00170FB3" w:rsidRPr="00EB2626" w:rsidRDefault="00170FB3" w:rsidP="00EB2626">
      <w:pPr>
        <w:autoSpaceDE w:val="0"/>
        <w:autoSpaceDN w:val="0"/>
        <w:adjustRightInd w:val="0"/>
        <w:spacing w:after="0" w:line="360" w:lineRule="auto"/>
        <w:jc w:val="both"/>
        <w:rPr>
          <w:rFonts w:cs="TimesNewRomanPSMT"/>
          <w:sz w:val="24"/>
          <w:szCs w:val="24"/>
        </w:rPr>
      </w:pPr>
      <w:r w:rsidRPr="00EB2626">
        <w:rPr>
          <w:rFonts w:cs="TimesNewRomanPSMT"/>
          <w:sz w:val="24"/>
          <w:szCs w:val="24"/>
        </w:rPr>
        <w:t>Les problèmes de sécurité alimentaire sont récurrents et la malnutrition reste très</w:t>
      </w:r>
    </w:p>
    <w:p w:rsidR="00170FB3" w:rsidRPr="00EB2626" w:rsidRDefault="00170FB3" w:rsidP="00EB2626">
      <w:pPr>
        <w:autoSpaceDE w:val="0"/>
        <w:autoSpaceDN w:val="0"/>
        <w:adjustRightInd w:val="0"/>
        <w:spacing w:after="0" w:line="360" w:lineRule="auto"/>
        <w:jc w:val="both"/>
        <w:rPr>
          <w:rFonts w:cs="TimesNewRomanPSMT"/>
          <w:sz w:val="24"/>
          <w:szCs w:val="24"/>
        </w:rPr>
      </w:pPr>
      <w:r w:rsidRPr="00EB2626">
        <w:rPr>
          <w:rFonts w:cs="TimesNewRomanPSMT"/>
          <w:sz w:val="24"/>
          <w:szCs w:val="24"/>
        </w:rPr>
        <w:t>importante : environ 30 % de la population est confrontée à une insécurité alimentaire chronique.</w:t>
      </w:r>
    </w:p>
    <w:p w:rsidR="00685B2D" w:rsidRPr="00EB2626" w:rsidRDefault="00831EC3" w:rsidP="00EB2626">
      <w:pPr>
        <w:autoSpaceDE w:val="0"/>
        <w:autoSpaceDN w:val="0"/>
        <w:adjustRightInd w:val="0"/>
        <w:spacing w:after="0" w:line="360" w:lineRule="auto"/>
        <w:jc w:val="both"/>
        <w:rPr>
          <w:rFonts w:cs="Rockwell"/>
          <w:sz w:val="24"/>
          <w:szCs w:val="24"/>
        </w:rPr>
      </w:pPr>
      <w:r w:rsidRPr="00EB2626">
        <w:rPr>
          <w:rFonts w:cs="Rockwell"/>
          <w:sz w:val="24"/>
          <w:szCs w:val="24"/>
        </w:rPr>
        <w:t>L</w:t>
      </w:r>
      <w:r w:rsidR="00685B2D" w:rsidRPr="00EB2626">
        <w:rPr>
          <w:rFonts w:cs="Rockwell"/>
          <w:sz w:val="24"/>
          <w:szCs w:val="24"/>
        </w:rPr>
        <w:t xml:space="preserve">e niveau de l'Indice de développement humain (IDH) du Burkina Faso </w:t>
      </w:r>
      <w:r w:rsidRPr="00EB2626">
        <w:rPr>
          <w:rFonts w:cs="Rockwell"/>
          <w:sz w:val="24"/>
          <w:szCs w:val="24"/>
        </w:rPr>
        <w:t xml:space="preserve">était de </w:t>
      </w:r>
      <w:r w:rsidR="00685B2D" w:rsidRPr="00EB2626">
        <w:rPr>
          <w:rFonts w:cs="Rockwell"/>
          <w:sz w:val="24"/>
          <w:szCs w:val="24"/>
        </w:rPr>
        <w:t>0,420 en 2014, le classant dans la catégorie des pays à faible niveau de développement.</w:t>
      </w:r>
    </w:p>
    <w:p w:rsidR="00E67D19" w:rsidRPr="00EB2626" w:rsidRDefault="00E67D19" w:rsidP="00EB2626">
      <w:pPr>
        <w:pStyle w:val="Standard"/>
        <w:numPr>
          <w:ilvl w:val="2"/>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Situation sanitaire</w:t>
      </w:r>
    </w:p>
    <w:p w:rsidR="00D04D60" w:rsidRPr="00EB2626" w:rsidRDefault="00D04D60" w:rsidP="00EB2626">
      <w:pPr>
        <w:pStyle w:val="Standard"/>
        <w:numPr>
          <w:ilvl w:val="3"/>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Organisation</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Sur le plan administratif, le système de santé comprend trois niveaux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Symbol"/>
          <w:color w:val="009FDB"/>
          <w:sz w:val="24"/>
          <w:szCs w:val="24"/>
        </w:rPr>
        <w:t xml:space="preserve">• </w:t>
      </w:r>
      <w:r w:rsidRPr="00EB2626">
        <w:rPr>
          <w:rFonts w:cs="Optima"/>
          <w:color w:val="231F20"/>
          <w:sz w:val="24"/>
          <w:szCs w:val="24"/>
        </w:rPr>
        <w:t>Le niveau central, organisé autour du cabinet du Ministre de la Santé et du Secrétariat</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général, est chargé de l’élaboration des politiques, de la mobilisation des ressources,</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du contrôle de gestion et de l’évaluation des performances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Symbol"/>
          <w:color w:val="009FDB"/>
          <w:sz w:val="24"/>
          <w:szCs w:val="24"/>
        </w:rPr>
        <w:t xml:space="preserve">• </w:t>
      </w:r>
      <w:r w:rsidRPr="00EB2626">
        <w:rPr>
          <w:rFonts w:cs="Optima"/>
          <w:color w:val="231F20"/>
          <w:sz w:val="24"/>
          <w:szCs w:val="24"/>
        </w:rPr>
        <w:t>Le niveau intermédiaire comporte 13 directions régionales de la santé chargées de</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la coordination et de l’appui aux districts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Symbol"/>
          <w:color w:val="009FDB"/>
          <w:sz w:val="24"/>
          <w:szCs w:val="24"/>
        </w:rPr>
        <w:t xml:space="preserve">• </w:t>
      </w:r>
      <w:r w:rsidRPr="00EB2626">
        <w:rPr>
          <w:rFonts w:cs="Optima"/>
          <w:color w:val="231F20"/>
          <w:sz w:val="24"/>
          <w:szCs w:val="24"/>
        </w:rPr>
        <w:t>Le niveau périphérique compte actuellement 63 districts sanitaires administrés par</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des équipes cadres de district.</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Sur le plan opérationnel, les structures publiques de soins sont également organisées en</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trois niveaux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 xml:space="preserve">Le premier niveau constitué des districts sanitaires avec deux </w:t>
      </w:r>
      <w:r w:rsidR="00D04D60" w:rsidRPr="00EB2626">
        <w:rPr>
          <w:rFonts w:cs="Optima"/>
          <w:color w:val="231F20"/>
          <w:sz w:val="24"/>
          <w:szCs w:val="24"/>
        </w:rPr>
        <w:t xml:space="preserve">échelons de soins qui sont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i) Les centres de santé et de promotion sociale ou CSPS (1323 en 2008) qui constituent</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le premier contact avec la population,</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ii) Le deuxième échelon ou échelon de référence, les centres médicaux avec antenne</w:t>
      </w:r>
    </w:p>
    <w:p w:rsidR="00231001" w:rsidRPr="00EB2626" w:rsidRDefault="00231001" w:rsidP="00EB2626">
      <w:pPr>
        <w:spacing w:line="360" w:lineRule="auto"/>
        <w:jc w:val="both"/>
        <w:rPr>
          <w:rFonts w:cs="Optima"/>
          <w:color w:val="231F20"/>
          <w:sz w:val="24"/>
          <w:szCs w:val="24"/>
        </w:rPr>
      </w:pPr>
      <w:r w:rsidRPr="00EB2626">
        <w:rPr>
          <w:rFonts w:cs="Optima"/>
          <w:color w:val="231F20"/>
          <w:sz w:val="24"/>
          <w:szCs w:val="24"/>
        </w:rPr>
        <w:t>chirurgicale ou CMA (42 en 2008) qui jouent le rôle d’hôpitaux de district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iii) Le deuxième niveau constitué des centres hospitaliers régionaux ou CHR (9 en 2008) ;</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iv) Le troisième niveau constitué par les hôpitaux universitaires ou CHU (3 en 2008).</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Par ailleurs, le Service de Santé des Forces Armées nationales, l’Office de Santé des</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Travailleurs, la Caisse nationale de Sécurité sociale et les Services de Santé scolaires et</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universitaires contribuent à différents niveaux à l’offre de soins.</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Il existe également des structures privées à but lucratif, au nombre de 272, toutes catégories</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confondues et plusieurs autres structures privées à but non lucratif, gérées par des ordres</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lastRenderedPageBreak/>
        <w:t>religieux, des ONG et associations. En outre, la médecine et la pharmacopée traditionnelles,</w:t>
      </w:r>
    </w:p>
    <w:p w:rsidR="00231001" w:rsidRPr="00EB2626"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reconnues depuis 1994, dans le code de la Santé publique, jouent un rôle important dans la</w:t>
      </w:r>
    </w:p>
    <w:p w:rsidR="00231001" w:rsidRPr="00EB2626" w:rsidRDefault="00231001" w:rsidP="00EB2626">
      <w:pPr>
        <w:spacing w:line="360" w:lineRule="auto"/>
        <w:jc w:val="both"/>
        <w:rPr>
          <w:sz w:val="24"/>
          <w:szCs w:val="24"/>
        </w:rPr>
      </w:pPr>
      <w:r w:rsidRPr="00EB2626">
        <w:rPr>
          <w:rFonts w:cs="Optima"/>
          <w:color w:val="231F20"/>
          <w:sz w:val="24"/>
          <w:szCs w:val="24"/>
        </w:rPr>
        <w:t>prise en charge des maladies.</w:t>
      </w:r>
    </w:p>
    <w:p w:rsidR="00DB797E" w:rsidRPr="00EB2626" w:rsidRDefault="00D04D60" w:rsidP="00EB2626">
      <w:pPr>
        <w:pStyle w:val="Standard"/>
        <w:numPr>
          <w:ilvl w:val="3"/>
          <w:numId w:val="1"/>
        </w:numPr>
        <w:tabs>
          <w:tab w:val="left" w:pos="993"/>
        </w:tabs>
        <w:spacing w:before="60" w:after="60" w:line="360" w:lineRule="auto"/>
        <w:jc w:val="both"/>
        <w:rPr>
          <w:rFonts w:asciiTheme="minorHAnsi" w:hAnsiTheme="minorHAnsi" w:cstheme="minorHAnsi"/>
          <w:b/>
          <w:color w:val="auto"/>
        </w:rPr>
      </w:pPr>
      <w:r w:rsidRPr="00EB2626">
        <w:rPr>
          <w:rFonts w:asciiTheme="minorHAnsi" w:hAnsiTheme="minorHAnsi" w:cstheme="minorHAnsi"/>
          <w:b/>
          <w:color w:val="auto"/>
        </w:rPr>
        <w:t>Fonctionnement</w:t>
      </w:r>
    </w:p>
    <w:p w:rsidR="00D04D60" w:rsidRPr="00EB2626" w:rsidRDefault="00D04D60" w:rsidP="00EB2626">
      <w:pPr>
        <w:autoSpaceDE w:val="0"/>
        <w:autoSpaceDN w:val="0"/>
        <w:adjustRightInd w:val="0"/>
        <w:spacing w:after="0" w:line="360" w:lineRule="auto"/>
        <w:jc w:val="both"/>
        <w:rPr>
          <w:rFonts w:cstheme="minorHAnsi"/>
          <w:sz w:val="24"/>
          <w:szCs w:val="24"/>
        </w:rPr>
      </w:pPr>
      <w:r w:rsidRPr="00EB2626">
        <w:rPr>
          <w:rFonts w:cstheme="minorHAnsi"/>
          <w:sz w:val="24"/>
          <w:szCs w:val="24"/>
        </w:rPr>
        <w:t xml:space="preserve">La </w:t>
      </w:r>
      <w:r w:rsidRPr="00EB2626">
        <w:rPr>
          <w:rFonts w:cstheme="minorHAnsi"/>
          <w:b/>
          <w:bCs/>
          <w:sz w:val="24"/>
          <w:szCs w:val="24"/>
        </w:rPr>
        <w:t>Politique Nationale de Santé (2011)</w:t>
      </w:r>
      <w:r w:rsidRPr="00EB2626">
        <w:rPr>
          <w:rFonts w:cstheme="minorHAnsi"/>
          <w:sz w:val="24"/>
          <w:szCs w:val="24"/>
        </w:rPr>
        <w:t xml:space="preserve">, confirme l’adhésion du pays </w:t>
      </w:r>
      <w:r w:rsidR="00FA46D6" w:rsidRPr="00EB2626">
        <w:rPr>
          <w:rFonts w:cstheme="minorHAnsi"/>
          <w:sz w:val="24"/>
          <w:szCs w:val="24"/>
        </w:rPr>
        <w:t>à</w:t>
      </w:r>
      <w:r w:rsidRPr="00EB2626">
        <w:rPr>
          <w:rFonts w:cstheme="minorHAnsi"/>
          <w:sz w:val="24"/>
          <w:szCs w:val="24"/>
        </w:rPr>
        <w:t xml:space="preserve"> la stratégie des soins de santé primaires et</w:t>
      </w:r>
      <w:r w:rsidR="00FA46D6" w:rsidRPr="00EB2626">
        <w:rPr>
          <w:rFonts w:cstheme="minorHAnsi"/>
          <w:sz w:val="24"/>
          <w:szCs w:val="24"/>
        </w:rPr>
        <w:t xml:space="preserve"> aux orientations mondiales</w:t>
      </w:r>
      <w:r w:rsidRPr="00EB2626">
        <w:rPr>
          <w:rFonts w:cstheme="minorHAnsi"/>
          <w:sz w:val="24"/>
          <w:szCs w:val="24"/>
        </w:rPr>
        <w:t xml:space="preserve">. Elle est opérationnalisée à travers le </w:t>
      </w:r>
      <w:r w:rsidRPr="00EB2626">
        <w:rPr>
          <w:rFonts w:cstheme="minorHAnsi"/>
          <w:b/>
          <w:bCs/>
          <w:sz w:val="24"/>
          <w:szCs w:val="24"/>
        </w:rPr>
        <w:t>Plan national de développement sanitaire</w:t>
      </w:r>
      <w:r w:rsidR="00FA46D6" w:rsidRPr="00EB2626">
        <w:rPr>
          <w:rFonts w:cstheme="minorHAnsi"/>
          <w:sz w:val="24"/>
          <w:szCs w:val="24"/>
        </w:rPr>
        <w:t xml:space="preserve"> </w:t>
      </w:r>
      <w:r w:rsidRPr="00EB2626">
        <w:rPr>
          <w:rFonts w:cstheme="minorHAnsi"/>
          <w:b/>
          <w:bCs/>
          <w:sz w:val="24"/>
          <w:szCs w:val="24"/>
        </w:rPr>
        <w:t xml:space="preserve">2011-2020 (PNDS) </w:t>
      </w:r>
      <w:r w:rsidRPr="00EB2626">
        <w:rPr>
          <w:rFonts w:cstheme="minorHAnsi"/>
          <w:sz w:val="24"/>
          <w:szCs w:val="24"/>
        </w:rPr>
        <w:t>soutenu par une approche</w:t>
      </w:r>
      <w:r w:rsidR="00FA46D6" w:rsidRPr="00EB2626">
        <w:rPr>
          <w:rFonts w:cstheme="minorHAnsi"/>
          <w:sz w:val="24"/>
          <w:szCs w:val="24"/>
        </w:rPr>
        <w:t xml:space="preserve"> </w:t>
      </w:r>
      <w:r w:rsidRPr="00EB2626">
        <w:rPr>
          <w:rFonts w:cstheme="minorHAnsi"/>
          <w:sz w:val="24"/>
          <w:szCs w:val="24"/>
        </w:rPr>
        <w:t xml:space="preserve">sectorielle et mis en </w:t>
      </w:r>
      <w:r w:rsidR="00FA46D6" w:rsidRPr="00EB2626">
        <w:rPr>
          <w:rFonts w:cstheme="minorHAnsi"/>
          <w:sz w:val="24"/>
          <w:szCs w:val="24"/>
        </w:rPr>
        <w:t>œuvre</w:t>
      </w:r>
      <w:r w:rsidRPr="00EB2626">
        <w:rPr>
          <w:rFonts w:cstheme="minorHAnsi"/>
          <w:sz w:val="24"/>
          <w:szCs w:val="24"/>
        </w:rPr>
        <w:t xml:space="preserve"> à travers des plans triennaux glissants.</w:t>
      </w:r>
    </w:p>
    <w:p w:rsidR="00DB797E" w:rsidRDefault="00D04D60" w:rsidP="00EB2626">
      <w:pPr>
        <w:autoSpaceDE w:val="0"/>
        <w:autoSpaceDN w:val="0"/>
        <w:adjustRightInd w:val="0"/>
        <w:spacing w:after="0" w:line="360" w:lineRule="auto"/>
        <w:jc w:val="both"/>
        <w:rPr>
          <w:rFonts w:cstheme="minorHAnsi"/>
          <w:sz w:val="24"/>
          <w:szCs w:val="24"/>
        </w:rPr>
      </w:pPr>
      <w:r w:rsidRPr="00EB2626">
        <w:rPr>
          <w:rFonts w:cstheme="minorHAnsi"/>
          <w:sz w:val="24"/>
          <w:szCs w:val="24"/>
        </w:rPr>
        <w:t>Le PNDS 2011-2020 a été évalué à mi-parcours en 2016 [2,3,4] et révisé [5] début 2016 dans la</w:t>
      </w:r>
      <w:r w:rsidR="00FA46D6" w:rsidRPr="00EB2626">
        <w:rPr>
          <w:rFonts w:cstheme="minorHAnsi"/>
          <w:sz w:val="24"/>
          <w:szCs w:val="24"/>
        </w:rPr>
        <w:t xml:space="preserve"> </w:t>
      </w:r>
      <w:r w:rsidRPr="00EB2626">
        <w:rPr>
          <w:rFonts w:cstheme="minorHAnsi"/>
          <w:sz w:val="24"/>
          <w:szCs w:val="24"/>
        </w:rPr>
        <w:t>perspective d'accélérer l’atteinte des ODD au Burkina-Faso et de faire le lien avec le budget</w:t>
      </w:r>
      <w:r w:rsidR="00FA46D6" w:rsidRPr="00EB2626">
        <w:rPr>
          <w:rFonts w:cstheme="minorHAnsi"/>
          <w:sz w:val="24"/>
          <w:szCs w:val="24"/>
        </w:rPr>
        <w:t xml:space="preserve"> </w:t>
      </w:r>
      <w:r w:rsidRPr="00EB2626">
        <w:rPr>
          <w:rFonts w:cstheme="minorHAnsi"/>
          <w:sz w:val="24"/>
          <w:szCs w:val="24"/>
        </w:rPr>
        <w:t>programme 2017-2019</w:t>
      </w:r>
      <w:r w:rsidR="00FA46D6" w:rsidRPr="00EB2626">
        <w:rPr>
          <w:rFonts w:cstheme="minorHAnsi"/>
          <w:sz w:val="24"/>
          <w:szCs w:val="24"/>
        </w:rPr>
        <w:t>. Le Budget programme est bâti autour de trois programmes : (i) le programme "Accès aux services de santé", (ii) le programme "Prestations des services de santé" et (iii) le programme "Pilotage et soutien des ser</w:t>
      </w:r>
      <w:r w:rsidR="00EB2626">
        <w:rPr>
          <w:rFonts w:cstheme="minorHAnsi"/>
          <w:sz w:val="24"/>
          <w:szCs w:val="24"/>
        </w:rPr>
        <w:t>vices du Ministère de la santé"</w:t>
      </w:r>
      <w:r w:rsidRPr="00EB2626">
        <w:rPr>
          <w:rFonts w:cstheme="minorHAnsi"/>
          <w:sz w:val="24"/>
          <w:szCs w:val="24"/>
        </w:rPr>
        <w:t>.</w:t>
      </w:r>
    </w:p>
    <w:p w:rsidR="00EB2626" w:rsidRDefault="00EB2626" w:rsidP="00EB2626">
      <w:pPr>
        <w:autoSpaceDE w:val="0"/>
        <w:autoSpaceDN w:val="0"/>
        <w:adjustRightInd w:val="0"/>
        <w:spacing w:after="0" w:line="360" w:lineRule="auto"/>
        <w:jc w:val="both"/>
        <w:rPr>
          <w:rFonts w:cstheme="minorHAnsi"/>
          <w:sz w:val="24"/>
          <w:szCs w:val="24"/>
        </w:rPr>
      </w:pPr>
    </w:p>
    <w:p w:rsidR="00EB2626" w:rsidRPr="00EB2626" w:rsidRDefault="00EB2626" w:rsidP="00EB2626">
      <w:pPr>
        <w:autoSpaceDE w:val="0"/>
        <w:autoSpaceDN w:val="0"/>
        <w:adjustRightInd w:val="0"/>
        <w:spacing w:after="0" w:line="360" w:lineRule="auto"/>
        <w:jc w:val="both"/>
        <w:rPr>
          <w:rFonts w:cstheme="minorHAnsi"/>
          <w:sz w:val="24"/>
          <w:szCs w:val="24"/>
        </w:rPr>
      </w:pPr>
      <w:r w:rsidRPr="00EB2626">
        <w:rPr>
          <w:rFonts w:cstheme="minorHAnsi"/>
          <w:sz w:val="24"/>
          <w:szCs w:val="24"/>
          <w:highlight w:val="yellow"/>
        </w:rPr>
        <w:t>A Compléter</w:t>
      </w:r>
      <w:r>
        <w:rPr>
          <w:rFonts w:cstheme="minorHAnsi"/>
          <w:sz w:val="24"/>
          <w:szCs w:val="24"/>
        </w:rPr>
        <w:t xml:space="preserve"> </w:t>
      </w:r>
    </w:p>
    <w:p w:rsidR="00216A1D" w:rsidRDefault="00216A1D" w:rsidP="001D1300">
      <w:pPr>
        <w:spacing w:after="0"/>
        <w:jc w:val="both"/>
        <w:rPr>
          <w:rFonts w:eastAsia="Times New Roman" w:cstheme="minorHAnsi"/>
          <w:sz w:val="24"/>
          <w:szCs w:val="24"/>
          <w:lang w:eastAsia="fr-FR"/>
        </w:rPr>
      </w:pPr>
    </w:p>
    <w:p w:rsidR="00EB2626" w:rsidRDefault="00EB2626" w:rsidP="001D1300">
      <w:pPr>
        <w:spacing w:after="0"/>
        <w:jc w:val="both"/>
        <w:rPr>
          <w:rFonts w:eastAsia="Times New Roman" w:cstheme="minorHAnsi"/>
          <w:sz w:val="24"/>
          <w:szCs w:val="24"/>
          <w:lang w:eastAsia="fr-FR"/>
        </w:rPr>
      </w:pPr>
      <w:r>
        <w:rPr>
          <w:rFonts w:eastAsia="Times New Roman" w:cstheme="minorHAnsi"/>
          <w:sz w:val="24"/>
          <w:szCs w:val="24"/>
          <w:lang w:eastAsia="fr-FR"/>
        </w:rPr>
        <w:br w:type="page"/>
      </w:r>
    </w:p>
    <w:p w:rsidR="00EB2626" w:rsidRDefault="00EB2626" w:rsidP="001D1300">
      <w:pPr>
        <w:spacing w:after="0"/>
        <w:jc w:val="both"/>
        <w:rPr>
          <w:rFonts w:eastAsia="Times New Roman" w:cstheme="minorHAnsi"/>
          <w:sz w:val="24"/>
          <w:szCs w:val="24"/>
          <w:lang w:eastAsia="fr-FR"/>
        </w:rPr>
      </w:pPr>
    </w:p>
    <w:p w:rsidR="009078FF" w:rsidRPr="009078FF" w:rsidRDefault="0030746A" w:rsidP="009078FF">
      <w:pPr>
        <w:pStyle w:val="Paragraphedeliste"/>
        <w:numPr>
          <w:ilvl w:val="0"/>
          <w:numId w:val="3"/>
        </w:numPr>
        <w:spacing w:after="0" w:line="360" w:lineRule="auto"/>
        <w:jc w:val="both"/>
        <w:rPr>
          <w:rFonts w:cstheme="minorHAnsi"/>
          <w:sz w:val="24"/>
          <w:szCs w:val="24"/>
        </w:rPr>
      </w:pPr>
      <w:r w:rsidRPr="009078FF">
        <w:rPr>
          <w:rFonts w:cstheme="minorHAnsi"/>
          <w:b/>
          <w:sz w:val="24"/>
          <w:szCs w:val="24"/>
        </w:rPr>
        <w:t xml:space="preserve">ANALYSE DE SITUATION </w:t>
      </w:r>
      <w:r w:rsidR="0017134B" w:rsidRPr="009078FF">
        <w:rPr>
          <w:rFonts w:cstheme="minorHAnsi"/>
          <w:b/>
          <w:sz w:val="24"/>
          <w:szCs w:val="24"/>
        </w:rPr>
        <w:t xml:space="preserve">DE LA </w:t>
      </w:r>
      <w:r w:rsidR="009078FF" w:rsidRPr="009078FF">
        <w:rPr>
          <w:rFonts w:cstheme="minorHAnsi"/>
          <w:b/>
          <w:sz w:val="24"/>
          <w:szCs w:val="24"/>
        </w:rPr>
        <w:t>SANTE DE REPRODUCTION, DE LA MERE DU NOUVEAU-NE, DE L’ENFANT, DE L’ADOLESCENT ET DE LA NUTRITION (SRMNEA-N)</w:t>
      </w:r>
    </w:p>
    <w:p w:rsidR="0030746A" w:rsidRPr="009078FF" w:rsidRDefault="009078FF" w:rsidP="009078FF">
      <w:pPr>
        <w:pStyle w:val="Paragraphedeliste"/>
        <w:numPr>
          <w:ilvl w:val="1"/>
          <w:numId w:val="3"/>
        </w:numPr>
        <w:spacing w:after="0" w:line="360" w:lineRule="auto"/>
        <w:jc w:val="both"/>
        <w:rPr>
          <w:rFonts w:cstheme="minorHAnsi"/>
          <w:sz w:val="24"/>
          <w:szCs w:val="24"/>
        </w:rPr>
      </w:pPr>
      <w:r w:rsidRPr="009078FF">
        <w:rPr>
          <w:rFonts w:cstheme="minorHAnsi"/>
          <w:sz w:val="24"/>
          <w:szCs w:val="24"/>
        </w:rPr>
        <w:t>EVOLUTION DES PRINCIPAUX INDICATEURS EN SRMNEA</w:t>
      </w:r>
    </w:p>
    <w:p w:rsidR="0030746A" w:rsidRPr="002E239B" w:rsidRDefault="002E3A74" w:rsidP="002E239B">
      <w:pPr>
        <w:pStyle w:val="Paragraphedeliste"/>
        <w:numPr>
          <w:ilvl w:val="2"/>
          <w:numId w:val="3"/>
        </w:numPr>
        <w:spacing w:after="0" w:line="360" w:lineRule="auto"/>
        <w:jc w:val="both"/>
        <w:rPr>
          <w:rFonts w:cstheme="minorHAnsi"/>
          <w:sz w:val="24"/>
          <w:szCs w:val="24"/>
        </w:rPr>
      </w:pPr>
      <w:r w:rsidRPr="002E239B">
        <w:rPr>
          <w:rFonts w:cstheme="minorHAnsi"/>
          <w:sz w:val="24"/>
          <w:szCs w:val="24"/>
        </w:rPr>
        <w:t>MORTALITE MATERNELLE</w:t>
      </w:r>
    </w:p>
    <w:tbl>
      <w:tblPr>
        <w:tblStyle w:val="Grilledutableau"/>
        <w:tblW w:w="9353" w:type="dxa"/>
        <w:tblLook w:val="04A0" w:firstRow="1" w:lastRow="0" w:firstColumn="1" w:lastColumn="0" w:noHBand="0" w:noVBand="1"/>
      </w:tblPr>
      <w:tblGrid>
        <w:gridCol w:w="5061"/>
        <w:gridCol w:w="236"/>
        <w:gridCol w:w="4056"/>
      </w:tblGrid>
      <w:tr w:rsidR="000D1EDC" w:rsidTr="004050A1">
        <w:tc>
          <w:tcPr>
            <w:tcW w:w="5040" w:type="dxa"/>
          </w:tcPr>
          <w:p w:rsidR="000D1EDC" w:rsidRDefault="000D1EDC" w:rsidP="00A45A56">
            <w:pPr>
              <w:spacing w:line="360" w:lineRule="auto"/>
              <w:jc w:val="both"/>
              <w:rPr>
                <w:rFonts w:cstheme="minorHAnsi"/>
                <w:sz w:val="24"/>
                <w:szCs w:val="24"/>
              </w:rPr>
            </w:pPr>
            <w:r w:rsidRPr="00825475">
              <w:rPr>
                <w:noProof/>
                <w:lang w:eastAsia="fr-FR"/>
              </w:rPr>
              <w:drawing>
                <wp:inline distT="0" distB="0" distL="0" distR="0" wp14:anchorId="0C6E1C54" wp14:editId="77416BF3">
                  <wp:extent cx="3076575" cy="2476500"/>
                  <wp:effectExtent l="0" t="0" r="0" b="0"/>
                  <wp:docPr id="2"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236" w:type="dxa"/>
            <w:tcBorders>
              <w:top w:val="nil"/>
              <w:bottom w:val="nil"/>
              <w:right w:val="nil"/>
            </w:tcBorders>
          </w:tcPr>
          <w:p w:rsidR="000D1EDC" w:rsidRDefault="000D1EDC" w:rsidP="00A45A56">
            <w:pPr>
              <w:spacing w:line="360" w:lineRule="auto"/>
              <w:jc w:val="both"/>
              <w:rPr>
                <w:rFonts w:cstheme="minorHAnsi"/>
                <w:sz w:val="24"/>
                <w:szCs w:val="24"/>
              </w:rPr>
            </w:pPr>
          </w:p>
        </w:tc>
        <w:tc>
          <w:tcPr>
            <w:tcW w:w="4077" w:type="dxa"/>
            <w:vMerge w:val="restart"/>
            <w:tcBorders>
              <w:top w:val="nil"/>
              <w:left w:val="nil"/>
              <w:bottom w:val="nil"/>
              <w:right w:val="nil"/>
            </w:tcBorders>
          </w:tcPr>
          <w:p w:rsidR="000D1EDC" w:rsidRPr="00833071" w:rsidRDefault="000D1EDC" w:rsidP="002E239B">
            <w:pPr>
              <w:pStyle w:val="Paragraphedeliste"/>
              <w:spacing w:line="360" w:lineRule="auto"/>
              <w:ind w:left="360"/>
              <w:jc w:val="both"/>
            </w:pPr>
            <w:r>
              <w:rPr>
                <w:rFonts w:cstheme="minorHAnsi"/>
                <w:sz w:val="24"/>
                <w:szCs w:val="24"/>
              </w:rPr>
              <w:t xml:space="preserve">De 1999 à 2015, le taux de mortalité maternelle de 484 à 330/100 000 naissances vivantes. </w:t>
            </w:r>
            <w:r>
              <w:rPr>
                <w:rFonts w:cstheme="minorHAnsi"/>
                <w:iCs/>
                <w:color w:val="000000"/>
                <w:sz w:val="24"/>
                <w:szCs w:val="24"/>
              </w:rPr>
              <w:t>Le niveau de réduction du Taux</w:t>
            </w:r>
            <w:r w:rsidRPr="00BD6B37">
              <w:rPr>
                <w:rFonts w:cstheme="minorHAnsi"/>
                <w:iCs/>
                <w:color w:val="000000"/>
                <w:sz w:val="24"/>
                <w:szCs w:val="24"/>
              </w:rPr>
              <w:t xml:space="preserve"> de mortalité maternelle </w:t>
            </w:r>
            <w:r>
              <w:rPr>
                <w:rFonts w:cstheme="minorHAnsi"/>
                <w:iCs/>
                <w:color w:val="000000"/>
                <w:sz w:val="24"/>
                <w:szCs w:val="24"/>
              </w:rPr>
              <w:t xml:space="preserve">était de </w:t>
            </w:r>
            <w:r>
              <w:rPr>
                <w:rFonts w:cstheme="minorHAnsi"/>
                <w:sz w:val="24"/>
                <w:szCs w:val="24"/>
              </w:rPr>
              <w:t>31,8 %. Cependant,</w:t>
            </w:r>
            <w:r w:rsidR="00833071">
              <w:rPr>
                <w:rFonts w:cstheme="minorHAnsi"/>
                <w:sz w:val="24"/>
                <w:szCs w:val="24"/>
              </w:rPr>
              <w:t xml:space="preserve"> en 2015</w:t>
            </w:r>
            <w:r>
              <w:rPr>
                <w:rFonts w:cstheme="minorHAnsi"/>
                <w:sz w:val="24"/>
                <w:szCs w:val="24"/>
              </w:rPr>
              <w:t xml:space="preserve"> ces progrès n’ont pas permis </w:t>
            </w:r>
            <w:r w:rsidR="00833071">
              <w:rPr>
                <w:rFonts w:cstheme="minorHAnsi"/>
                <w:sz w:val="24"/>
                <w:szCs w:val="24"/>
              </w:rPr>
              <w:t xml:space="preserve">d’atteindre </w:t>
            </w:r>
            <w:r w:rsidR="00833071">
              <w:rPr>
                <w:rFonts w:cstheme="minorHAnsi"/>
                <w:iCs/>
                <w:color w:val="000000"/>
                <w:sz w:val="24"/>
                <w:szCs w:val="24"/>
              </w:rPr>
              <w:t>ni la cible fixée dans le PNDS 2011-20, ni celle des OMD ou de la SCADD</w:t>
            </w:r>
            <w:r w:rsidR="004050A1">
              <w:rPr>
                <w:rStyle w:val="Appelnotedebasdep"/>
                <w:rFonts w:cstheme="minorHAnsi"/>
                <w:iCs/>
                <w:color w:val="000000"/>
                <w:sz w:val="24"/>
                <w:szCs w:val="24"/>
              </w:rPr>
              <w:footnoteReference w:id="2"/>
            </w:r>
            <w:r w:rsidR="00833071">
              <w:t>.</w:t>
            </w:r>
          </w:p>
        </w:tc>
      </w:tr>
      <w:tr w:rsidR="000D1EDC" w:rsidTr="004050A1">
        <w:tc>
          <w:tcPr>
            <w:tcW w:w="5040" w:type="dxa"/>
            <w:tcBorders>
              <w:left w:val="nil"/>
              <w:bottom w:val="nil"/>
              <w:right w:val="nil"/>
            </w:tcBorders>
          </w:tcPr>
          <w:p w:rsidR="000D1EDC" w:rsidRDefault="000D1EDC" w:rsidP="00A45A56">
            <w:pPr>
              <w:jc w:val="both"/>
              <w:rPr>
                <w:rFonts w:cstheme="minorHAnsi"/>
                <w:sz w:val="24"/>
                <w:szCs w:val="24"/>
              </w:rPr>
            </w:pPr>
            <w:r>
              <w:rPr>
                <w:b/>
                <w:sz w:val="20"/>
                <w:szCs w:val="20"/>
              </w:rPr>
              <w:t xml:space="preserve">Figure 1 </w:t>
            </w:r>
            <w:r w:rsidRPr="00825475">
              <w:rPr>
                <w:b/>
                <w:sz w:val="20"/>
                <w:szCs w:val="20"/>
              </w:rPr>
              <w:t>: Taux de mortalité maternelle</w:t>
            </w:r>
          </w:p>
        </w:tc>
        <w:tc>
          <w:tcPr>
            <w:tcW w:w="236" w:type="dxa"/>
            <w:tcBorders>
              <w:top w:val="nil"/>
              <w:left w:val="nil"/>
              <w:bottom w:val="nil"/>
              <w:right w:val="nil"/>
            </w:tcBorders>
          </w:tcPr>
          <w:p w:rsidR="000D1EDC" w:rsidRDefault="000D1EDC" w:rsidP="00A45A56">
            <w:pPr>
              <w:jc w:val="both"/>
              <w:rPr>
                <w:rFonts w:cstheme="minorHAnsi"/>
                <w:sz w:val="24"/>
                <w:szCs w:val="24"/>
              </w:rPr>
            </w:pPr>
          </w:p>
        </w:tc>
        <w:tc>
          <w:tcPr>
            <w:tcW w:w="4077" w:type="dxa"/>
            <w:vMerge/>
            <w:tcBorders>
              <w:top w:val="nil"/>
              <w:left w:val="nil"/>
              <w:bottom w:val="nil"/>
              <w:right w:val="nil"/>
            </w:tcBorders>
          </w:tcPr>
          <w:p w:rsidR="000D1EDC" w:rsidRDefault="000D1EDC" w:rsidP="00A45A56">
            <w:pPr>
              <w:jc w:val="both"/>
              <w:rPr>
                <w:rFonts w:cstheme="minorHAnsi"/>
                <w:sz w:val="24"/>
                <w:szCs w:val="24"/>
              </w:rPr>
            </w:pPr>
          </w:p>
        </w:tc>
      </w:tr>
    </w:tbl>
    <w:p w:rsidR="00A45A56" w:rsidRDefault="00A45A56" w:rsidP="00A45A56">
      <w:pPr>
        <w:spacing w:after="0" w:line="360" w:lineRule="auto"/>
        <w:jc w:val="both"/>
        <w:rPr>
          <w:rFonts w:cstheme="minorHAnsi"/>
          <w:sz w:val="24"/>
          <w:szCs w:val="24"/>
        </w:rPr>
      </w:pPr>
    </w:p>
    <w:tbl>
      <w:tblPr>
        <w:tblStyle w:val="Grilledutableau"/>
        <w:tblW w:w="9322" w:type="dxa"/>
        <w:tblLook w:val="04A0" w:firstRow="1" w:lastRow="0" w:firstColumn="1" w:lastColumn="0" w:noHBand="0" w:noVBand="1"/>
      </w:tblPr>
      <w:tblGrid>
        <w:gridCol w:w="9322"/>
      </w:tblGrid>
      <w:tr w:rsidR="004B5F2E" w:rsidTr="004B5F2E">
        <w:tc>
          <w:tcPr>
            <w:tcW w:w="9322" w:type="dxa"/>
          </w:tcPr>
          <w:p w:rsidR="004B5F2E" w:rsidRDefault="004050A1" w:rsidP="00A45A56">
            <w:pPr>
              <w:spacing w:line="360" w:lineRule="auto"/>
              <w:jc w:val="both"/>
              <w:rPr>
                <w:rFonts w:cstheme="minorHAnsi"/>
                <w:sz w:val="24"/>
                <w:szCs w:val="24"/>
              </w:rPr>
            </w:pPr>
            <w:r w:rsidRPr="001A6057">
              <w:rPr>
                <w:color w:val="000000"/>
                <w:sz w:val="24"/>
                <w:szCs w:val="24"/>
              </w:rPr>
              <w:object w:dxaOrig="4826" w:dyaOrig="3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pt;height:225pt" o:ole="">
                  <v:imagedata r:id="rId11" o:title=""/>
                </v:shape>
                <o:OLEObject Type="Embed" ProgID="PowerPoint.Slide.12" ShapeID="_x0000_i1025" DrawAspect="Content" ObjectID="_1599457027" r:id="rId12"/>
              </w:object>
            </w:r>
          </w:p>
        </w:tc>
      </w:tr>
      <w:tr w:rsidR="004B5F2E" w:rsidRPr="004050A1" w:rsidTr="004B5F2E">
        <w:tc>
          <w:tcPr>
            <w:tcW w:w="9322" w:type="dxa"/>
          </w:tcPr>
          <w:p w:rsidR="004B5F2E" w:rsidRPr="004050A1" w:rsidRDefault="004B5F2E" w:rsidP="00A45A56">
            <w:pPr>
              <w:spacing w:line="360" w:lineRule="auto"/>
              <w:jc w:val="both"/>
              <w:rPr>
                <w:rFonts w:cstheme="minorHAnsi"/>
                <w:b/>
                <w:sz w:val="20"/>
                <w:szCs w:val="20"/>
              </w:rPr>
            </w:pPr>
            <w:r w:rsidRPr="004050A1">
              <w:rPr>
                <w:rFonts w:cstheme="minorHAnsi"/>
                <w:b/>
                <w:sz w:val="20"/>
                <w:szCs w:val="20"/>
              </w:rPr>
              <w:t>Figure 2 : Performance des régions en matière de santé de la mère en 2015</w:t>
            </w:r>
            <w:r w:rsidR="00054A9E">
              <w:rPr>
                <w:rStyle w:val="Appelnotedebasdep"/>
                <w:rFonts w:cstheme="minorHAnsi"/>
                <w:b/>
                <w:sz w:val="20"/>
                <w:szCs w:val="20"/>
              </w:rPr>
              <w:footnoteReference w:id="3"/>
            </w:r>
          </w:p>
        </w:tc>
      </w:tr>
    </w:tbl>
    <w:p w:rsidR="00342A98" w:rsidRDefault="004B5F2E" w:rsidP="004050A1">
      <w:pPr>
        <w:spacing w:before="240" w:after="0" w:line="360" w:lineRule="auto"/>
        <w:jc w:val="both"/>
        <w:rPr>
          <w:sz w:val="24"/>
          <w:szCs w:val="24"/>
        </w:rPr>
      </w:pPr>
      <w:r>
        <w:rPr>
          <w:rFonts w:cstheme="minorHAnsi"/>
          <w:sz w:val="24"/>
          <w:szCs w:val="24"/>
        </w:rPr>
        <w:lastRenderedPageBreak/>
        <w:t>La répartition des performances est inégale sur le territoire national. En 2015, huit (8) Régions avaient une performance insuffisante :</w:t>
      </w:r>
      <w:r w:rsidR="004050A1">
        <w:rPr>
          <w:sz w:val="24"/>
          <w:szCs w:val="24"/>
        </w:rPr>
        <w:t xml:space="preserve"> </w:t>
      </w:r>
      <w:r>
        <w:rPr>
          <w:sz w:val="24"/>
          <w:szCs w:val="24"/>
        </w:rPr>
        <w:t>Est, Centre-nord, Nord</w:t>
      </w:r>
      <w:r w:rsidRPr="00FE5989">
        <w:rPr>
          <w:sz w:val="24"/>
          <w:szCs w:val="24"/>
        </w:rPr>
        <w:t>, Centre-</w:t>
      </w:r>
      <w:r>
        <w:rPr>
          <w:sz w:val="24"/>
          <w:szCs w:val="24"/>
        </w:rPr>
        <w:t>ou</w:t>
      </w:r>
      <w:r w:rsidRPr="00FE5989">
        <w:rPr>
          <w:sz w:val="24"/>
          <w:szCs w:val="24"/>
        </w:rPr>
        <w:t>est, Centre-sud</w:t>
      </w:r>
      <w:r>
        <w:rPr>
          <w:sz w:val="24"/>
          <w:szCs w:val="24"/>
        </w:rPr>
        <w:t>, Centre-est, Boucle du Mouhoun, Sahel</w:t>
      </w:r>
      <w:r w:rsidR="00054A9E">
        <w:rPr>
          <w:sz w:val="24"/>
          <w:szCs w:val="24"/>
        </w:rPr>
        <w:t xml:space="preserve">. </w:t>
      </w:r>
    </w:p>
    <w:p w:rsidR="00754E45" w:rsidRPr="00342A98" w:rsidRDefault="00342A98" w:rsidP="004050A1">
      <w:pPr>
        <w:spacing w:before="240" w:after="0" w:line="360" w:lineRule="auto"/>
        <w:jc w:val="both"/>
        <w:rPr>
          <w:sz w:val="24"/>
          <w:szCs w:val="24"/>
        </w:rPr>
      </w:pPr>
      <w:r w:rsidRPr="00754E45">
        <w:rPr>
          <w:rFonts w:cs="Arial"/>
          <w:sz w:val="24"/>
          <w:szCs w:val="24"/>
        </w:rPr>
        <w:t>Les principaux facteurs du niveau élevé de cette mortalité maternelle sont l’insuffisance de l’accessibilité, de la disponibilité, de la qualité des soins et la faible implication des</w:t>
      </w:r>
      <w:r w:rsidR="00DE2D2B">
        <w:rPr>
          <w:sz w:val="24"/>
          <w:szCs w:val="24"/>
        </w:rPr>
        <w:t xml:space="preserve"> </w:t>
      </w:r>
      <w:r w:rsidRPr="00754E45">
        <w:rPr>
          <w:rFonts w:cs="Arial"/>
          <w:sz w:val="24"/>
          <w:szCs w:val="24"/>
        </w:rPr>
        <w:t>Populations</w:t>
      </w:r>
      <w:r w:rsidR="00054A9E" w:rsidRPr="00754E45">
        <w:rPr>
          <w:rFonts w:cs="Arial"/>
          <w:sz w:val="24"/>
          <w:szCs w:val="24"/>
        </w:rPr>
        <w:t xml:space="preserve"> pour une maternité à moindre risque. </w:t>
      </w:r>
    </w:p>
    <w:p w:rsidR="00054A9E" w:rsidRDefault="00054A9E" w:rsidP="00342A98">
      <w:pPr>
        <w:spacing w:line="360" w:lineRule="auto"/>
        <w:jc w:val="both"/>
        <w:rPr>
          <w:rFonts w:cs="Arial"/>
          <w:sz w:val="24"/>
          <w:szCs w:val="24"/>
        </w:rPr>
      </w:pPr>
      <w:r w:rsidRPr="00754E45">
        <w:rPr>
          <w:rFonts w:cs="Arial"/>
          <w:sz w:val="24"/>
          <w:szCs w:val="24"/>
        </w:rPr>
        <w:t>Dans les structures sanitaires</w:t>
      </w:r>
      <w:r w:rsidRPr="00754E45">
        <w:rPr>
          <w:rFonts w:eastAsia="Times New Roman" w:cs="Arial"/>
          <w:sz w:val="24"/>
          <w:szCs w:val="24"/>
        </w:rPr>
        <w:t xml:space="preserve"> où le taux de mortalité maternelle intra hospitalière pour 100 000 parturientes évolue en dents de scie (109,9% en 2015, 135,49% en 2016%, et 119,3% en 2017)</w:t>
      </w:r>
      <w:r w:rsidRPr="00754E45">
        <w:rPr>
          <w:rFonts w:cs="Arial"/>
          <w:sz w:val="24"/>
          <w:szCs w:val="24"/>
        </w:rPr>
        <w:t xml:space="preserve">, ces facteurs sont : l’insuffisance de personnel formé en SPN, en SONU ; les ruptures de stocks des médicaments d’urgence et de PSL; l’insuffisance de matériel </w:t>
      </w:r>
      <w:r w:rsidR="00754E45" w:rsidRPr="00754E45">
        <w:rPr>
          <w:rFonts w:cs="Arial"/>
          <w:sz w:val="24"/>
          <w:szCs w:val="24"/>
        </w:rPr>
        <w:t>médicotechnique</w:t>
      </w:r>
      <w:r w:rsidRPr="00754E45">
        <w:rPr>
          <w:rFonts w:cs="Arial"/>
          <w:sz w:val="24"/>
          <w:szCs w:val="24"/>
        </w:rPr>
        <w:t>, l’insuffisance dans l’application de protocoles cliniques et des facteurs organisationnels entrainant un retard dans la prise en charge des complications obstétricales</w:t>
      </w:r>
      <w:r w:rsidR="00754E45">
        <w:rPr>
          <w:rFonts w:cs="Arial"/>
          <w:sz w:val="24"/>
          <w:szCs w:val="24"/>
        </w:rPr>
        <w:t>.</w:t>
      </w:r>
    </w:p>
    <w:p w:rsidR="00DE2D2B" w:rsidRDefault="00DE2D2B" w:rsidP="00DE2D2B">
      <w:pPr>
        <w:spacing w:after="0" w:line="360" w:lineRule="auto"/>
        <w:jc w:val="both"/>
        <w:rPr>
          <w:rFonts w:cs="Arial"/>
          <w:sz w:val="24"/>
          <w:szCs w:val="24"/>
        </w:rPr>
      </w:pPr>
      <w:r>
        <w:rPr>
          <w:rFonts w:cs="Arial"/>
          <w:sz w:val="24"/>
          <w:szCs w:val="24"/>
        </w:rPr>
        <w:t>Parmi les causes de mortalité maternelle, on distingue les causes directes et les causes indirectes.</w:t>
      </w:r>
    </w:p>
    <w:p w:rsidR="00DE2D2B" w:rsidRDefault="00DE2D2B" w:rsidP="00DE2D2B">
      <w:pPr>
        <w:spacing w:line="360" w:lineRule="auto"/>
        <w:jc w:val="both"/>
        <w:rPr>
          <w:rFonts w:eastAsia="Times New Roman" w:cs="Arial"/>
          <w:sz w:val="23"/>
          <w:szCs w:val="23"/>
        </w:rPr>
      </w:pPr>
      <w:r w:rsidRPr="00B72473">
        <w:rPr>
          <w:rFonts w:eastAsia="Times New Roman" w:cs="Arial"/>
          <w:sz w:val="23"/>
          <w:szCs w:val="23"/>
        </w:rPr>
        <w:t>Selon l’EDS 98-99, les principales causes directes de ces décès maternels au niveau des formations sanitaires sont : les hémorragies (30%), les infections (23%), la rétention placentaire (11,40%), les ruptures utérines (10%), les complications des avortements (10%), les éclampsies (4%). Les causes obstétricales directes sont respon</w:t>
      </w:r>
      <w:r>
        <w:rPr>
          <w:rFonts w:eastAsia="Times New Roman" w:cs="Arial"/>
          <w:sz w:val="23"/>
          <w:szCs w:val="23"/>
        </w:rPr>
        <w:t>sables d’environ 80 % des décès</w:t>
      </w:r>
      <w:r w:rsidRPr="00B72473">
        <w:rPr>
          <w:rFonts w:eastAsia="Times New Roman" w:cs="Arial"/>
          <w:sz w:val="23"/>
          <w:szCs w:val="23"/>
        </w:rPr>
        <w:t xml:space="preserve">. </w:t>
      </w:r>
    </w:p>
    <w:p w:rsidR="00DE2D2B" w:rsidRPr="00B72473" w:rsidRDefault="00DE2D2B" w:rsidP="00DE2D2B">
      <w:pPr>
        <w:spacing w:line="360" w:lineRule="auto"/>
        <w:jc w:val="both"/>
        <w:rPr>
          <w:rFonts w:eastAsia="Times New Roman" w:cs="Arial"/>
          <w:sz w:val="23"/>
          <w:szCs w:val="23"/>
        </w:rPr>
      </w:pPr>
      <w:r w:rsidRPr="00B72473">
        <w:rPr>
          <w:rFonts w:eastAsia="Times New Roman" w:cs="Arial"/>
          <w:sz w:val="23"/>
          <w:szCs w:val="23"/>
        </w:rPr>
        <w:t xml:space="preserve">Parmi les causes indirectes qui représentent environ 20%, on peut citer le paludisme, l’anémie, le VIH/Sida et les hémoglobinopathies. 80% des décès maternels sont liés à des causes évitables et 50% surviennent dans les 24 heures qui suivent l’accouchement. Par ailleurs, 95% des décès maternels se passent dans les centres de santé et 5% dans les communautés. </w:t>
      </w:r>
    </w:p>
    <w:p w:rsidR="00F26721" w:rsidRDefault="00DE2D2B" w:rsidP="00DE2D2B">
      <w:pPr>
        <w:spacing w:line="360" w:lineRule="auto"/>
        <w:rPr>
          <w:rFonts w:eastAsia="Times New Roman" w:cs="Arial"/>
          <w:sz w:val="23"/>
          <w:szCs w:val="23"/>
        </w:rPr>
      </w:pPr>
      <w:r w:rsidRPr="00B72473">
        <w:rPr>
          <w:rFonts w:eastAsia="Times New Roman" w:cs="Arial"/>
          <w:sz w:val="23"/>
          <w:szCs w:val="23"/>
        </w:rPr>
        <w:t xml:space="preserve">À côté des causes directes classiques, </w:t>
      </w:r>
      <w:r w:rsidR="00F26721">
        <w:rPr>
          <w:rFonts w:eastAsia="Times New Roman" w:cs="Arial"/>
          <w:sz w:val="23"/>
          <w:szCs w:val="23"/>
        </w:rPr>
        <w:t>il faut l</w:t>
      </w:r>
      <w:r w:rsidRPr="00B72473">
        <w:rPr>
          <w:rFonts w:eastAsia="Times New Roman" w:cs="Arial"/>
          <w:sz w:val="23"/>
          <w:szCs w:val="23"/>
        </w:rPr>
        <w:t xml:space="preserve">es trois (3) retards : </w:t>
      </w:r>
    </w:p>
    <w:p w:rsidR="00F26721" w:rsidRDefault="00F26721" w:rsidP="00F26721">
      <w:pPr>
        <w:pStyle w:val="Paragraphedeliste"/>
        <w:numPr>
          <w:ilvl w:val="0"/>
          <w:numId w:val="39"/>
        </w:numPr>
        <w:spacing w:line="360" w:lineRule="auto"/>
        <w:rPr>
          <w:rFonts w:eastAsia="Times New Roman" w:cs="Arial"/>
          <w:sz w:val="23"/>
          <w:szCs w:val="23"/>
        </w:rPr>
      </w:pPr>
      <w:r w:rsidRPr="00F26721">
        <w:rPr>
          <w:rFonts w:eastAsia="Times New Roman" w:cs="Arial"/>
          <w:sz w:val="23"/>
          <w:szCs w:val="23"/>
        </w:rPr>
        <w:t>L</w:t>
      </w:r>
      <w:r w:rsidR="00DE2D2B" w:rsidRPr="00F26721">
        <w:rPr>
          <w:rFonts w:eastAsia="Times New Roman" w:cs="Arial"/>
          <w:sz w:val="23"/>
          <w:szCs w:val="23"/>
        </w:rPr>
        <w:t xml:space="preserve">e </w:t>
      </w:r>
      <w:r w:rsidRPr="00F26721">
        <w:rPr>
          <w:rFonts w:eastAsia="Times New Roman" w:cs="Arial"/>
          <w:sz w:val="23"/>
          <w:szCs w:val="23"/>
        </w:rPr>
        <w:t xml:space="preserve">premier </w:t>
      </w:r>
      <w:r w:rsidR="00DE2D2B" w:rsidRPr="00F26721">
        <w:rPr>
          <w:rFonts w:eastAsia="Times New Roman" w:cs="Arial"/>
          <w:sz w:val="23"/>
          <w:szCs w:val="23"/>
        </w:rPr>
        <w:t>retard pour décider de consulter les services de santé</w:t>
      </w:r>
      <w:r w:rsidRPr="00F26721">
        <w:rPr>
          <w:rFonts w:eastAsia="Times New Roman" w:cs="Arial"/>
          <w:sz w:val="23"/>
          <w:szCs w:val="23"/>
        </w:rPr>
        <w:t>.</w:t>
      </w:r>
    </w:p>
    <w:p w:rsidR="00F26721" w:rsidRPr="00F26721" w:rsidRDefault="00F26721" w:rsidP="00F26721">
      <w:pPr>
        <w:pStyle w:val="Paragraphedeliste"/>
        <w:spacing w:line="360" w:lineRule="auto"/>
        <w:jc w:val="both"/>
        <w:rPr>
          <w:rFonts w:eastAsia="Times New Roman" w:cs="Arial"/>
          <w:sz w:val="23"/>
          <w:szCs w:val="23"/>
        </w:rPr>
      </w:pPr>
      <w:r w:rsidRPr="00F26721">
        <w:rPr>
          <w:rFonts w:eastAsia="Times New Roman" w:cs="Arial"/>
          <w:sz w:val="23"/>
          <w:szCs w:val="23"/>
        </w:rPr>
        <w:t xml:space="preserve">Plusieurs facteurs interviennent dans la survenue du premier retard : les facteurs socioculturels dont le processus de prise de décision au niveau de la cellule familiale pour </w:t>
      </w:r>
      <w:r w:rsidRPr="00F26721">
        <w:rPr>
          <w:rFonts w:eastAsia="Times New Roman" w:cs="Arial"/>
          <w:sz w:val="23"/>
          <w:szCs w:val="23"/>
        </w:rPr>
        <w:lastRenderedPageBreak/>
        <w:t>la recherche des soins</w:t>
      </w:r>
      <w:r w:rsidRPr="00B72473">
        <w:rPr>
          <w:rStyle w:val="Appelnotedebasdep"/>
          <w:rFonts w:eastAsia="Times New Roman"/>
          <w:sz w:val="23"/>
          <w:szCs w:val="23"/>
        </w:rPr>
        <w:footnoteReference w:id="4"/>
      </w:r>
      <w:r w:rsidRPr="00F26721">
        <w:rPr>
          <w:rFonts w:eastAsia="Times New Roman" w:cs="Arial"/>
          <w:sz w:val="23"/>
          <w:szCs w:val="23"/>
        </w:rPr>
        <w:t>, la faible connaissance des signes de danger par la femme</w:t>
      </w:r>
      <w:r w:rsidRPr="00B72473">
        <w:rPr>
          <w:rStyle w:val="Appelnotedebasdep"/>
          <w:rFonts w:eastAsia="Times New Roman"/>
          <w:sz w:val="23"/>
          <w:szCs w:val="23"/>
        </w:rPr>
        <w:footnoteReference w:id="5"/>
      </w:r>
      <w:r w:rsidRPr="00F26721">
        <w:rPr>
          <w:rFonts w:eastAsia="Times New Roman" w:cs="Arial"/>
          <w:sz w:val="23"/>
          <w:szCs w:val="23"/>
        </w:rPr>
        <w:t>, le faible niveau d’éducation des femmes et la pauvreté des populations</w:t>
      </w:r>
      <w:r w:rsidRPr="00B72473">
        <w:rPr>
          <w:rStyle w:val="Appelnotedebasdep"/>
          <w:rFonts w:eastAsia="Times New Roman"/>
          <w:sz w:val="23"/>
          <w:szCs w:val="23"/>
        </w:rPr>
        <w:footnoteReference w:id="6"/>
      </w:r>
      <w:r w:rsidRPr="00F26721">
        <w:rPr>
          <w:rFonts w:eastAsia="Times New Roman" w:cs="Arial"/>
          <w:sz w:val="23"/>
          <w:szCs w:val="23"/>
        </w:rPr>
        <w:t xml:space="preserve">. </w:t>
      </w:r>
    </w:p>
    <w:p w:rsidR="00F26721" w:rsidRDefault="00F26721" w:rsidP="00F26721">
      <w:pPr>
        <w:pStyle w:val="Paragraphedeliste"/>
        <w:numPr>
          <w:ilvl w:val="0"/>
          <w:numId w:val="39"/>
        </w:numPr>
        <w:spacing w:line="360" w:lineRule="auto"/>
        <w:rPr>
          <w:rFonts w:eastAsia="Times New Roman" w:cs="Arial"/>
          <w:sz w:val="23"/>
          <w:szCs w:val="23"/>
        </w:rPr>
      </w:pPr>
      <w:r w:rsidRPr="00F26721">
        <w:rPr>
          <w:rFonts w:eastAsia="Times New Roman" w:cs="Arial"/>
          <w:sz w:val="23"/>
          <w:szCs w:val="23"/>
        </w:rPr>
        <w:t>L</w:t>
      </w:r>
      <w:r w:rsidR="00DE2D2B" w:rsidRPr="00F26721">
        <w:rPr>
          <w:rFonts w:eastAsia="Times New Roman" w:cs="Arial"/>
          <w:sz w:val="23"/>
          <w:szCs w:val="23"/>
        </w:rPr>
        <w:t>e retard pour arriv</w:t>
      </w:r>
      <w:r>
        <w:rPr>
          <w:rFonts w:eastAsia="Times New Roman" w:cs="Arial"/>
          <w:sz w:val="23"/>
          <w:szCs w:val="23"/>
        </w:rPr>
        <w:t xml:space="preserve">er à l’établissement de santé </w:t>
      </w:r>
    </w:p>
    <w:p w:rsidR="00F26721" w:rsidRPr="00F26721" w:rsidRDefault="00F26721" w:rsidP="00F26721">
      <w:pPr>
        <w:pStyle w:val="Paragraphedeliste"/>
        <w:spacing w:line="360" w:lineRule="auto"/>
        <w:jc w:val="both"/>
        <w:rPr>
          <w:rFonts w:eastAsia="Times New Roman" w:cs="Arial"/>
          <w:sz w:val="23"/>
          <w:szCs w:val="23"/>
        </w:rPr>
      </w:pPr>
      <w:r w:rsidRPr="00F26721">
        <w:rPr>
          <w:rFonts w:eastAsia="Times New Roman" w:cs="Arial"/>
          <w:sz w:val="23"/>
          <w:szCs w:val="23"/>
        </w:rPr>
        <w:t>Les facteurs à la base du deuxième retard étaient la faible accessibilité géographique des formations sanitaires rapportée par plusieurs études</w:t>
      </w:r>
      <w:r w:rsidRPr="00B72473">
        <w:rPr>
          <w:rStyle w:val="Appelnotedebasdep"/>
          <w:rFonts w:eastAsia="Times New Roman"/>
          <w:sz w:val="23"/>
          <w:szCs w:val="23"/>
        </w:rPr>
        <w:footnoteReference w:id="7"/>
      </w:r>
      <w:r w:rsidRPr="00F26721">
        <w:rPr>
          <w:rFonts w:eastAsia="Times New Roman" w:cs="Arial"/>
          <w:sz w:val="23"/>
          <w:szCs w:val="23"/>
        </w:rPr>
        <w:t xml:space="preserve">. </w:t>
      </w:r>
      <w:r w:rsidR="00DE2D2B" w:rsidRPr="00F26721">
        <w:rPr>
          <w:rFonts w:eastAsia="Times New Roman" w:cs="Arial"/>
          <w:sz w:val="23"/>
          <w:szCs w:val="23"/>
        </w:rPr>
        <w:t xml:space="preserve"> </w:t>
      </w:r>
    </w:p>
    <w:p w:rsidR="00DE2D2B" w:rsidRDefault="00F26721" w:rsidP="00F26721">
      <w:pPr>
        <w:pStyle w:val="Paragraphedeliste"/>
        <w:numPr>
          <w:ilvl w:val="0"/>
          <w:numId w:val="39"/>
        </w:numPr>
        <w:spacing w:line="360" w:lineRule="auto"/>
        <w:rPr>
          <w:rFonts w:eastAsia="Times New Roman" w:cs="Arial"/>
          <w:sz w:val="23"/>
          <w:szCs w:val="23"/>
        </w:rPr>
      </w:pPr>
      <w:r w:rsidRPr="00F26721">
        <w:rPr>
          <w:rFonts w:eastAsia="Times New Roman" w:cs="Arial"/>
          <w:sz w:val="23"/>
          <w:szCs w:val="23"/>
        </w:rPr>
        <w:t>L</w:t>
      </w:r>
      <w:r w:rsidR="00DE2D2B" w:rsidRPr="00F26721">
        <w:rPr>
          <w:rFonts w:eastAsia="Times New Roman" w:cs="Arial"/>
          <w:sz w:val="23"/>
          <w:szCs w:val="23"/>
        </w:rPr>
        <w:t>e retard pour recevoir un traitement adéquat au niveau de l’établissement de santé.</w:t>
      </w:r>
    </w:p>
    <w:p w:rsidR="00DE2D2B" w:rsidRPr="00F26721" w:rsidRDefault="00F26721" w:rsidP="00F26721">
      <w:pPr>
        <w:pStyle w:val="Paragraphedeliste"/>
        <w:spacing w:after="0" w:line="360" w:lineRule="auto"/>
        <w:jc w:val="both"/>
        <w:rPr>
          <w:rFonts w:eastAsia="Times New Roman" w:cs="Arial"/>
          <w:sz w:val="23"/>
          <w:szCs w:val="23"/>
        </w:rPr>
      </w:pPr>
      <w:r w:rsidRPr="00F26721">
        <w:rPr>
          <w:rFonts w:eastAsia="Times New Roman" w:cs="Arial"/>
          <w:sz w:val="23"/>
          <w:szCs w:val="23"/>
        </w:rPr>
        <w:t>La non-disponibilité, la qualité et le coût élevé des soins obstétricaux d’urgence étaient souvent à la base de ce troisième retard. Cette faible disponibilité était liée à un problème de ressources humaines qualifiées, de matériels, d’équipements et de médicaments</w:t>
      </w:r>
      <w:r w:rsidRPr="00B72473">
        <w:rPr>
          <w:rStyle w:val="Appelnotedebasdep"/>
          <w:rFonts w:eastAsia="Times New Roman"/>
          <w:sz w:val="23"/>
          <w:szCs w:val="23"/>
        </w:rPr>
        <w:footnoteReference w:id="8"/>
      </w:r>
      <w:r w:rsidRPr="00F26721">
        <w:rPr>
          <w:rFonts w:eastAsia="Times New Roman" w:cs="Arial"/>
          <w:sz w:val="23"/>
          <w:szCs w:val="23"/>
        </w:rPr>
        <w:t xml:space="preserve">. </w:t>
      </w:r>
    </w:p>
    <w:p w:rsidR="00F26721" w:rsidRDefault="00F26721" w:rsidP="00F26721">
      <w:pPr>
        <w:pStyle w:val="Paragraphedeliste"/>
        <w:spacing w:before="240" w:after="0" w:line="360" w:lineRule="auto"/>
        <w:ind w:left="360"/>
        <w:jc w:val="both"/>
        <w:rPr>
          <w:rFonts w:cstheme="minorHAnsi"/>
          <w:sz w:val="24"/>
          <w:szCs w:val="24"/>
        </w:rPr>
      </w:pPr>
    </w:p>
    <w:p w:rsidR="004B5F2E" w:rsidRPr="00754E45" w:rsidRDefault="002E3A74" w:rsidP="00F26721">
      <w:pPr>
        <w:pStyle w:val="Paragraphedeliste"/>
        <w:numPr>
          <w:ilvl w:val="2"/>
          <w:numId w:val="3"/>
        </w:numPr>
        <w:spacing w:before="240" w:after="0" w:line="360" w:lineRule="auto"/>
        <w:jc w:val="both"/>
        <w:rPr>
          <w:rFonts w:cstheme="minorHAnsi"/>
          <w:sz w:val="24"/>
          <w:szCs w:val="24"/>
        </w:rPr>
      </w:pPr>
      <w:r>
        <w:rPr>
          <w:rFonts w:cstheme="minorHAnsi"/>
          <w:sz w:val="24"/>
          <w:szCs w:val="24"/>
        </w:rPr>
        <w:t>MORTALITE NEO-NATALE</w:t>
      </w:r>
    </w:p>
    <w:tbl>
      <w:tblPr>
        <w:tblStyle w:val="Grilledutableau"/>
        <w:tblW w:w="9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6"/>
        <w:gridCol w:w="236"/>
        <w:gridCol w:w="3981"/>
      </w:tblGrid>
      <w:tr w:rsidR="001D57AD" w:rsidTr="001D57AD">
        <w:tc>
          <w:tcPr>
            <w:tcW w:w="5136" w:type="dxa"/>
            <w:tcBorders>
              <w:bottom w:val="single" w:sz="4" w:space="0" w:color="auto"/>
            </w:tcBorders>
          </w:tcPr>
          <w:p w:rsidR="00754E45" w:rsidRDefault="00754E45" w:rsidP="004974CF">
            <w:pPr>
              <w:spacing w:line="360" w:lineRule="auto"/>
              <w:jc w:val="both"/>
              <w:rPr>
                <w:rFonts w:cstheme="minorHAnsi"/>
                <w:sz w:val="24"/>
                <w:szCs w:val="24"/>
              </w:rPr>
            </w:pPr>
            <w:r w:rsidRPr="00937032">
              <w:rPr>
                <w:noProof/>
                <w:lang w:eastAsia="fr-FR"/>
              </w:rPr>
              <w:drawing>
                <wp:inline distT="0" distB="0" distL="0" distR="0" wp14:anchorId="6CDF9251" wp14:editId="57FD0D7C">
                  <wp:extent cx="3124200" cy="2286000"/>
                  <wp:effectExtent l="0" t="0" r="0" b="0"/>
                  <wp:docPr id="8"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236" w:type="dxa"/>
            <w:tcBorders>
              <w:top w:val="nil"/>
              <w:bottom w:val="nil"/>
              <w:right w:val="nil"/>
            </w:tcBorders>
          </w:tcPr>
          <w:p w:rsidR="00754E45" w:rsidRDefault="00754E45" w:rsidP="004974CF">
            <w:pPr>
              <w:spacing w:line="360" w:lineRule="auto"/>
              <w:jc w:val="both"/>
              <w:rPr>
                <w:rFonts w:cstheme="minorHAnsi"/>
                <w:sz w:val="24"/>
                <w:szCs w:val="24"/>
              </w:rPr>
            </w:pPr>
          </w:p>
        </w:tc>
        <w:tc>
          <w:tcPr>
            <w:tcW w:w="3981" w:type="dxa"/>
            <w:vMerge w:val="restart"/>
            <w:tcBorders>
              <w:top w:val="nil"/>
              <w:left w:val="nil"/>
              <w:bottom w:val="nil"/>
              <w:right w:val="nil"/>
            </w:tcBorders>
          </w:tcPr>
          <w:p w:rsidR="00754E45" w:rsidRPr="00833071" w:rsidRDefault="00754E45" w:rsidP="005A1CF9">
            <w:pPr>
              <w:spacing w:before="240" w:line="360" w:lineRule="auto"/>
            </w:pPr>
            <w:r>
              <w:rPr>
                <w:rFonts w:cstheme="minorHAnsi"/>
                <w:sz w:val="24"/>
                <w:szCs w:val="24"/>
              </w:rPr>
              <w:t xml:space="preserve">De 1999 à 2015, le taux de mortalité néo-natale est passé de 41 à 23 </w:t>
            </w:r>
            <w:r w:rsidRPr="00BD6B37">
              <w:rPr>
                <w:rFonts w:cstheme="minorHAnsi"/>
                <w:iCs/>
                <w:color w:val="000000"/>
                <w:sz w:val="24"/>
                <w:szCs w:val="24"/>
              </w:rPr>
              <w:t>‰</w:t>
            </w:r>
            <w:r>
              <w:rPr>
                <w:rFonts w:cstheme="minorHAnsi"/>
                <w:sz w:val="24"/>
                <w:szCs w:val="24"/>
              </w:rPr>
              <w:t xml:space="preserve">. </w:t>
            </w:r>
            <w:r>
              <w:rPr>
                <w:rFonts w:cstheme="minorHAnsi"/>
                <w:iCs/>
                <w:color w:val="000000"/>
                <w:sz w:val="24"/>
                <w:szCs w:val="24"/>
              </w:rPr>
              <w:t xml:space="preserve">Le niveau de réduction du </w:t>
            </w:r>
            <w:r>
              <w:rPr>
                <w:rFonts w:cstheme="minorHAnsi"/>
                <w:sz w:val="24"/>
                <w:szCs w:val="24"/>
              </w:rPr>
              <w:t xml:space="preserve">taux de mortalité néo-natale </w:t>
            </w:r>
            <w:r>
              <w:rPr>
                <w:rFonts w:cstheme="minorHAnsi"/>
                <w:iCs/>
                <w:color w:val="000000"/>
                <w:sz w:val="24"/>
                <w:szCs w:val="24"/>
              </w:rPr>
              <w:t xml:space="preserve">était de </w:t>
            </w:r>
            <w:r w:rsidR="005A1CF9">
              <w:rPr>
                <w:rFonts w:cstheme="minorHAnsi"/>
                <w:sz w:val="24"/>
                <w:szCs w:val="24"/>
              </w:rPr>
              <w:t xml:space="preserve">43,1 %. </w:t>
            </w:r>
            <w:r>
              <w:rPr>
                <w:rFonts w:cstheme="minorHAnsi"/>
                <w:sz w:val="24"/>
                <w:szCs w:val="24"/>
              </w:rPr>
              <w:t>Cependant, en 2015 ces progrès n’ont pas permis d’atteindre</w:t>
            </w:r>
            <w:r>
              <w:rPr>
                <w:rFonts w:cstheme="minorHAnsi"/>
                <w:iCs/>
                <w:color w:val="000000"/>
                <w:sz w:val="24"/>
                <w:szCs w:val="24"/>
              </w:rPr>
              <w:t xml:space="preserve"> la cible </w:t>
            </w:r>
            <w:r w:rsidR="005A1CF9">
              <w:rPr>
                <w:rFonts w:cstheme="minorHAnsi"/>
                <w:iCs/>
                <w:color w:val="000000"/>
                <w:sz w:val="24"/>
                <w:szCs w:val="24"/>
              </w:rPr>
              <w:t>fixée dans le PNDS 2011-20</w:t>
            </w:r>
            <w:r w:rsidR="005A1CF9">
              <w:rPr>
                <w:rStyle w:val="Appelnotedebasdep"/>
                <w:rFonts w:cstheme="minorHAnsi"/>
                <w:iCs/>
                <w:color w:val="000000"/>
                <w:sz w:val="24"/>
                <w:szCs w:val="24"/>
              </w:rPr>
              <w:footnoteReference w:id="9"/>
            </w:r>
            <w:r>
              <w:t>.</w:t>
            </w:r>
          </w:p>
        </w:tc>
      </w:tr>
      <w:tr w:rsidR="00754E45" w:rsidTr="001D57AD">
        <w:tc>
          <w:tcPr>
            <w:tcW w:w="5040" w:type="dxa"/>
            <w:tcBorders>
              <w:left w:val="nil"/>
              <w:bottom w:val="nil"/>
              <w:right w:val="nil"/>
            </w:tcBorders>
          </w:tcPr>
          <w:p w:rsidR="00754E45" w:rsidRPr="009A54F6" w:rsidRDefault="00754E45" w:rsidP="00754E45">
            <w:pPr>
              <w:rPr>
                <w:rFonts w:cstheme="minorHAnsi"/>
                <w:b/>
                <w:sz w:val="20"/>
                <w:szCs w:val="20"/>
              </w:rPr>
            </w:pPr>
            <w:r w:rsidRPr="00825475">
              <w:rPr>
                <w:rFonts w:cstheme="minorHAnsi"/>
                <w:b/>
                <w:sz w:val="20"/>
                <w:szCs w:val="20"/>
              </w:rPr>
              <w:lastRenderedPageBreak/>
              <w:t xml:space="preserve">Figure </w:t>
            </w:r>
            <w:r w:rsidR="009919D8">
              <w:rPr>
                <w:rFonts w:cstheme="minorHAnsi"/>
                <w:b/>
                <w:sz w:val="20"/>
                <w:szCs w:val="20"/>
              </w:rPr>
              <w:t>3</w:t>
            </w:r>
            <w:r w:rsidRPr="00825475">
              <w:rPr>
                <w:rFonts w:cstheme="minorHAnsi"/>
                <w:b/>
                <w:sz w:val="20"/>
                <w:szCs w:val="20"/>
              </w:rPr>
              <w:t> : Taux de mortalité néo-natale (/1000)</w:t>
            </w:r>
          </w:p>
        </w:tc>
        <w:tc>
          <w:tcPr>
            <w:tcW w:w="236" w:type="dxa"/>
            <w:tcBorders>
              <w:top w:val="nil"/>
              <w:left w:val="nil"/>
              <w:bottom w:val="nil"/>
              <w:right w:val="nil"/>
            </w:tcBorders>
          </w:tcPr>
          <w:p w:rsidR="00754E45" w:rsidRDefault="00754E45" w:rsidP="00754E45">
            <w:pPr>
              <w:jc w:val="both"/>
              <w:rPr>
                <w:rFonts w:cstheme="minorHAnsi"/>
                <w:sz w:val="24"/>
                <w:szCs w:val="24"/>
              </w:rPr>
            </w:pPr>
          </w:p>
        </w:tc>
        <w:tc>
          <w:tcPr>
            <w:tcW w:w="4077" w:type="dxa"/>
            <w:vMerge/>
            <w:tcBorders>
              <w:left w:val="nil"/>
              <w:bottom w:val="nil"/>
              <w:right w:val="nil"/>
            </w:tcBorders>
          </w:tcPr>
          <w:p w:rsidR="00754E45" w:rsidRDefault="00754E45" w:rsidP="00754E45">
            <w:pPr>
              <w:jc w:val="both"/>
              <w:rPr>
                <w:rFonts w:cstheme="minorHAnsi"/>
                <w:sz w:val="24"/>
                <w:szCs w:val="24"/>
              </w:rPr>
            </w:pPr>
          </w:p>
        </w:tc>
      </w:tr>
    </w:tbl>
    <w:p w:rsidR="004B5F2E" w:rsidRDefault="004B5F2E" w:rsidP="00A45A56">
      <w:pPr>
        <w:spacing w:after="0" w:line="360" w:lineRule="auto"/>
        <w:jc w:val="both"/>
        <w:rPr>
          <w:rFonts w:cstheme="minorHAnsi"/>
          <w:sz w:val="24"/>
          <w:szCs w:val="24"/>
        </w:rPr>
      </w:pPr>
    </w:p>
    <w:p w:rsidR="001D57AD" w:rsidRPr="001D57AD" w:rsidRDefault="001D57AD" w:rsidP="00A45A56">
      <w:pPr>
        <w:spacing w:after="0" w:line="360" w:lineRule="auto"/>
        <w:jc w:val="both"/>
        <w:rPr>
          <w:sz w:val="24"/>
          <w:szCs w:val="24"/>
        </w:rPr>
      </w:pPr>
      <w:r w:rsidRPr="001D57AD">
        <w:rPr>
          <w:sz w:val="24"/>
          <w:szCs w:val="24"/>
        </w:rPr>
        <w:t>Selon les rapports annuels de surveillance des décès maternels néonatals et de riposte (SDMNR), entre 2014 et 2016, on a enregistré respectivement 1872, 2256 et 2521 décès néonataux dans les FS. En 2016, les régions qui ont enregistré le plus de décès néonatals sont le Centre ave</w:t>
      </w:r>
      <w:r>
        <w:rPr>
          <w:sz w:val="24"/>
          <w:szCs w:val="24"/>
        </w:rPr>
        <w:t xml:space="preserve">c 740 cas, l’Est avec 270 cas, </w:t>
      </w:r>
      <w:r w:rsidRPr="001D57AD">
        <w:rPr>
          <w:sz w:val="24"/>
          <w:szCs w:val="24"/>
        </w:rPr>
        <w:t>le Centre Nord avec 228 cas et les cascades avec 208 cas.</w:t>
      </w:r>
    </w:p>
    <w:p w:rsidR="002E3A74" w:rsidRPr="001D57AD" w:rsidRDefault="002E3A74" w:rsidP="001D57AD">
      <w:pPr>
        <w:spacing w:line="360" w:lineRule="auto"/>
        <w:jc w:val="both"/>
        <w:rPr>
          <w:rFonts w:cs="Arial"/>
          <w:sz w:val="24"/>
          <w:szCs w:val="24"/>
        </w:rPr>
      </w:pPr>
      <w:r w:rsidRPr="001D57AD">
        <w:rPr>
          <w:rFonts w:cstheme="minorHAnsi"/>
          <w:sz w:val="24"/>
          <w:szCs w:val="24"/>
        </w:rPr>
        <w:t xml:space="preserve">Comme dans d’autres pays ou le niveau sanitaire est comparable à celui du Burkina Faso, les principales causes de la mortalité néo-natale sont la prématurité, les asphyxies, les septicémies, les anomalies congénitales, la pneumonie, le tétanos. </w:t>
      </w:r>
      <w:r w:rsidRPr="001D57AD">
        <w:rPr>
          <w:rFonts w:cs="Arial"/>
          <w:sz w:val="24"/>
          <w:szCs w:val="24"/>
        </w:rPr>
        <w:t>L’insuffisance de compétences ou de matériel pour apporter une assistance aux nouveau-nés avec difficultés respiratoires à la naissance aggrave la situation au Burkina Faso.</w:t>
      </w:r>
    </w:p>
    <w:p w:rsidR="002E3A74" w:rsidRPr="002E3A74" w:rsidRDefault="00342A98" w:rsidP="002E239B">
      <w:pPr>
        <w:pStyle w:val="Paragraphedeliste"/>
        <w:numPr>
          <w:ilvl w:val="2"/>
          <w:numId w:val="3"/>
        </w:numPr>
        <w:spacing w:after="0" w:line="360" w:lineRule="auto"/>
        <w:jc w:val="both"/>
        <w:rPr>
          <w:rFonts w:cstheme="minorHAnsi"/>
          <w:sz w:val="24"/>
          <w:szCs w:val="24"/>
        </w:rPr>
      </w:pPr>
      <w:r>
        <w:rPr>
          <w:rFonts w:cstheme="minorHAnsi"/>
          <w:sz w:val="24"/>
          <w:szCs w:val="24"/>
        </w:rPr>
        <w:t>MORTALITE INFANTO-JUVENILE</w:t>
      </w:r>
    </w:p>
    <w:tbl>
      <w:tblPr>
        <w:tblStyle w:val="Grilledutableau"/>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7"/>
        <w:gridCol w:w="252"/>
        <w:gridCol w:w="4529"/>
      </w:tblGrid>
      <w:tr w:rsidR="0096613A" w:rsidTr="00634C71">
        <w:tc>
          <w:tcPr>
            <w:tcW w:w="4507" w:type="dxa"/>
            <w:tcBorders>
              <w:bottom w:val="single" w:sz="4" w:space="0" w:color="auto"/>
            </w:tcBorders>
          </w:tcPr>
          <w:p w:rsidR="0096613A" w:rsidRDefault="0096613A" w:rsidP="004974CF">
            <w:pPr>
              <w:spacing w:line="360" w:lineRule="auto"/>
              <w:jc w:val="both"/>
              <w:rPr>
                <w:rFonts w:cstheme="minorHAnsi"/>
                <w:b/>
                <w:sz w:val="24"/>
                <w:szCs w:val="24"/>
              </w:rPr>
            </w:pPr>
            <w:r w:rsidRPr="00937032">
              <w:rPr>
                <w:noProof/>
                <w:lang w:eastAsia="fr-FR"/>
              </w:rPr>
              <w:drawing>
                <wp:inline distT="0" distB="0" distL="0" distR="0" wp14:anchorId="1D4486D9" wp14:editId="68F607A6">
                  <wp:extent cx="2814762" cy="2219325"/>
                  <wp:effectExtent l="0" t="0" r="0" b="0"/>
                  <wp:docPr id="12"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252" w:type="dxa"/>
            <w:tcBorders>
              <w:top w:val="nil"/>
              <w:bottom w:val="nil"/>
            </w:tcBorders>
          </w:tcPr>
          <w:p w:rsidR="0096613A" w:rsidRDefault="0096613A" w:rsidP="004974CF">
            <w:pPr>
              <w:spacing w:line="360" w:lineRule="auto"/>
              <w:jc w:val="both"/>
              <w:rPr>
                <w:rFonts w:cstheme="minorHAnsi"/>
                <w:b/>
                <w:sz w:val="24"/>
                <w:szCs w:val="24"/>
              </w:rPr>
            </w:pPr>
          </w:p>
        </w:tc>
        <w:tc>
          <w:tcPr>
            <w:tcW w:w="4529" w:type="dxa"/>
            <w:tcBorders>
              <w:bottom w:val="single" w:sz="4" w:space="0" w:color="auto"/>
            </w:tcBorders>
          </w:tcPr>
          <w:p w:rsidR="0096613A" w:rsidRDefault="0096613A" w:rsidP="004974CF">
            <w:pPr>
              <w:jc w:val="both"/>
              <w:rPr>
                <w:rFonts w:cstheme="minorHAnsi"/>
                <w:b/>
                <w:sz w:val="24"/>
                <w:szCs w:val="24"/>
              </w:rPr>
            </w:pPr>
            <w:r w:rsidRPr="00937032">
              <w:rPr>
                <w:noProof/>
                <w:lang w:eastAsia="fr-FR"/>
              </w:rPr>
              <w:drawing>
                <wp:inline distT="0" distB="0" distL="0" distR="0" wp14:anchorId="41905CD2" wp14:editId="5A45C53F">
                  <wp:extent cx="2781300" cy="2238375"/>
                  <wp:effectExtent l="0" t="0" r="0" b="0"/>
                  <wp:docPr id="13"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96613A" w:rsidTr="00DD2697">
        <w:trPr>
          <w:trHeight w:val="204"/>
        </w:trPr>
        <w:tc>
          <w:tcPr>
            <w:tcW w:w="4507" w:type="dxa"/>
            <w:tcBorders>
              <w:left w:val="nil"/>
              <w:right w:val="nil"/>
            </w:tcBorders>
          </w:tcPr>
          <w:p w:rsidR="0096613A" w:rsidRPr="009A54F6" w:rsidRDefault="009919D8" w:rsidP="004974CF">
            <w:pPr>
              <w:rPr>
                <w:rFonts w:cstheme="minorHAnsi"/>
                <w:b/>
                <w:sz w:val="20"/>
                <w:szCs w:val="20"/>
              </w:rPr>
            </w:pPr>
            <w:r>
              <w:rPr>
                <w:rFonts w:cstheme="minorHAnsi"/>
                <w:b/>
                <w:sz w:val="20"/>
                <w:szCs w:val="20"/>
              </w:rPr>
              <w:t>Figure 4a</w:t>
            </w:r>
            <w:r w:rsidR="0096613A" w:rsidRPr="00825475">
              <w:rPr>
                <w:rFonts w:cstheme="minorHAnsi"/>
                <w:b/>
                <w:sz w:val="20"/>
                <w:szCs w:val="20"/>
              </w:rPr>
              <w:t> : Taux de mortalité infantile (/1000</w:t>
            </w:r>
            <w:r w:rsidR="0096613A">
              <w:rPr>
                <w:rFonts w:cstheme="minorHAnsi"/>
                <w:b/>
                <w:sz w:val="20"/>
                <w:szCs w:val="20"/>
              </w:rPr>
              <w:t>)</w:t>
            </w:r>
          </w:p>
        </w:tc>
        <w:tc>
          <w:tcPr>
            <w:tcW w:w="252" w:type="dxa"/>
            <w:tcBorders>
              <w:top w:val="nil"/>
              <w:left w:val="nil"/>
              <w:bottom w:val="nil"/>
              <w:right w:val="nil"/>
            </w:tcBorders>
          </w:tcPr>
          <w:p w:rsidR="0096613A" w:rsidRDefault="0096613A" w:rsidP="004974CF">
            <w:pPr>
              <w:jc w:val="both"/>
              <w:rPr>
                <w:rFonts w:cstheme="minorHAnsi"/>
                <w:b/>
                <w:sz w:val="24"/>
                <w:szCs w:val="24"/>
              </w:rPr>
            </w:pPr>
          </w:p>
        </w:tc>
        <w:tc>
          <w:tcPr>
            <w:tcW w:w="4529" w:type="dxa"/>
            <w:tcBorders>
              <w:left w:val="nil"/>
              <w:bottom w:val="single" w:sz="4" w:space="0" w:color="auto"/>
              <w:right w:val="nil"/>
            </w:tcBorders>
          </w:tcPr>
          <w:p w:rsidR="0096613A" w:rsidRDefault="009919D8" w:rsidP="004974CF">
            <w:pPr>
              <w:jc w:val="both"/>
              <w:rPr>
                <w:rFonts w:cstheme="minorHAnsi"/>
                <w:b/>
                <w:sz w:val="24"/>
                <w:szCs w:val="24"/>
              </w:rPr>
            </w:pPr>
            <w:r>
              <w:rPr>
                <w:b/>
                <w:sz w:val="20"/>
                <w:szCs w:val="20"/>
              </w:rPr>
              <w:t>Figure 4b</w:t>
            </w:r>
            <w:r w:rsidR="0096613A" w:rsidRPr="00825475">
              <w:rPr>
                <w:b/>
                <w:sz w:val="20"/>
                <w:szCs w:val="20"/>
              </w:rPr>
              <w:t xml:space="preserve"> : Taux de mortalité juvénile  </w:t>
            </w:r>
          </w:p>
        </w:tc>
      </w:tr>
      <w:tr w:rsidR="00B6709D" w:rsidTr="00DD2697">
        <w:tc>
          <w:tcPr>
            <w:tcW w:w="4507" w:type="dxa"/>
            <w:tcBorders>
              <w:bottom w:val="single" w:sz="4" w:space="0" w:color="auto"/>
            </w:tcBorders>
          </w:tcPr>
          <w:p w:rsidR="00B6709D" w:rsidRPr="00825475" w:rsidRDefault="00B6709D" w:rsidP="004974CF">
            <w:pPr>
              <w:spacing w:line="360" w:lineRule="auto"/>
              <w:jc w:val="both"/>
              <w:rPr>
                <w:noProof/>
                <w:lang w:eastAsia="fr-FR"/>
              </w:rPr>
            </w:pPr>
            <w:r w:rsidRPr="003322DB">
              <w:rPr>
                <w:noProof/>
                <w:lang w:eastAsia="fr-FR"/>
              </w:rPr>
              <w:drawing>
                <wp:inline distT="0" distB="0" distL="0" distR="0" wp14:anchorId="2D5E574E" wp14:editId="174810A6">
                  <wp:extent cx="2790825" cy="2043485"/>
                  <wp:effectExtent l="0" t="0" r="0" b="0"/>
                  <wp:docPr id="14"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252" w:type="dxa"/>
            <w:tcBorders>
              <w:top w:val="nil"/>
              <w:bottom w:val="nil"/>
              <w:right w:val="single" w:sz="4" w:space="0" w:color="auto"/>
            </w:tcBorders>
          </w:tcPr>
          <w:p w:rsidR="00B6709D" w:rsidRDefault="00B6709D" w:rsidP="004974CF">
            <w:pPr>
              <w:spacing w:line="360" w:lineRule="auto"/>
              <w:jc w:val="both"/>
              <w:rPr>
                <w:rFonts w:cstheme="minorHAnsi"/>
                <w:b/>
                <w:sz w:val="24"/>
                <w:szCs w:val="24"/>
              </w:rPr>
            </w:pPr>
          </w:p>
        </w:tc>
        <w:tc>
          <w:tcPr>
            <w:tcW w:w="4529" w:type="dxa"/>
            <w:tcBorders>
              <w:top w:val="single" w:sz="4" w:space="0" w:color="auto"/>
              <w:left w:val="single" w:sz="4" w:space="0" w:color="auto"/>
              <w:bottom w:val="single" w:sz="4" w:space="0" w:color="auto"/>
              <w:right w:val="single" w:sz="4" w:space="0" w:color="auto"/>
            </w:tcBorders>
          </w:tcPr>
          <w:p w:rsidR="00B6709D" w:rsidRPr="009919D8" w:rsidRDefault="00DD2697" w:rsidP="00634C71">
            <w:pPr>
              <w:autoSpaceDE w:val="0"/>
              <w:autoSpaceDN w:val="0"/>
              <w:adjustRightInd w:val="0"/>
              <w:jc w:val="both"/>
              <w:rPr>
                <w:rFonts w:cs="MS Shell Dlg 2"/>
                <w:sz w:val="24"/>
                <w:szCs w:val="24"/>
              </w:rPr>
            </w:pPr>
            <w:r w:rsidRPr="001A6057">
              <w:rPr>
                <w:color w:val="000000"/>
                <w:sz w:val="24"/>
                <w:szCs w:val="24"/>
              </w:rPr>
              <w:object w:dxaOrig="6880" w:dyaOrig="5160">
                <v:shape id="_x0000_i1026" type="#_x0000_t75" style="width:204.75pt;height:153pt" o:ole="">
                  <v:imagedata r:id="rId17" o:title=""/>
                </v:shape>
                <o:OLEObject Type="Embed" ProgID="PowerPoint.Slide.12" ShapeID="_x0000_i1026" DrawAspect="Content" ObjectID="_1599457028" r:id="rId18"/>
              </w:object>
            </w:r>
          </w:p>
        </w:tc>
      </w:tr>
      <w:tr w:rsidR="00B6709D" w:rsidTr="00DD2697">
        <w:tc>
          <w:tcPr>
            <w:tcW w:w="4507" w:type="dxa"/>
            <w:tcBorders>
              <w:left w:val="nil"/>
              <w:bottom w:val="nil"/>
              <w:right w:val="nil"/>
            </w:tcBorders>
          </w:tcPr>
          <w:p w:rsidR="00B6709D" w:rsidRDefault="00B6709D" w:rsidP="004974CF">
            <w:pPr>
              <w:jc w:val="both"/>
              <w:rPr>
                <w:b/>
                <w:sz w:val="20"/>
                <w:szCs w:val="20"/>
              </w:rPr>
            </w:pPr>
            <w:r>
              <w:rPr>
                <w:rFonts w:cstheme="minorHAnsi"/>
                <w:b/>
                <w:sz w:val="20"/>
                <w:szCs w:val="20"/>
              </w:rPr>
              <w:t>Figure 4c</w:t>
            </w:r>
            <w:r w:rsidRPr="00825475">
              <w:rPr>
                <w:rFonts w:cstheme="minorHAnsi"/>
                <w:b/>
                <w:sz w:val="20"/>
                <w:szCs w:val="20"/>
              </w:rPr>
              <w:t> </w:t>
            </w:r>
            <w:r>
              <w:rPr>
                <w:rFonts w:cstheme="minorHAnsi"/>
                <w:b/>
                <w:sz w:val="20"/>
                <w:szCs w:val="20"/>
              </w:rPr>
              <w:t xml:space="preserve">: Taux de mortalité des </w:t>
            </w:r>
            <w:r w:rsidRPr="00D217E9">
              <w:rPr>
                <w:rFonts w:ascii="Arial" w:hAnsi="Arial" w:cs="Arial"/>
                <w:b/>
                <w:sz w:val="20"/>
                <w:szCs w:val="20"/>
              </w:rPr>
              <w:t>&lt;</w:t>
            </w:r>
            <w:r>
              <w:rPr>
                <w:rFonts w:ascii="MS Shell Dlg 2" w:hAnsi="MS Shell Dlg 2" w:cs="MS Shell Dlg 2"/>
                <w:sz w:val="17"/>
                <w:szCs w:val="17"/>
              </w:rPr>
              <w:t xml:space="preserve"> </w:t>
            </w:r>
            <w:r w:rsidRPr="00825475">
              <w:rPr>
                <w:rFonts w:cstheme="minorHAnsi"/>
                <w:b/>
                <w:sz w:val="20"/>
                <w:szCs w:val="20"/>
              </w:rPr>
              <w:t>5 ans (/1000)</w:t>
            </w:r>
          </w:p>
        </w:tc>
        <w:tc>
          <w:tcPr>
            <w:tcW w:w="252" w:type="dxa"/>
            <w:tcBorders>
              <w:top w:val="nil"/>
              <w:left w:val="nil"/>
              <w:bottom w:val="nil"/>
              <w:right w:val="nil"/>
            </w:tcBorders>
          </w:tcPr>
          <w:p w:rsidR="00B6709D" w:rsidRDefault="00B6709D" w:rsidP="004974CF">
            <w:pPr>
              <w:jc w:val="both"/>
              <w:rPr>
                <w:rFonts w:cstheme="minorHAnsi"/>
                <w:b/>
                <w:sz w:val="24"/>
                <w:szCs w:val="24"/>
              </w:rPr>
            </w:pPr>
          </w:p>
        </w:tc>
        <w:tc>
          <w:tcPr>
            <w:tcW w:w="4529" w:type="dxa"/>
            <w:tcBorders>
              <w:top w:val="single" w:sz="4" w:space="0" w:color="auto"/>
              <w:left w:val="nil"/>
              <w:bottom w:val="nil"/>
              <w:right w:val="nil"/>
            </w:tcBorders>
          </w:tcPr>
          <w:p w:rsidR="00B6709D" w:rsidRPr="00DD2697" w:rsidRDefault="00DD2697" w:rsidP="004974CF">
            <w:pPr>
              <w:jc w:val="both"/>
              <w:rPr>
                <w:b/>
                <w:noProof/>
                <w:sz w:val="18"/>
                <w:szCs w:val="18"/>
                <w:lang w:eastAsia="fr-FR"/>
              </w:rPr>
            </w:pPr>
            <w:r w:rsidRPr="00DD2697">
              <w:rPr>
                <w:b/>
                <w:noProof/>
                <w:sz w:val="18"/>
                <w:szCs w:val="18"/>
                <w:lang w:eastAsia="fr-FR"/>
              </w:rPr>
              <w:t>Figure 4d : Santé des enfan</w:t>
            </w:r>
            <w:r>
              <w:rPr>
                <w:b/>
                <w:noProof/>
                <w:sz w:val="18"/>
                <w:szCs w:val="18"/>
                <w:lang w:eastAsia="fr-FR"/>
              </w:rPr>
              <w:t>ts, performance des régions</w:t>
            </w:r>
          </w:p>
        </w:tc>
      </w:tr>
    </w:tbl>
    <w:p w:rsidR="001914FF" w:rsidRDefault="001914FF" w:rsidP="004974CF">
      <w:pPr>
        <w:spacing w:after="0" w:line="360" w:lineRule="auto"/>
        <w:jc w:val="both"/>
        <w:rPr>
          <w:rFonts w:eastAsia="Times New Roman" w:cs="Arial"/>
          <w:sz w:val="23"/>
          <w:szCs w:val="23"/>
        </w:rPr>
      </w:pPr>
    </w:p>
    <w:p w:rsidR="004974CF" w:rsidRPr="00DD2697" w:rsidRDefault="00B6709D" w:rsidP="004974CF">
      <w:pPr>
        <w:spacing w:after="0" w:line="360" w:lineRule="auto"/>
        <w:jc w:val="both"/>
        <w:rPr>
          <w:rFonts w:cstheme="minorHAnsi"/>
          <w:iCs/>
          <w:color w:val="000000"/>
          <w:sz w:val="24"/>
          <w:szCs w:val="24"/>
        </w:rPr>
      </w:pPr>
      <w:r w:rsidRPr="00DD2697">
        <w:rPr>
          <w:rFonts w:cstheme="minorHAnsi"/>
          <w:sz w:val="24"/>
          <w:szCs w:val="24"/>
        </w:rPr>
        <w:lastRenderedPageBreak/>
        <w:t>De 1999 à 2015, le taux de mortalité infantile est passé de 105 à 43</w:t>
      </w:r>
      <w:r w:rsidRPr="00DD2697">
        <w:rPr>
          <w:rFonts w:cstheme="minorHAnsi"/>
          <w:iCs/>
          <w:color w:val="000000"/>
          <w:sz w:val="24"/>
          <w:szCs w:val="24"/>
        </w:rPr>
        <w:t>‰</w:t>
      </w:r>
      <w:r w:rsidRPr="00DD2697">
        <w:rPr>
          <w:rFonts w:cstheme="minorHAnsi"/>
          <w:sz w:val="24"/>
          <w:szCs w:val="24"/>
        </w:rPr>
        <w:t>, le taux de mortalité juvénile de 127 à 41</w:t>
      </w:r>
      <w:r w:rsidRPr="00DD2697">
        <w:rPr>
          <w:rFonts w:cstheme="minorHAnsi"/>
          <w:iCs/>
          <w:color w:val="000000"/>
          <w:sz w:val="24"/>
          <w:szCs w:val="24"/>
        </w:rPr>
        <w:t>‰</w:t>
      </w:r>
      <w:r w:rsidRPr="00DD2697">
        <w:rPr>
          <w:rFonts w:cstheme="minorHAnsi"/>
          <w:sz w:val="24"/>
          <w:szCs w:val="24"/>
        </w:rPr>
        <w:t xml:space="preserve"> et celui de la mortalité des </w:t>
      </w:r>
      <w:r w:rsidRPr="00DD2697">
        <w:rPr>
          <w:rFonts w:cs="Arial"/>
          <w:sz w:val="24"/>
          <w:szCs w:val="24"/>
        </w:rPr>
        <w:t>&lt;</w:t>
      </w:r>
      <w:r w:rsidRPr="00DD2697">
        <w:rPr>
          <w:rFonts w:cstheme="minorHAnsi"/>
          <w:sz w:val="24"/>
          <w:szCs w:val="24"/>
        </w:rPr>
        <w:t xml:space="preserve"> 5 ans de 219 à 82</w:t>
      </w:r>
      <w:r w:rsidRPr="00DD2697">
        <w:rPr>
          <w:rFonts w:cstheme="minorHAnsi"/>
          <w:iCs/>
          <w:color w:val="000000"/>
          <w:sz w:val="24"/>
          <w:szCs w:val="24"/>
        </w:rPr>
        <w:t>‰</w:t>
      </w:r>
      <w:r w:rsidRPr="00DD2697">
        <w:rPr>
          <w:rFonts w:cstheme="minorHAnsi"/>
          <w:sz w:val="24"/>
          <w:szCs w:val="24"/>
        </w:rPr>
        <w:t xml:space="preserve">. La réduction des taux de mortalité a une allure linéaire avec </w:t>
      </w:r>
      <w:r w:rsidRPr="00DD2697">
        <w:rPr>
          <w:rFonts w:cstheme="minorHAnsi"/>
          <w:color w:val="000000"/>
          <w:sz w:val="24"/>
          <w:szCs w:val="24"/>
        </w:rPr>
        <w:t xml:space="preserve">67,9 % pour </w:t>
      </w:r>
      <w:r w:rsidRPr="00DD2697">
        <w:rPr>
          <w:rFonts w:cstheme="minorHAnsi"/>
          <w:sz w:val="24"/>
          <w:szCs w:val="24"/>
        </w:rPr>
        <w:t xml:space="preserve">le </w:t>
      </w:r>
      <w:r w:rsidRPr="00DD2697">
        <w:rPr>
          <w:rFonts w:cstheme="minorHAnsi"/>
          <w:color w:val="000000"/>
          <w:sz w:val="24"/>
          <w:szCs w:val="24"/>
        </w:rPr>
        <w:t xml:space="preserve">Taux de Mortalité juvénile, </w:t>
      </w:r>
      <w:r w:rsidRPr="00DD2697">
        <w:rPr>
          <w:rFonts w:cstheme="minorHAnsi"/>
          <w:sz w:val="24"/>
          <w:szCs w:val="24"/>
        </w:rPr>
        <w:t xml:space="preserve">62,7 % pour </w:t>
      </w:r>
      <w:r w:rsidRPr="00DD2697">
        <w:rPr>
          <w:rFonts w:cstheme="minorHAnsi"/>
          <w:color w:val="000000"/>
          <w:sz w:val="24"/>
          <w:szCs w:val="24"/>
        </w:rPr>
        <w:t xml:space="preserve">le </w:t>
      </w:r>
      <w:r w:rsidRPr="00DD2697">
        <w:rPr>
          <w:rFonts w:cstheme="minorHAnsi"/>
          <w:iCs/>
          <w:color w:val="000000"/>
          <w:sz w:val="24"/>
          <w:szCs w:val="24"/>
        </w:rPr>
        <w:t xml:space="preserve">Taux de mortalité </w:t>
      </w:r>
      <w:r w:rsidRPr="00DD2697">
        <w:rPr>
          <w:rFonts w:cstheme="minorHAnsi"/>
          <w:sz w:val="24"/>
          <w:szCs w:val="24"/>
        </w:rPr>
        <w:t xml:space="preserve">des </w:t>
      </w:r>
      <w:r w:rsidRPr="00DD2697">
        <w:rPr>
          <w:rFonts w:cs="Arial"/>
          <w:sz w:val="24"/>
          <w:szCs w:val="24"/>
        </w:rPr>
        <w:t>&lt;</w:t>
      </w:r>
      <w:r w:rsidRPr="00DD2697">
        <w:rPr>
          <w:rFonts w:cstheme="minorHAnsi"/>
          <w:sz w:val="24"/>
          <w:szCs w:val="24"/>
        </w:rPr>
        <w:t xml:space="preserve"> 5 ans et </w:t>
      </w:r>
      <w:r w:rsidRPr="00DD2697">
        <w:rPr>
          <w:rFonts w:cstheme="minorHAnsi"/>
          <w:iCs/>
          <w:color w:val="000000"/>
          <w:sz w:val="24"/>
          <w:szCs w:val="24"/>
        </w:rPr>
        <w:t xml:space="preserve">59,4%) pour </w:t>
      </w:r>
      <w:r w:rsidRPr="00DD2697">
        <w:rPr>
          <w:rFonts w:cstheme="minorHAnsi"/>
          <w:sz w:val="24"/>
          <w:szCs w:val="24"/>
        </w:rPr>
        <w:t xml:space="preserve">le </w:t>
      </w:r>
      <w:r w:rsidRPr="00DD2697">
        <w:rPr>
          <w:rFonts w:cstheme="minorHAnsi"/>
          <w:iCs/>
          <w:color w:val="000000"/>
          <w:sz w:val="24"/>
          <w:szCs w:val="24"/>
        </w:rPr>
        <w:t>Taux de mortalité infantile. Cependant la progression est insuffisante pour atteindre la cible (2015) du PNDS 2011-20, ou celle des OMD ou de la SCADD</w:t>
      </w:r>
      <w:r w:rsidR="003C55D0">
        <w:rPr>
          <w:rFonts w:cstheme="minorHAnsi"/>
          <w:iCs/>
          <w:color w:val="000000"/>
          <w:sz w:val="24"/>
          <w:szCs w:val="24"/>
        </w:rPr>
        <w:t xml:space="preserve"> </w:t>
      </w:r>
      <w:r w:rsidR="003C55D0" w:rsidRPr="003C55D0">
        <w:rPr>
          <w:rFonts w:cstheme="minorHAnsi"/>
          <w:i/>
          <w:iCs/>
          <w:color w:val="000000"/>
          <w:sz w:val="20"/>
          <w:szCs w:val="20"/>
        </w:rPr>
        <w:t>(EDS 1998-99, EDS 2003, EDS 2010, EMDS 2015)</w:t>
      </w:r>
      <w:r w:rsidRPr="003C55D0">
        <w:rPr>
          <w:rFonts w:cstheme="minorHAnsi"/>
          <w:i/>
          <w:iCs/>
          <w:color w:val="000000"/>
          <w:sz w:val="20"/>
          <w:szCs w:val="20"/>
        </w:rPr>
        <w:t>.</w:t>
      </w:r>
    </w:p>
    <w:p w:rsidR="00DD2697" w:rsidRDefault="00DD2697" w:rsidP="00DD2697">
      <w:pPr>
        <w:pStyle w:val="T2"/>
        <w:spacing w:line="360" w:lineRule="auto"/>
        <w:ind w:firstLine="0"/>
        <w:jc w:val="both"/>
        <w:rPr>
          <w:rFonts w:asciiTheme="minorHAnsi" w:hAnsiTheme="minorHAnsi"/>
          <w:b w:val="0"/>
          <w:i w:val="0"/>
          <w:sz w:val="24"/>
          <w:szCs w:val="24"/>
        </w:rPr>
      </w:pPr>
      <w:r w:rsidRPr="00DD2697">
        <w:rPr>
          <w:rFonts w:asciiTheme="minorHAnsi" w:hAnsiTheme="minorHAnsi" w:cstheme="minorHAnsi"/>
          <w:b w:val="0"/>
          <w:i w:val="0"/>
          <w:iCs/>
          <w:color w:val="000000"/>
          <w:sz w:val="24"/>
          <w:szCs w:val="24"/>
        </w:rPr>
        <w:t xml:space="preserve">En 2015, </w:t>
      </w:r>
      <w:r w:rsidRPr="00DD2697">
        <w:rPr>
          <w:rFonts w:asciiTheme="minorHAnsi" w:hAnsiTheme="minorHAnsi"/>
          <w:b w:val="0"/>
          <w:i w:val="0"/>
          <w:sz w:val="24"/>
          <w:szCs w:val="24"/>
        </w:rPr>
        <w:t>sept régions affichaient une performance insuffisante : Centre-nord, Nord, Centre-ouest, Centre-sud, Boucle du Mouhoun, Sud-ouest et Cascades</w:t>
      </w:r>
      <w:r w:rsidR="003C55D0">
        <w:rPr>
          <w:rStyle w:val="Appelnotedebasdep"/>
          <w:rFonts w:asciiTheme="minorHAnsi" w:hAnsiTheme="minorHAnsi"/>
          <w:b w:val="0"/>
          <w:i w:val="0"/>
          <w:sz w:val="24"/>
          <w:szCs w:val="24"/>
        </w:rPr>
        <w:footnoteReference w:id="10"/>
      </w:r>
      <w:r w:rsidRPr="00DD2697">
        <w:rPr>
          <w:rFonts w:asciiTheme="minorHAnsi" w:hAnsiTheme="minorHAnsi"/>
          <w:b w:val="0"/>
          <w:i w:val="0"/>
          <w:sz w:val="24"/>
          <w:szCs w:val="24"/>
        </w:rPr>
        <w:t>.</w:t>
      </w:r>
    </w:p>
    <w:p w:rsidR="003C55D0" w:rsidRDefault="003C55D0" w:rsidP="003C55D0">
      <w:pPr>
        <w:pStyle w:val="T2"/>
        <w:spacing w:line="360" w:lineRule="auto"/>
        <w:ind w:firstLine="0"/>
        <w:jc w:val="both"/>
        <w:rPr>
          <w:rFonts w:asciiTheme="minorHAnsi" w:eastAsia="Calibri" w:hAnsiTheme="minorHAnsi" w:cs="Gisha"/>
          <w:b w:val="0"/>
          <w:i w:val="0"/>
          <w:sz w:val="24"/>
          <w:szCs w:val="24"/>
        </w:rPr>
      </w:pPr>
      <w:r w:rsidRPr="003C55D0">
        <w:rPr>
          <w:rFonts w:asciiTheme="minorHAnsi" w:eastAsia="Calibri" w:hAnsiTheme="minorHAnsi" w:cs="Gisha"/>
          <w:b w:val="0"/>
          <w:i w:val="0"/>
          <w:sz w:val="24"/>
          <w:szCs w:val="24"/>
        </w:rPr>
        <w:t>Les risques de mortalité infanto-juvénile s’avèrent plus de deux fois plus importants parmi les enfants des ménages les plus pauvres (95‰) comparés à ceux des ménages les plus riches (45‰) et 3.4 fois plus importants dans la région du Sahel qui est la défavorisée en matière de survie de l’enfant (132‰) comparée à la région du Centre (39‰)</w:t>
      </w:r>
    </w:p>
    <w:p w:rsidR="00F26721" w:rsidRPr="00B72473" w:rsidRDefault="00F26721" w:rsidP="00F26721">
      <w:pPr>
        <w:autoSpaceDE w:val="0"/>
        <w:autoSpaceDN w:val="0"/>
        <w:adjustRightInd w:val="0"/>
        <w:spacing w:after="180" w:line="360" w:lineRule="auto"/>
        <w:jc w:val="both"/>
        <w:rPr>
          <w:bCs/>
          <w:sz w:val="23"/>
          <w:szCs w:val="23"/>
        </w:rPr>
      </w:pPr>
      <w:r w:rsidRPr="00B72473">
        <w:rPr>
          <w:sz w:val="23"/>
          <w:szCs w:val="23"/>
        </w:rPr>
        <w:t>Les disparités en termes de morbidité et de mortalité expriment à la fois l’ampleur des inégalités sociales qui constituent le reflet de la faible efficacité de la politique de redistribution des fruits de la croissance économique, et partant, des iniquités dans la mise en œuvre des politiques publiques de santé. Pourtant, le</w:t>
      </w:r>
      <w:r w:rsidRPr="00B72473">
        <w:rPr>
          <w:bCs/>
          <w:sz w:val="23"/>
          <w:szCs w:val="23"/>
        </w:rPr>
        <w:t xml:space="preserve"> droit à la santé est un droit inclusif qui dépasse le cadre des soins de santé. Il intègre les principaux déterminants que sont : (i)l’approvisionnement en eau potable et l’assainissement ; (ii) l’alimentation saine ; (iii) l’alimentation suffisante et un logement décent ; (iv) des conditions de travail et environnementales saines ; (v) l’éducation à la santé et la diffusion d’informations ; et (vi) l’égalité entre les sexes.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6"/>
      </w:tblGrid>
      <w:tr w:rsidR="00F26721" w:rsidRPr="00B72473" w:rsidTr="00CD3352">
        <w:trPr>
          <w:trHeight w:val="4054"/>
        </w:trPr>
        <w:tc>
          <w:tcPr>
            <w:tcW w:w="4536" w:type="dxa"/>
          </w:tcPr>
          <w:p w:rsidR="00F26721" w:rsidRPr="00B72473" w:rsidRDefault="00F26721" w:rsidP="00CD3352">
            <w:pPr>
              <w:autoSpaceDE w:val="0"/>
              <w:autoSpaceDN w:val="0"/>
              <w:adjustRightInd w:val="0"/>
              <w:spacing w:after="240" w:line="264" w:lineRule="auto"/>
              <w:jc w:val="both"/>
            </w:pPr>
            <w:r w:rsidRPr="00B72473">
              <w:rPr>
                <w:noProof/>
                <w:lang w:eastAsia="fr-FR"/>
              </w:rPr>
              <w:drawing>
                <wp:anchor distT="0" distB="0" distL="114300" distR="114300" simplePos="0" relativeHeight="251698176" behindDoc="0" locked="0" layoutInCell="1" allowOverlap="1" wp14:anchorId="55E82EED" wp14:editId="475D0B9F">
                  <wp:simplePos x="0" y="0"/>
                  <wp:positionH relativeFrom="column">
                    <wp:posOffset>-77372</wp:posOffset>
                  </wp:positionH>
                  <wp:positionV relativeFrom="paragraph">
                    <wp:posOffset>-6448</wp:posOffset>
                  </wp:positionV>
                  <wp:extent cx="2858770" cy="2470639"/>
                  <wp:effectExtent l="0" t="0" r="17780" b="6350"/>
                  <wp:wrapNone/>
                  <wp:docPr id="226" name="Chart 245"/>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rsidR="00F26721" w:rsidRPr="00B72473" w:rsidRDefault="00F26721" w:rsidP="00CD3352">
            <w:pPr>
              <w:autoSpaceDE w:val="0"/>
              <w:autoSpaceDN w:val="0"/>
              <w:adjustRightInd w:val="0"/>
              <w:spacing w:after="240" w:line="264" w:lineRule="auto"/>
              <w:jc w:val="both"/>
            </w:pPr>
          </w:p>
          <w:p w:rsidR="00F26721" w:rsidRPr="00B72473" w:rsidRDefault="00F26721" w:rsidP="00CD3352">
            <w:pPr>
              <w:autoSpaceDE w:val="0"/>
              <w:autoSpaceDN w:val="0"/>
              <w:adjustRightInd w:val="0"/>
              <w:spacing w:after="240" w:line="264" w:lineRule="auto"/>
              <w:jc w:val="both"/>
            </w:pPr>
          </w:p>
          <w:p w:rsidR="00F26721" w:rsidRPr="00B72473" w:rsidRDefault="00F26721" w:rsidP="00CD3352">
            <w:pPr>
              <w:autoSpaceDE w:val="0"/>
              <w:autoSpaceDN w:val="0"/>
              <w:adjustRightInd w:val="0"/>
              <w:spacing w:after="240" w:line="264" w:lineRule="auto"/>
              <w:jc w:val="both"/>
            </w:pPr>
          </w:p>
          <w:p w:rsidR="00F26721" w:rsidRPr="00B72473" w:rsidRDefault="00F26721" w:rsidP="00CD3352">
            <w:pPr>
              <w:autoSpaceDE w:val="0"/>
              <w:autoSpaceDN w:val="0"/>
              <w:adjustRightInd w:val="0"/>
              <w:spacing w:after="240" w:line="264" w:lineRule="auto"/>
              <w:jc w:val="both"/>
            </w:pPr>
          </w:p>
          <w:p w:rsidR="00F26721" w:rsidRPr="00B72473" w:rsidRDefault="00F26721" w:rsidP="00CD3352">
            <w:pPr>
              <w:autoSpaceDE w:val="0"/>
              <w:autoSpaceDN w:val="0"/>
              <w:adjustRightInd w:val="0"/>
              <w:spacing w:after="240" w:line="264" w:lineRule="auto"/>
              <w:jc w:val="both"/>
            </w:pPr>
          </w:p>
        </w:tc>
        <w:tc>
          <w:tcPr>
            <w:tcW w:w="4536" w:type="dxa"/>
          </w:tcPr>
          <w:p w:rsidR="00F26721" w:rsidRPr="00B72473" w:rsidRDefault="00F26721" w:rsidP="00CD3352">
            <w:pPr>
              <w:autoSpaceDE w:val="0"/>
              <w:autoSpaceDN w:val="0"/>
              <w:adjustRightInd w:val="0"/>
              <w:spacing w:after="240" w:line="264" w:lineRule="auto"/>
              <w:jc w:val="both"/>
            </w:pPr>
            <w:r w:rsidRPr="00B72473">
              <w:rPr>
                <w:noProof/>
                <w:lang w:eastAsia="fr-FR"/>
              </w:rPr>
              <w:drawing>
                <wp:anchor distT="0" distB="0" distL="114300" distR="114300" simplePos="0" relativeHeight="251699200" behindDoc="0" locked="0" layoutInCell="1" allowOverlap="1" wp14:anchorId="57939E37" wp14:editId="55297A72">
                  <wp:simplePos x="0" y="0"/>
                  <wp:positionH relativeFrom="column">
                    <wp:posOffset>-63353</wp:posOffset>
                  </wp:positionH>
                  <wp:positionV relativeFrom="paragraph">
                    <wp:posOffset>-15241</wp:posOffset>
                  </wp:positionV>
                  <wp:extent cx="2907665" cy="2426677"/>
                  <wp:effectExtent l="0" t="0" r="6985" b="12065"/>
                  <wp:wrapNone/>
                  <wp:docPr id="231" name="Chart 24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p>
          <w:p w:rsidR="00F26721" w:rsidRPr="00B72473" w:rsidRDefault="00F26721" w:rsidP="00CD3352">
            <w:pPr>
              <w:autoSpaceDE w:val="0"/>
              <w:autoSpaceDN w:val="0"/>
              <w:adjustRightInd w:val="0"/>
              <w:spacing w:after="240" w:line="264" w:lineRule="auto"/>
              <w:jc w:val="both"/>
            </w:pPr>
          </w:p>
        </w:tc>
      </w:tr>
    </w:tbl>
    <w:p w:rsidR="00F26721" w:rsidRDefault="00F26721" w:rsidP="00F26721">
      <w:pPr>
        <w:autoSpaceDE w:val="0"/>
        <w:autoSpaceDN w:val="0"/>
        <w:adjustRightInd w:val="0"/>
        <w:jc w:val="both"/>
        <w:rPr>
          <w:b/>
          <w:sz w:val="23"/>
          <w:szCs w:val="23"/>
        </w:rPr>
      </w:pPr>
    </w:p>
    <w:p w:rsidR="00F26721" w:rsidRPr="00F26721" w:rsidRDefault="00F26721" w:rsidP="00F26721">
      <w:pPr>
        <w:autoSpaceDE w:val="0"/>
        <w:autoSpaceDN w:val="0"/>
        <w:adjustRightInd w:val="0"/>
        <w:spacing w:after="180" w:line="360" w:lineRule="auto"/>
        <w:jc w:val="both"/>
        <w:rPr>
          <w:b/>
          <w:sz w:val="23"/>
          <w:szCs w:val="23"/>
        </w:rPr>
      </w:pPr>
      <w:r w:rsidRPr="00FC6CA2">
        <w:rPr>
          <w:b/>
          <w:sz w:val="23"/>
          <w:szCs w:val="23"/>
        </w:rPr>
        <w:t xml:space="preserve">Graphique </w:t>
      </w:r>
      <w:r w:rsidRPr="00FC6CA2">
        <w:rPr>
          <w:rFonts w:eastAsia="Times New Roman"/>
          <w:b/>
          <w:sz w:val="23"/>
          <w:szCs w:val="23"/>
        </w:rPr>
        <w:t>n°</w:t>
      </w:r>
      <w:r w:rsidRPr="00FC6CA2">
        <w:rPr>
          <w:b/>
          <w:sz w:val="23"/>
          <w:szCs w:val="23"/>
        </w:rPr>
        <w:t xml:space="preserve">13   : </w:t>
      </w:r>
      <w:r w:rsidRPr="00FC6CA2">
        <w:rPr>
          <w:b/>
          <w:bCs/>
          <w:sz w:val="23"/>
          <w:szCs w:val="23"/>
        </w:rPr>
        <w:t xml:space="preserve">Disparités en matière de mortalité et principales raisons de non utilisation des services </w:t>
      </w:r>
    </w:p>
    <w:p w:rsidR="00DD2697" w:rsidRDefault="00AE065C" w:rsidP="002E239B">
      <w:pPr>
        <w:pStyle w:val="Paragraphedeliste"/>
        <w:numPr>
          <w:ilvl w:val="2"/>
          <w:numId w:val="3"/>
        </w:numPr>
        <w:spacing w:after="0" w:line="360" w:lineRule="auto"/>
        <w:jc w:val="both"/>
        <w:rPr>
          <w:rFonts w:eastAsia="Times New Roman" w:cs="Arial"/>
          <w:sz w:val="23"/>
          <w:szCs w:val="23"/>
        </w:rPr>
      </w:pPr>
      <w:r>
        <w:rPr>
          <w:rFonts w:eastAsia="Times New Roman" w:cs="Arial"/>
          <w:sz w:val="23"/>
          <w:szCs w:val="23"/>
        </w:rPr>
        <w:t xml:space="preserve"> </w:t>
      </w:r>
      <w:r w:rsidR="00C95B64">
        <w:rPr>
          <w:rFonts w:eastAsia="Times New Roman" w:cs="Arial"/>
          <w:sz w:val="23"/>
          <w:szCs w:val="23"/>
        </w:rPr>
        <w:t>LA SANTE DES ADOLESCENT(E)S/JEUNES</w:t>
      </w:r>
    </w:p>
    <w:p w:rsidR="00AE065C" w:rsidRPr="00AE065C" w:rsidRDefault="00AE065C" w:rsidP="00AE065C">
      <w:pPr>
        <w:spacing w:after="0" w:line="360" w:lineRule="auto"/>
        <w:jc w:val="both"/>
        <w:rPr>
          <w:rFonts w:eastAsia="Times New Roman" w:cs="Arial"/>
          <w:sz w:val="23"/>
          <w:szCs w:val="23"/>
        </w:rPr>
      </w:pPr>
      <w:r>
        <w:rPr>
          <w:rFonts w:eastAsia="Times New Roman" w:cs="Arial"/>
          <w:sz w:val="23"/>
          <w:szCs w:val="23"/>
        </w:rPr>
        <w:t>Si d’une manière générale, l’état de santé des populations est mal documenté par des enquêtes et ou par des publications récentes, la situation de la santé des adolescents/jeunes est particulièrement mal desservie.</w:t>
      </w:r>
    </w:p>
    <w:tbl>
      <w:tblPr>
        <w:tblStyle w:val="Grilledutableau"/>
        <w:tblW w:w="8954" w:type="dxa"/>
        <w:tblInd w:w="113" w:type="dxa"/>
        <w:tblLook w:val="04A0" w:firstRow="1" w:lastRow="0" w:firstColumn="1" w:lastColumn="0" w:noHBand="0" w:noVBand="1"/>
      </w:tblPr>
      <w:tblGrid>
        <w:gridCol w:w="449"/>
        <w:gridCol w:w="4018"/>
        <w:gridCol w:w="641"/>
        <w:gridCol w:w="641"/>
        <w:gridCol w:w="641"/>
        <w:gridCol w:w="641"/>
        <w:gridCol w:w="641"/>
        <w:gridCol w:w="641"/>
        <w:gridCol w:w="641"/>
      </w:tblGrid>
      <w:tr w:rsidR="00752A84" w:rsidRPr="00752A84" w:rsidTr="00E71C47">
        <w:tc>
          <w:tcPr>
            <w:tcW w:w="8954" w:type="dxa"/>
            <w:gridSpan w:val="9"/>
          </w:tcPr>
          <w:p w:rsidR="00752A84" w:rsidRPr="00752A84" w:rsidRDefault="00752A84" w:rsidP="00752A84">
            <w:pPr>
              <w:spacing w:line="360" w:lineRule="auto"/>
              <w:rPr>
                <w:b/>
              </w:rPr>
            </w:pPr>
            <w:r w:rsidRPr="00752A84">
              <w:rPr>
                <w:b/>
              </w:rPr>
              <w:t>Tableau 1 : Principaux indicateurs de la santé sexuelle et reproductive des adolescents/jeunes</w:t>
            </w:r>
          </w:p>
        </w:tc>
      </w:tr>
      <w:tr w:rsidR="00AE065C" w:rsidRPr="0053492B" w:rsidTr="00576F81">
        <w:tc>
          <w:tcPr>
            <w:tcW w:w="449" w:type="dxa"/>
          </w:tcPr>
          <w:p w:rsidR="00AE065C" w:rsidRPr="0053492B" w:rsidRDefault="00AE065C" w:rsidP="00AE065C">
            <w:pPr>
              <w:rPr>
                <w:sz w:val="20"/>
                <w:szCs w:val="20"/>
              </w:rPr>
            </w:pPr>
          </w:p>
        </w:tc>
        <w:tc>
          <w:tcPr>
            <w:tcW w:w="4018" w:type="dxa"/>
          </w:tcPr>
          <w:p w:rsidR="00AE065C" w:rsidRPr="0053492B" w:rsidRDefault="00AE065C" w:rsidP="00AE065C">
            <w:pPr>
              <w:rPr>
                <w:sz w:val="20"/>
                <w:szCs w:val="20"/>
              </w:rPr>
            </w:pPr>
          </w:p>
        </w:tc>
        <w:tc>
          <w:tcPr>
            <w:tcW w:w="641" w:type="dxa"/>
          </w:tcPr>
          <w:p w:rsidR="00AE065C" w:rsidRPr="0053492B" w:rsidRDefault="00AE065C" w:rsidP="00AE065C">
            <w:pPr>
              <w:rPr>
                <w:sz w:val="20"/>
                <w:szCs w:val="20"/>
              </w:rPr>
            </w:pPr>
            <w:r>
              <w:rPr>
                <w:sz w:val="20"/>
                <w:szCs w:val="20"/>
              </w:rPr>
              <w:t>Age</w:t>
            </w:r>
          </w:p>
        </w:tc>
        <w:tc>
          <w:tcPr>
            <w:tcW w:w="1282" w:type="dxa"/>
            <w:gridSpan w:val="2"/>
          </w:tcPr>
          <w:p w:rsidR="00AE065C" w:rsidRPr="0053492B" w:rsidRDefault="00AE065C" w:rsidP="00AE065C">
            <w:pPr>
              <w:rPr>
                <w:sz w:val="20"/>
                <w:szCs w:val="20"/>
              </w:rPr>
            </w:pPr>
            <w:r w:rsidRPr="0053492B">
              <w:rPr>
                <w:sz w:val="20"/>
                <w:szCs w:val="20"/>
              </w:rPr>
              <w:t>EDS 98-99</w:t>
            </w:r>
            <w:r w:rsidR="00AC4F28">
              <w:rPr>
                <w:rStyle w:val="Appelnotedebasdep"/>
                <w:sz w:val="20"/>
                <w:szCs w:val="20"/>
              </w:rPr>
              <w:footnoteReference w:id="11"/>
            </w:r>
          </w:p>
        </w:tc>
        <w:tc>
          <w:tcPr>
            <w:tcW w:w="1282" w:type="dxa"/>
            <w:gridSpan w:val="2"/>
          </w:tcPr>
          <w:p w:rsidR="00AE065C" w:rsidRPr="0053492B" w:rsidRDefault="00AE065C" w:rsidP="00AE065C">
            <w:pPr>
              <w:rPr>
                <w:sz w:val="20"/>
                <w:szCs w:val="20"/>
              </w:rPr>
            </w:pPr>
            <w:r w:rsidRPr="0053492B">
              <w:rPr>
                <w:sz w:val="20"/>
                <w:szCs w:val="20"/>
              </w:rPr>
              <w:t>EDS 2003</w:t>
            </w:r>
            <w:r w:rsidR="00AC4F28">
              <w:rPr>
                <w:rStyle w:val="Appelnotedebasdep"/>
                <w:sz w:val="20"/>
                <w:szCs w:val="20"/>
              </w:rPr>
              <w:footnoteReference w:id="12"/>
            </w:r>
          </w:p>
        </w:tc>
        <w:tc>
          <w:tcPr>
            <w:tcW w:w="1282" w:type="dxa"/>
            <w:gridSpan w:val="2"/>
          </w:tcPr>
          <w:p w:rsidR="00AE065C" w:rsidRPr="0053492B" w:rsidRDefault="00AE065C" w:rsidP="00AE065C">
            <w:pPr>
              <w:rPr>
                <w:sz w:val="20"/>
                <w:szCs w:val="20"/>
              </w:rPr>
            </w:pPr>
            <w:r w:rsidRPr="0053492B">
              <w:rPr>
                <w:sz w:val="20"/>
                <w:szCs w:val="20"/>
              </w:rPr>
              <w:t>EDS 2010</w:t>
            </w:r>
            <w:r w:rsidR="00AC4F28">
              <w:rPr>
                <w:rStyle w:val="Appelnotedebasdep"/>
                <w:sz w:val="20"/>
                <w:szCs w:val="20"/>
              </w:rPr>
              <w:footnoteReference w:id="13"/>
            </w:r>
          </w:p>
        </w:tc>
      </w:tr>
      <w:tr w:rsidR="00AE065C" w:rsidTr="00576F81">
        <w:tc>
          <w:tcPr>
            <w:tcW w:w="449" w:type="dxa"/>
          </w:tcPr>
          <w:p w:rsidR="00AE065C" w:rsidRDefault="00AE065C" w:rsidP="00AE065C"/>
        </w:tc>
        <w:tc>
          <w:tcPr>
            <w:tcW w:w="4018" w:type="dxa"/>
          </w:tcPr>
          <w:p w:rsidR="00AE065C" w:rsidRDefault="00AE065C" w:rsidP="00AE065C"/>
        </w:tc>
        <w:tc>
          <w:tcPr>
            <w:tcW w:w="641" w:type="dxa"/>
          </w:tcPr>
          <w:p w:rsidR="00AE065C" w:rsidRPr="00AE065C" w:rsidRDefault="00AE065C" w:rsidP="00AE065C">
            <w:pPr>
              <w:rPr>
                <w:sz w:val="16"/>
                <w:szCs w:val="16"/>
              </w:rPr>
            </w:pPr>
          </w:p>
        </w:tc>
        <w:tc>
          <w:tcPr>
            <w:tcW w:w="641" w:type="dxa"/>
          </w:tcPr>
          <w:p w:rsidR="00AE065C" w:rsidRDefault="00AE065C" w:rsidP="00AE065C">
            <w:pPr>
              <w:rPr>
                <w:sz w:val="20"/>
                <w:szCs w:val="20"/>
              </w:rPr>
            </w:pPr>
            <w:r>
              <w:rPr>
                <w:sz w:val="20"/>
                <w:szCs w:val="20"/>
              </w:rPr>
              <w:t>F</w:t>
            </w:r>
          </w:p>
        </w:tc>
        <w:tc>
          <w:tcPr>
            <w:tcW w:w="641" w:type="dxa"/>
          </w:tcPr>
          <w:p w:rsidR="00AE065C" w:rsidRPr="00B4797E" w:rsidRDefault="00AE065C" w:rsidP="00AE065C">
            <w:pPr>
              <w:rPr>
                <w:sz w:val="20"/>
                <w:szCs w:val="20"/>
              </w:rPr>
            </w:pPr>
            <w:r>
              <w:rPr>
                <w:sz w:val="20"/>
                <w:szCs w:val="20"/>
              </w:rPr>
              <w:t>M</w:t>
            </w:r>
          </w:p>
        </w:tc>
        <w:tc>
          <w:tcPr>
            <w:tcW w:w="641" w:type="dxa"/>
          </w:tcPr>
          <w:p w:rsidR="00AE065C" w:rsidRDefault="00AE065C" w:rsidP="00AE065C">
            <w:pPr>
              <w:rPr>
                <w:sz w:val="20"/>
                <w:szCs w:val="20"/>
              </w:rPr>
            </w:pPr>
            <w:r>
              <w:rPr>
                <w:sz w:val="20"/>
                <w:szCs w:val="20"/>
              </w:rPr>
              <w:t>F</w:t>
            </w:r>
          </w:p>
        </w:tc>
        <w:tc>
          <w:tcPr>
            <w:tcW w:w="641" w:type="dxa"/>
          </w:tcPr>
          <w:p w:rsidR="00AE065C" w:rsidRPr="00B4797E" w:rsidRDefault="00AE065C" w:rsidP="00AE065C">
            <w:pPr>
              <w:rPr>
                <w:sz w:val="20"/>
                <w:szCs w:val="20"/>
              </w:rPr>
            </w:pPr>
            <w:r>
              <w:rPr>
                <w:sz w:val="20"/>
                <w:szCs w:val="20"/>
              </w:rPr>
              <w:t>M</w:t>
            </w:r>
          </w:p>
        </w:tc>
        <w:tc>
          <w:tcPr>
            <w:tcW w:w="641" w:type="dxa"/>
          </w:tcPr>
          <w:p w:rsidR="00AE065C" w:rsidRPr="00B4797E" w:rsidRDefault="00AE065C" w:rsidP="00AE065C">
            <w:pPr>
              <w:rPr>
                <w:sz w:val="20"/>
                <w:szCs w:val="20"/>
              </w:rPr>
            </w:pPr>
            <w:r>
              <w:rPr>
                <w:sz w:val="20"/>
                <w:szCs w:val="20"/>
              </w:rPr>
              <w:t>F</w:t>
            </w:r>
          </w:p>
        </w:tc>
        <w:tc>
          <w:tcPr>
            <w:tcW w:w="641" w:type="dxa"/>
          </w:tcPr>
          <w:p w:rsidR="00AE065C" w:rsidRPr="00B4797E" w:rsidRDefault="00AE065C" w:rsidP="00AE065C">
            <w:pPr>
              <w:rPr>
                <w:sz w:val="20"/>
                <w:szCs w:val="20"/>
              </w:rPr>
            </w:pPr>
            <w:r>
              <w:rPr>
                <w:sz w:val="20"/>
                <w:szCs w:val="20"/>
              </w:rPr>
              <w:t>M</w:t>
            </w:r>
          </w:p>
        </w:tc>
      </w:tr>
      <w:tr w:rsidR="00AE065C" w:rsidTr="00576F81">
        <w:tc>
          <w:tcPr>
            <w:tcW w:w="449" w:type="dxa"/>
          </w:tcPr>
          <w:p w:rsidR="00AE065C" w:rsidRDefault="00AE065C" w:rsidP="00A773D3">
            <w:pPr>
              <w:pStyle w:val="Paragraphedeliste"/>
              <w:numPr>
                <w:ilvl w:val="0"/>
                <w:numId w:val="5"/>
              </w:numPr>
            </w:pPr>
          </w:p>
        </w:tc>
        <w:tc>
          <w:tcPr>
            <w:tcW w:w="4018" w:type="dxa"/>
          </w:tcPr>
          <w:p w:rsidR="00AE065C" w:rsidRPr="00B4797E" w:rsidRDefault="00AE065C" w:rsidP="00AE065C">
            <w:pPr>
              <w:rPr>
                <w:sz w:val="20"/>
                <w:szCs w:val="20"/>
              </w:rPr>
            </w:pPr>
            <w:r w:rsidRPr="00B4797E">
              <w:rPr>
                <w:sz w:val="20"/>
                <w:szCs w:val="20"/>
              </w:rPr>
              <w:t>Vie féconde</w:t>
            </w:r>
          </w:p>
        </w:tc>
        <w:tc>
          <w:tcPr>
            <w:tcW w:w="641" w:type="dxa"/>
          </w:tcPr>
          <w:p w:rsidR="00AE065C" w:rsidRPr="00AE065C" w:rsidRDefault="00AE065C" w:rsidP="00AE065C">
            <w:pPr>
              <w:rPr>
                <w:sz w:val="16"/>
                <w:szCs w:val="16"/>
              </w:rPr>
            </w:pPr>
          </w:p>
        </w:tc>
        <w:tc>
          <w:tcPr>
            <w:tcW w:w="641" w:type="dxa"/>
          </w:tcPr>
          <w:p w:rsidR="00AE065C" w:rsidRPr="00B4797E" w:rsidRDefault="00AE065C" w:rsidP="00AE065C">
            <w:pPr>
              <w:rPr>
                <w:sz w:val="20"/>
                <w:szCs w:val="20"/>
              </w:rPr>
            </w:pPr>
            <w:r>
              <w:rPr>
                <w:sz w:val="20"/>
                <w:szCs w:val="20"/>
              </w:rPr>
              <w:t>25%</w:t>
            </w:r>
          </w:p>
        </w:tc>
        <w:tc>
          <w:tcPr>
            <w:tcW w:w="641" w:type="dxa"/>
          </w:tcPr>
          <w:p w:rsidR="00AE065C" w:rsidRPr="00B4797E" w:rsidRDefault="00AE065C" w:rsidP="00AE065C">
            <w:pPr>
              <w:rPr>
                <w:sz w:val="20"/>
                <w:szCs w:val="20"/>
              </w:rPr>
            </w:pPr>
          </w:p>
        </w:tc>
        <w:tc>
          <w:tcPr>
            <w:tcW w:w="641" w:type="dxa"/>
          </w:tcPr>
          <w:p w:rsidR="00AE065C" w:rsidRPr="00B4797E" w:rsidRDefault="00AE065C" w:rsidP="00AE065C">
            <w:pPr>
              <w:rPr>
                <w:sz w:val="20"/>
                <w:szCs w:val="20"/>
              </w:rPr>
            </w:pPr>
            <w:r>
              <w:rPr>
                <w:sz w:val="20"/>
                <w:szCs w:val="20"/>
              </w:rPr>
              <w:t>23,2</w:t>
            </w:r>
          </w:p>
        </w:tc>
        <w:tc>
          <w:tcPr>
            <w:tcW w:w="641" w:type="dxa"/>
          </w:tcPr>
          <w:p w:rsidR="00AE065C" w:rsidRPr="00B4797E" w:rsidRDefault="00AE065C" w:rsidP="00AE065C">
            <w:pPr>
              <w:rPr>
                <w:sz w:val="20"/>
                <w:szCs w:val="20"/>
              </w:rPr>
            </w:pPr>
          </w:p>
        </w:tc>
        <w:tc>
          <w:tcPr>
            <w:tcW w:w="641" w:type="dxa"/>
          </w:tcPr>
          <w:p w:rsidR="00AE065C" w:rsidRPr="00B4797E" w:rsidRDefault="00AE065C" w:rsidP="00AE065C">
            <w:pPr>
              <w:rPr>
                <w:sz w:val="20"/>
                <w:szCs w:val="20"/>
              </w:rPr>
            </w:pPr>
            <w:r>
              <w:rPr>
                <w:sz w:val="20"/>
                <w:szCs w:val="20"/>
              </w:rPr>
              <w:t>23,6</w:t>
            </w:r>
          </w:p>
        </w:tc>
        <w:tc>
          <w:tcPr>
            <w:tcW w:w="641" w:type="dxa"/>
          </w:tcPr>
          <w:p w:rsidR="00AE065C" w:rsidRPr="00B4797E" w:rsidRDefault="00AE065C" w:rsidP="00AE065C">
            <w:pPr>
              <w:rPr>
                <w:sz w:val="20"/>
                <w:szCs w:val="20"/>
              </w:rPr>
            </w:pPr>
          </w:p>
        </w:tc>
      </w:tr>
      <w:tr w:rsidR="00576F81" w:rsidTr="00576F81">
        <w:tc>
          <w:tcPr>
            <w:tcW w:w="449" w:type="dxa"/>
            <w:vMerge w:val="restart"/>
          </w:tcPr>
          <w:p w:rsidR="00576F81" w:rsidRDefault="00576F81" w:rsidP="00A773D3">
            <w:pPr>
              <w:pStyle w:val="Paragraphedeliste"/>
              <w:numPr>
                <w:ilvl w:val="0"/>
                <w:numId w:val="5"/>
              </w:numPr>
            </w:pPr>
          </w:p>
        </w:tc>
        <w:tc>
          <w:tcPr>
            <w:tcW w:w="4018" w:type="dxa"/>
            <w:vMerge w:val="restart"/>
          </w:tcPr>
          <w:p w:rsidR="00576F81" w:rsidRPr="00B4797E" w:rsidRDefault="00576F81" w:rsidP="00AE065C">
            <w:pPr>
              <w:rPr>
                <w:sz w:val="20"/>
                <w:szCs w:val="20"/>
              </w:rPr>
            </w:pPr>
            <w:r w:rsidRPr="008A2652">
              <w:rPr>
                <w:sz w:val="20"/>
                <w:szCs w:val="20"/>
              </w:rPr>
              <w:t xml:space="preserve">Pourcentage de femmes et d’hommes ayant </w:t>
            </w:r>
            <w:r>
              <w:rPr>
                <w:sz w:val="20"/>
                <w:szCs w:val="20"/>
              </w:rPr>
              <w:t>de</w:t>
            </w:r>
            <w:r w:rsidRPr="008A2652">
              <w:rPr>
                <w:sz w:val="20"/>
                <w:szCs w:val="20"/>
              </w:rPr>
              <w:t xml:space="preserve">s rapports sexuels </w:t>
            </w:r>
            <w:r>
              <w:rPr>
                <w:sz w:val="20"/>
                <w:szCs w:val="20"/>
              </w:rPr>
              <w:t xml:space="preserve">avant </w:t>
            </w:r>
            <w:r w:rsidRPr="008A2652">
              <w:rPr>
                <w:sz w:val="20"/>
                <w:szCs w:val="20"/>
              </w:rPr>
              <w:t>15</w:t>
            </w:r>
            <w:r>
              <w:rPr>
                <w:sz w:val="20"/>
                <w:szCs w:val="20"/>
              </w:rPr>
              <w:t xml:space="preserve"> ans</w:t>
            </w:r>
          </w:p>
        </w:tc>
        <w:tc>
          <w:tcPr>
            <w:tcW w:w="641" w:type="dxa"/>
          </w:tcPr>
          <w:p w:rsidR="00576F81" w:rsidRPr="00AE065C" w:rsidRDefault="00576F81" w:rsidP="00AE065C">
            <w:pPr>
              <w:rPr>
                <w:sz w:val="16"/>
                <w:szCs w:val="16"/>
              </w:rPr>
            </w:pPr>
            <w:r w:rsidRPr="00AE065C">
              <w:rPr>
                <w:sz w:val="16"/>
                <w:szCs w:val="16"/>
              </w:rPr>
              <w:t>15-19</w:t>
            </w:r>
          </w:p>
        </w:tc>
        <w:tc>
          <w:tcPr>
            <w:tcW w:w="641" w:type="dxa"/>
          </w:tcPr>
          <w:p w:rsidR="00576F81" w:rsidRPr="00B4797E" w:rsidRDefault="00576F81" w:rsidP="00AE065C">
            <w:pPr>
              <w:rPr>
                <w:sz w:val="20"/>
                <w:szCs w:val="20"/>
              </w:rPr>
            </w:pPr>
            <w:r>
              <w:rPr>
                <w:sz w:val="20"/>
                <w:szCs w:val="20"/>
              </w:rPr>
              <w:t>12</w:t>
            </w:r>
          </w:p>
        </w:tc>
        <w:tc>
          <w:tcPr>
            <w:tcW w:w="641" w:type="dxa"/>
          </w:tcPr>
          <w:p w:rsidR="00576F81" w:rsidRPr="00B4797E" w:rsidRDefault="00576F81" w:rsidP="00AE065C">
            <w:pPr>
              <w:rPr>
                <w:sz w:val="20"/>
                <w:szCs w:val="20"/>
              </w:rPr>
            </w:pPr>
            <w:r>
              <w:rPr>
                <w:sz w:val="20"/>
                <w:szCs w:val="20"/>
              </w:rPr>
              <w:t>7</w:t>
            </w:r>
          </w:p>
        </w:tc>
        <w:tc>
          <w:tcPr>
            <w:tcW w:w="641" w:type="dxa"/>
          </w:tcPr>
          <w:p w:rsidR="00576F81" w:rsidRPr="00B4797E" w:rsidRDefault="00576F81" w:rsidP="00AE065C">
            <w:pPr>
              <w:rPr>
                <w:sz w:val="20"/>
                <w:szCs w:val="20"/>
              </w:rPr>
            </w:pPr>
            <w:r>
              <w:rPr>
                <w:sz w:val="20"/>
                <w:szCs w:val="20"/>
              </w:rPr>
              <w:t>20,5</w:t>
            </w:r>
          </w:p>
        </w:tc>
        <w:tc>
          <w:tcPr>
            <w:tcW w:w="641" w:type="dxa"/>
          </w:tcPr>
          <w:p w:rsidR="00576F81" w:rsidRPr="00B4797E" w:rsidRDefault="00576F81" w:rsidP="00AE065C">
            <w:pPr>
              <w:rPr>
                <w:sz w:val="20"/>
                <w:szCs w:val="20"/>
              </w:rPr>
            </w:pPr>
            <w:r>
              <w:rPr>
                <w:sz w:val="20"/>
                <w:szCs w:val="20"/>
              </w:rPr>
              <w:t>13,6</w:t>
            </w:r>
          </w:p>
        </w:tc>
        <w:tc>
          <w:tcPr>
            <w:tcW w:w="641" w:type="dxa"/>
          </w:tcPr>
          <w:p w:rsidR="00576F81" w:rsidRPr="00B4797E" w:rsidRDefault="00576F81" w:rsidP="00AE065C">
            <w:pPr>
              <w:rPr>
                <w:sz w:val="20"/>
                <w:szCs w:val="20"/>
              </w:rPr>
            </w:pPr>
            <w:r>
              <w:rPr>
                <w:sz w:val="20"/>
                <w:szCs w:val="20"/>
              </w:rPr>
              <w:t>15,1</w:t>
            </w:r>
          </w:p>
        </w:tc>
        <w:tc>
          <w:tcPr>
            <w:tcW w:w="641" w:type="dxa"/>
          </w:tcPr>
          <w:p w:rsidR="00576F81" w:rsidRPr="00B4797E" w:rsidRDefault="00576F81" w:rsidP="00AE065C">
            <w:pPr>
              <w:rPr>
                <w:sz w:val="20"/>
                <w:szCs w:val="20"/>
              </w:rPr>
            </w:pPr>
            <w:r>
              <w:rPr>
                <w:sz w:val="20"/>
                <w:szCs w:val="20"/>
              </w:rPr>
              <w:t>13,9</w:t>
            </w:r>
          </w:p>
        </w:tc>
      </w:tr>
      <w:tr w:rsidR="00576F81" w:rsidTr="00576F81">
        <w:tc>
          <w:tcPr>
            <w:tcW w:w="449" w:type="dxa"/>
            <w:vMerge/>
          </w:tcPr>
          <w:p w:rsidR="00576F81" w:rsidRDefault="00576F81" w:rsidP="00A773D3">
            <w:pPr>
              <w:pStyle w:val="Paragraphedeliste"/>
              <w:numPr>
                <w:ilvl w:val="0"/>
                <w:numId w:val="5"/>
              </w:numPr>
            </w:pPr>
          </w:p>
        </w:tc>
        <w:tc>
          <w:tcPr>
            <w:tcW w:w="4018" w:type="dxa"/>
            <w:vMerge/>
          </w:tcPr>
          <w:p w:rsidR="00576F81" w:rsidRPr="00B4797E" w:rsidRDefault="00576F81" w:rsidP="00AE065C">
            <w:pPr>
              <w:rPr>
                <w:sz w:val="20"/>
                <w:szCs w:val="20"/>
              </w:rPr>
            </w:pPr>
          </w:p>
        </w:tc>
        <w:tc>
          <w:tcPr>
            <w:tcW w:w="641" w:type="dxa"/>
          </w:tcPr>
          <w:p w:rsidR="00576F81" w:rsidRPr="00AE065C" w:rsidRDefault="00576F81" w:rsidP="00AE065C">
            <w:pPr>
              <w:rPr>
                <w:sz w:val="16"/>
                <w:szCs w:val="16"/>
              </w:rPr>
            </w:pPr>
            <w:r w:rsidRPr="00AE065C">
              <w:rPr>
                <w:sz w:val="16"/>
                <w:szCs w:val="16"/>
              </w:rPr>
              <w:t>20-24</w:t>
            </w:r>
          </w:p>
        </w:tc>
        <w:tc>
          <w:tcPr>
            <w:tcW w:w="641" w:type="dxa"/>
          </w:tcPr>
          <w:p w:rsidR="00576F81" w:rsidRPr="00B4797E" w:rsidRDefault="00576F81" w:rsidP="00AE065C">
            <w:pPr>
              <w:rPr>
                <w:sz w:val="20"/>
                <w:szCs w:val="20"/>
              </w:rPr>
            </w:pPr>
            <w:r>
              <w:rPr>
                <w:sz w:val="20"/>
                <w:szCs w:val="20"/>
              </w:rPr>
              <w:t>10,3</w:t>
            </w:r>
          </w:p>
        </w:tc>
        <w:tc>
          <w:tcPr>
            <w:tcW w:w="641" w:type="dxa"/>
          </w:tcPr>
          <w:p w:rsidR="00576F81" w:rsidRPr="00B4797E" w:rsidRDefault="00576F81" w:rsidP="00AE065C">
            <w:pPr>
              <w:rPr>
                <w:sz w:val="20"/>
                <w:szCs w:val="20"/>
              </w:rPr>
            </w:pPr>
            <w:r>
              <w:rPr>
                <w:sz w:val="20"/>
                <w:szCs w:val="20"/>
              </w:rPr>
              <w:t>7,5</w:t>
            </w:r>
          </w:p>
        </w:tc>
        <w:tc>
          <w:tcPr>
            <w:tcW w:w="641" w:type="dxa"/>
          </w:tcPr>
          <w:p w:rsidR="00576F81" w:rsidRPr="00B4797E" w:rsidRDefault="00576F81" w:rsidP="00AE065C">
            <w:pPr>
              <w:rPr>
                <w:sz w:val="20"/>
                <w:szCs w:val="20"/>
              </w:rPr>
            </w:pPr>
            <w:r>
              <w:rPr>
                <w:sz w:val="20"/>
                <w:szCs w:val="20"/>
              </w:rPr>
              <w:t>22,1</w:t>
            </w:r>
          </w:p>
        </w:tc>
        <w:tc>
          <w:tcPr>
            <w:tcW w:w="641" w:type="dxa"/>
          </w:tcPr>
          <w:p w:rsidR="00576F81" w:rsidRPr="00B4797E" w:rsidRDefault="00576F81" w:rsidP="00AE065C">
            <w:pPr>
              <w:rPr>
                <w:sz w:val="20"/>
                <w:szCs w:val="20"/>
              </w:rPr>
            </w:pPr>
            <w:r>
              <w:rPr>
                <w:sz w:val="20"/>
                <w:szCs w:val="20"/>
              </w:rPr>
              <w:t>11,6</w:t>
            </w:r>
          </w:p>
        </w:tc>
        <w:tc>
          <w:tcPr>
            <w:tcW w:w="641" w:type="dxa"/>
          </w:tcPr>
          <w:p w:rsidR="00576F81" w:rsidRPr="00B4797E" w:rsidRDefault="00576F81" w:rsidP="00AE065C">
            <w:pPr>
              <w:rPr>
                <w:sz w:val="20"/>
                <w:szCs w:val="20"/>
              </w:rPr>
            </w:pPr>
            <w:r>
              <w:rPr>
                <w:sz w:val="20"/>
                <w:szCs w:val="20"/>
              </w:rPr>
              <w:t>21,5</w:t>
            </w:r>
          </w:p>
        </w:tc>
        <w:tc>
          <w:tcPr>
            <w:tcW w:w="641" w:type="dxa"/>
          </w:tcPr>
          <w:p w:rsidR="00576F81" w:rsidRPr="00B4797E" w:rsidRDefault="00576F81" w:rsidP="00AE065C">
            <w:pPr>
              <w:rPr>
                <w:sz w:val="20"/>
                <w:szCs w:val="20"/>
              </w:rPr>
            </w:pPr>
            <w:r>
              <w:rPr>
                <w:sz w:val="20"/>
                <w:szCs w:val="20"/>
              </w:rPr>
              <w:t>27,4</w:t>
            </w:r>
          </w:p>
        </w:tc>
      </w:tr>
      <w:tr w:rsidR="00576F81" w:rsidTr="00576F81">
        <w:tc>
          <w:tcPr>
            <w:tcW w:w="449" w:type="dxa"/>
            <w:vMerge w:val="restart"/>
          </w:tcPr>
          <w:p w:rsidR="00576F81" w:rsidRDefault="00576F81" w:rsidP="00A773D3">
            <w:pPr>
              <w:pStyle w:val="Paragraphedeliste"/>
              <w:numPr>
                <w:ilvl w:val="0"/>
                <w:numId w:val="5"/>
              </w:numPr>
            </w:pPr>
          </w:p>
        </w:tc>
        <w:tc>
          <w:tcPr>
            <w:tcW w:w="4018" w:type="dxa"/>
            <w:vMerge w:val="restart"/>
          </w:tcPr>
          <w:p w:rsidR="00576F81" w:rsidRPr="00B4797E" w:rsidRDefault="00576F81" w:rsidP="00AE065C">
            <w:pPr>
              <w:rPr>
                <w:sz w:val="20"/>
                <w:szCs w:val="20"/>
              </w:rPr>
            </w:pPr>
            <w:r>
              <w:rPr>
                <w:sz w:val="20"/>
                <w:szCs w:val="20"/>
              </w:rPr>
              <w:t xml:space="preserve">IST (12 derniers mois) </w:t>
            </w:r>
          </w:p>
        </w:tc>
        <w:tc>
          <w:tcPr>
            <w:tcW w:w="641" w:type="dxa"/>
          </w:tcPr>
          <w:p w:rsidR="00576F81" w:rsidRPr="00AE065C" w:rsidRDefault="00576F81" w:rsidP="00AE065C">
            <w:pPr>
              <w:rPr>
                <w:sz w:val="16"/>
                <w:szCs w:val="16"/>
              </w:rPr>
            </w:pPr>
            <w:r w:rsidRPr="00AE065C">
              <w:rPr>
                <w:sz w:val="16"/>
                <w:szCs w:val="16"/>
              </w:rPr>
              <w:t>15-19</w:t>
            </w:r>
          </w:p>
        </w:tc>
        <w:tc>
          <w:tcPr>
            <w:tcW w:w="641" w:type="dxa"/>
          </w:tcPr>
          <w:p w:rsidR="00576F81" w:rsidRPr="00B4797E" w:rsidRDefault="00576F81" w:rsidP="00AE065C">
            <w:pPr>
              <w:rPr>
                <w:sz w:val="20"/>
                <w:szCs w:val="20"/>
              </w:rPr>
            </w:pPr>
            <w:r>
              <w:rPr>
                <w:sz w:val="20"/>
                <w:szCs w:val="20"/>
              </w:rPr>
              <w:t>0,3</w:t>
            </w:r>
          </w:p>
        </w:tc>
        <w:tc>
          <w:tcPr>
            <w:tcW w:w="641" w:type="dxa"/>
          </w:tcPr>
          <w:p w:rsidR="00576F81" w:rsidRPr="00B4797E" w:rsidRDefault="00576F81" w:rsidP="00AE065C">
            <w:pPr>
              <w:rPr>
                <w:sz w:val="20"/>
                <w:szCs w:val="20"/>
              </w:rPr>
            </w:pPr>
            <w:r>
              <w:rPr>
                <w:sz w:val="20"/>
                <w:szCs w:val="20"/>
              </w:rPr>
              <w:t>1,9</w:t>
            </w:r>
          </w:p>
        </w:tc>
        <w:tc>
          <w:tcPr>
            <w:tcW w:w="641" w:type="dxa"/>
          </w:tcPr>
          <w:p w:rsidR="00576F81" w:rsidRPr="00B4797E" w:rsidRDefault="00576F81" w:rsidP="00AE065C">
            <w:pPr>
              <w:rPr>
                <w:sz w:val="20"/>
                <w:szCs w:val="20"/>
              </w:rPr>
            </w:pPr>
            <w:r>
              <w:rPr>
                <w:sz w:val="20"/>
                <w:szCs w:val="20"/>
              </w:rPr>
              <w:t>1,6</w:t>
            </w:r>
          </w:p>
        </w:tc>
        <w:tc>
          <w:tcPr>
            <w:tcW w:w="641" w:type="dxa"/>
          </w:tcPr>
          <w:p w:rsidR="00576F81" w:rsidRPr="00B4797E" w:rsidRDefault="00576F81" w:rsidP="00AE065C">
            <w:pPr>
              <w:rPr>
                <w:sz w:val="20"/>
                <w:szCs w:val="20"/>
              </w:rPr>
            </w:pPr>
            <w:r>
              <w:rPr>
                <w:sz w:val="20"/>
                <w:szCs w:val="20"/>
              </w:rPr>
              <w:t>1,3</w:t>
            </w:r>
          </w:p>
        </w:tc>
        <w:tc>
          <w:tcPr>
            <w:tcW w:w="641" w:type="dxa"/>
          </w:tcPr>
          <w:p w:rsidR="00576F81" w:rsidRPr="00B4797E" w:rsidRDefault="00576F81" w:rsidP="00AE065C">
            <w:pPr>
              <w:rPr>
                <w:sz w:val="20"/>
                <w:szCs w:val="20"/>
              </w:rPr>
            </w:pPr>
            <w:r>
              <w:rPr>
                <w:sz w:val="20"/>
                <w:szCs w:val="20"/>
              </w:rPr>
              <w:t>2,9</w:t>
            </w:r>
          </w:p>
        </w:tc>
        <w:tc>
          <w:tcPr>
            <w:tcW w:w="641" w:type="dxa"/>
          </w:tcPr>
          <w:p w:rsidR="00576F81" w:rsidRPr="00B4797E" w:rsidRDefault="00576F81" w:rsidP="00AE065C">
            <w:pPr>
              <w:rPr>
                <w:sz w:val="20"/>
                <w:szCs w:val="20"/>
              </w:rPr>
            </w:pPr>
            <w:r>
              <w:rPr>
                <w:sz w:val="20"/>
                <w:szCs w:val="20"/>
              </w:rPr>
              <w:t>1,5</w:t>
            </w:r>
          </w:p>
        </w:tc>
      </w:tr>
      <w:tr w:rsidR="00576F81" w:rsidTr="00576F81">
        <w:tc>
          <w:tcPr>
            <w:tcW w:w="449" w:type="dxa"/>
            <w:vMerge/>
          </w:tcPr>
          <w:p w:rsidR="00576F81" w:rsidRDefault="00576F81" w:rsidP="00A773D3">
            <w:pPr>
              <w:pStyle w:val="Paragraphedeliste"/>
              <w:numPr>
                <w:ilvl w:val="0"/>
                <w:numId w:val="5"/>
              </w:numPr>
            </w:pPr>
          </w:p>
        </w:tc>
        <w:tc>
          <w:tcPr>
            <w:tcW w:w="4018" w:type="dxa"/>
            <w:vMerge/>
          </w:tcPr>
          <w:p w:rsidR="00576F81" w:rsidRPr="00B4797E" w:rsidRDefault="00576F81" w:rsidP="00AE065C">
            <w:pPr>
              <w:rPr>
                <w:sz w:val="20"/>
                <w:szCs w:val="20"/>
              </w:rPr>
            </w:pPr>
          </w:p>
        </w:tc>
        <w:tc>
          <w:tcPr>
            <w:tcW w:w="641" w:type="dxa"/>
          </w:tcPr>
          <w:p w:rsidR="00576F81" w:rsidRPr="00AE065C" w:rsidRDefault="00576F81" w:rsidP="00AE065C">
            <w:pPr>
              <w:rPr>
                <w:sz w:val="16"/>
                <w:szCs w:val="16"/>
              </w:rPr>
            </w:pPr>
            <w:r w:rsidRPr="00AE065C">
              <w:rPr>
                <w:sz w:val="16"/>
                <w:szCs w:val="16"/>
              </w:rPr>
              <w:t>20-24</w:t>
            </w:r>
          </w:p>
        </w:tc>
        <w:tc>
          <w:tcPr>
            <w:tcW w:w="641" w:type="dxa"/>
          </w:tcPr>
          <w:p w:rsidR="00576F81" w:rsidRPr="00B4797E" w:rsidRDefault="00576F81" w:rsidP="00AE065C">
            <w:pPr>
              <w:rPr>
                <w:sz w:val="20"/>
                <w:szCs w:val="20"/>
              </w:rPr>
            </w:pPr>
            <w:r>
              <w:rPr>
                <w:sz w:val="20"/>
                <w:szCs w:val="20"/>
              </w:rPr>
              <w:t>0,5</w:t>
            </w:r>
          </w:p>
        </w:tc>
        <w:tc>
          <w:tcPr>
            <w:tcW w:w="641" w:type="dxa"/>
          </w:tcPr>
          <w:p w:rsidR="00576F81" w:rsidRPr="00B4797E" w:rsidRDefault="00576F81" w:rsidP="00AE065C">
            <w:pPr>
              <w:rPr>
                <w:sz w:val="20"/>
                <w:szCs w:val="20"/>
              </w:rPr>
            </w:pPr>
            <w:r>
              <w:rPr>
                <w:sz w:val="20"/>
                <w:szCs w:val="20"/>
              </w:rPr>
              <w:t>2,9</w:t>
            </w:r>
          </w:p>
        </w:tc>
        <w:tc>
          <w:tcPr>
            <w:tcW w:w="641" w:type="dxa"/>
          </w:tcPr>
          <w:p w:rsidR="00576F81" w:rsidRDefault="00576F81" w:rsidP="00AE065C">
            <w:pPr>
              <w:rPr>
                <w:sz w:val="20"/>
                <w:szCs w:val="20"/>
              </w:rPr>
            </w:pPr>
            <w:r>
              <w:rPr>
                <w:sz w:val="20"/>
                <w:szCs w:val="20"/>
              </w:rPr>
              <w:t>2</w:t>
            </w:r>
          </w:p>
        </w:tc>
        <w:tc>
          <w:tcPr>
            <w:tcW w:w="641" w:type="dxa"/>
          </w:tcPr>
          <w:p w:rsidR="00576F81" w:rsidRDefault="00576F81" w:rsidP="00AE065C">
            <w:pPr>
              <w:rPr>
                <w:sz w:val="20"/>
                <w:szCs w:val="20"/>
              </w:rPr>
            </w:pPr>
            <w:r>
              <w:rPr>
                <w:sz w:val="20"/>
                <w:szCs w:val="20"/>
              </w:rPr>
              <w:t>0,6</w:t>
            </w:r>
          </w:p>
        </w:tc>
        <w:tc>
          <w:tcPr>
            <w:tcW w:w="641" w:type="dxa"/>
          </w:tcPr>
          <w:p w:rsidR="00576F81" w:rsidRPr="00B4797E" w:rsidRDefault="00576F81" w:rsidP="00AE065C">
            <w:pPr>
              <w:rPr>
                <w:sz w:val="20"/>
                <w:szCs w:val="20"/>
              </w:rPr>
            </w:pPr>
            <w:r>
              <w:rPr>
                <w:sz w:val="20"/>
                <w:szCs w:val="20"/>
              </w:rPr>
              <w:t>3,4</w:t>
            </w:r>
          </w:p>
        </w:tc>
        <w:tc>
          <w:tcPr>
            <w:tcW w:w="641" w:type="dxa"/>
          </w:tcPr>
          <w:p w:rsidR="00576F81" w:rsidRPr="00B4797E" w:rsidRDefault="00576F81" w:rsidP="00AE065C">
            <w:pPr>
              <w:rPr>
                <w:sz w:val="20"/>
                <w:szCs w:val="20"/>
              </w:rPr>
            </w:pPr>
            <w:r>
              <w:rPr>
                <w:sz w:val="20"/>
                <w:szCs w:val="20"/>
              </w:rPr>
              <w:t>1</w:t>
            </w:r>
          </w:p>
        </w:tc>
      </w:tr>
      <w:tr w:rsidR="00576F81" w:rsidTr="00576F81">
        <w:tc>
          <w:tcPr>
            <w:tcW w:w="449" w:type="dxa"/>
            <w:vMerge w:val="restart"/>
          </w:tcPr>
          <w:p w:rsidR="00576F81" w:rsidRDefault="00576F81" w:rsidP="00A773D3">
            <w:pPr>
              <w:pStyle w:val="Paragraphedeliste"/>
              <w:numPr>
                <w:ilvl w:val="0"/>
                <w:numId w:val="5"/>
              </w:numPr>
            </w:pPr>
          </w:p>
        </w:tc>
        <w:tc>
          <w:tcPr>
            <w:tcW w:w="4018" w:type="dxa"/>
            <w:vMerge w:val="restart"/>
          </w:tcPr>
          <w:p w:rsidR="00576F81" w:rsidRDefault="00576F81" w:rsidP="00AE065C">
            <w:pPr>
              <w:rPr>
                <w:sz w:val="20"/>
                <w:szCs w:val="20"/>
              </w:rPr>
            </w:pPr>
            <w:r w:rsidRPr="00A87293">
              <w:rPr>
                <w:sz w:val="20"/>
                <w:szCs w:val="20"/>
              </w:rPr>
              <w:t>Pourcentage ayant eu des rapports sexuels à hauts risques au cours des 12 derniers</w:t>
            </w:r>
            <w:r>
              <w:rPr>
                <w:sz w:val="20"/>
                <w:szCs w:val="20"/>
              </w:rPr>
              <w:t xml:space="preserve"> mois</w:t>
            </w:r>
          </w:p>
        </w:tc>
        <w:tc>
          <w:tcPr>
            <w:tcW w:w="641" w:type="dxa"/>
          </w:tcPr>
          <w:p w:rsidR="00576F81" w:rsidRPr="00AE065C" w:rsidRDefault="00576F81" w:rsidP="00AE065C">
            <w:pPr>
              <w:rPr>
                <w:sz w:val="16"/>
                <w:szCs w:val="16"/>
              </w:rPr>
            </w:pPr>
            <w:r w:rsidRPr="00AE065C">
              <w:rPr>
                <w:sz w:val="16"/>
                <w:szCs w:val="16"/>
              </w:rPr>
              <w:t>15-19</w:t>
            </w: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r>
              <w:rPr>
                <w:sz w:val="20"/>
                <w:szCs w:val="20"/>
              </w:rPr>
              <w:t>36,8</w:t>
            </w:r>
          </w:p>
        </w:tc>
        <w:tc>
          <w:tcPr>
            <w:tcW w:w="641" w:type="dxa"/>
          </w:tcPr>
          <w:p w:rsidR="00576F81" w:rsidRDefault="00576F81" w:rsidP="00AE065C">
            <w:pPr>
              <w:rPr>
                <w:sz w:val="20"/>
                <w:szCs w:val="20"/>
              </w:rPr>
            </w:pPr>
            <w:r>
              <w:rPr>
                <w:sz w:val="20"/>
                <w:szCs w:val="20"/>
              </w:rPr>
              <w:t>97,6</w:t>
            </w: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p>
        </w:tc>
      </w:tr>
      <w:tr w:rsidR="00576F81" w:rsidTr="00576F81">
        <w:tc>
          <w:tcPr>
            <w:tcW w:w="449" w:type="dxa"/>
            <w:vMerge/>
          </w:tcPr>
          <w:p w:rsidR="00576F81" w:rsidRDefault="00576F81" w:rsidP="00A773D3">
            <w:pPr>
              <w:pStyle w:val="Paragraphedeliste"/>
              <w:numPr>
                <w:ilvl w:val="0"/>
                <w:numId w:val="5"/>
              </w:numPr>
            </w:pPr>
          </w:p>
        </w:tc>
        <w:tc>
          <w:tcPr>
            <w:tcW w:w="4018" w:type="dxa"/>
            <w:vMerge/>
          </w:tcPr>
          <w:p w:rsidR="00576F81" w:rsidRDefault="00576F81" w:rsidP="00AE065C">
            <w:pPr>
              <w:rPr>
                <w:sz w:val="20"/>
                <w:szCs w:val="20"/>
              </w:rPr>
            </w:pPr>
          </w:p>
        </w:tc>
        <w:tc>
          <w:tcPr>
            <w:tcW w:w="641" w:type="dxa"/>
          </w:tcPr>
          <w:p w:rsidR="00576F81" w:rsidRPr="00AE065C" w:rsidRDefault="00576F81" w:rsidP="00AE065C">
            <w:pPr>
              <w:rPr>
                <w:sz w:val="16"/>
                <w:szCs w:val="16"/>
              </w:rPr>
            </w:pPr>
            <w:r w:rsidRPr="00AE065C">
              <w:rPr>
                <w:sz w:val="16"/>
                <w:szCs w:val="16"/>
              </w:rPr>
              <w:t>20-24</w:t>
            </w: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r>
              <w:rPr>
                <w:sz w:val="20"/>
                <w:szCs w:val="20"/>
              </w:rPr>
              <w:t>13,5</w:t>
            </w:r>
          </w:p>
        </w:tc>
        <w:tc>
          <w:tcPr>
            <w:tcW w:w="641" w:type="dxa"/>
          </w:tcPr>
          <w:p w:rsidR="00576F81" w:rsidRDefault="00576F81" w:rsidP="00AE065C">
            <w:pPr>
              <w:rPr>
                <w:sz w:val="20"/>
                <w:szCs w:val="20"/>
              </w:rPr>
            </w:pPr>
            <w:r>
              <w:rPr>
                <w:sz w:val="20"/>
                <w:szCs w:val="20"/>
              </w:rPr>
              <w:t>67,7</w:t>
            </w: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p>
        </w:tc>
      </w:tr>
      <w:tr w:rsidR="00576F81" w:rsidTr="00576F81">
        <w:tc>
          <w:tcPr>
            <w:tcW w:w="449" w:type="dxa"/>
            <w:vMerge w:val="restart"/>
          </w:tcPr>
          <w:p w:rsidR="00576F81" w:rsidRDefault="00576F81" w:rsidP="00A773D3">
            <w:pPr>
              <w:pStyle w:val="Paragraphedeliste"/>
              <w:numPr>
                <w:ilvl w:val="0"/>
                <w:numId w:val="5"/>
              </w:numPr>
            </w:pPr>
          </w:p>
        </w:tc>
        <w:tc>
          <w:tcPr>
            <w:tcW w:w="4018" w:type="dxa"/>
            <w:vMerge w:val="restart"/>
          </w:tcPr>
          <w:p w:rsidR="00576F81" w:rsidRDefault="00576F81" w:rsidP="00AE065C">
            <w:pPr>
              <w:rPr>
                <w:sz w:val="20"/>
                <w:szCs w:val="20"/>
              </w:rPr>
            </w:pPr>
            <w:r w:rsidRPr="00A10250">
              <w:rPr>
                <w:sz w:val="20"/>
                <w:szCs w:val="20"/>
              </w:rPr>
              <w:t>Pourcentage ayant utilisé un condom au cours des derniers rapports à</w:t>
            </w:r>
            <w:r>
              <w:rPr>
                <w:sz w:val="20"/>
                <w:szCs w:val="20"/>
              </w:rPr>
              <w:t xml:space="preserve"> haut risque</w:t>
            </w:r>
          </w:p>
        </w:tc>
        <w:tc>
          <w:tcPr>
            <w:tcW w:w="641" w:type="dxa"/>
          </w:tcPr>
          <w:p w:rsidR="00576F81" w:rsidRPr="00AE065C" w:rsidRDefault="00576F81" w:rsidP="00AE065C">
            <w:pPr>
              <w:rPr>
                <w:sz w:val="16"/>
                <w:szCs w:val="16"/>
              </w:rPr>
            </w:pPr>
            <w:r w:rsidRPr="00AE065C">
              <w:rPr>
                <w:sz w:val="16"/>
                <w:szCs w:val="16"/>
              </w:rPr>
              <w:t>15-19</w:t>
            </w: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r>
              <w:rPr>
                <w:sz w:val="20"/>
                <w:szCs w:val="20"/>
              </w:rPr>
              <w:t>46,4</w:t>
            </w:r>
          </w:p>
        </w:tc>
        <w:tc>
          <w:tcPr>
            <w:tcW w:w="641" w:type="dxa"/>
          </w:tcPr>
          <w:p w:rsidR="00576F81" w:rsidRDefault="00576F81" w:rsidP="00AE065C">
            <w:pPr>
              <w:rPr>
                <w:sz w:val="20"/>
                <w:szCs w:val="20"/>
              </w:rPr>
            </w:pPr>
            <w:r>
              <w:rPr>
                <w:sz w:val="20"/>
                <w:szCs w:val="20"/>
              </w:rPr>
              <w:t>61,6</w:t>
            </w:r>
          </w:p>
        </w:tc>
        <w:tc>
          <w:tcPr>
            <w:tcW w:w="641" w:type="dxa"/>
          </w:tcPr>
          <w:p w:rsidR="00576F81" w:rsidRDefault="00576F81" w:rsidP="00AE065C">
            <w:pPr>
              <w:rPr>
                <w:sz w:val="20"/>
                <w:szCs w:val="20"/>
              </w:rPr>
            </w:pPr>
            <w:r>
              <w:rPr>
                <w:sz w:val="20"/>
                <w:szCs w:val="20"/>
              </w:rPr>
              <w:t>57,3</w:t>
            </w:r>
          </w:p>
        </w:tc>
        <w:tc>
          <w:tcPr>
            <w:tcW w:w="641" w:type="dxa"/>
          </w:tcPr>
          <w:p w:rsidR="00576F81" w:rsidRDefault="00576F81" w:rsidP="00AE065C">
            <w:pPr>
              <w:rPr>
                <w:sz w:val="20"/>
                <w:szCs w:val="20"/>
              </w:rPr>
            </w:pPr>
            <w:r>
              <w:rPr>
                <w:sz w:val="20"/>
                <w:szCs w:val="20"/>
              </w:rPr>
              <w:t>76,4</w:t>
            </w:r>
          </w:p>
        </w:tc>
      </w:tr>
      <w:tr w:rsidR="00576F81" w:rsidTr="00576F81">
        <w:tc>
          <w:tcPr>
            <w:tcW w:w="449" w:type="dxa"/>
            <w:vMerge/>
          </w:tcPr>
          <w:p w:rsidR="00576F81" w:rsidRDefault="00576F81" w:rsidP="00A773D3">
            <w:pPr>
              <w:pStyle w:val="Paragraphedeliste"/>
              <w:numPr>
                <w:ilvl w:val="0"/>
                <w:numId w:val="5"/>
              </w:numPr>
            </w:pPr>
          </w:p>
        </w:tc>
        <w:tc>
          <w:tcPr>
            <w:tcW w:w="4018" w:type="dxa"/>
            <w:vMerge/>
          </w:tcPr>
          <w:p w:rsidR="00576F81" w:rsidRDefault="00576F81" w:rsidP="00AE065C">
            <w:pPr>
              <w:rPr>
                <w:sz w:val="20"/>
                <w:szCs w:val="20"/>
              </w:rPr>
            </w:pPr>
          </w:p>
        </w:tc>
        <w:tc>
          <w:tcPr>
            <w:tcW w:w="641" w:type="dxa"/>
          </w:tcPr>
          <w:p w:rsidR="00576F81" w:rsidRPr="00AE065C" w:rsidRDefault="00576F81" w:rsidP="00AE065C">
            <w:pPr>
              <w:rPr>
                <w:sz w:val="16"/>
                <w:szCs w:val="16"/>
              </w:rPr>
            </w:pPr>
            <w:r w:rsidRPr="00AE065C">
              <w:rPr>
                <w:sz w:val="16"/>
                <w:szCs w:val="16"/>
              </w:rPr>
              <w:t>20-24</w:t>
            </w: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p>
        </w:tc>
        <w:tc>
          <w:tcPr>
            <w:tcW w:w="641" w:type="dxa"/>
          </w:tcPr>
          <w:p w:rsidR="00576F81" w:rsidRDefault="00576F81" w:rsidP="00AE065C">
            <w:pPr>
              <w:rPr>
                <w:sz w:val="20"/>
                <w:szCs w:val="20"/>
              </w:rPr>
            </w:pPr>
            <w:r>
              <w:rPr>
                <w:sz w:val="20"/>
                <w:szCs w:val="20"/>
              </w:rPr>
              <w:t>67,4</w:t>
            </w:r>
          </w:p>
        </w:tc>
        <w:tc>
          <w:tcPr>
            <w:tcW w:w="641" w:type="dxa"/>
          </w:tcPr>
          <w:p w:rsidR="00576F81" w:rsidRDefault="00576F81" w:rsidP="00AE065C">
            <w:pPr>
              <w:rPr>
                <w:sz w:val="20"/>
                <w:szCs w:val="20"/>
              </w:rPr>
            </w:pPr>
            <w:r>
              <w:rPr>
                <w:sz w:val="20"/>
                <w:szCs w:val="20"/>
              </w:rPr>
              <w:t>71</w:t>
            </w:r>
          </w:p>
        </w:tc>
        <w:tc>
          <w:tcPr>
            <w:tcW w:w="641" w:type="dxa"/>
          </w:tcPr>
          <w:p w:rsidR="00576F81" w:rsidRDefault="00576F81" w:rsidP="00AE065C">
            <w:pPr>
              <w:rPr>
                <w:sz w:val="20"/>
                <w:szCs w:val="20"/>
              </w:rPr>
            </w:pPr>
            <w:r>
              <w:rPr>
                <w:sz w:val="20"/>
                <w:szCs w:val="20"/>
              </w:rPr>
              <w:t>73,6</w:t>
            </w:r>
          </w:p>
        </w:tc>
        <w:tc>
          <w:tcPr>
            <w:tcW w:w="641" w:type="dxa"/>
          </w:tcPr>
          <w:p w:rsidR="00576F81" w:rsidRDefault="00576F81" w:rsidP="00AE065C">
            <w:pPr>
              <w:rPr>
                <w:sz w:val="20"/>
                <w:szCs w:val="20"/>
              </w:rPr>
            </w:pPr>
            <w:r>
              <w:rPr>
                <w:sz w:val="20"/>
                <w:szCs w:val="20"/>
              </w:rPr>
              <w:t>74,2</w:t>
            </w:r>
          </w:p>
        </w:tc>
      </w:tr>
      <w:tr w:rsidR="00576F81" w:rsidTr="00576F81">
        <w:tc>
          <w:tcPr>
            <w:tcW w:w="449" w:type="dxa"/>
            <w:vMerge w:val="restart"/>
          </w:tcPr>
          <w:p w:rsidR="00576F81" w:rsidRDefault="00576F81" w:rsidP="00A773D3">
            <w:pPr>
              <w:pStyle w:val="Paragraphedeliste"/>
              <w:numPr>
                <w:ilvl w:val="0"/>
                <w:numId w:val="5"/>
              </w:numPr>
            </w:pPr>
          </w:p>
        </w:tc>
        <w:tc>
          <w:tcPr>
            <w:tcW w:w="4018" w:type="dxa"/>
            <w:vMerge w:val="restart"/>
          </w:tcPr>
          <w:p w:rsidR="00576F81" w:rsidRDefault="00576F81" w:rsidP="00576F81">
            <w:pPr>
              <w:rPr>
                <w:sz w:val="20"/>
                <w:szCs w:val="20"/>
              </w:rPr>
            </w:pPr>
            <w:r>
              <w:rPr>
                <w:sz w:val="20"/>
                <w:szCs w:val="20"/>
              </w:rPr>
              <w:t>Pourcentage de femmes ayant eu des rapports sexuels avec plus d’un partenaire au cours des 12 derniers mois</w:t>
            </w:r>
          </w:p>
        </w:tc>
        <w:tc>
          <w:tcPr>
            <w:tcW w:w="641" w:type="dxa"/>
          </w:tcPr>
          <w:p w:rsidR="00576F81" w:rsidRPr="00AE065C" w:rsidRDefault="00576F81" w:rsidP="00576F81">
            <w:pPr>
              <w:rPr>
                <w:sz w:val="16"/>
                <w:szCs w:val="16"/>
              </w:rPr>
            </w:pPr>
            <w:r w:rsidRPr="00AE065C">
              <w:rPr>
                <w:sz w:val="16"/>
                <w:szCs w:val="16"/>
              </w:rPr>
              <w:t>15-19</w:t>
            </w:r>
          </w:p>
        </w:tc>
        <w:tc>
          <w:tcPr>
            <w:tcW w:w="641" w:type="dxa"/>
          </w:tcPr>
          <w:p w:rsidR="00576F81" w:rsidRDefault="00576F81" w:rsidP="00576F81">
            <w:pPr>
              <w:rPr>
                <w:sz w:val="20"/>
                <w:szCs w:val="20"/>
              </w:rPr>
            </w:pPr>
            <w:r>
              <w:rPr>
                <w:sz w:val="20"/>
                <w:szCs w:val="20"/>
              </w:rPr>
              <w:t>2,3</w:t>
            </w:r>
          </w:p>
        </w:tc>
        <w:tc>
          <w:tcPr>
            <w:tcW w:w="641" w:type="dxa"/>
          </w:tcPr>
          <w:p w:rsidR="00576F81" w:rsidRDefault="00576F81" w:rsidP="00576F81">
            <w:pPr>
              <w:rPr>
                <w:sz w:val="20"/>
                <w:szCs w:val="20"/>
              </w:rPr>
            </w:pPr>
            <w:r>
              <w:rPr>
                <w:sz w:val="20"/>
                <w:szCs w:val="20"/>
              </w:rPr>
              <w:t>11,8</w:t>
            </w:r>
          </w:p>
        </w:tc>
        <w:tc>
          <w:tcPr>
            <w:tcW w:w="641" w:type="dxa"/>
          </w:tcPr>
          <w:p w:rsidR="00576F81" w:rsidRDefault="00576F81" w:rsidP="00576F81">
            <w:pPr>
              <w:rPr>
                <w:sz w:val="20"/>
                <w:szCs w:val="20"/>
              </w:rPr>
            </w:pPr>
          </w:p>
        </w:tc>
        <w:tc>
          <w:tcPr>
            <w:tcW w:w="641" w:type="dxa"/>
          </w:tcPr>
          <w:p w:rsidR="00576F81" w:rsidRDefault="00576F81" w:rsidP="00576F81">
            <w:pPr>
              <w:rPr>
                <w:sz w:val="20"/>
                <w:szCs w:val="20"/>
              </w:rPr>
            </w:pPr>
          </w:p>
        </w:tc>
        <w:tc>
          <w:tcPr>
            <w:tcW w:w="641" w:type="dxa"/>
          </w:tcPr>
          <w:p w:rsidR="00576F81" w:rsidRDefault="00576F81" w:rsidP="00576F81">
            <w:pPr>
              <w:rPr>
                <w:sz w:val="20"/>
                <w:szCs w:val="20"/>
              </w:rPr>
            </w:pPr>
            <w:r>
              <w:rPr>
                <w:sz w:val="20"/>
                <w:szCs w:val="20"/>
              </w:rPr>
              <w:t>0,9</w:t>
            </w:r>
          </w:p>
        </w:tc>
        <w:tc>
          <w:tcPr>
            <w:tcW w:w="641" w:type="dxa"/>
          </w:tcPr>
          <w:p w:rsidR="00576F81" w:rsidRDefault="00576F81" w:rsidP="00576F81">
            <w:pPr>
              <w:rPr>
                <w:sz w:val="20"/>
                <w:szCs w:val="20"/>
              </w:rPr>
            </w:pPr>
            <w:r>
              <w:rPr>
                <w:sz w:val="20"/>
                <w:szCs w:val="20"/>
              </w:rPr>
              <w:t>2</w:t>
            </w:r>
          </w:p>
        </w:tc>
      </w:tr>
      <w:tr w:rsidR="00576F81" w:rsidTr="00576F81">
        <w:tc>
          <w:tcPr>
            <w:tcW w:w="449" w:type="dxa"/>
            <w:vMerge/>
          </w:tcPr>
          <w:p w:rsidR="00576F81" w:rsidRDefault="00576F81" w:rsidP="00576F81"/>
        </w:tc>
        <w:tc>
          <w:tcPr>
            <w:tcW w:w="4018" w:type="dxa"/>
            <w:vMerge/>
          </w:tcPr>
          <w:p w:rsidR="00576F81" w:rsidRDefault="00576F81" w:rsidP="00576F81">
            <w:pPr>
              <w:rPr>
                <w:sz w:val="20"/>
                <w:szCs w:val="20"/>
              </w:rPr>
            </w:pPr>
          </w:p>
        </w:tc>
        <w:tc>
          <w:tcPr>
            <w:tcW w:w="641" w:type="dxa"/>
          </w:tcPr>
          <w:p w:rsidR="00576F81" w:rsidRPr="00AE065C" w:rsidRDefault="00576F81" w:rsidP="00576F81">
            <w:pPr>
              <w:rPr>
                <w:sz w:val="16"/>
                <w:szCs w:val="16"/>
              </w:rPr>
            </w:pPr>
            <w:r w:rsidRPr="00AE065C">
              <w:rPr>
                <w:sz w:val="16"/>
                <w:szCs w:val="16"/>
              </w:rPr>
              <w:t>20-24</w:t>
            </w:r>
          </w:p>
        </w:tc>
        <w:tc>
          <w:tcPr>
            <w:tcW w:w="641" w:type="dxa"/>
          </w:tcPr>
          <w:p w:rsidR="00576F81" w:rsidRDefault="00576F81" w:rsidP="00576F81">
            <w:pPr>
              <w:rPr>
                <w:sz w:val="20"/>
                <w:szCs w:val="20"/>
              </w:rPr>
            </w:pPr>
            <w:r>
              <w:rPr>
                <w:sz w:val="20"/>
                <w:szCs w:val="20"/>
              </w:rPr>
              <w:t>0,4</w:t>
            </w:r>
          </w:p>
        </w:tc>
        <w:tc>
          <w:tcPr>
            <w:tcW w:w="641" w:type="dxa"/>
          </w:tcPr>
          <w:p w:rsidR="00576F81" w:rsidRDefault="00576F81" w:rsidP="00576F81">
            <w:pPr>
              <w:rPr>
                <w:sz w:val="20"/>
                <w:szCs w:val="20"/>
              </w:rPr>
            </w:pPr>
            <w:r>
              <w:rPr>
                <w:sz w:val="20"/>
                <w:szCs w:val="20"/>
              </w:rPr>
              <w:t>16</w:t>
            </w:r>
          </w:p>
        </w:tc>
        <w:tc>
          <w:tcPr>
            <w:tcW w:w="641" w:type="dxa"/>
          </w:tcPr>
          <w:p w:rsidR="00576F81" w:rsidRDefault="00576F81" w:rsidP="00576F81">
            <w:pPr>
              <w:rPr>
                <w:sz w:val="20"/>
                <w:szCs w:val="20"/>
              </w:rPr>
            </w:pPr>
          </w:p>
        </w:tc>
        <w:tc>
          <w:tcPr>
            <w:tcW w:w="641" w:type="dxa"/>
          </w:tcPr>
          <w:p w:rsidR="00576F81" w:rsidRDefault="00576F81" w:rsidP="00576F81">
            <w:pPr>
              <w:rPr>
                <w:sz w:val="20"/>
                <w:szCs w:val="20"/>
              </w:rPr>
            </w:pPr>
          </w:p>
        </w:tc>
        <w:tc>
          <w:tcPr>
            <w:tcW w:w="641" w:type="dxa"/>
          </w:tcPr>
          <w:p w:rsidR="00576F81" w:rsidRDefault="00576F81" w:rsidP="00576F81">
            <w:pPr>
              <w:rPr>
                <w:sz w:val="20"/>
                <w:szCs w:val="20"/>
              </w:rPr>
            </w:pPr>
            <w:r>
              <w:rPr>
                <w:sz w:val="20"/>
                <w:szCs w:val="20"/>
              </w:rPr>
              <w:t>0,9</w:t>
            </w:r>
          </w:p>
        </w:tc>
        <w:tc>
          <w:tcPr>
            <w:tcW w:w="641" w:type="dxa"/>
          </w:tcPr>
          <w:p w:rsidR="00576F81" w:rsidRDefault="00576F81" w:rsidP="00576F81">
            <w:pPr>
              <w:rPr>
                <w:sz w:val="20"/>
                <w:szCs w:val="20"/>
              </w:rPr>
            </w:pPr>
            <w:r>
              <w:rPr>
                <w:sz w:val="20"/>
                <w:szCs w:val="20"/>
              </w:rPr>
              <w:t>11,5</w:t>
            </w:r>
          </w:p>
        </w:tc>
      </w:tr>
    </w:tbl>
    <w:p w:rsidR="00A27DC4" w:rsidRPr="006435D4" w:rsidRDefault="00AE065C" w:rsidP="001E2F3F">
      <w:pPr>
        <w:pStyle w:val="Titre1"/>
        <w:spacing w:after="0"/>
        <w:rPr>
          <w:rFonts w:eastAsia="Calibri"/>
          <w:b w:val="0"/>
          <w:caps w:val="0"/>
          <w:color w:val="auto"/>
          <w:sz w:val="22"/>
          <w:szCs w:val="22"/>
        </w:rPr>
      </w:pPr>
      <w:bookmarkStart w:id="0" w:name="_Toc522532902"/>
      <w:r w:rsidRPr="006435D4">
        <w:rPr>
          <w:rFonts w:eastAsia="Calibri"/>
          <w:b w:val="0"/>
          <w:caps w:val="0"/>
          <w:color w:val="auto"/>
          <w:sz w:val="22"/>
          <w:szCs w:val="22"/>
        </w:rPr>
        <w:t>La sant</w:t>
      </w:r>
      <w:r w:rsidR="00C43BA9" w:rsidRPr="006435D4">
        <w:rPr>
          <w:rFonts w:eastAsia="Calibri"/>
          <w:b w:val="0"/>
          <w:caps w:val="0"/>
          <w:color w:val="auto"/>
          <w:sz w:val="22"/>
          <w:szCs w:val="22"/>
        </w:rPr>
        <w:t>é</w:t>
      </w:r>
      <w:r w:rsidRPr="006435D4">
        <w:rPr>
          <w:rFonts w:eastAsia="Calibri"/>
          <w:b w:val="0"/>
          <w:caps w:val="0"/>
          <w:color w:val="auto"/>
          <w:sz w:val="22"/>
          <w:szCs w:val="22"/>
        </w:rPr>
        <w:t xml:space="preserve"> sexuelle et reproductive des adolescent</w:t>
      </w:r>
      <w:r w:rsidR="006435D4" w:rsidRPr="006435D4">
        <w:rPr>
          <w:rFonts w:eastAsia="Calibri"/>
          <w:b w:val="0"/>
          <w:caps w:val="0"/>
          <w:color w:val="auto"/>
          <w:sz w:val="22"/>
          <w:szCs w:val="22"/>
        </w:rPr>
        <w:t>s/</w:t>
      </w:r>
      <w:r w:rsidRPr="006435D4">
        <w:rPr>
          <w:rFonts w:eastAsia="Calibri"/>
          <w:b w:val="0"/>
          <w:caps w:val="0"/>
          <w:color w:val="auto"/>
          <w:sz w:val="22"/>
          <w:szCs w:val="22"/>
        </w:rPr>
        <w:t>jeunes</w:t>
      </w:r>
      <w:r w:rsidR="00A27DC4" w:rsidRPr="006435D4">
        <w:rPr>
          <w:rFonts w:eastAsia="Calibri"/>
          <w:b w:val="0"/>
          <w:caps w:val="0"/>
          <w:color w:val="auto"/>
          <w:sz w:val="22"/>
          <w:szCs w:val="22"/>
        </w:rPr>
        <w:t xml:space="preserve"> </w:t>
      </w:r>
      <w:r w:rsidR="000C3784" w:rsidRPr="006435D4">
        <w:rPr>
          <w:rFonts w:eastAsia="Calibri"/>
          <w:b w:val="0"/>
          <w:caps w:val="0"/>
          <w:color w:val="auto"/>
          <w:sz w:val="22"/>
          <w:szCs w:val="22"/>
        </w:rPr>
        <w:t xml:space="preserve">présente les caractéristiques suivantes : </w:t>
      </w:r>
    </w:p>
    <w:p w:rsidR="00C43BA9" w:rsidRPr="001E2F3F" w:rsidRDefault="00A27DC4" w:rsidP="001E2F3F">
      <w:pPr>
        <w:spacing w:after="0" w:line="360" w:lineRule="auto"/>
        <w:jc w:val="both"/>
        <w:rPr>
          <w:sz w:val="24"/>
          <w:szCs w:val="24"/>
        </w:rPr>
      </w:pPr>
      <w:r w:rsidRPr="001E2F3F">
        <w:rPr>
          <w:b/>
          <w:sz w:val="24"/>
          <w:szCs w:val="24"/>
        </w:rPr>
        <w:t>Une activité sexuelle précoce</w:t>
      </w:r>
      <w:r w:rsidRPr="001E2F3F">
        <w:rPr>
          <w:sz w:val="24"/>
          <w:szCs w:val="24"/>
        </w:rPr>
        <w:t> </w:t>
      </w:r>
    </w:p>
    <w:p w:rsidR="00A27DC4" w:rsidRPr="001E2F3F" w:rsidRDefault="00C43BA9" w:rsidP="001E2F3F">
      <w:pPr>
        <w:spacing w:after="0" w:line="360" w:lineRule="auto"/>
        <w:jc w:val="both"/>
        <w:rPr>
          <w:sz w:val="24"/>
          <w:szCs w:val="24"/>
        </w:rPr>
      </w:pPr>
      <w:r w:rsidRPr="001E2F3F">
        <w:rPr>
          <w:sz w:val="24"/>
          <w:szCs w:val="24"/>
        </w:rPr>
        <w:t>L</w:t>
      </w:r>
      <w:r w:rsidR="00A27DC4" w:rsidRPr="001E2F3F">
        <w:rPr>
          <w:sz w:val="24"/>
          <w:szCs w:val="24"/>
        </w:rPr>
        <w:t xml:space="preserve">e pourcentage des adolescents (9 – 14 ans) qui ont eu des rapports sexuels avant l’âge de 15 ans va de 12 à 20,5% pour les filles et de 13,9 à 7 % pour les garçons. Le pourcentage des jeunes (20 – 24 ans) qui ont eu des rapports sexuels avant l’âge de 15 ans va de </w:t>
      </w:r>
      <w:r w:rsidRPr="001E2F3F">
        <w:rPr>
          <w:sz w:val="24"/>
          <w:szCs w:val="24"/>
        </w:rPr>
        <w:t xml:space="preserve">10,3 à </w:t>
      </w:r>
      <w:r w:rsidR="00A27DC4" w:rsidRPr="001E2F3F">
        <w:rPr>
          <w:sz w:val="24"/>
          <w:szCs w:val="24"/>
        </w:rPr>
        <w:t>21</w:t>
      </w:r>
      <w:r w:rsidRPr="001E2F3F">
        <w:rPr>
          <w:sz w:val="24"/>
          <w:szCs w:val="24"/>
        </w:rPr>
        <w:t>,5</w:t>
      </w:r>
      <w:r w:rsidR="00A27DC4" w:rsidRPr="001E2F3F">
        <w:rPr>
          <w:sz w:val="24"/>
          <w:szCs w:val="24"/>
        </w:rPr>
        <w:t xml:space="preserve"> % </w:t>
      </w:r>
      <w:r w:rsidRPr="001E2F3F">
        <w:rPr>
          <w:sz w:val="24"/>
          <w:szCs w:val="24"/>
        </w:rPr>
        <w:t>pour les filles et de 7,5 à 27,4 % pour les jeunes hommes</w:t>
      </w:r>
      <w:r w:rsidR="00752A84" w:rsidRPr="001E2F3F">
        <w:rPr>
          <w:sz w:val="24"/>
          <w:szCs w:val="24"/>
        </w:rPr>
        <w:t xml:space="preserve"> (Tableau)</w:t>
      </w:r>
      <w:r w:rsidRPr="001E2F3F">
        <w:rPr>
          <w:sz w:val="24"/>
          <w:szCs w:val="24"/>
        </w:rPr>
        <w:t>.</w:t>
      </w:r>
    </w:p>
    <w:p w:rsidR="00AE065C" w:rsidRPr="001E2F3F" w:rsidRDefault="00A27DC4" w:rsidP="006435D4">
      <w:pPr>
        <w:pStyle w:val="Titre1"/>
        <w:spacing w:before="0" w:after="0" w:line="360" w:lineRule="auto"/>
        <w:rPr>
          <w:rFonts w:eastAsia="Calibri"/>
          <w:b w:val="0"/>
          <w:caps w:val="0"/>
          <w:color w:val="auto"/>
          <w:sz w:val="24"/>
          <w:szCs w:val="24"/>
        </w:rPr>
      </w:pPr>
      <w:r w:rsidRPr="001E2F3F">
        <w:rPr>
          <w:rFonts w:eastAsia="Calibri"/>
          <w:caps w:val="0"/>
          <w:color w:val="auto"/>
          <w:sz w:val="24"/>
          <w:szCs w:val="24"/>
        </w:rPr>
        <w:t>Une entrée précoce dans la vie féconde</w:t>
      </w:r>
      <w:r w:rsidRPr="001E2F3F">
        <w:rPr>
          <w:rFonts w:eastAsia="Calibri"/>
          <w:b w:val="0"/>
          <w:caps w:val="0"/>
          <w:color w:val="auto"/>
          <w:sz w:val="24"/>
          <w:szCs w:val="24"/>
        </w:rPr>
        <w:t xml:space="preserve"> </w:t>
      </w:r>
    </w:p>
    <w:p w:rsidR="00C43BA9" w:rsidRPr="001E2F3F" w:rsidRDefault="00C43BA9" w:rsidP="00A54FC4">
      <w:pPr>
        <w:spacing w:after="0" w:line="360" w:lineRule="auto"/>
        <w:jc w:val="both"/>
        <w:rPr>
          <w:sz w:val="24"/>
          <w:szCs w:val="24"/>
        </w:rPr>
      </w:pPr>
      <w:r w:rsidRPr="001E2F3F">
        <w:rPr>
          <w:sz w:val="24"/>
          <w:szCs w:val="24"/>
        </w:rPr>
        <w:t xml:space="preserve">Parmi la population des adolescentes, 23,2 à 25 % d’entre elles sont déjà entrées dans la vie féconde avec </w:t>
      </w:r>
      <w:r w:rsidR="000C3784" w:rsidRPr="001E2F3F">
        <w:rPr>
          <w:sz w:val="24"/>
          <w:szCs w:val="24"/>
        </w:rPr>
        <w:t>17,4 à 20 % d’entre elles qui sont déjà mères d’un enfant et 4,9 à 5,8 % qui sont enceintes pour la première fois</w:t>
      </w:r>
      <w:r w:rsidR="00752A84" w:rsidRPr="001E2F3F">
        <w:rPr>
          <w:sz w:val="24"/>
          <w:szCs w:val="24"/>
        </w:rPr>
        <w:t xml:space="preserve"> (Tableau)</w:t>
      </w:r>
      <w:r w:rsidR="000C3784" w:rsidRPr="001E2F3F">
        <w:rPr>
          <w:sz w:val="24"/>
          <w:szCs w:val="24"/>
        </w:rPr>
        <w:t>.</w:t>
      </w:r>
      <w:r w:rsidR="00752A84" w:rsidRPr="001E2F3F">
        <w:rPr>
          <w:sz w:val="24"/>
          <w:szCs w:val="24"/>
        </w:rPr>
        <w:t xml:space="preserve"> Avec de 27,8 à 29,2 % pour 11,3 à 14 %</w:t>
      </w:r>
      <w:r w:rsidR="002F2DCF" w:rsidRPr="001E2F3F">
        <w:rPr>
          <w:sz w:val="24"/>
          <w:szCs w:val="24"/>
        </w:rPr>
        <w:t>, l’</w:t>
      </w:r>
      <w:r w:rsidR="00752A84" w:rsidRPr="001E2F3F">
        <w:rPr>
          <w:sz w:val="24"/>
          <w:szCs w:val="24"/>
        </w:rPr>
        <w:t>entr</w:t>
      </w:r>
      <w:r w:rsidR="002F2DCF" w:rsidRPr="001E2F3F">
        <w:rPr>
          <w:sz w:val="24"/>
          <w:szCs w:val="24"/>
        </w:rPr>
        <w:t>é</w:t>
      </w:r>
      <w:r w:rsidR="00752A84" w:rsidRPr="001E2F3F">
        <w:rPr>
          <w:sz w:val="24"/>
          <w:szCs w:val="24"/>
        </w:rPr>
        <w:t xml:space="preserve">e </w:t>
      </w:r>
      <w:r w:rsidR="00752A84" w:rsidRPr="001E2F3F">
        <w:rPr>
          <w:sz w:val="24"/>
          <w:szCs w:val="24"/>
        </w:rPr>
        <w:lastRenderedPageBreak/>
        <w:t xml:space="preserve">dans la vie </w:t>
      </w:r>
      <w:r w:rsidR="002F2DCF" w:rsidRPr="001E2F3F">
        <w:rPr>
          <w:sz w:val="24"/>
          <w:szCs w:val="24"/>
        </w:rPr>
        <w:t>féconde des adolescentes du monde rurale est encore plus précoce que celles des zones urbaines</w:t>
      </w:r>
      <w:r w:rsidR="002F2DCF" w:rsidRPr="001E2F3F">
        <w:rPr>
          <w:rStyle w:val="Appelnotedebasdep"/>
          <w:sz w:val="24"/>
          <w:szCs w:val="24"/>
        </w:rPr>
        <w:footnoteReference w:id="14"/>
      </w:r>
      <w:r w:rsidR="002F2DCF" w:rsidRPr="001E2F3F">
        <w:rPr>
          <w:sz w:val="24"/>
          <w:szCs w:val="24"/>
        </w:rPr>
        <w:t>.</w:t>
      </w:r>
      <w:r w:rsidR="00752A84" w:rsidRPr="001E2F3F">
        <w:rPr>
          <w:sz w:val="24"/>
          <w:szCs w:val="24"/>
        </w:rPr>
        <w:t xml:space="preserve"> </w:t>
      </w:r>
    </w:p>
    <w:p w:rsidR="002F2DCF" w:rsidRPr="001E2F3F" w:rsidRDefault="002F2DCF" w:rsidP="001E2F3F">
      <w:pPr>
        <w:spacing w:after="0" w:line="360" w:lineRule="auto"/>
        <w:jc w:val="both"/>
        <w:rPr>
          <w:b/>
          <w:sz w:val="24"/>
          <w:szCs w:val="24"/>
        </w:rPr>
      </w:pPr>
      <w:r w:rsidRPr="001E2F3F">
        <w:rPr>
          <w:b/>
          <w:sz w:val="24"/>
          <w:szCs w:val="24"/>
        </w:rPr>
        <w:t>La pratique de rapports sexuels à haut risque et non protégés</w:t>
      </w:r>
    </w:p>
    <w:p w:rsidR="002F2DCF" w:rsidRPr="001E2F3F" w:rsidRDefault="00DD4489" w:rsidP="001E2F3F">
      <w:pPr>
        <w:spacing w:after="0" w:line="360" w:lineRule="auto"/>
        <w:jc w:val="both"/>
        <w:rPr>
          <w:sz w:val="24"/>
          <w:szCs w:val="24"/>
        </w:rPr>
      </w:pPr>
      <w:r w:rsidRPr="001E2F3F">
        <w:rPr>
          <w:sz w:val="24"/>
          <w:szCs w:val="24"/>
        </w:rPr>
        <w:t xml:space="preserve">En 1999, </w:t>
      </w:r>
      <w:r w:rsidR="00BC6E90" w:rsidRPr="001E2F3F">
        <w:rPr>
          <w:sz w:val="24"/>
          <w:szCs w:val="24"/>
        </w:rPr>
        <w:t>l</w:t>
      </w:r>
      <w:r w:rsidR="002F2DCF" w:rsidRPr="001E2F3F">
        <w:rPr>
          <w:sz w:val="24"/>
          <w:szCs w:val="24"/>
        </w:rPr>
        <w:t xml:space="preserve">e pourcentage de femmes ayant eu des rapports sexuels avec plus d’un partenaire au cours des 12 derniers mois </w:t>
      </w:r>
      <w:r w:rsidRPr="001E2F3F">
        <w:rPr>
          <w:sz w:val="24"/>
          <w:szCs w:val="24"/>
        </w:rPr>
        <w:t>éta</w:t>
      </w:r>
      <w:r w:rsidR="002F2DCF" w:rsidRPr="001E2F3F">
        <w:rPr>
          <w:sz w:val="24"/>
          <w:szCs w:val="24"/>
        </w:rPr>
        <w:t>ient de</w:t>
      </w:r>
      <w:r w:rsidR="00BC6E90" w:rsidRPr="001E2F3F">
        <w:rPr>
          <w:sz w:val="24"/>
          <w:szCs w:val="24"/>
        </w:rPr>
        <w:t xml:space="preserve"> 2,3 % pour les </w:t>
      </w:r>
      <w:r w:rsidRPr="001E2F3F">
        <w:rPr>
          <w:sz w:val="24"/>
          <w:szCs w:val="24"/>
        </w:rPr>
        <w:t>adolescent</w:t>
      </w:r>
      <w:r w:rsidR="00BC6E90" w:rsidRPr="001E2F3F">
        <w:rPr>
          <w:sz w:val="24"/>
          <w:szCs w:val="24"/>
        </w:rPr>
        <w:t>es</w:t>
      </w:r>
      <w:r w:rsidRPr="001E2F3F">
        <w:rPr>
          <w:sz w:val="24"/>
          <w:szCs w:val="24"/>
        </w:rPr>
        <w:t xml:space="preserve"> </w:t>
      </w:r>
      <w:r w:rsidR="00BC6E90" w:rsidRPr="001E2F3F">
        <w:rPr>
          <w:sz w:val="24"/>
          <w:szCs w:val="24"/>
        </w:rPr>
        <w:t xml:space="preserve">et 11,8 % pour les </w:t>
      </w:r>
      <w:r w:rsidRPr="001E2F3F">
        <w:rPr>
          <w:sz w:val="24"/>
          <w:szCs w:val="24"/>
        </w:rPr>
        <w:t>adolescents et 2010 ces proportions étaient respectivement de 0,9 et 2 %</w:t>
      </w:r>
      <w:r w:rsidR="00BC6E90" w:rsidRPr="001E2F3F">
        <w:rPr>
          <w:sz w:val="24"/>
          <w:szCs w:val="24"/>
        </w:rPr>
        <w:t xml:space="preserve">. </w:t>
      </w:r>
      <w:r w:rsidR="00597748" w:rsidRPr="001E2F3F">
        <w:rPr>
          <w:sz w:val="24"/>
          <w:szCs w:val="24"/>
        </w:rPr>
        <w:t>Dans la population des jeunes (20-24 ans), c</w:t>
      </w:r>
      <w:r w:rsidR="00BC6E90" w:rsidRPr="001E2F3F">
        <w:rPr>
          <w:sz w:val="24"/>
          <w:szCs w:val="24"/>
        </w:rPr>
        <w:t xml:space="preserve">es proportions étaient respectivement de 0,4 % et 16 % </w:t>
      </w:r>
      <w:r w:rsidR="00597748" w:rsidRPr="001E2F3F">
        <w:rPr>
          <w:sz w:val="24"/>
          <w:szCs w:val="24"/>
        </w:rPr>
        <w:t>en 1999 et de 0,9 et 11,5 % en 2010.</w:t>
      </w:r>
    </w:p>
    <w:p w:rsidR="00DB7798" w:rsidRPr="001E2F3F" w:rsidRDefault="00597748" w:rsidP="001E2F3F">
      <w:pPr>
        <w:spacing w:after="0" w:line="360" w:lineRule="auto"/>
        <w:jc w:val="both"/>
        <w:rPr>
          <w:sz w:val="24"/>
          <w:szCs w:val="24"/>
        </w:rPr>
      </w:pPr>
      <w:r w:rsidRPr="001E2F3F">
        <w:rPr>
          <w:sz w:val="24"/>
          <w:szCs w:val="24"/>
        </w:rPr>
        <w:t xml:space="preserve">Parmi les 15 – 19 ans, le pourcentage des adolescents ayant utilisé un condom au cours des derniers rapports à haut risque était de </w:t>
      </w:r>
      <w:r w:rsidR="00DB7798" w:rsidRPr="001E2F3F">
        <w:rPr>
          <w:sz w:val="24"/>
          <w:szCs w:val="24"/>
        </w:rPr>
        <w:t>46,4 % pour les filles et 61,6 % pour les garçons en 2003 et de 57,3 % et 76,4 % en 2010.</w:t>
      </w:r>
      <w:r w:rsidR="00AC4F28" w:rsidRPr="001E2F3F">
        <w:rPr>
          <w:sz w:val="24"/>
          <w:szCs w:val="24"/>
        </w:rPr>
        <w:t xml:space="preserve"> </w:t>
      </w:r>
      <w:r w:rsidR="004B2318" w:rsidRPr="001E2F3F">
        <w:rPr>
          <w:sz w:val="24"/>
          <w:szCs w:val="24"/>
        </w:rPr>
        <w:t xml:space="preserve"> </w:t>
      </w:r>
      <w:r w:rsidR="00DB7798" w:rsidRPr="001E2F3F">
        <w:rPr>
          <w:sz w:val="24"/>
          <w:szCs w:val="24"/>
        </w:rPr>
        <w:t>Dans la population des 20-24 ans</w:t>
      </w:r>
      <w:r w:rsidR="00E71C47" w:rsidRPr="001E2F3F">
        <w:rPr>
          <w:sz w:val="24"/>
          <w:szCs w:val="24"/>
        </w:rPr>
        <w:t>,</w:t>
      </w:r>
      <w:r w:rsidR="00DB7798" w:rsidRPr="001E2F3F">
        <w:rPr>
          <w:sz w:val="24"/>
          <w:szCs w:val="24"/>
        </w:rPr>
        <w:t xml:space="preserve"> ces proportions étaient respectivement de 67,4 % et 71 % en 2003 et 73,6 et 74,2 % en 2010. </w:t>
      </w:r>
    </w:p>
    <w:p w:rsidR="00AC4F28" w:rsidRPr="001E2F3F" w:rsidRDefault="00AC4F28" w:rsidP="001E2F3F">
      <w:pPr>
        <w:spacing w:after="0" w:line="360" w:lineRule="auto"/>
        <w:jc w:val="both"/>
        <w:rPr>
          <w:sz w:val="24"/>
          <w:szCs w:val="24"/>
        </w:rPr>
      </w:pPr>
      <w:r w:rsidRPr="001E2F3F">
        <w:rPr>
          <w:sz w:val="24"/>
          <w:szCs w:val="24"/>
        </w:rPr>
        <w:t>En 2010, la proportion des rapports à risque mais protégés a légèrement progressé</w:t>
      </w:r>
      <w:r w:rsidR="0039318F" w:rsidRPr="001E2F3F">
        <w:rPr>
          <w:sz w:val="24"/>
          <w:szCs w:val="24"/>
        </w:rPr>
        <w:t xml:space="preserve">. Cette progression est un peu plus chez les garçons que chez les filles où on observe </w:t>
      </w:r>
      <w:r w:rsidRPr="001E2F3F">
        <w:rPr>
          <w:sz w:val="24"/>
          <w:szCs w:val="24"/>
        </w:rPr>
        <w:t>plus de 42 % de rapports</w:t>
      </w:r>
      <w:r w:rsidR="0039318F" w:rsidRPr="001E2F3F">
        <w:rPr>
          <w:sz w:val="24"/>
          <w:szCs w:val="24"/>
        </w:rPr>
        <w:t xml:space="preserve"> sexuels à risque sans protection </w:t>
      </w:r>
      <w:r w:rsidRPr="001E2F3F">
        <w:rPr>
          <w:sz w:val="24"/>
          <w:szCs w:val="24"/>
        </w:rPr>
        <w:t xml:space="preserve">chez les 15-19 ans et </w:t>
      </w:r>
      <w:r w:rsidR="0039318F" w:rsidRPr="001E2F3F">
        <w:rPr>
          <w:sz w:val="24"/>
          <w:szCs w:val="24"/>
        </w:rPr>
        <w:t xml:space="preserve">26 % chez les 20-24 ans. </w:t>
      </w:r>
    </w:p>
    <w:p w:rsidR="00B54701" w:rsidRPr="001E2F3F" w:rsidRDefault="00B54701" w:rsidP="001E2F3F">
      <w:pPr>
        <w:spacing w:after="0" w:line="360" w:lineRule="auto"/>
        <w:jc w:val="both"/>
        <w:rPr>
          <w:b/>
          <w:sz w:val="24"/>
          <w:szCs w:val="24"/>
        </w:rPr>
      </w:pPr>
      <w:r w:rsidRPr="001E2F3F">
        <w:rPr>
          <w:b/>
          <w:sz w:val="24"/>
          <w:szCs w:val="24"/>
        </w:rPr>
        <w:t>Les IST et VIH-SIDA</w:t>
      </w:r>
    </w:p>
    <w:p w:rsidR="00B54701" w:rsidRPr="001E2F3F" w:rsidRDefault="00B54701" w:rsidP="001E2F3F">
      <w:pPr>
        <w:spacing w:after="0" w:line="360" w:lineRule="auto"/>
        <w:jc w:val="both"/>
        <w:rPr>
          <w:sz w:val="24"/>
          <w:szCs w:val="24"/>
        </w:rPr>
      </w:pPr>
      <w:r w:rsidRPr="001E2F3F">
        <w:rPr>
          <w:sz w:val="24"/>
          <w:szCs w:val="24"/>
        </w:rPr>
        <w:t>La proportion des adolescents ayant déclaré avoir fait une IST au cours des derniers 12 mois précédents l’enquête était pour les filles et les garçons de 0,3 et 1,9 % en 1999, 1,6 et 1,3 % en 2003 et 2,9 et 1,5 % en 2010. La tendance est variable chez les adolescents, mais par contre elle est croissante chez les adolescentes.</w:t>
      </w:r>
    </w:p>
    <w:p w:rsidR="00B54701" w:rsidRPr="001E2F3F" w:rsidRDefault="00B54701" w:rsidP="001E2F3F">
      <w:pPr>
        <w:spacing w:after="0" w:line="360" w:lineRule="auto"/>
        <w:jc w:val="both"/>
        <w:rPr>
          <w:sz w:val="24"/>
          <w:szCs w:val="24"/>
        </w:rPr>
      </w:pPr>
      <w:r w:rsidRPr="001E2F3F">
        <w:rPr>
          <w:rFonts w:cs="Arial"/>
          <w:sz w:val="24"/>
          <w:szCs w:val="24"/>
        </w:rPr>
        <w:t>En 2010, la prévalence du VIH/SIDA est de 0,1% pour les filles et 0,4 pour les garçons de 15-19 ans.  Chez les 20-24 ans, elle était de 0,4 % pour les filles et de 0,5 % pour les garçons</w:t>
      </w:r>
      <w:r w:rsidRPr="001E2F3F">
        <w:rPr>
          <w:rStyle w:val="Appelnotedebasdep"/>
          <w:rFonts w:cs="Arial"/>
          <w:sz w:val="24"/>
          <w:szCs w:val="24"/>
        </w:rPr>
        <w:footnoteReference w:id="15"/>
      </w:r>
      <w:r w:rsidRPr="001E2F3F">
        <w:rPr>
          <w:rFonts w:cs="Arial"/>
          <w:sz w:val="24"/>
          <w:szCs w:val="24"/>
        </w:rPr>
        <w:t>.</w:t>
      </w:r>
    </w:p>
    <w:p w:rsidR="004735F7" w:rsidRPr="001E2F3F" w:rsidRDefault="004735F7" w:rsidP="001E2F3F">
      <w:pPr>
        <w:spacing w:after="0" w:line="360" w:lineRule="auto"/>
        <w:jc w:val="both"/>
        <w:rPr>
          <w:b/>
          <w:sz w:val="24"/>
          <w:szCs w:val="24"/>
        </w:rPr>
      </w:pPr>
      <w:r w:rsidRPr="001E2F3F">
        <w:rPr>
          <w:b/>
          <w:sz w:val="24"/>
          <w:szCs w:val="24"/>
        </w:rPr>
        <w:t xml:space="preserve">Grossesses non désirées et avortements clandestins </w:t>
      </w:r>
    </w:p>
    <w:p w:rsidR="004B2318" w:rsidRPr="001E2F3F" w:rsidRDefault="004735F7" w:rsidP="00A54FC4">
      <w:pPr>
        <w:spacing w:after="0" w:line="360" w:lineRule="auto"/>
        <w:jc w:val="both"/>
        <w:rPr>
          <w:rFonts w:cs="Arial"/>
          <w:sz w:val="24"/>
          <w:szCs w:val="24"/>
        </w:rPr>
      </w:pPr>
      <w:r w:rsidRPr="001E2F3F">
        <w:rPr>
          <w:rFonts w:cs="Arial"/>
          <w:sz w:val="24"/>
          <w:szCs w:val="24"/>
        </w:rPr>
        <w:t>Les grossesses non désirées chez les adolescents et jeunes sont la conséquence d’une sexualité précoce, à risque non protégée et un taux d’utilisation bas de la contraception. Cette situation entraine un enchaînement de problèmes dont l</w:t>
      </w:r>
      <w:r w:rsidR="007C0E33" w:rsidRPr="001E2F3F">
        <w:rPr>
          <w:rFonts w:cs="Arial"/>
          <w:sz w:val="24"/>
          <w:szCs w:val="24"/>
        </w:rPr>
        <w:t>’</w:t>
      </w:r>
      <w:r w:rsidRPr="001E2F3F">
        <w:rPr>
          <w:rFonts w:cs="Arial"/>
          <w:sz w:val="24"/>
          <w:szCs w:val="24"/>
        </w:rPr>
        <w:t>avortement clandestin, l</w:t>
      </w:r>
      <w:r w:rsidR="007C0E33" w:rsidRPr="001E2F3F">
        <w:rPr>
          <w:rFonts w:cs="Arial"/>
          <w:sz w:val="24"/>
          <w:szCs w:val="24"/>
        </w:rPr>
        <w:t>’</w:t>
      </w:r>
      <w:r w:rsidRPr="001E2F3F">
        <w:rPr>
          <w:rFonts w:cs="Arial"/>
          <w:sz w:val="24"/>
          <w:szCs w:val="24"/>
        </w:rPr>
        <w:t>infanticide, l</w:t>
      </w:r>
      <w:r w:rsidR="007C0E33" w:rsidRPr="001E2F3F">
        <w:rPr>
          <w:rFonts w:cs="Arial"/>
          <w:sz w:val="24"/>
          <w:szCs w:val="24"/>
        </w:rPr>
        <w:t>’</w:t>
      </w:r>
      <w:r w:rsidRPr="001E2F3F">
        <w:rPr>
          <w:rFonts w:cs="Arial"/>
          <w:sz w:val="24"/>
          <w:szCs w:val="24"/>
        </w:rPr>
        <w:t>abandon scolaire et l</w:t>
      </w:r>
      <w:r w:rsidR="007C0E33" w:rsidRPr="001E2F3F">
        <w:rPr>
          <w:rFonts w:cs="Arial"/>
          <w:sz w:val="24"/>
          <w:szCs w:val="24"/>
        </w:rPr>
        <w:t>’</w:t>
      </w:r>
      <w:r w:rsidRPr="001E2F3F">
        <w:rPr>
          <w:rFonts w:cs="Arial"/>
          <w:sz w:val="24"/>
          <w:szCs w:val="24"/>
        </w:rPr>
        <w:t>exclusion familiale.</w:t>
      </w:r>
      <w:r w:rsidR="004B2318" w:rsidRPr="001E2F3F">
        <w:rPr>
          <w:rFonts w:cs="Arial"/>
          <w:sz w:val="24"/>
          <w:szCs w:val="24"/>
        </w:rPr>
        <w:t xml:space="preserve"> </w:t>
      </w:r>
    </w:p>
    <w:p w:rsidR="004B2318" w:rsidRPr="001E2F3F" w:rsidRDefault="004B2318" w:rsidP="00A54FC4">
      <w:pPr>
        <w:spacing w:after="0" w:line="360" w:lineRule="auto"/>
        <w:jc w:val="both"/>
        <w:rPr>
          <w:rFonts w:cs="Arial"/>
          <w:i/>
          <w:sz w:val="24"/>
          <w:szCs w:val="24"/>
        </w:rPr>
      </w:pPr>
      <w:r w:rsidRPr="001E2F3F">
        <w:rPr>
          <w:rFonts w:cs="Arial"/>
          <w:sz w:val="24"/>
          <w:szCs w:val="24"/>
        </w:rPr>
        <w:t>En 2015, la prévalence contraceptive chez les 15-19 ans et de 12,6 et 21,6% chez les 20-24 ans</w:t>
      </w:r>
      <w:r w:rsidRPr="001E2F3F">
        <w:rPr>
          <w:rStyle w:val="Appelnotedebasdep"/>
          <w:rFonts w:cs="Arial"/>
          <w:sz w:val="24"/>
          <w:szCs w:val="24"/>
        </w:rPr>
        <w:footnoteReference w:id="16"/>
      </w:r>
      <w:r w:rsidRPr="001E2F3F">
        <w:rPr>
          <w:rFonts w:cs="Arial"/>
          <w:sz w:val="24"/>
          <w:szCs w:val="24"/>
        </w:rPr>
        <w:t>.</w:t>
      </w:r>
    </w:p>
    <w:p w:rsidR="00B54701" w:rsidRPr="001E2F3F" w:rsidRDefault="004735F7" w:rsidP="00A54FC4">
      <w:pPr>
        <w:spacing w:after="0" w:line="360" w:lineRule="auto"/>
        <w:jc w:val="both"/>
        <w:rPr>
          <w:rFonts w:cs="OfficinaSans-Book"/>
          <w:sz w:val="24"/>
          <w:szCs w:val="24"/>
        </w:rPr>
      </w:pPr>
      <w:r w:rsidRPr="001E2F3F">
        <w:rPr>
          <w:rFonts w:cs="Arial"/>
          <w:sz w:val="24"/>
          <w:szCs w:val="24"/>
        </w:rPr>
        <w:lastRenderedPageBreak/>
        <w:t xml:space="preserve"> </w:t>
      </w:r>
      <w:r w:rsidR="00B54701" w:rsidRPr="001E2F3F">
        <w:rPr>
          <w:rFonts w:cs="OfficinaSans-Book"/>
          <w:sz w:val="24"/>
          <w:szCs w:val="24"/>
        </w:rPr>
        <w:t>En 2012, environ 105 000 avortements ont été pratiqués au Burkina Faso</w:t>
      </w:r>
      <w:r w:rsidR="00A54FC4">
        <w:rPr>
          <w:rFonts w:cs="OfficinaSans-Book"/>
          <w:sz w:val="24"/>
          <w:szCs w:val="24"/>
        </w:rPr>
        <w:t xml:space="preserve"> et</w:t>
      </w:r>
      <w:r w:rsidR="00B54701" w:rsidRPr="001E2F3F">
        <w:rPr>
          <w:rFonts w:cs="OfficinaSans-Book"/>
          <w:sz w:val="24"/>
          <w:szCs w:val="24"/>
        </w:rPr>
        <w:t xml:space="preserve"> le taux</w:t>
      </w:r>
      <w:r w:rsidR="00A54FC4" w:rsidRPr="00A54FC4">
        <w:rPr>
          <w:rFonts w:cs="OfficinaSans-Book"/>
          <w:sz w:val="24"/>
          <w:szCs w:val="24"/>
        </w:rPr>
        <w:t xml:space="preserve"> </w:t>
      </w:r>
      <w:r w:rsidR="00A54FC4" w:rsidRPr="001E2F3F">
        <w:rPr>
          <w:rFonts w:cs="OfficinaSans-Book"/>
          <w:sz w:val="24"/>
          <w:szCs w:val="24"/>
        </w:rPr>
        <w:t>national</w:t>
      </w:r>
      <w:r w:rsidR="00B54701" w:rsidRPr="001E2F3F">
        <w:rPr>
          <w:rFonts w:cs="OfficinaSans-Book"/>
          <w:sz w:val="24"/>
          <w:szCs w:val="24"/>
        </w:rPr>
        <w:t xml:space="preserve"> d’avortement était de 25 pour 1 000 femmes âgées de 15 à 49 ans.</w:t>
      </w:r>
    </w:p>
    <w:p w:rsidR="00D60C49" w:rsidRPr="001E2F3F" w:rsidRDefault="00D60C49" w:rsidP="001E2F3F">
      <w:pPr>
        <w:spacing w:after="0" w:line="360" w:lineRule="auto"/>
        <w:jc w:val="both"/>
        <w:rPr>
          <w:sz w:val="24"/>
          <w:szCs w:val="24"/>
        </w:rPr>
      </w:pPr>
      <w:r w:rsidRPr="001E2F3F">
        <w:rPr>
          <w:sz w:val="24"/>
          <w:szCs w:val="24"/>
        </w:rPr>
        <w:t>En 2008, 65% des femmes qui avaient eu recours à l’avortement dans les deux années précédentes avaient entre 15 et 24 ans. Six femmes sur 10 qui ont avorté n’étaient pas mariées.</w:t>
      </w:r>
    </w:p>
    <w:p w:rsidR="00D60C49" w:rsidRPr="001E2F3F" w:rsidRDefault="00D60C49" w:rsidP="001E2F3F">
      <w:pPr>
        <w:autoSpaceDE w:val="0"/>
        <w:autoSpaceDN w:val="0"/>
        <w:adjustRightInd w:val="0"/>
        <w:spacing w:after="0" w:line="360" w:lineRule="auto"/>
        <w:jc w:val="both"/>
        <w:rPr>
          <w:rFonts w:cs="OfficinaSans-Book"/>
          <w:sz w:val="24"/>
          <w:szCs w:val="24"/>
        </w:rPr>
      </w:pPr>
      <w:r w:rsidRPr="001E2F3F">
        <w:rPr>
          <w:sz w:val="24"/>
          <w:szCs w:val="24"/>
        </w:rPr>
        <w:t xml:space="preserve">Le recours à des méthodes d’avortement sûr reste très faible au Burkina Faso et il est presque inexistant chez les femmes des zones </w:t>
      </w:r>
      <w:r w:rsidR="0003358C" w:rsidRPr="001E2F3F">
        <w:rPr>
          <w:sz w:val="24"/>
          <w:szCs w:val="24"/>
        </w:rPr>
        <w:t>rurales où</w:t>
      </w:r>
      <w:r w:rsidRPr="001E2F3F">
        <w:rPr>
          <w:sz w:val="24"/>
          <w:szCs w:val="24"/>
        </w:rPr>
        <w:t xml:space="preserve"> 97% des avortements sont à risque.</w:t>
      </w:r>
      <w:r w:rsidRPr="001E2F3F">
        <w:rPr>
          <w:rFonts w:cs="OfficinaSans-Book"/>
          <w:sz w:val="24"/>
          <w:szCs w:val="24"/>
        </w:rPr>
        <w:t xml:space="preserve"> </w:t>
      </w:r>
    </w:p>
    <w:p w:rsidR="00D60C49" w:rsidRPr="001E2F3F" w:rsidRDefault="0003358C" w:rsidP="001E2F3F">
      <w:pPr>
        <w:autoSpaceDE w:val="0"/>
        <w:autoSpaceDN w:val="0"/>
        <w:adjustRightInd w:val="0"/>
        <w:spacing w:after="0" w:line="360" w:lineRule="auto"/>
        <w:jc w:val="both"/>
        <w:rPr>
          <w:rFonts w:cs="OfficinaSans-Book"/>
          <w:sz w:val="24"/>
          <w:szCs w:val="24"/>
        </w:rPr>
      </w:pPr>
      <w:r w:rsidRPr="001E2F3F">
        <w:rPr>
          <w:rFonts w:cs="OfficinaSans-Book"/>
          <w:sz w:val="24"/>
          <w:szCs w:val="24"/>
        </w:rPr>
        <w:t>En 2008, e</w:t>
      </w:r>
      <w:r w:rsidR="00D60C49" w:rsidRPr="001E2F3F">
        <w:rPr>
          <w:rFonts w:cs="OfficinaSans-Book"/>
          <w:sz w:val="24"/>
          <w:szCs w:val="24"/>
        </w:rPr>
        <w:t>nviron 23</w:t>
      </w:r>
      <w:r w:rsidRPr="001E2F3F">
        <w:rPr>
          <w:rFonts w:cs="OfficinaSans-Book"/>
          <w:sz w:val="24"/>
          <w:szCs w:val="24"/>
        </w:rPr>
        <w:t> </w:t>
      </w:r>
      <w:r w:rsidR="00D60C49" w:rsidRPr="001E2F3F">
        <w:rPr>
          <w:rFonts w:cs="OfficinaSans-Book"/>
          <w:sz w:val="24"/>
          <w:szCs w:val="24"/>
        </w:rPr>
        <w:t>000</w:t>
      </w:r>
      <w:r w:rsidRPr="001E2F3F">
        <w:rPr>
          <w:rFonts w:cs="OfficinaSans-Book"/>
          <w:sz w:val="24"/>
          <w:szCs w:val="24"/>
        </w:rPr>
        <w:t xml:space="preserve"> </w:t>
      </w:r>
      <w:r w:rsidR="00D60C49" w:rsidRPr="001E2F3F">
        <w:rPr>
          <w:rFonts w:cs="OfficinaSans-Book"/>
          <w:sz w:val="24"/>
          <w:szCs w:val="24"/>
        </w:rPr>
        <w:t>femmes ont été traitées pour complications liées à un avortement</w:t>
      </w:r>
      <w:r w:rsidRPr="001E2F3F">
        <w:rPr>
          <w:rFonts w:cs="OfficinaSans-Book"/>
          <w:sz w:val="24"/>
          <w:szCs w:val="24"/>
        </w:rPr>
        <w:t xml:space="preserve"> et </w:t>
      </w:r>
      <w:r w:rsidR="00D60C49" w:rsidRPr="001E2F3F">
        <w:rPr>
          <w:rFonts w:cs="OfficinaSans-Book"/>
          <w:sz w:val="24"/>
          <w:szCs w:val="24"/>
        </w:rPr>
        <w:t>15 000 femmes ayant connu des complications sévères n’ayant pas reçu les soins dont elles avaient besoin</w:t>
      </w:r>
      <w:r w:rsidRPr="001E2F3F">
        <w:rPr>
          <w:rStyle w:val="Appelnotedebasdep"/>
          <w:rFonts w:cs="OfficinaSans-Book"/>
          <w:sz w:val="24"/>
          <w:szCs w:val="24"/>
        </w:rPr>
        <w:footnoteReference w:id="17"/>
      </w:r>
      <w:r w:rsidR="00D60C49" w:rsidRPr="001E2F3F">
        <w:rPr>
          <w:rFonts w:cs="OfficinaSans-Book"/>
          <w:sz w:val="24"/>
          <w:szCs w:val="24"/>
        </w:rPr>
        <w:t>.</w:t>
      </w:r>
    </w:p>
    <w:p w:rsidR="00216A1D" w:rsidRPr="001E2F3F" w:rsidRDefault="00216A1D" w:rsidP="001E2F3F">
      <w:pPr>
        <w:autoSpaceDE w:val="0"/>
        <w:autoSpaceDN w:val="0"/>
        <w:adjustRightInd w:val="0"/>
        <w:spacing w:after="0" w:line="360" w:lineRule="auto"/>
        <w:jc w:val="both"/>
        <w:rPr>
          <w:rFonts w:cs="OfficinaSans-Book"/>
          <w:b/>
          <w:sz w:val="24"/>
          <w:szCs w:val="24"/>
        </w:rPr>
      </w:pPr>
      <w:r w:rsidRPr="001E2F3F">
        <w:rPr>
          <w:rFonts w:cs="Arial"/>
          <w:b/>
          <w:sz w:val="24"/>
          <w:szCs w:val="24"/>
        </w:rPr>
        <w:t>Consommation d’alcool et tabac</w:t>
      </w:r>
    </w:p>
    <w:p w:rsidR="004735F7" w:rsidRPr="001E2F3F" w:rsidRDefault="004735F7" w:rsidP="00A54FC4">
      <w:pPr>
        <w:spacing w:after="0" w:line="360" w:lineRule="auto"/>
        <w:jc w:val="both"/>
        <w:rPr>
          <w:rFonts w:cs="Arial"/>
          <w:sz w:val="24"/>
          <w:szCs w:val="24"/>
        </w:rPr>
      </w:pPr>
      <w:r w:rsidRPr="001E2F3F">
        <w:rPr>
          <w:rFonts w:cs="Arial"/>
          <w:sz w:val="24"/>
          <w:szCs w:val="24"/>
        </w:rPr>
        <w:t>Pour la consommation d’alcool, entre 2003 et 2005, 29,2% d’individus âgés de 15 ans et plus étaient des consommateurs d’alcool (39,7% d’hommes et 18,81% de femmes). En 2012, le pourcentage de jeunes filles et garçons dont l’âge est compris entre 13 et 15 ans, ayant couramment usé du tabac est respectivement de 11,5% et 22,6%.</w:t>
      </w:r>
    </w:p>
    <w:p w:rsidR="00216A1D" w:rsidRPr="001E2F3F" w:rsidRDefault="00216A1D" w:rsidP="001E2F3F">
      <w:pPr>
        <w:spacing w:after="0" w:line="360" w:lineRule="auto"/>
        <w:jc w:val="both"/>
        <w:rPr>
          <w:rFonts w:cs="Arial"/>
          <w:sz w:val="24"/>
          <w:szCs w:val="24"/>
        </w:rPr>
      </w:pPr>
      <w:r w:rsidRPr="001E2F3F">
        <w:rPr>
          <w:rFonts w:cs="HelveticaNeue-Roman"/>
          <w:b/>
          <w:sz w:val="24"/>
          <w:szCs w:val="24"/>
        </w:rPr>
        <w:t>Les déterminants sociaux proximaux</w:t>
      </w:r>
    </w:p>
    <w:p w:rsidR="002523B6" w:rsidRPr="001E2F3F" w:rsidRDefault="002523B6" w:rsidP="001E2F3F">
      <w:pPr>
        <w:spacing w:after="0" w:line="360" w:lineRule="auto"/>
        <w:jc w:val="both"/>
        <w:rPr>
          <w:sz w:val="24"/>
          <w:szCs w:val="24"/>
        </w:rPr>
      </w:pPr>
      <w:r w:rsidRPr="001E2F3F">
        <w:rPr>
          <w:sz w:val="24"/>
          <w:szCs w:val="24"/>
        </w:rPr>
        <w:t>Les d’</w:t>
      </w:r>
      <w:r w:rsidR="0039318F" w:rsidRPr="001E2F3F">
        <w:rPr>
          <w:sz w:val="24"/>
          <w:szCs w:val="24"/>
        </w:rPr>
        <w:t>une étude menée par l’OOAS en 2016</w:t>
      </w:r>
      <w:r w:rsidRPr="001E2F3F">
        <w:rPr>
          <w:sz w:val="24"/>
          <w:szCs w:val="24"/>
        </w:rPr>
        <w:t xml:space="preserve"> dans cinq pays de la CEDEAO sont alarmants</w:t>
      </w:r>
      <w:r w:rsidRPr="001E2F3F">
        <w:rPr>
          <w:rStyle w:val="Appelnotedebasdep"/>
          <w:sz w:val="24"/>
          <w:szCs w:val="24"/>
        </w:rPr>
        <w:footnoteReference w:id="18"/>
      </w:r>
      <w:r w:rsidRPr="001E2F3F">
        <w:rPr>
          <w:sz w:val="24"/>
          <w:szCs w:val="24"/>
        </w:rPr>
        <w:t>.</w:t>
      </w:r>
    </w:p>
    <w:p w:rsidR="002523B6" w:rsidRPr="001E2F3F" w:rsidRDefault="002523B6" w:rsidP="001E2F3F">
      <w:pPr>
        <w:autoSpaceDE w:val="0"/>
        <w:autoSpaceDN w:val="0"/>
        <w:adjustRightInd w:val="0"/>
        <w:spacing w:after="0" w:line="360" w:lineRule="auto"/>
        <w:jc w:val="both"/>
        <w:rPr>
          <w:rFonts w:cs="HelveticaNeue-Roman"/>
          <w:sz w:val="24"/>
          <w:szCs w:val="24"/>
        </w:rPr>
      </w:pPr>
      <w:r w:rsidRPr="001E2F3F">
        <w:rPr>
          <w:rFonts w:cs="HelveticaNeue-Roman"/>
          <w:sz w:val="24"/>
          <w:szCs w:val="24"/>
        </w:rPr>
        <w:t xml:space="preserve">« Les indicateurs classiques de l’état de santé de la population des adolescents et jeunes de l’espace CEDEAO, à savoir la mortalité, la morbidité et le DALY, se situent à un niveau préoccupant. … </w:t>
      </w:r>
      <w:r w:rsidR="004B2318" w:rsidRPr="001E2F3F">
        <w:rPr>
          <w:rFonts w:cs="HelveticaNeue-Roman"/>
          <w:color w:val="111111"/>
          <w:sz w:val="24"/>
          <w:szCs w:val="24"/>
        </w:rPr>
        <w:t>Les principales causes de mortalité chez les adolescents/jeunes sont (i) Complications de la grossesse et de l’accouchement chez les adolescentes et jeunes filles, (ii) complications liées aux avortements à risque, (iii) Mortalité due au VIH, (iv) Mortalité due aux accidents de la route. </w:t>
      </w:r>
    </w:p>
    <w:p w:rsidR="002523B6" w:rsidRDefault="002523B6" w:rsidP="001E2F3F">
      <w:pPr>
        <w:autoSpaceDE w:val="0"/>
        <w:autoSpaceDN w:val="0"/>
        <w:adjustRightInd w:val="0"/>
        <w:spacing w:after="0" w:line="360" w:lineRule="auto"/>
        <w:jc w:val="both"/>
        <w:rPr>
          <w:rFonts w:cs="HelveticaNeue-Roman"/>
          <w:color w:val="111111"/>
          <w:sz w:val="24"/>
          <w:szCs w:val="24"/>
        </w:rPr>
      </w:pPr>
      <w:r w:rsidRPr="001E2F3F">
        <w:rPr>
          <w:rFonts w:cs="HelveticaNeue-Roman"/>
          <w:sz w:val="24"/>
          <w:szCs w:val="24"/>
        </w:rPr>
        <w:t>La plupart des adolescents et jeunes des pays de l’espace CEDEAO souffrent d’un manque crucial de bonnes et saines informations, et adoptent des comportements et un mode de vie néfastes à une bonne santé (rapports sexuels non protégés, sédentarité, consommation nocive d’alcool, de tabac et drogues, une mauvaise alimentation et surtout une addiction aux technologies de l’information et de la communication TIC)</w:t>
      </w:r>
      <w:r w:rsidR="00A54FC4" w:rsidRPr="001E2F3F">
        <w:rPr>
          <w:rFonts w:cs="HelveticaNeue-Roman"/>
          <w:sz w:val="24"/>
          <w:szCs w:val="24"/>
        </w:rPr>
        <w:t>.</w:t>
      </w:r>
      <w:r w:rsidR="00A54FC4" w:rsidRPr="001E2F3F">
        <w:rPr>
          <w:rFonts w:cs="HelveticaNeue-Roman"/>
          <w:color w:val="111111"/>
          <w:sz w:val="24"/>
          <w:szCs w:val="24"/>
        </w:rPr>
        <w:t xml:space="preserve"> »</w:t>
      </w:r>
    </w:p>
    <w:p w:rsidR="006435D4" w:rsidRPr="001E2F3F" w:rsidRDefault="006435D4" w:rsidP="001E2F3F">
      <w:pPr>
        <w:autoSpaceDE w:val="0"/>
        <w:autoSpaceDN w:val="0"/>
        <w:adjustRightInd w:val="0"/>
        <w:spacing w:after="0" w:line="360" w:lineRule="auto"/>
        <w:jc w:val="both"/>
        <w:rPr>
          <w:sz w:val="24"/>
          <w:szCs w:val="24"/>
        </w:rPr>
      </w:pPr>
    </w:p>
    <w:p w:rsidR="00481263" w:rsidRDefault="00481263" w:rsidP="002E239B">
      <w:pPr>
        <w:pStyle w:val="Paragraphedeliste"/>
        <w:numPr>
          <w:ilvl w:val="2"/>
          <w:numId w:val="3"/>
        </w:numPr>
        <w:spacing w:after="0" w:line="360" w:lineRule="auto"/>
        <w:jc w:val="both"/>
        <w:rPr>
          <w:sz w:val="24"/>
          <w:szCs w:val="24"/>
        </w:rPr>
      </w:pPr>
      <w:r w:rsidRPr="00481263">
        <w:rPr>
          <w:sz w:val="24"/>
          <w:szCs w:val="24"/>
        </w:rPr>
        <w:lastRenderedPageBreak/>
        <w:t>SITUATION DE LA NUTRITION</w:t>
      </w:r>
    </w:p>
    <w:p w:rsidR="006435D4" w:rsidRPr="002E239B" w:rsidRDefault="006435D4" w:rsidP="002E239B">
      <w:pPr>
        <w:pStyle w:val="Paragraphedeliste"/>
        <w:numPr>
          <w:ilvl w:val="3"/>
          <w:numId w:val="3"/>
        </w:numPr>
        <w:spacing w:after="0" w:line="360" w:lineRule="auto"/>
        <w:rPr>
          <w:b/>
          <w:sz w:val="24"/>
          <w:szCs w:val="24"/>
        </w:rPr>
      </w:pPr>
      <w:r w:rsidRPr="002E239B">
        <w:rPr>
          <w:b/>
          <w:sz w:val="24"/>
          <w:szCs w:val="24"/>
        </w:rPr>
        <w:t>La Malnutrition chez les enfants de moins de 5 ans</w:t>
      </w:r>
    </w:p>
    <w:p w:rsidR="00E4248D" w:rsidRPr="00A54FC4" w:rsidRDefault="00A54FC4" w:rsidP="00481263">
      <w:pPr>
        <w:pStyle w:val="Default"/>
        <w:spacing w:line="360" w:lineRule="auto"/>
        <w:jc w:val="both"/>
        <w:rPr>
          <w:rFonts w:ascii="Calibri" w:hAnsi="Calibri"/>
          <w:bCs/>
        </w:rPr>
      </w:pPr>
      <w:r w:rsidRPr="007121A3">
        <w:rPr>
          <w:rFonts w:ascii="Calibri" w:hAnsi="Calibri"/>
          <w:bCs/>
        </w:rPr>
        <w:t xml:space="preserve">L’analyse est </w:t>
      </w:r>
      <w:r>
        <w:rPr>
          <w:rFonts w:ascii="Calibri" w:hAnsi="Calibri"/>
          <w:bCs/>
        </w:rPr>
        <w:t>faite sur base de données provenant de sources différentes, ce qui pourrait poser un problème de comparabilité. Mais les différents résultats recoupent de manière harmonieuse les données de l’OMS sur base d’estimations.</w:t>
      </w:r>
    </w:p>
    <w:p w:rsidR="00C833EB" w:rsidRDefault="00CA081E" w:rsidP="00BD7B96">
      <w:pPr>
        <w:pStyle w:val="Default"/>
        <w:rPr>
          <w:b/>
          <w:bCs/>
          <w:sz w:val="26"/>
          <w:szCs w:val="26"/>
        </w:rPr>
      </w:pPr>
      <w:r>
        <w:rPr>
          <w:b/>
          <w:bCs/>
          <w:noProof/>
          <w:sz w:val="26"/>
          <w:szCs w:val="26"/>
          <w:lang w:eastAsia="fr-FR"/>
        </w:rPr>
        <w:drawing>
          <wp:inline distT="0" distB="0" distL="0" distR="0" wp14:anchorId="36BF87D4" wp14:editId="6CCA90FA">
            <wp:extent cx="5766816" cy="3200400"/>
            <wp:effectExtent l="0" t="0" r="5715" b="0"/>
            <wp:docPr id="6"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sidR="00E209B6">
        <w:rPr>
          <w:rStyle w:val="Appelnotedebasdep"/>
          <w:b/>
          <w:bCs/>
          <w:sz w:val="26"/>
          <w:szCs w:val="26"/>
        </w:rPr>
        <w:footnoteReference w:id="19"/>
      </w:r>
    </w:p>
    <w:p w:rsidR="007121A3" w:rsidRPr="007121A3" w:rsidRDefault="007121A3" w:rsidP="007121A3">
      <w:pPr>
        <w:pStyle w:val="Default"/>
        <w:spacing w:after="240"/>
        <w:rPr>
          <w:rFonts w:asciiTheme="minorHAnsi" w:hAnsiTheme="minorHAnsi"/>
          <w:b/>
          <w:bCs/>
        </w:rPr>
      </w:pPr>
      <w:r w:rsidRPr="007121A3">
        <w:rPr>
          <w:rFonts w:asciiTheme="minorHAnsi" w:hAnsiTheme="minorHAnsi"/>
          <w:b/>
          <w:bCs/>
        </w:rPr>
        <w:t>Figure 4 : Evolution de la malnutrition au Burkina Faso de 1999 à 2017</w:t>
      </w:r>
    </w:p>
    <w:p w:rsidR="007121A3" w:rsidRDefault="007121A3" w:rsidP="007121A3">
      <w:pPr>
        <w:pStyle w:val="Default"/>
        <w:spacing w:line="360" w:lineRule="auto"/>
        <w:jc w:val="both"/>
        <w:rPr>
          <w:sz w:val="23"/>
          <w:szCs w:val="23"/>
        </w:rPr>
      </w:pPr>
      <w:r>
        <w:rPr>
          <w:rFonts w:ascii="Calibri" w:hAnsi="Calibri"/>
          <w:bCs/>
        </w:rPr>
        <w:t>La tendance des indicateurs de la malnutrition (</w:t>
      </w:r>
      <w:r>
        <w:rPr>
          <w:sz w:val="23"/>
          <w:szCs w:val="23"/>
        </w:rPr>
        <w:t>malnutrition aigüe, de la malnutrition chronique et insuffisance pondérale) est à la baisse.</w:t>
      </w:r>
    </w:p>
    <w:p w:rsidR="00607123" w:rsidRDefault="007121A3" w:rsidP="007121A3">
      <w:pPr>
        <w:pStyle w:val="Default"/>
        <w:spacing w:line="360" w:lineRule="auto"/>
        <w:jc w:val="both"/>
        <w:rPr>
          <w:rFonts w:ascii="Calibri" w:hAnsi="Calibri"/>
          <w:bCs/>
        </w:rPr>
      </w:pPr>
      <w:r>
        <w:rPr>
          <w:rFonts w:ascii="Calibri" w:hAnsi="Calibri"/>
          <w:bCs/>
        </w:rPr>
        <w:t xml:space="preserve">De 1999 à 2017, la prévalence de la malnutrition chronique est passée de 39 à 21% soit une réduction de </w:t>
      </w:r>
      <w:r w:rsidR="00607123">
        <w:rPr>
          <w:rFonts w:ascii="Calibri" w:hAnsi="Calibri"/>
          <w:bCs/>
        </w:rPr>
        <w:t>43% et celle de l’insuffisance pondérale de 34 à16% soit une réduction de 53 %.</w:t>
      </w:r>
    </w:p>
    <w:p w:rsidR="007121A3" w:rsidRDefault="00607123" w:rsidP="007121A3">
      <w:pPr>
        <w:pStyle w:val="Default"/>
        <w:spacing w:line="360" w:lineRule="auto"/>
        <w:jc w:val="both"/>
        <w:rPr>
          <w:rFonts w:ascii="Calibri" w:hAnsi="Calibri"/>
          <w:bCs/>
        </w:rPr>
      </w:pPr>
      <w:r>
        <w:rPr>
          <w:rFonts w:ascii="Calibri" w:hAnsi="Calibri"/>
          <w:bCs/>
        </w:rPr>
        <w:t>Au cours de la même période la malnutrition a connu une baisse moins importante (31</w:t>
      </w:r>
      <w:r w:rsidR="00B01AF7">
        <w:rPr>
          <w:rFonts w:ascii="Calibri" w:hAnsi="Calibri"/>
          <w:bCs/>
        </w:rPr>
        <w:t>%) passant</w:t>
      </w:r>
      <w:r>
        <w:rPr>
          <w:rFonts w:ascii="Calibri" w:hAnsi="Calibri"/>
          <w:bCs/>
        </w:rPr>
        <w:t xml:space="preserve"> de 13 à 9%. Cependant</w:t>
      </w:r>
      <w:r w:rsidR="00B01AF7">
        <w:rPr>
          <w:rFonts w:ascii="Calibri" w:hAnsi="Calibri"/>
          <w:bCs/>
        </w:rPr>
        <w:t>, la malnutrition aigüe sévère atteignait encore une prévalence de 2% en 2017.</w:t>
      </w:r>
      <w:r>
        <w:rPr>
          <w:rFonts w:ascii="Calibri" w:hAnsi="Calibri"/>
          <w:bCs/>
        </w:rPr>
        <w:t xml:space="preserve"> </w:t>
      </w:r>
    </w:p>
    <w:p w:rsidR="00B01AF7" w:rsidRPr="007121A3" w:rsidRDefault="00B01AF7" w:rsidP="007121A3">
      <w:pPr>
        <w:pStyle w:val="Default"/>
        <w:spacing w:line="360" w:lineRule="auto"/>
        <w:jc w:val="both"/>
        <w:rPr>
          <w:rFonts w:ascii="Calibri" w:hAnsi="Calibri"/>
          <w:bCs/>
        </w:rPr>
      </w:pPr>
      <w:r>
        <w:rPr>
          <w:rFonts w:ascii="Cambria" w:hAnsi="Cambria"/>
        </w:rPr>
        <w:t xml:space="preserve">Avec une prévalence de </w:t>
      </w:r>
      <w:r w:rsidRPr="00207EE5">
        <w:rPr>
          <w:rFonts w:ascii="Cambria" w:hAnsi="Cambria"/>
        </w:rPr>
        <w:t>13,6%</w:t>
      </w:r>
      <w:r>
        <w:rPr>
          <w:rFonts w:ascii="Cambria" w:hAnsi="Cambria"/>
        </w:rPr>
        <w:t xml:space="preserve"> pour le Sahel et de 10 % pour les régions du Nord et de l’Est, ces 3 régions sont les plus touchées par la malnutrition aiguë (2017). Cette forte prévalence est en partie liée à la</w:t>
      </w:r>
      <w:r w:rsidRPr="00207EE5">
        <w:rPr>
          <w:rFonts w:ascii="Cambria" w:hAnsi="Cambria"/>
        </w:rPr>
        <w:t xml:space="preserve"> situation sécurit</w:t>
      </w:r>
      <w:r>
        <w:rPr>
          <w:rFonts w:ascii="Cambria" w:hAnsi="Cambria"/>
        </w:rPr>
        <w:t xml:space="preserve">aire </w:t>
      </w:r>
      <w:r w:rsidRPr="00207EE5">
        <w:rPr>
          <w:rFonts w:ascii="Cambria" w:hAnsi="Cambria"/>
        </w:rPr>
        <w:t>dans</w:t>
      </w:r>
      <w:r>
        <w:rPr>
          <w:rFonts w:ascii="Cambria" w:hAnsi="Cambria"/>
        </w:rPr>
        <w:t xml:space="preserve"> cette partie </w:t>
      </w:r>
      <w:r w:rsidRPr="00207EE5">
        <w:rPr>
          <w:rFonts w:ascii="Cambria" w:hAnsi="Cambria"/>
        </w:rPr>
        <w:t>du pays</w:t>
      </w:r>
      <w:r>
        <w:rPr>
          <w:rFonts w:ascii="Cambria" w:hAnsi="Cambria"/>
        </w:rPr>
        <w:t>.</w:t>
      </w:r>
    </w:p>
    <w:p w:rsidR="005D5AC4" w:rsidRDefault="005D5AC4" w:rsidP="005D5AC4">
      <w:pPr>
        <w:pStyle w:val="Default"/>
        <w:tabs>
          <w:tab w:val="left" w:pos="5670"/>
        </w:tabs>
        <w:spacing w:line="360" w:lineRule="auto"/>
        <w:ind w:right="-426"/>
        <w:jc w:val="both"/>
        <w:rPr>
          <w:rFonts w:ascii="Cambria" w:hAnsi="Cambria"/>
        </w:rPr>
      </w:pPr>
      <w:r>
        <w:rPr>
          <w:rFonts w:ascii="Cambria" w:hAnsi="Cambria"/>
        </w:rPr>
        <w:t>Selon</w:t>
      </w:r>
      <w:r w:rsidRPr="00AD4268">
        <w:rPr>
          <w:rFonts w:ascii="Cambria" w:hAnsi="Cambria"/>
        </w:rPr>
        <w:t xml:space="preserve"> </w:t>
      </w:r>
      <w:r>
        <w:rPr>
          <w:rFonts w:ascii="Cambria" w:hAnsi="Cambria"/>
        </w:rPr>
        <w:t xml:space="preserve">l’analyse avec l’outil </w:t>
      </w:r>
      <w:r w:rsidR="00B01AF7">
        <w:rPr>
          <w:rFonts w:ascii="Cambria" w:hAnsi="Cambria"/>
        </w:rPr>
        <w:t>EQUIST</w:t>
      </w:r>
      <w:r>
        <w:rPr>
          <w:rFonts w:ascii="Cambria" w:hAnsi="Cambria"/>
        </w:rPr>
        <w:t xml:space="preserve"> </w:t>
      </w:r>
      <w:r w:rsidR="00B01AF7">
        <w:rPr>
          <w:rFonts w:ascii="Cambria" w:hAnsi="Cambria"/>
        </w:rPr>
        <w:t xml:space="preserve">sur </w:t>
      </w:r>
      <w:r>
        <w:rPr>
          <w:rFonts w:ascii="Cambria" w:hAnsi="Cambria"/>
        </w:rPr>
        <w:t>bas</w:t>
      </w:r>
      <w:r w:rsidR="00B01AF7">
        <w:rPr>
          <w:rFonts w:ascii="Cambria" w:hAnsi="Cambria"/>
        </w:rPr>
        <w:t>e</w:t>
      </w:r>
      <w:r>
        <w:rPr>
          <w:rFonts w:ascii="Cambria" w:hAnsi="Cambria"/>
        </w:rPr>
        <w:t xml:space="preserve"> </w:t>
      </w:r>
      <w:r w:rsidR="00B01AF7">
        <w:rPr>
          <w:rFonts w:ascii="Cambria" w:hAnsi="Cambria"/>
        </w:rPr>
        <w:t>d</w:t>
      </w:r>
      <w:r>
        <w:rPr>
          <w:rFonts w:ascii="Cambria" w:hAnsi="Cambria"/>
        </w:rPr>
        <w:t xml:space="preserve">es données de l’EDS 2010, on note une prédominance du retard de croissance chez les plus pauvres comme présentée sur la figure 1. </w:t>
      </w:r>
    </w:p>
    <w:p w:rsidR="002429C8" w:rsidRDefault="002429C8" w:rsidP="005D5AC4">
      <w:pPr>
        <w:pStyle w:val="Default"/>
        <w:tabs>
          <w:tab w:val="left" w:pos="5670"/>
        </w:tabs>
        <w:spacing w:line="360" w:lineRule="auto"/>
        <w:ind w:right="-426"/>
        <w:jc w:val="both"/>
        <w:rPr>
          <w:rFonts w:ascii="Cambria" w:hAnsi="Cambria"/>
        </w:rPr>
      </w:pPr>
      <w:r w:rsidRPr="00DE6D1D">
        <w:rPr>
          <w:noProof/>
          <w:lang w:eastAsia="fr-FR"/>
        </w:rPr>
        <w:lastRenderedPageBreak/>
        <w:drawing>
          <wp:inline distT="0" distB="0" distL="0" distR="0" wp14:anchorId="3228B32B" wp14:editId="5E6E4545">
            <wp:extent cx="5686425" cy="3200400"/>
            <wp:effectExtent l="0" t="0" r="952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86425" cy="3200400"/>
                    </a:xfrm>
                    <a:prstGeom prst="rect">
                      <a:avLst/>
                    </a:prstGeom>
                    <a:noFill/>
                    <a:ln>
                      <a:noFill/>
                    </a:ln>
                  </pic:spPr>
                </pic:pic>
              </a:graphicData>
            </a:graphic>
          </wp:inline>
        </w:drawing>
      </w:r>
    </w:p>
    <w:p w:rsidR="002429C8" w:rsidRPr="002429C8" w:rsidRDefault="002429C8" w:rsidP="002429C8">
      <w:pPr>
        <w:pStyle w:val="Lgende"/>
        <w:rPr>
          <w:rFonts w:ascii="Cambria" w:hAnsi="Cambria" w:cs="Calibri"/>
          <w:b/>
          <w:noProof/>
          <w:color w:val="000000"/>
          <w:sz w:val="14"/>
        </w:rPr>
      </w:pPr>
      <w:bookmarkStart w:id="1" w:name="_Hlk525479335"/>
      <w:r w:rsidRPr="002429C8">
        <w:rPr>
          <w:b/>
          <w:sz w:val="14"/>
        </w:rPr>
        <w:t xml:space="preserve">Figure </w:t>
      </w:r>
      <w:r w:rsidRPr="002429C8">
        <w:rPr>
          <w:b/>
          <w:sz w:val="14"/>
        </w:rPr>
        <w:fldChar w:fldCharType="begin"/>
      </w:r>
      <w:r w:rsidRPr="002429C8">
        <w:rPr>
          <w:b/>
          <w:sz w:val="14"/>
        </w:rPr>
        <w:instrText xml:space="preserve"> SEQ Figure \* ARABIC </w:instrText>
      </w:r>
      <w:r w:rsidRPr="002429C8">
        <w:rPr>
          <w:b/>
          <w:sz w:val="14"/>
        </w:rPr>
        <w:fldChar w:fldCharType="separate"/>
      </w:r>
      <w:r w:rsidRPr="002429C8">
        <w:rPr>
          <w:b/>
          <w:noProof/>
          <w:sz w:val="14"/>
        </w:rPr>
        <w:t>1</w:t>
      </w:r>
      <w:r w:rsidRPr="002429C8">
        <w:rPr>
          <w:b/>
          <w:sz w:val="14"/>
        </w:rPr>
        <w:fldChar w:fldCharType="end"/>
      </w:r>
      <w:r w:rsidRPr="002429C8">
        <w:rPr>
          <w:b/>
          <w:sz w:val="14"/>
        </w:rPr>
        <w:t>: Retard de croissance selon les quitiles de pauvrété,  Equist base de données DHS 2010</w:t>
      </w:r>
    </w:p>
    <w:p w:rsidR="002429C8" w:rsidRPr="002429C8" w:rsidRDefault="002429C8" w:rsidP="002429C8">
      <w:pPr>
        <w:pStyle w:val="Default"/>
        <w:tabs>
          <w:tab w:val="left" w:pos="5670"/>
        </w:tabs>
        <w:spacing w:line="360" w:lineRule="auto"/>
        <w:ind w:right="-426"/>
        <w:jc w:val="both"/>
        <w:rPr>
          <w:rFonts w:ascii="Cambria" w:hAnsi="Cambria"/>
        </w:rPr>
      </w:pPr>
    </w:p>
    <w:bookmarkEnd w:id="1"/>
    <w:p w:rsidR="000B228D" w:rsidRDefault="004A33A0" w:rsidP="005D5AC4">
      <w:pPr>
        <w:pStyle w:val="Default"/>
        <w:tabs>
          <w:tab w:val="left" w:pos="5670"/>
        </w:tabs>
        <w:spacing w:line="360" w:lineRule="auto"/>
        <w:ind w:right="-426"/>
        <w:jc w:val="both"/>
        <w:rPr>
          <w:rFonts w:ascii="Cambria" w:hAnsi="Cambria"/>
        </w:rPr>
      </w:pPr>
      <w:r>
        <w:rPr>
          <w:rFonts w:ascii="Cambria" w:hAnsi="Cambria"/>
        </w:rPr>
        <w:t>Les   régions du Sahel, des Cascades, du Sud-Ouest, de l’Est, du Centre-Est et du Nord</w:t>
      </w:r>
      <w:r w:rsidDel="00140398">
        <w:rPr>
          <w:rFonts w:ascii="Cambria" w:hAnsi="Cambria"/>
        </w:rPr>
        <w:t xml:space="preserve"> </w:t>
      </w:r>
      <w:r>
        <w:rPr>
          <w:rFonts w:ascii="Cambria" w:hAnsi="Cambria"/>
        </w:rPr>
        <w:t xml:space="preserve">sont les plus touchées en termes </w:t>
      </w:r>
      <w:r w:rsidR="005D5AC4">
        <w:rPr>
          <w:rFonts w:ascii="Cambria" w:hAnsi="Cambria"/>
        </w:rPr>
        <w:t>de prévalence du retard de croissance sur les</w:t>
      </w:r>
      <w:r>
        <w:rPr>
          <w:rFonts w:ascii="Cambria" w:hAnsi="Cambria"/>
        </w:rPr>
        <w:t xml:space="preserve"> trois dernières années</w:t>
      </w:r>
      <w:r w:rsidR="005D5AC4">
        <w:rPr>
          <w:rFonts w:ascii="Cambria" w:hAnsi="Cambria"/>
        </w:rPr>
        <w:t>.</w:t>
      </w:r>
    </w:p>
    <w:p w:rsidR="006435D4" w:rsidRPr="006435D4" w:rsidRDefault="006435D4" w:rsidP="002E239B">
      <w:pPr>
        <w:pStyle w:val="Paragraphedeliste"/>
        <w:numPr>
          <w:ilvl w:val="3"/>
          <w:numId w:val="3"/>
        </w:numPr>
        <w:spacing w:after="0" w:line="360" w:lineRule="auto"/>
        <w:rPr>
          <w:rFonts w:ascii="Cambria" w:hAnsi="Cambria"/>
          <w:b/>
        </w:rPr>
      </w:pPr>
      <w:r w:rsidRPr="006435D4">
        <w:rPr>
          <w:rFonts w:ascii="Cambria" w:hAnsi="Cambria"/>
          <w:b/>
        </w:rPr>
        <w:t>Autres indicateurs de nutrition</w:t>
      </w:r>
    </w:p>
    <w:tbl>
      <w:tblPr>
        <w:tblStyle w:val="Grilledutableau"/>
        <w:tblW w:w="0" w:type="auto"/>
        <w:tblLook w:val="04A0" w:firstRow="1" w:lastRow="0" w:firstColumn="1" w:lastColumn="0" w:noHBand="0" w:noVBand="1"/>
      </w:tblPr>
      <w:tblGrid>
        <w:gridCol w:w="421"/>
        <w:gridCol w:w="5216"/>
        <w:gridCol w:w="590"/>
        <w:gridCol w:w="708"/>
        <w:gridCol w:w="849"/>
        <w:gridCol w:w="707"/>
        <w:gridCol w:w="571"/>
      </w:tblGrid>
      <w:tr w:rsidR="000B228D" w:rsidRPr="00A54FC4" w:rsidTr="00B84A2C">
        <w:tc>
          <w:tcPr>
            <w:tcW w:w="9062" w:type="dxa"/>
            <w:gridSpan w:val="7"/>
          </w:tcPr>
          <w:p w:rsidR="000B228D" w:rsidRPr="00A54FC4" w:rsidRDefault="000B228D" w:rsidP="00B84A2C">
            <w:pPr>
              <w:pStyle w:val="Default"/>
              <w:spacing w:line="360" w:lineRule="auto"/>
              <w:jc w:val="both"/>
              <w:rPr>
                <w:rFonts w:ascii="Calibri" w:hAnsi="Calibri"/>
                <w:b/>
                <w:sz w:val="20"/>
                <w:szCs w:val="20"/>
              </w:rPr>
            </w:pPr>
            <w:r w:rsidRPr="00A54FC4">
              <w:rPr>
                <w:rFonts w:ascii="Calibri" w:hAnsi="Calibri"/>
                <w:b/>
                <w:sz w:val="20"/>
                <w:szCs w:val="20"/>
              </w:rPr>
              <w:t xml:space="preserve">Tableau 2 : Evolution </w:t>
            </w:r>
            <w:r w:rsidR="00A54FC4" w:rsidRPr="00A54FC4">
              <w:rPr>
                <w:rFonts w:ascii="Calibri" w:hAnsi="Calibri"/>
                <w:b/>
                <w:sz w:val="20"/>
                <w:szCs w:val="20"/>
              </w:rPr>
              <w:t>d’autres indicateurs</w:t>
            </w:r>
            <w:r w:rsidRPr="00A54FC4">
              <w:rPr>
                <w:rFonts w:ascii="Calibri" w:hAnsi="Calibri"/>
                <w:b/>
                <w:sz w:val="20"/>
                <w:szCs w:val="20"/>
              </w:rPr>
              <w:t xml:space="preserve"> de nutrition </w:t>
            </w:r>
          </w:p>
        </w:tc>
      </w:tr>
      <w:tr w:rsidR="00A54FC4" w:rsidRPr="00E80BB4" w:rsidTr="00A54FC4">
        <w:tc>
          <w:tcPr>
            <w:tcW w:w="421" w:type="dxa"/>
          </w:tcPr>
          <w:p w:rsidR="000B228D" w:rsidRPr="00E80BB4" w:rsidRDefault="000B228D" w:rsidP="00A54FC4">
            <w:pPr>
              <w:pStyle w:val="Default"/>
              <w:jc w:val="both"/>
              <w:rPr>
                <w:rFonts w:ascii="Calibri" w:hAnsi="Calibri"/>
                <w:b/>
                <w:sz w:val="16"/>
                <w:szCs w:val="16"/>
              </w:rPr>
            </w:pPr>
          </w:p>
        </w:tc>
        <w:tc>
          <w:tcPr>
            <w:tcW w:w="5224" w:type="dxa"/>
          </w:tcPr>
          <w:p w:rsidR="000B228D" w:rsidRPr="00E80BB4" w:rsidRDefault="000B228D" w:rsidP="00A54FC4">
            <w:pPr>
              <w:pStyle w:val="Default"/>
              <w:jc w:val="both"/>
              <w:rPr>
                <w:rFonts w:ascii="Calibri" w:hAnsi="Calibri"/>
                <w:b/>
                <w:sz w:val="20"/>
                <w:szCs w:val="20"/>
              </w:rPr>
            </w:pPr>
            <w:r w:rsidRPr="00E80BB4">
              <w:rPr>
                <w:rFonts w:ascii="Calibri" w:hAnsi="Calibri"/>
                <w:b/>
                <w:sz w:val="20"/>
                <w:szCs w:val="20"/>
              </w:rPr>
              <w:t>Type de Malnutrition</w:t>
            </w:r>
          </w:p>
        </w:tc>
        <w:tc>
          <w:tcPr>
            <w:tcW w:w="590" w:type="dxa"/>
          </w:tcPr>
          <w:p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1988-89 (1)</w:t>
            </w:r>
          </w:p>
        </w:tc>
        <w:tc>
          <w:tcPr>
            <w:tcW w:w="708" w:type="dxa"/>
          </w:tcPr>
          <w:p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 xml:space="preserve"> 2003 (2)</w:t>
            </w:r>
          </w:p>
        </w:tc>
        <w:tc>
          <w:tcPr>
            <w:tcW w:w="850" w:type="dxa"/>
          </w:tcPr>
          <w:p w:rsidR="00A54FC4" w:rsidRDefault="000B228D" w:rsidP="00A54FC4">
            <w:pPr>
              <w:pStyle w:val="Default"/>
              <w:jc w:val="both"/>
              <w:rPr>
                <w:rFonts w:ascii="Calibri" w:hAnsi="Calibri"/>
                <w:b/>
                <w:sz w:val="16"/>
                <w:szCs w:val="16"/>
              </w:rPr>
            </w:pPr>
            <w:r w:rsidRPr="00E80BB4">
              <w:rPr>
                <w:rFonts w:ascii="Calibri" w:hAnsi="Calibri"/>
                <w:b/>
                <w:sz w:val="16"/>
                <w:szCs w:val="16"/>
              </w:rPr>
              <w:t>2010</w:t>
            </w:r>
          </w:p>
          <w:p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 xml:space="preserve"> (3)</w:t>
            </w:r>
          </w:p>
        </w:tc>
        <w:tc>
          <w:tcPr>
            <w:tcW w:w="707" w:type="dxa"/>
          </w:tcPr>
          <w:p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 xml:space="preserve"> 2015 (4)</w:t>
            </w:r>
          </w:p>
        </w:tc>
        <w:tc>
          <w:tcPr>
            <w:tcW w:w="562" w:type="dxa"/>
          </w:tcPr>
          <w:p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2017 (5)</w:t>
            </w: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Default="000B228D" w:rsidP="00B84A2C">
            <w:pPr>
              <w:autoSpaceDE w:val="0"/>
              <w:autoSpaceDN w:val="0"/>
              <w:adjustRightInd w:val="0"/>
              <w:rPr>
                <w:rFonts w:ascii="Times New Roman" w:hAnsi="Times New Roman" w:cs="Times New Roman"/>
              </w:rPr>
            </w:pPr>
            <w:r>
              <w:rPr>
                <w:rFonts w:ascii="Times New Roman" w:hAnsi="Times New Roman" w:cs="Times New Roman"/>
              </w:rPr>
              <w:t xml:space="preserve">Anémie chez les </w:t>
            </w:r>
            <w:r w:rsidR="00A54FC4">
              <w:rPr>
                <w:rFonts w:ascii="Times New Roman" w:hAnsi="Times New Roman" w:cs="Times New Roman"/>
              </w:rPr>
              <w:t>enfants de</w:t>
            </w:r>
            <w:r>
              <w:rPr>
                <w:rFonts w:ascii="Times New Roman" w:hAnsi="Times New Roman" w:cs="Times New Roman"/>
              </w:rPr>
              <w:t xml:space="preserve"> moins de 5 ans (%)</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91,5</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87,8</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6435D4" w:rsidP="00B84A2C">
            <w:pPr>
              <w:pStyle w:val="Default"/>
              <w:spacing w:line="360" w:lineRule="auto"/>
              <w:jc w:val="both"/>
              <w:rPr>
                <w:rFonts w:ascii="Calibri" w:hAnsi="Calibri"/>
                <w:sz w:val="20"/>
                <w:szCs w:val="20"/>
              </w:rPr>
            </w:pPr>
            <w:r>
              <w:rPr>
                <w:rFonts w:ascii="Calibri" w:hAnsi="Calibri"/>
                <w:sz w:val="20"/>
                <w:szCs w:val="20"/>
              </w:rPr>
              <w:t>83,4</w:t>
            </w: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Default="000B228D" w:rsidP="00B84A2C">
            <w:pPr>
              <w:autoSpaceDE w:val="0"/>
              <w:autoSpaceDN w:val="0"/>
              <w:adjustRightInd w:val="0"/>
              <w:rPr>
                <w:rFonts w:ascii="Times New Roman" w:hAnsi="Times New Roman" w:cs="Times New Roman"/>
              </w:rPr>
            </w:pPr>
            <w:r>
              <w:rPr>
                <w:rFonts w:ascii="Times New Roman" w:hAnsi="Times New Roman" w:cs="Times New Roman"/>
              </w:rPr>
              <w:t xml:space="preserve">Anémie sévère chez les </w:t>
            </w:r>
            <w:r w:rsidR="00A54FC4">
              <w:rPr>
                <w:rFonts w:ascii="Times New Roman" w:hAnsi="Times New Roman" w:cs="Times New Roman"/>
              </w:rPr>
              <w:t>enfants de</w:t>
            </w:r>
            <w:r>
              <w:rPr>
                <w:rFonts w:ascii="Times New Roman" w:hAnsi="Times New Roman" w:cs="Times New Roman"/>
              </w:rPr>
              <w:t xml:space="preserve"> moins de 5 ans (%)</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13</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11,1</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Default="000B228D" w:rsidP="00B84A2C">
            <w:pPr>
              <w:autoSpaceDE w:val="0"/>
              <w:autoSpaceDN w:val="0"/>
              <w:adjustRightInd w:val="0"/>
              <w:rPr>
                <w:rFonts w:ascii="Times New Roman" w:hAnsi="Times New Roman" w:cs="Times New Roman"/>
              </w:rPr>
            </w:pPr>
            <w:r>
              <w:rPr>
                <w:rFonts w:ascii="Times New Roman" w:hAnsi="Times New Roman" w:cs="Times New Roman"/>
              </w:rPr>
              <w:t xml:space="preserve">Anémie modérée chez les </w:t>
            </w:r>
            <w:r w:rsidR="00A54FC4">
              <w:rPr>
                <w:rFonts w:ascii="Times New Roman" w:hAnsi="Times New Roman" w:cs="Times New Roman"/>
              </w:rPr>
              <w:t>enfants de</w:t>
            </w:r>
            <w:r>
              <w:rPr>
                <w:rFonts w:ascii="Times New Roman" w:hAnsi="Times New Roman" w:cs="Times New Roman"/>
              </w:rPr>
              <w:t xml:space="preserve"> moins de 5 ans</w:t>
            </w:r>
            <w:r w:rsidR="00A54FC4">
              <w:rPr>
                <w:rFonts w:ascii="Times New Roman" w:hAnsi="Times New Roman" w:cs="Times New Roman"/>
              </w:rPr>
              <w:t xml:space="preserve"> </w:t>
            </w:r>
            <w:r>
              <w:rPr>
                <w:rFonts w:ascii="Times New Roman" w:hAnsi="Times New Roman" w:cs="Times New Roman"/>
              </w:rPr>
              <w:t>(%)</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59,9</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58,5</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Pr="00A97407" w:rsidRDefault="000B228D" w:rsidP="00B84A2C">
            <w:pPr>
              <w:autoSpaceDE w:val="0"/>
              <w:autoSpaceDN w:val="0"/>
              <w:adjustRightInd w:val="0"/>
              <w:rPr>
                <w:rFonts w:ascii="Times New Roman" w:hAnsi="Times New Roman" w:cs="Times New Roman"/>
              </w:rPr>
            </w:pPr>
            <w:r>
              <w:rPr>
                <w:rFonts w:ascii="Times New Roman" w:hAnsi="Times New Roman" w:cs="Times New Roman"/>
              </w:rPr>
              <w:t>Femmes avec un IMC en-deçà du seuil critique (%)</w:t>
            </w:r>
          </w:p>
        </w:tc>
        <w:tc>
          <w:tcPr>
            <w:tcW w:w="59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13,3</w:t>
            </w: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20,8</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15,7</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Femmes avec une maigreur sévère (%)</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6,9</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4,3</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Pr="00C34A27" w:rsidRDefault="000B228D" w:rsidP="00B84A2C">
            <w:pPr>
              <w:pStyle w:val="Default"/>
              <w:spacing w:line="360" w:lineRule="auto"/>
              <w:jc w:val="both"/>
              <w:rPr>
                <w:rFonts w:ascii="Calibri" w:hAnsi="Calibri"/>
                <w:sz w:val="20"/>
                <w:szCs w:val="20"/>
              </w:rPr>
            </w:pPr>
            <w:r>
              <w:rPr>
                <w:rFonts w:ascii="Calibri" w:hAnsi="Calibri"/>
                <w:sz w:val="20"/>
                <w:szCs w:val="20"/>
              </w:rPr>
              <w:t>Anémie chez la femme de 15-49 ans</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53,7</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48,8</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Pr="00C34A27" w:rsidRDefault="000B228D" w:rsidP="00B84A2C">
            <w:pPr>
              <w:pStyle w:val="Default"/>
              <w:spacing w:line="360" w:lineRule="auto"/>
              <w:jc w:val="both"/>
              <w:rPr>
                <w:rFonts w:ascii="Calibri" w:hAnsi="Calibri"/>
                <w:sz w:val="20"/>
                <w:szCs w:val="20"/>
              </w:rPr>
            </w:pPr>
            <w:r>
              <w:rPr>
                <w:rFonts w:ascii="Calibri" w:hAnsi="Calibri"/>
                <w:sz w:val="20"/>
                <w:szCs w:val="20"/>
              </w:rPr>
              <w:t>Anémie sévère chez la femme de 15-49 ans</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1,1</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1,1</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A54FC4" w:rsidRPr="00C34A27" w:rsidTr="00A54FC4">
        <w:tc>
          <w:tcPr>
            <w:tcW w:w="421" w:type="dxa"/>
          </w:tcPr>
          <w:p w:rsidR="000B228D" w:rsidRPr="00C34A27" w:rsidRDefault="000B228D" w:rsidP="00A773D3">
            <w:pPr>
              <w:pStyle w:val="Default"/>
              <w:numPr>
                <w:ilvl w:val="0"/>
                <w:numId w:val="10"/>
              </w:numPr>
              <w:spacing w:line="360" w:lineRule="auto"/>
              <w:jc w:val="both"/>
              <w:rPr>
                <w:rFonts w:ascii="Calibri" w:hAnsi="Calibri"/>
                <w:sz w:val="20"/>
                <w:szCs w:val="20"/>
              </w:rPr>
            </w:pPr>
          </w:p>
        </w:tc>
        <w:tc>
          <w:tcPr>
            <w:tcW w:w="5224" w:type="dxa"/>
          </w:tcPr>
          <w:p w:rsidR="000B228D" w:rsidRPr="00C34A27" w:rsidRDefault="000B228D" w:rsidP="00B84A2C">
            <w:pPr>
              <w:pStyle w:val="Default"/>
              <w:spacing w:line="360" w:lineRule="auto"/>
              <w:jc w:val="both"/>
              <w:rPr>
                <w:rFonts w:ascii="Calibri" w:hAnsi="Calibri"/>
                <w:sz w:val="20"/>
                <w:szCs w:val="20"/>
              </w:rPr>
            </w:pPr>
            <w:r>
              <w:rPr>
                <w:rFonts w:ascii="Calibri" w:hAnsi="Calibri"/>
                <w:sz w:val="20"/>
                <w:szCs w:val="20"/>
              </w:rPr>
              <w:t>Anémie modérée chez la femme de 15-49 ans</w:t>
            </w:r>
          </w:p>
        </w:tc>
        <w:tc>
          <w:tcPr>
            <w:tcW w:w="590" w:type="dxa"/>
          </w:tcPr>
          <w:p w:rsidR="000B228D" w:rsidRDefault="000B228D" w:rsidP="00B84A2C">
            <w:pPr>
              <w:pStyle w:val="Default"/>
              <w:spacing w:line="360" w:lineRule="auto"/>
              <w:jc w:val="both"/>
              <w:rPr>
                <w:rFonts w:ascii="Calibri" w:hAnsi="Calibri"/>
                <w:sz w:val="20"/>
                <w:szCs w:val="20"/>
              </w:rPr>
            </w:pPr>
          </w:p>
        </w:tc>
        <w:tc>
          <w:tcPr>
            <w:tcW w:w="708"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14,7</w:t>
            </w:r>
          </w:p>
        </w:tc>
        <w:tc>
          <w:tcPr>
            <w:tcW w:w="850" w:type="dxa"/>
          </w:tcPr>
          <w:p w:rsidR="000B228D" w:rsidRDefault="000B228D" w:rsidP="00B84A2C">
            <w:pPr>
              <w:pStyle w:val="Default"/>
              <w:spacing w:line="360" w:lineRule="auto"/>
              <w:jc w:val="both"/>
              <w:rPr>
                <w:rFonts w:ascii="Calibri" w:hAnsi="Calibri"/>
                <w:sz w:val="20"/>
                <w:szCs w:val="20"/>
              </w:rPr>
            </w:pPr>
            <w:r>
              <w:rPr>
                <w:rFonts w:ascii="Calibri" w:hAnsi="Calibri"/>
                <w:sz w:val="20"/>
                <w:szCs w:val="20"/>
              </w:rPr>
              <w:t>14</w:t>
            </w:r>
          </w:p>
        </w:tc>
        <w:tc>
          <w:tcPr>
            <w:tcW w:w="707" w:type="dxa"/>
          </w:tcPr>
          <w:p w:rsidR="000B228D" w:rsidRDefault="000B228D" w:rsidP="00B84A2C">
            <w:pPr>
              <w:pStyle w:val="Default"/>
              <w:spacing w:line="360" w:lineRule="auto"/>
              <w:jc w:val="both"/>
              <w:rPr>
                <w:rFonts w:ascii="Calibri" w:hAnsi="Calibri"/>
                <w:sz w:val="20"/>
                <w:szCs w:val="20"/>
              </w:rPr>
            </w:pPr>
          </w:p>
        </w:tc>
        <w:tc>
          <w:tcPr>
            <w:tcW w:w="562" w:type="dxa"/>
          </w:tcPr>
          <w:p w:rsidR="000B228D" w:rsidRDefault="000B228D" w:rsidP="00B84A2C">
            <w:pPr>
              <w:pStyle w:val="Default"/>
              <w:spacing w:line="360" w:lineRule="auto"/>
              <w:jc w:val="both"/>
              <w:rPr>
                <w:rFonts w:ascii="Calibri" w:hAnsi="Calibri"/>
                <w:sz w:val="20"/>
                <w:szCs w:val="20"/>
              </w:rPr>
            </w:pPr>
          </w:p>
        </w:tc>
      </w:tr>
      <w:tr w:rsidR="000B228D" w:rsidRPr="00C34A27" w:rsidTr="00A54FC4">
        <w:tc>
          <w:tcPr>
            <w:tcW w:w="421" w:type="dxa"/>
          </w:tcPr>
          <w:p w:rsidR="000B228D" w:rsidRPr="00C34A27" w:rsidRDefault="000B228D" w:rsidP="00B84A2C">
            <w:pPr>
              <w:pStyle w:val="Default"/>
              <w:spacing w:line="360" w:lineRule="auto"/>
              <w:jc w:val="both"/>
              <w:rPr>
                <w:rFonts w:ascii="Calibri" w:hAnsi="Calibri"/>
                <w:sz w:val="20"/>
                <w:szCs w:val="20"/>
              </w:rPr>
            </w:pPr>
          </w:p>
        </w:tc>
        <w:tc>
          <w:tcPr>
            <w:tcW w:w="8641" w:type="dxa"/>
            <w:gridSpan w:val="6"/>
          </w:tcPr>
          <w:p w:rsidR="000B228D" w:rsidRPr="00A54FC4" w:rsidRDefault="000B228D" w:rsidP="00A54FC4">
            <w:pPr>
              <w:pStyle w:val="Default"/>
              <w:jc w:val="both"/>
              <w:rPr>
                <w:rFonts w:ascii="Calibri" w:hAnsi="Calibri"/>
                <w:sz w:val="16"/>
                <w:szCs w:val="16"/>
              </w:rPr>
            </w:pPr>
            <w:r w:rsidRPr="003D481D">
              <w:rPr>
                <w:rFonts w:ascii="Calibri" w:hAnsi="Calibri"/>
                <w:sz w:val="16"/>
                <w:szCs w:val="16"/>
              </w:rPr>
              <w:t>Sources :</w:t>
            </w:r>
            <w:r w:rsidR="00A54FC4">
              <w:rPr>
                <w:rFonts w:ascii="Calibri" w:hAnsi="Calibri"/>
                <w:sz w:val="16"/>
                <w:szCs w:val="16"/>
              </w:rPr>
              <w:t xml:space="preserve"> (1) </w:t>
            </w:r>
            <w:r w:rsidRPr="003D481D">
              <w:rPr>
                <w:rFonts w:ascii="Calibri" w:hAnsi="Calibri"/>
                <w:sz w:val="16"/>
                <w:szCs w:val="16"/>
              </w:rPr>
              <w:t>EDS Burkina Faso 1998-99</w:t>
            </w:r>
            <w:r w:rsidR="00A54FC4">
              <w:rPr>
                <w:rFonts w:ascii="Calibri" w:hAnsi="Calibri"/>
                <w:sz w:val="16"/>
                <w:szCs w:val="16"/>
              </w:rPr>
              <w:t xml:space="preserve">, (2) </w:t>
            </w:r>
            <w:r w:rsidRPr="003D481D">
              <w:rPr>
                <w:rFonts w:ascii="Calibri" w:hAnsi="Calibri"/>
                <w:sz w:val="16"/>
                <w:szCs w:val="16"/>
              </w:rPr>
              <w:t>EDS Burkina Faso 2003</w:t>
            </w:r>
            <w:r w:rsidR="00A54FC4">
              <w:rPr>
                <w:rFonts w:ascii="Calibri" w:hAnsi="Calibri"/>
                <w:sz w:val="16"/>
                <w:szCs w:val="16"/>
              </w:rPr>
              <w:t xml:space="preserve">, (3) </w:t>
            </w:r>
            <w:r w:rsidRPr="003D481D">
              <w:rPr>
                <w:rFonts w:ascii="Calibri" w:hAnsi="Calibri"/>
                <w:sz w:val="16"/>
                <w:szCs w:val="16"/>
              </w:rPr>
              <w:t>EDS – MICS Burkina Faso 2010</w:t>
            </w:r>
            <w:r w:rsidR="00A54FC4">
              <w:rPr>
                <w:rFonts w:ascii="Calibri" w:hAnsi="Calibri"/>
                <w:sz w:val="16"/>
                <w:szCs w:val="16"/>
              </w:rPr>
              <w:t xml:space="preserve">, (4) </w:t>
            </w:r>
            <w:r w:rsidRPr="003D481D">
              <w:rPr>
                <w:rFonts w:ascii="Calibri" w:hAnsi="Calibri"/>
                <w:sz w:val="16"/>
                <w:szCs w:val="16"/>
              </w:rPr>
              <w:t>Evaluation Mi-Parcours du PNDS 2011-20 Burkina Faso. Rapport – Ministère de la santé publique 2016</w:t>
            </w:r>
            <w:r w:rsidR="00A54FC4">
              <w:rPr>
                <w:rFonts w:ascii="Calibri" w:hAnsi="Calibri"/>
                <w:sz w:val="16"/>
                <w:szCs w:val="16"/>
              </w:rPr>
              <w:t xml:space="preserve">, (5) </w:t>
            </w:r>
            <w:r w:rsidRPr="003D481D">
              <w:rPr>
                <w:rFonts w:ascii="Calibri" w:hAnsi="Calibri"/>
                <w:sz w:val="16"/>
                <w:szCs w:val="16"/>
              </w:rPr>
              <w:t>Enquête nutritionnelle nationale SMART 2016</w:t>
            </w:r>
          </w:p>
        </w:tc>
      </w:tr>
    </w:tbl>
    <w:p w:rsidR="002429C8" w:rsidRPr="006435D4" w:rsidRDefault="002429C8" w:rsidP="003F3B74">
      <w:pPr>
        <w:widowControl w:val="0"/>
        <w:tabs>
          <w:tab w:val="left" w:pos="9498"/>
        </w:tabs>
        <w:autoSpaceDE w:val="0"/>
        <w:autoSpaceDN w:val="0"/>
        <w:adjustRightInd w:val="0"/>
        <w:spacing w:before="240" w:after="0" w:line="360" w:lineRule="auto"/>
        <w:ind w:left="-142" w:right="-20"/>
        <w:jc w:val="both"/>
        <w:rPr>
          <w:rFonts w:ascii="Calibri" w:hAnsi="Calibri"/>
          <w:sz w:val="24"/>
          <w:szCs w:val="24"/>
        </w:rPr>
      </w:pPr>
      <w:r w:rsidRPr="006435D4">
        <w:rPr>
          <w:rFonts w:ascii="Calibri" w:hAnsi="Calibri"/>
          <w:sz w:val="24"/>
          <w:szCs w:val="24"/>
        </w:rPr>
        <w:t xml:space="preserve">La prévalence de l’anémie </w:t>
      </w:r>
      <w:r w:rsidR="006435D4" w:rsidRPr="006435D4">
        <w:rPr>
          <w:rFonts w:ascii="Calibri" w:hAnsi="Calibri"/>
          <w:sz w:val="24"/>
          <w:szCs w:val="24"/>
        </w:rPr>
        <w:t xml:space="preserve">chez les enfants de moins de 5 ans </w:t>
      </w:r>
      <w:r w:rsidRPr="006435D4">
        <w:rPr>
          <w:rFonts w:ascii="Calibri" w:hAnsi="Calibri"/>
          <w:sz w:val="24"/>
          <w:szCs w:val="24"/>
        </w:rPr>
        <w:t xml:space="preserve">reste élevée </w:t>
      </w:r>
      <w:r w:rsidR="006435D4" w:rsidRPr="006435D4">
        <w:rPr>
          <w:rFonts w:ascii="Calibri" w:hAnsi="Calibri"/>
          <w:sz w:val="24"/>
          <w:szCs w:val="24"/>
        </w:rPr>
        <w:t xml:space="preserve">atteignant 92 % en 2003 et 88 % en 2010 et </w:t>
      </w:r>
      <w:r w:rsidRPr="006435D4">
        <w:rPr>
          <w:rFonts w:ascii="Calibri" w:hAnsi="Calibri"/>
          <w:sz w:val="24"/>
          <w:szCs w:val="24"/>
        </w:rPr>
        <w:t>83.4</w:t>
      </w:r>
      <w:r w:rsidR="006435D4" w:rsidRPr="006435D4">
        <w:rPr>
          <w:rFonts w:ascii="Calibri" w:hAnsi="Calibri"/>
          <w:sz w:val="24"/>
          <w:szCs w:val="24"/>
        </w:rPr>
        <w:t xml:space="preserve"> % en 2017</w:t>
      </w:r>
      <w:r w:rsidR="003F3B74">
        <w:rPr>
          <w:rFonts w:ascii="Calibri" w:hAnsi="Calibri"/>
          <w:sz w:val="24"/>
          <w:szCs w:val="24"/>
        </w:rPr>
        <w:t>.</w:t>
      </w:r>
      <w:r w:rsidRPr="006435D4">
        <w:rPr>
          <w:rFonts w:ascii="Calibri" w:hAnsi="Calibri"/>
          <w:sz w:val="24"/>
          <w:szCs w:val="24"/>
        </w:rPr>
        <w:t xml:space="preserve">Cette situation nutritionnelle chez les enfants </w:t>
      </w:r>
      <w:r w:rsidR="00A47BBC">
        <w:rPr>
          <w:rFonts w:ascii="Calibri" w:hAnsi="Calibri"/>
          <w:sz w:val="24"/>
          <w:szCs w:val="24"/>
        </w:rPr>
        <w:t>est liée à un certain nombre de</w:t>
      </w:r>
      <w:r w:rsidRPr="006435D4">
        <w:rPr>
          <w:rFonts w:ascii="Calibri" w:hAnsi="Calibri"/>
          <w:sz w:val="24"/>
          <w:szCs w:val="24"/>
        </w:rPr>
        <w:t xml:space="preserve"> </w:t>
      </w:r>
      <w:r w:rsidR="006435D4" w:rsidRPr="006435D4">
        <w:rPr>
          <w:rFonts w:ascii="Calibri" w:hAnsi="Calibri"/>
          <w:sz w:val="24"/>
          <w:szCs w:val="24"/>
        </w:rPr>
        <w:t>facteurs déterminants</w:t>
      </w:r>
      <w:r w:rsidRPr="006435D4">
        <w:rPr>
          <w:rFonts w:ascii="Calibri" w:hAnsi="Calibri"/>
          <w:sz w:val="24"/>
          <w:szCs w:val="24"/>
        </w:rPr>
        <w:t xml:space="preserve"> </w:t>
      </w:r>
      <w:r w:rsidR="00A47BBC">
        <w:rPr>
          <w:rFonts w:ascii="Calibri" w:hAnsi="Calibri"/>
          <w:sz w:val="24"/>
          <w:szCs w:val="24"/>
        </w:rPr>
        <w:t xml:space="preserve">dont notamment (i) les </w:t>
      </w:r>
      <w:r w:rsidRPr="006435D4">
        <w:rPr>
          <w:rFonts w:ascii="Calibri" w:hAnsi="Calibri"/>
          <w:sz w:val="24"/>
          <w:szCs w:val="24"/>
        </w:rPr>
        <w:t xml:space="preserve">mauvaises pratiques d’allaitement et d’alimentation de </w:t>
      </w:r>
      <w:r w:rsidR="00A47BBC">
        <w:rPr>
          <w:rFonts w:ascii="Calibri" w:hAnsi="Calibri"/>
          <w:sz w:val="24"/>
          <w:szCs w:val="24"/>
        </w:rPr>
        <w:t xml:space="preserve">complément, (ii) </w:t>
      </w:r>
      <w:r w:rsidRPr="006435D4">
        <w:rPr>
          <w:rFonts w:ascii="Calibri" w:hAnsi="Calibri"/>
          <w:sz w:val="24"/>
          <w:szCs w:val="24"/>
        </w:rPr>
        <w:t>la précarité de</w:t>
      </w:r>
      <w:r w:rsidR="00A47BBC">
        <w:rPr>
          <w:rFonts w:ascii="Calibri" w:hAnsi="Calibri"/>
          <w:sz w:val="24"/>
          <w:szCs w:val="24"/>
        </w:rPr>
        <w:t xml:space="preserve">s soins apportés aux enfants, (iii) </w:t>
      </w:r>
      <w:r w:rsidRPr="006435D4">
        <w:rPr>
          <w:rFonts w:ascii="Calibri" w:hAnsi="Calibri"/>
          <w:sz w:val="24"/>
          <w:szCs w:val="24"/>
        </w:rPr>
        <w:t>la persistance des maladies</w:t>
      </w:r>
      <w:r w:rsidRPr="006435D4">
        <w:rPr>
          <w:rFonts w:ascii="Calibri" w:eastAsia="Arial Unicode MS" w:hAnsi="Calibri"/>
          <w:sz w:val="24"/>
          <w:szCs w:val="24"/>
        </w:rPr>
        <w:t xml:space="preserve"> </w:t>
      </w:r>
      <w:r w:rsidRPr="006435D4">
        <w:rPr>
          <w:rFonts w:ascii="Calibri" w:hAnsi="Calibri"/>
          <w:sz w:val="24"/>
          <w:szCs w:val="24"/>
        </w:rPr>
        <w:t xml:space="preserve">parasitaires et </w:t>
      </w:r>
      <w:r w:rsidR="00A47BBC">
        <w:rPr>
          <w:rFonts w:ascii="Calibri" w:hAnsi="Calibri"/>
          <w:sz w:val="24"/>
          <w:szCs w:val="24"/>
        </w:rPr>
        <w:t xml:space="preserve">infectieuses, (iv) </w:t>
      </w:r>
      <w:r w:rsidR="00A47BBC" w:rsidRPr="006435D4">
        <w:rPr>
          <w:rFonts w:ascii="Calibri" w:hAnsi="Calibri"/>
          <w:sz w:val="24"/>
          <w:szCs w:val="24"/>
        </w:rPr>
        <w:t>l’insuffisance</w:t>
      </w:r>
      <w:r w:rsidRPr="006435D4">
        <w:rPr>
          <w:rFonts w:ascii="Calibri" w:hAnsi="Calibri"/>
          <w:sz w:val="24"/>
          <w:szCs w:val="24"/>
        </w:rPr>
        <w:t xml:space="preserve"> d’accès à </w:t>
      </w:r>
      <w:r w:rsidR="00A47BBC" w:rsidRPr="006435D4">
        <w:rPr>
          <w:rFonts w:ascii="Calibri" w:hAnsi="Calibri"/>
          <w:sz w:val="24"/>
          <w:szCs w:val="24"/>
        </w:rPr>
        <w:t xml:space="preserve">l’eau </w:t>
      </w:r>
      <w:r w:rsidR="00A47BBC" w:rsidRPr="006435D4">
        <w:rPr>
          <w:rFonts w:ascii="Calibri" w:hAnsi="Calibri"/>
          <w:sz w:val="24"/>
          <w:szCs w:val="24"/>
        </w:rPr>
        <w:lastRenderedPageBreak/>
        <w:t>potable</w:t>
      </w:r>
      <w:r w:rsidR="00A47BBC">
        <w:rPr>
          <w:rFonts w:ascii="Calibri" w:hAnsi="Calibri"/>
          <w:sz w:val="24"/>
          <w:szCs w:val="24"/>
        </w:rPr>
        <w:t>, (v) les</w:t>
      </w:r>
      <w:r w:rsidRPr="006435D4">
        <w:rPr>
          <w:rFonts w:ascii="Calibri" w:hAnsi="Calibri"/>
          <w:sz w:val="24"/>
          <w:szCs w:val="24"/>
        </w:rPr>
        <w:t xml:space="preserve"> mauvaises pratiques en matière d’hygiène</w:t>
      </w:r>
      <w:r w:rsidR="00A47BBC">
        <w:rPr>
          <w:rFonts w:ascii="Calibri" w:hAnsi="Calibri"/>
          <w:sz w:val="24"/>
          <w:szCs w:val="24"/>
        </w:rPr>
        <w:t xml:space="preserve"> notamment </w:t>
      </w:r>
      <w:r w:rsidR="003624F0">
        <w:rPr>
          <w:rFonts w:ascii="Calibri" w:hAnsi="Calibri"/>
          <w:sz w:val="24"/>
          <w:szCs w:val="24"/>
        </w:rPr>
        <w:t xml:space="preserve">alimentaire </w:t>
      </w:r>
      <w:r w:rsidR="003624F0" w:rsidRPr="006435D4">
        <w:rPr>
          <w:rFonts w:ascii="Calibri" w:hAnsi="Calibri"/>
          <w:sz w:val="24"/>
          <w:szCs w:val="24"/>
        </w:rPr>
        <w:t>et</w:t>
      </w:r>
      <w:r w:rsidRPr="006435D4">
        <w:rPr>
          <w:rFonts w:ascii="Calibri" w:hAnsi="Calibri"/>
          <w:sz w:val="24"/>
          <w:szCs w:val="24"/>
        </w:rPr>
        <w:t xml:space="preserve"> </w:t>
      </w:r>
      <w:r w:rsidR="003624F0">
        <w:rPr>
          <w:rFonts w:ascii="Calibri" w:hAnsi="Calibri"/>
          <w:sz w:val="24"/>
          <w:szCs w:val="24"/>
        </w:rPr>
        <w:t xml:space="preserve">(vi) </w:t>
      </w:r>
      <w:r w:rsidRPr="006435D4">
        <w:rPr>
          <w:rFonts w:ascii="Calibri" w:hAnsi="Calibri"/>
          <w:sz w:val="24"/>
          <w:szCs w:val="24"/>
        </w:rPr>
        <w:t xml:space="preserve">à certains pesanteurs  socioculturelles.  </w:t>
      </w:r>
    </w:p>
    <w:p w:rsidR="009078FF" w:rsidRDefault="002429C8" w:rsidP="009078FF">
      <w:pPr>
        <w:widowControl w:val="0"/>
        <w:tabs>
          <w:tab w:val="left" w:pos="9498"/>
        </w:tabs>
        <w:autoSpaceDE w:val="0"/>
        <w:autoSpaceDN w:val="0"/>
        <w:adjustRightInd w:val="0"/>
        <w:spacing w:before="32" w:line="360" w:lineRule="auto"/>
        <w:ind w:left="-142" w:right="-20"/>
        <w:jc w:val="both"/>
        <w:rPr>
          <w:rFonts w:ascii="Calibri" w:hAnsi="Calibri"/>
          <w:sz w:val="24"/>
          <w:szCs w:val="24"/>
        </w:rPr>
      </w:pPr>
      <w:r w:rsidRPr="00E46BB4">
        <w:rPr>
          <w:rFonts w:ascii="Calibri" w:hAnsi="Calibri"/>
          <w:sz w:val="24"/>
          <w:szCs w:val="24"/>
        </w:rPr>
        <w:t xml:space="preserve"> Quant à la situation nutritionnelle des mères, elle est à l’image de celle des femmes en âge de procréer au Burkina Faso. En effet, caractérisée </w:t>
      </w:r>
      <w:r w:rsidR="00E46BB4" w:rsidRPr="00E46BB4">
        <w:rPr>
          <w:rFonts w:ascii="Calibri" w:hAnsi="Calibri"/>
          <w:sz w:val="24"/>
          <w:szCs w:val="24"/>
        </w:rPr>
        <w:t>par une</w:t>
      </w:r>
      <w:r w:rsidRPr="00E46BB4">
        <w:rPr>
          <w:rFonts w:ascii="Calibri" w:hAnsi="Calibri"/>
          <w:sz w:val="24"/>
          <w:szCs w:val="24"/>
        </w:rPr>
        <w:t xml:space="preserve"> prévalence de la maigreur (IMC&lt;18.5) de l’ordre de 16% (EDS 2010) et une prévalence élevée de l’anémie chez </w:t>
      </w:r>
      <w:r w:rsidR="00E46BB4" w:rsidRPr="00E46BB4">
        <w:rPr>
          <w:rFonts w:ascii="Calibri" w:hAnsi="Calibri"/>
          <w:sz w:val="24"/>
          <w:szCs w:val="24"/>
        </w:rPr>
        <w:t>les femmes</w:t>
      </w:r>
      <w:r w:rsidRPr="00E46BB4">
        <w:rPr>
          <w:rFonts w:ascii="Calibri" w:hAnsi="Calibri"/>
          <w:sz w:val="24"/>
          <w:szCs w:val="24"/>
        </w:rPr>
        <w:t xml:space="preserve"> enceintes (72,5%), on note également une </w:t>
      </w:r>
      <w:r w:rsidR="00E46BB4" w:rsidRPr="00E46BB4">
        <w:rPr>
          <w:rFonts w:ascii="Calibri" w:hAnsi="Calibri"/>
          <w:sz w:val="24"/>
          <w:szCs w:val="24"/>
        </w:rPr>
        <w:t>carence en</w:t>
      </w:r>
      <w:r w:rsidRPr="00E46BB4">
        <w:rPr>
          <w:rFonts w:ascii="Calibri" w:hAnsi="Calibri"/>
          <w:sz w:val="24"/>
          <w:szCs w:val="24"/>
        </w:rPr>
        <w:t xml:space="preserve"> iode marquée chez les femmes enceintes avec une concentration d’iode urinaire médiane de 74µmg/l (ENIAB 2014) inférieure à la norme qui est de 150µmg/l. Cet état </w:t>
      </w:r>
      <w:r w:rsidR="00E46BB4" w:rsidRPr="00E46BB4">
        <w:rPr>
          <w:rFonts w:ascii="Calibri" w:hAnsi="Calibri"/>
          <w:sz w:val="24"/>
          <w:szCs w:val="24"/>
        </w:rPr>
        <w:t>nutritionnel serait</w:t>
      </w:r>
      <w:r w:rsidRPr="00E46BB4">
        <w:rPr>
          <w:rFonts w:ascii="Calibri" w:hAnsi="Calibri"/>
          <w:sz w:val="24"/>
          <w:szCs w:val="24"/>
        </w:rPr>
        <w:t xml:space="preserve"> lié à </w:t>
      </w:r>
      <w:r w:rsidR="00E46BB4" w:rsidRPr="00E46BB4">
        <w:rPr>
          <w:rFonts w:ascii="Calibri" w:hAnsi="Calibri"/>
          <w:sz w:val="24"/>
          <w:szCs w:val="24"/>
        </w:rPr>
        <w:t xml:space="preserve">une insuffisance </w:t>
      </w:r>
      <w:r w:rsidR="00B84A2C" w:rsidRPr="00E46BB4">
        <w:rPr>
          <w:rFonts w:ascii="Calibri" w:hAnsi="Calibri"/>
          <w:sz w:val="24"/>
          <w:szCs w:val="24"/>
        </w:rPr>
        <w:t>de counseling</w:t>
      </w:r>
      <w:r w:rsidRPr="00E46BB4">
        <w:rPr>
          <w:rFonts w:ascii="Calibri" w:hAnsi="Calibri"/>
          <w:sz w:val="24"/>
          <w:szCs w:val="24"/>
        </w:rPr>
        <w:t xml:space="preserve"> nutritionnel pendant les consultations prénatales et dans les GASPA dans un système de </w:t>
      </w:r>
      <w:r w:rsidR="00B84A2C" w:rsidRPr="00E46BB4">
        <w:rPr>
          <w:rFonts w:ascii="Calibri" w:hAnsi="Calibri"/>
          <w:sz w:val="24"/>
          <w:szCs w:val="24"/>
        </w:rPr>
        <w:t>santé en</w:t>
      </w:r>
      <w:r w:rsidRPr="00E46BB4">
        <w:rPr>
          <w:rFonts w:ascii="Calibri" w:hAnsi="Calibri"/>
          <w:sz w:val="24"/>
          <w:szCs w:val="24"/>
        </w:rPr>
        <w:t xml:space="preserve"> général peu performant comme indique l’évaluation du système de</w:t>
      </w:r>
      <w:r w:rsidR="002E239B">
        <w:rPr>
          <w:rFonts w:ascii="Calibri" w:hAnsi="Calibri"/>
          <w:sz w:val="24"/>
          <w:szCs w:val="24"/>
        </w:rPr>
        <w:t xml:space="preserve"> </w:t>
      </w:r>
      <w:r w:rsidR="00B84A2C" w:rsidRPr="00E46BB4">
        <w:rPr>
          <w:rFonts w:ascii="Calibri" w:hAnsi="Calibri"/>
          <w:sz w:val="24"/>
          <w:szCs w:val="24"/>
        </w:rPr>
        <w:t>santé avec</w:t>
      </w:r>
      <w:r w:rsidRPr="00E46BB4">
        <w:rPr>
          <w:rFonts w:ascii="Calibri" w:hAnsi="Calibri"/>
          <w:sz w:val="24"/>
          <w:szCs w:val="24"/>
        </w:rPr>
        <w:t xml:space="preserve"> l’outil PHCPI. Pourtant de telle condition </w:t>
      </w:r>
      <w:r w:rsidR="00E46BB4" w:rsidRPr="00E46BB4">
        <w:rPr>
          <w:rFonts w:ascii="Calibri" w:hAnsi="Calibri"/>
          <w:sz w:val="24"/>
          <w:szCs w:val="24"/>
        </w:rPr>
        <w:t>nutritionnelle pourrait</w:t>
      </w:r>
      <w:r w:rsidRPr="00E46BB4">
        <w:rPr>
          <w:rFonts w:ascii="Calibri" w:hAnsi="Calibri"/>
          <w:sz w:val="24"/>
          <w:szCs w:val="24"/>
        </w:rPr>
        <w:t xml:space="preserve"> maintenir </w:t>
      </w:r>
      <w:r w:rsidR="00B84A2C" w:rsidRPr="00E46BB4">
        <w:rPr>
          <w:rFonts w:ascii="Calibri" w:hAnsi="Calibri"/>
          <w:sz w:val="24"/>
          <w:szCs w:val="24"/>
        </w:rPr>
        <w:t>le faible</w:t>
      </w:r>
      <w:r w:rsidRPr="00E46BB4">
        <w:rPr>
          <w:rFonts w:ascii="Calibri" w:hAnsi="Calibri"/>
          <w:sz w:val="24"/>
          <w:szCs w:val="24"/>
        </w:rPr>
        <w:t xml:space="preserve"> </w:t>
      </w:r>
      <w:r w:rsidR="00B84A2C" w:rsidRPr="00E46BB4">
        <w:rPr>
          <w:rFonts w:ascii="Calibri" w:hAnsi="Calibri"/>
          <w:sz w:val="24"/>
          <w:szCs w:val="24"/>
        </w:rPr>
        <w:t>poids à</w:t>
      </w:r>
      <w:r w:rsidRPr="00E46BB4">
        <w:rPr>
          <w:rFonts w:ascii="Calibri" w:hAnsi="Calibri"/>
          <w:sz w:val="24"/>
          <w:szCs w:val="24"/>
        </w:rPr>
        <w:t xml:space="preserve"> la </w:t>
      </w:r>
      <w:r w:rsidR="00B84A2C" w:rsidRPr="00E46BB4">
        <w:rPr>
          <w:rFonts w:ascii="Calibri" w:hAnsi="Calibri"/>
          <w:sz w:val="24"/>
          <w:szCs w:val="24"/>
        </w:rPr>
        <w:t>naissance resté</w:t>
      </w:r>
      <w:r w:rsidRPr="00E46BB4">
        <w:rPr>
          <w:rFonts w:ascii="Calibri" w:hAnsi="Calibri"/>
          <w:sz w:val="24"/>
          <w:szCs w:val="24"/>
        </w:rPr>
        <w:t xml:space="preserve"> stationnaire autour de 10% depuis 2012.</w:t>
      </w:r>
    </w:p>
    <w:p w:rsidR="009078FF" w:rsidRPr="009078FF" w:rsidRDefault="009078FF" w:rsidP="009078FF">
      <w:pPr>
        <w:pStyle w:val="Paragraphedeliste"/>
        <w:numPr>
          <w:ilvl w:val="1"/>
          <w:numId w:val="3"/>
        </w:numPr>
        <w:spacing w:after="0" w:line="360" w:lineRule="auto"/>
        <w:jc w:val="both"/>
        <w:rPr>
          <w:rFonts w:ascii="Calibri" w:hAnsi="Calibri"/>
          <w:sz w:val="24"/>
          <w:szCs w:val="24"/>
        </w:rPr>
      </w:pPr>
      <w:r w:rsidRPr="009078FF">
        <w:rPr>
          <w:rFonts w:ascii="Calibri" w:hAnsi="Calibri"/>
          <w:sz w:val="24"/>
          <w:szCs w:val="24"/>
        </w:rPr>
        <w:t>PERFORMANCE DU CONTINUUM DE SERVICES EN SRMNEA-N</w:t>
      </w:r>
    </w:p>
    <w:p w:rsidR="004527CF" w:rsidRPr="003F3B74" w:rsidRDefault="004527CF" w:rsidP="003624F0">
      <w:pPr>
        <w:pStyle w:val="Paragraphedeliste"/>
        <w:numPr>
          <w:ilvl w:val="2"/>
          <w:numId w:val="3"/>
        </w:numPr>
        <w:spacing w:after="0" w:line="360" w:lineRule="auto"/>
        <w:jc w:val="both"/>
        <w:rPr>
          <w:rFonts w:cs="Arial"/>
          <w:b/>
          <w:sz w:val="24"/>
          <w:szCs w:val="24"/>
        </w:rPr>
      </w:pPr>
      <w:r w:rsidRPr="003F3B74">
        <w:rPr>
          <w:rFonts w:cs="Arial"/>
          <w:b/>
          <w:sz w:val="24"/>
          <w:szCs w:val="24"/>
        </w:rPr>
        <w:t>Les soins prénatals (SPN)</w:t>
      </w:r>
    </w:p>
    <w:p w:rsidR="00A47BBC" w:rsidRPr="003F3B74" w:rsidRDefault="004527CF" w:rsidP="003624F0">
      <w:pPr>
        <w:spacing w:line="360" w:lineRule="auto"/>
        <w:jc w:val="both"/>
        <w:rPr>
          <w:rFonts w:cs="Arial"/>
          <w:sz w:val="24"/>
          <w:szCs w:val="24"/>
        </w:rPr>
      </w:pPr>
      <w:r w:rsidRPr="003F3B74">
        <w:rPr>
          <w:rFonts w:cs="Arial"/>
          <w:sz w:val="24"/>
          <w:szCs w:val="24"/>
        </w:rPr>
        <w:t xml:space="preserve">Les résultats de l’enquête EDS/MICS 2010, montrent que 95 % des femmes ont reçu des soins prénatals au cours de leur grossesse. En 2016, </w:t>
      </w:r>
      <w:r w:rsidR="00310656" w:rsidRPr="003F3B74">
        <w:rPr>
          <w:rFonts w:cs="Arial"/>
          <w:sz w:val="24"/>
          <w:szCs w:val="24"/>
        </w:rPr>
        <w:t xml:space="preserve">la </w:t>
      </w:r>
      <w:r w:rsidRPr="003F3B74">
        <w:rPr>
          <w:rFonts w:cs="Arial"/>
          <w:sz w:val="24"/>
          <w:szCs w:val="24"/>
        </w:rPr>
        <w:t>couverture nationale de CPN1 de 81 %, 70 % pour la CPN2 et 34 % pour la CPN4</w:t>
      </w:r>
      <w:r w:rsidR="00310656" w:rsidRPr="003F3B74">
        <w:rPr>
          <w:rStyle w:val="Appelnotedebasdep"/>
          <w:rFonts w:cs="Arial"/>
          <w:sz w:val="24"/>
          <w:szCs w:val="24"/>
        </w:rPr>
        <w:footnoteReference w:id="20"/>
      </w:r>
      <w:r w:rsidRPr="003F3B74">
        <w:rPr>
          <w:rFonts w:cs="Arial"/>
          <w:sz w:val="24"/>
          <w:szCs w:val="24"/>
        </w:rPr>
        <w:t xml:space="preserve">. </w:t>
      </w:r>
      <w:r w:rsidR="00844D73" w:rsidRPr="003F3B74">
        <w:rPr>
          <w:rFonts w:cs="Arial"/>
          <w:sz w:val="24"/>
          <w:szCs w:val="24"/>
        </w:rPr>
        <w:t xml:space="preserve">Les progrès observés, avec une hausse du taux de la CPN4 passant de 34,1% en 2015 à 38% en 2017, la cible de 45% n’a pas été atteinte (PNDS 2011-2020). </w:t>
      </w:r>
    </w:p>
    <w:p w:rsidR="00A47BBC" w:rsidRDefault="003624F0" w:rsidP="00A47BBC">
      <w:pPr>
        <w:spacing w:line="360" w:lineRule="auto"/>
        <w:jc w:val="both"/>
        <w:rPr>
          <w:rFonts w:cs="Arial"/>
          <w:sz w:val="23"/>
          <w:szCs w:val="23"/>
        </w:rPr>
      </w:pPr>
      <w:r w:rsidRPr="00B72473">
        <w:rPr>
          <w:rFonts w:cs="Arial"/>
          <w:noProof/>
          <w:sz w:val="23"/>
          <w:szCs w:val="23"/>
        </w:rPr>
        <w:object w:dxaOrig="9111" w:dyaOrig="4321">
          <v:shape id="_x0000_i1027" type="#_x0000_t75" style="width:455.25pt;height:180.75pt" o:ole="">
            <v:imagedata r:id="rId23" o:title=""/>
          </v:shape>
          <o:OLEObject Type="Embed" ProgID="Excel.Sheet.12" ShapeID="_x0000_i1027" DrawAspect="Content" ObjectID="_1599457029" r:id="rId24"/>
        </w:object>
      </w:r>
      <w:r w:rsidRPr="003624F0">
        <w:rPr>
          <w:rFonts w:cs="Arial"/>
          <w:b/>
          <w:sz w:val="23"/>
          <w:szCs w:val="23"/>
          <w:highlight w:val="yellow"/>
        </w:rPr>
        <w:t xml:space="preserve">Figure </w:t>
      </w:r>
      <w:r w:rsidRPr="003624F0">
        <w:rPr>
          <w:rFonts w:eastAsia="Times New Roman" w:cs="Arial"/>
          <w:b/>
          <w:sz w:val="23"/>
          <w:szCs w:val="23"/>
          <w:highlight w:val="yellow"/>
        </w:rPr>
        <w:t xml:space="preserve">7 </w:t>
      </w:r>
      <w:r w:rsidR="00A47BBC" w:rsidRPr="003624F0">
        <w:rPr>
          <w:rFonts w:cs="Arial"/>
          <w:b/>
          <w:sz w:val="23"/>
          <w:szCs w:val="23"/>
          <w:highlight w:val="yellow"/>
        </w:rPr>
        <w:t>:</w:t>
      </w:r>
      <w:r w:rsidR="00A47BBC" w:rsidRPr="00B72473">
        <w:rPr>
          <w:rFonts w:cs="Arial"/>
          <w:sz w:val="23"/>
          <w:szCs w:val="23"/>
        </w:rPr>
        <w:t xml:space="preserve"> Taux de couverture en CPN4 par région en 2017</w:t>
      </w:r>
      <w:r>
        <w:rPr>
          <w:rStyle w:val="Appelnotedebasdep"/>
          <w:rFonts w:cs="Arial"/>
          <w:sz w:val="23"/>
          <w:szCs w:val="23"/>
        </w:rPr>
        <w:footnoteReference w:id="21"/>
      </w:r>
    </w:p>
    <w:p w:rsidR="003624F0" w:rsidRPr="003F3B74" w:rsidRDefault="003624F0" w:rsidP="003F3B74">
      <w:pPr>
        <w:spacing w:after="0" w:line="360" w:lineRule="auto"/>
        <w:jc w:val="both"/>
        <w:rPr>
          <w:rFonts w:cs="Arial"/>
          <w:sz w:val="24"/>
          <w:szCs w:val="24"/>
        </w:rPr>
      </w:pPr>
      <w:r w:rsidRPr="003F3B74">
        <w:rPr>
          <w:rFonts w:cs="Arial"/>
          <w:noProof/>
          <w:sz w:val="24"/>
          <w:szCs w:val="24"/>
        </w:rPr>
        <w:lastRenderedPageBreak/>
        <w:t xml:space="preserve">La figure </w:t>
      </w:r>
      <w:r w:rsidRPr="003F3B74">
        <w:rPr>
          <w:rFonts w:cs="Arial"/>
          <w:noProof/>
          <w:sz w:val="24"/>
          <w:szCs w:val="24"/>
          <w:highlight w:val="yellow"/>
        </w:rPr>
        <w:t>7</w:t>
      </w:r>
      <w:r w:rsidRPr="003F3B74">
        <w:rPr>
          <w:rFonts w:cs="Arial"/>
          <w:noProof/>
          <w:sz w:val="24"/>
          <w:szCs w:val="24"/>
        </w:rPr>
        <w:t xml:space="preserve"> montre une disparité dans la distribution des résultats au niveau des régions. </w:t>
      </w:r>
    </w:p>
    <w:p w:rsidR="004527CF" w:rsidRPr="003F3B74" w:rsidRDefault="003624F0" w:rsidP="003F3B74">
      <w:pPr>
        <w:spacing w:after="0" w:line="360" w:lineRule="auto"/>
        <w:jc w:val="both"/>
        <w:rPr>
          <w:rFonts w:eastAsia="Calibri" w:cs="Arial"/>
          <w:sz w:val="24"/>
          <w:szCs w:val="24"/>
          <w:lang w:val="fr-BE"/>
        </w:rPr>
      </w:pPr>
      <w:r w:rsidRPr="003F3B74">
        <w:rPr>
          <w:rFonts w:cs="Arial"/>
          <w:sz w:val="24"/>
          <w:szCs w:val="24"/>
        </w:rPr>
        <w:t xml:space="preserve">Seules deux régions (Sud-ouest et les cascades) ont atteint la cible de 45% fixée par le </w:t>
      </w:r>
      <w:r w:rsidR="009C077B" w:rsidRPr="003F3B74">
        <w:rPr>
          <w:rFonts w:cs="Arial"/>
          <w:sz w:val="24"/>
          <w:szCs w:val="24"/>
        </w:rPr>
        <w:t xml:space="preserve">PNDS en 2017 et quatre régions </w:t>
      </w:r>
      <w:r w:rsidR="009C077B" w:rsidRPr="003F3B74">
        <w:rPr>
          <w:rFonts w:eastAsia="Calibri" w:cs="Arial"/>
          <w:sz w:val="24"/>
          <w:szCs w:val="24"/>
          <w:lang w:val="fr-BE"/>
        </w:rPr>
        <w:t xml:space="preserve">(Boucle du Mouhoun, Cascades, Centre et Centre-Est) réalisaient une performance en dessous de la moyenne nationale. </w:t>
      </w:r>
    </w:p>
    <w:p w:rsidR="003F3B74" w:rsidRPr="003F3B74" w:rsidRDefault="003F3B74" w:rsidP="003F3B74">
      <w:pPr>
        <w:spacing w:after="0" w:line="360" w:lineRule="auto"/>
        <w:jc w:val="both"/>
        <w:rPr>
          <w:sz w:val="24"/>
          <w:szCs w:val="24"/>
        </w:rPr>
      </w:pPr>
      <w:r w:rsidRPr="003F3B74">
        <w:rPr>
          <w:sz w:val="24"/>
          <w:szCs w:val="24"/>
        </w:rPr>
        <w:t>Environ deux personnes sur cinq parmi les pauvres contre trois sur cinq parmi les non pauvres peuvent être considérées comme utilisant de façon appropriée les services de santé pendant la grossesse. L’accès et de l’utilisation des services laisse transparaître une augmentation progressive du quintile le plus pauvre (Q1) au plus riche (Q5)</w:t>
      </w:r>
      <w:r w:rsidRPr="003F3B74">
        <w:rPr>
          <w:rStyle w:val="Appelnotedebasdep"/>
          <w:sz w:val="24"/>
          <w:szCs w:val="24"/>
        </w:rPr>
        <w:footnoteReference w:id="22"/>
      </w:r>
      <w:r w:rsidRPr="003F3B74">
        <w:rPr>
          <w:sz w:val="24"/>
          <w:szCs w:val="24"/>
        </w:rPr>
        <w:t>.</w:t>
      </w:r>
    </w:p>
    <w:p w:rsidR="003F3B74" w:rsidRPr="003F3B74" w:rsidRDefault="003F3B74" w:rsidP="004527CF">
      <w:pPr>
        <w:pStyle w:val="Default"/>
        <w:spacing w:line="360" w:lineRule="auto"/>
        <w:jc w:val="both"/>
        <w:rPr>
          <w:rFonts w:asciiTheme="minorHAnsi" w:hAnsiTheme="minorHAnsi"/>
          <w:color w:val="auto"/>
        </w:rPr>
      </w:pPr>
      <w:r w:rsidRPr="003F3B74">
        <w:rPr>
          <w:rFonts w:asciiTheme="minorHAnsi" w:hAnsiTheme="minorHAnsi"/>
          <w:color w:val="auto"/>
        </w:rPr>
        <w:t>En ce qui concerne les CPN, les accouchements et suites de couches immédiates, l’enquête</w:t>
      </w:r>
      <w:r w:rsidR="004527CF" w:rsidRPr="003F3B74">
        <w:rPr>
          <w:rFonts w:asciiTheme="minorHAnsi" w:hAnsiTheme="minorHAnsi"/>
          <w:color w:val="auto"/>
        </w:rPr>
        <w:t xml:space="preserve"> SARA montre</w:t>
      </w:r>
      <w:r w:rsidRPr="003F3B74">
        <w:rPr>
          <w:rFonts w:asciiTheme="minorHAnsi" w:hAnsiTheme="minorHAnsi"/>
          <w:color w:val="auto"/>
        </w:rPr>
        <w:t>nt une faible disponibilité de personnel formé</w:t>
      </w:r>
      <w:r w:rsidR="004527CF" w:rsidRPr="003F3B74">
        <w:rPr>
          <w:rFonts w:asciiTheme="minorHAnsi" w:hAnsiTheme="minorHAnsi"/>
          <w:color w:val="auto"/>
        </w:rPr>
        <w:t xml:space="preserve"> </w:t>
      </w:r>
      <w:r w:rsidRPr="003F3B74">
        <w:rPr>
          <w:rFonts w:asciiTheme="minorHAnsi" w:hAnsiTheme="minorHAnsi"/>
          <w:color w:val="auto"/>
        </w:rPr>
        <w:t>(</w:t>
      </w:r>
      <w:r w:rsidR="004527CF" w:rsidRPr="003F3B74">
        <w:rPr>
          <w:rFonts w:asciiTheme="minorHAnsi" w:hAnsiTheme="minorHAnsi"/>
          <w:color w:val="auto"/>
        </w:rPr>
        <w:t xml:space="preserve">seulement 46 </w:t>
      </w:r>
      <w:r w:rsidRPr="003F3B74">
        <w:rPr>
          <w:rFonts w:asciiTheme="minorHAnsi" w:hAnsiTheme="minorHAnsi"/>
          <w:color w:val="auto"/>
        </w:rPr>
        <w:t xml:space="preserve">%) </w:t>
      </w:r>
      <w:r w:rsidR="004A33A0">
        <w:rPr>
          <w:rFonts w:asciiTheme="minorHAnsi" w:hAnsiTheme="minorHAnsi"/>
          <w:color w:val="auto"/>
        </w:rPr>
        <w:t xml:space="preserve">et </w:t>
      </w:r>
      <w:r w:rsidRPr="003F3B74">
        <w:rPr>
          <w:rFonts w:asciiTheme="minorHAnsi" w:hAnsiTheme="minorHAnsi"/>
          <w:color w:val="auto"/>
        </w:rPr>
        <w:t>des</w:t>
      </w:r>
      <w:r w:rsidR="004527CF" w:rsidRPr="003F3B74">
        <w:rPr>
          <w:rFonts w:asciiTheme="minorHAnsi" w:hAnsiTheme="minorHAnsi"/>
          <w:color w:val="auto"/>
        </w:rPr>
        <w:t xml:space="preserve"> directives nationales (50 %). </w:t>
      </w:r>
    </w:p>
    <w:p w:rsidR="004527CF" w:rsidRPr="00B72473" w:rsidRDefault="004527CF" w:rsidP="004527CF">
      <w:pPr>
        <w:pStyle w:val="Default"/>
        <w:spacing w:line="360" w:lineRule="auto"/>
        <w:jc w:val="both"/>
        <w:rPr>
          <w:rFonts w:asciiTheme="minorHAnsi" w:hAnsiTheme="minorHAnsi"/>
          <w:color w:val="auto"/>
          <w:sz w:val="23"/>
          <w:szCs w:val="23"/>
        </w:rPr>
      </w:pPr>
      <w:r w:rsidRPr="003F3B74">
        <w:rPr>
          <w:rFonts w:asciiTheme="minorHAnsi" w:hAnsiTheme="minorHAnsi"/>
          <w:color w:val="auto"/>
          <w:sz w:val="23"/>
          <w:szCs w:val="23"/>
          <w:highlight w:val="yellow"/>
        </w:rPr>
        <w:t>On note cependant une très bonne disponibilité pour le fer + acide folique à 90 %. (SARA 2016)</w:t>
      </w:r>
    </w:p>
    <w:p w:rsidR="004A33A0" w:rsidRPr="004A33A0" w:rsidRDefault="004A33A0" w:rsidP="004A33A0">
      <w:pPr>
        <w:pStyle w:val="Paragraphedeliste"/>
        <w:numPr>
          <w:ilvl w:val="2"/>
          <w:numId w:val="3"/>
        </w:numPr>
        <w:spacing w:after="0" w:line="360" w:lineRule="auto"/>
        <w:jc w:val="both"/>
        <w:rPr>
          <w:rFonts w:eastAsia="Calibri"/>
          <w:b/>
          <w:caps/>
          <w:sz w:val="24"/>
          <w:szCs w:val="24"/>
        </w:rPr>
      </w:pPr>
      <w:bookmarkStart w:id="2" w:name="_Toc522532881"/>
      <w:r w:rsidRPr="004A33A0">
        <w:rPr>
          <w:rFonts w:eastAsia="Calibri"/>
          <w:b/>
          <w:caps/>
          <w:sz w:val="24"/>
          <w:szCs w:val="24"/>
        </w:rPr>
        <w:t>S</w:t>
      </w:r>
      <w:r w:rsidRPr="004A33A0">
        <w:rPr>
          <w:rFonts w:eastAsia="Calibri"/>
          <w:b/>
          <w:sz w:val="24"/>
          <w:szCs w:val="24"/>
        </w:rPr>
        <w:t>oins obstétricaux et néonataux d’urgence (SONU)</w:t>
      </w:r>
    </w:p>
    <w:bookmarkEnd w:id="2"/>
    <w:p w:rsidR="002D49AE" w:rsidRDefault="004527CF" w:rsidP="002D49AE">
      <w:pPr>
        <w:spacing w:line="360" w:lineRule="auto"/>
        <w:jc w:val="both"/>
        <w:rPr>
          <w:rFonts w:cs="Arial"/>
          <w:bCs/>
          <w:sz w:val="23"/>
          <w:szCs w:val="23"/>
        </w:rPr>
      </w:pPr>
      <w:r w:rsidRPr="00B72473">
        <w:rPr>
          <w:rFonts w:cs="Arial"/>
          <w:bCs/>
          <w:sz w:val="23"/>
          <w:szCs w:val="23"/>
        </w:rPr>
        <w:t>Une des stratégies de choix pour la réduction de la mortalité maternelle et néonatale, est le renforcement de l’offre de soins obstétricaux et néonataux d’urgence (SONU).</w:t>
      </w:r>
    </w:p>
    <w:p w:rsidR="004527CF" w:rsidRPr="002D49AE" w:rsidRDefault="002D49AE" w:rsidP="00E575B8">
      <w:pPr>
        <w:spacing w:after="0" w:line="360" w:lineRule="auto"/>
        <w:jc w:val="both"/>
        <w:rPr>
          <w:rFonts w:cs="Arial"/>
          <w:bCs/>
          <w:sz w:val="23"/>
          <w:szCs w:val="23"/>
        </w:rPr>
      </w:pPr>
      <w:r>
        <w:rPr>
          <w:rFonts w:cs="Arial"/>
          <w:bCs/>
          <w:sz w:val="23"/>
          <w:szCs w:val="23"/>
        </w:rPr>
        <w:t xml:space="preserve">Cependant, </w:t>
      </w:r>
      <w:r w:rsidR="004527CF" w:rsidRPr="002D49AE">
        <w:rPr>
          <w:rFonts w:cs="Arial"/>
          <w:sz w:val="23"/>
          <w:szCs w:val="23"/>
        </w:rPr>
        <w:t xml:space="preserve">la disponibilité des formations sanitaires </w:t>
      </w:r>
      <w:r>
        <w:rPr>
          <w:rFonts w:cs="Arial"/>
          <w:sz w:val="23"/>
          <w:szCs w:val="23"/>
        </w:rPr>
        <w:t xml:space="preserve">offrant le paquet de </w:t>
      </w:r>
      <w:r w:rsidR="004527CF" w:rsidRPr="002D49AE">
        <w:rPr>
          <w:rFonts w:cs="Arial"/>
          <w:sz w:val="23"/>
          <w:szCs w:val="23"/>
        </w:rPr>
        <w:t>SONU</w:t>
      </w:r>
      <w:r>
        <w:rPr>
          <w:rFonts w:cs="Arial"/>
          <w:sz w:val="23"/>
          <w:szCs w:val="23"/>
        </w:rPr>
        <w:t>/</w:t>
      </w:r>
      <w:r w:rsidRPr="002D49AE">
        <w:rPr>
          <w:rFonts w:cs="Arial"/>
          <w:sz w:val="23"/>
          <w:szCs w:val="23"/>
        </w:rPr>
        <w:t xml:space="preserve"> 500 000 habitants </w:t>
      </w:r>
      <w:r>
        <w:rPr>
          <w:rFonts w:cs="Arial"/>
          <w:sz w:val="23"/>
          <w:szCs w:val="23"/>
        </w:rPr>
        <w:t>a peu évolué et reste larg</w:t>
      </w:r>
      <w:r w:rsidR="00E575B8">
        <w:rPr>
          <w:rFonts w:cs="Arial"/>
          <w:sz w:val="23"/>
          <w:szCs w:val="23"/>
        </w:rPr>
        <w:t xml:space="preserve">ement en dessous de la norme </w:t>
      </w:r>
      <w:r w:rsidR="00E575B8" w:rsidRPr="00E575B8">
        <w:t>(</w:t>
      </w:r>
      <w:r w:rsidR="00C46293" w:rsidRPr="00E575B8">
        <w:t xml:space="preserve">cinq structures offrant des SONU dont au moins </w:t>
      </w:r>
      <w:r w:rsidR="00E575B8" w:rsidRPr="00E575B8">
        <w:t>une assurant des soins complets/</w:t>
      </w:r>
      <w:r w:rsidR="00C46293" w:rsidRPr="00E575B8">
        <w:t>500 000 habitants</w:t>
      </w:r>
      <w:r w:rsidR="00E575B8" w:rsidRPr="00E575B8">
        <w:t>)</w:t>
      </w:r>
      <w:r w:rsidR="00C46293" w:rsidRPr="00E575B8">
        <w:t>.</w:t>
      </w:r>
      <w:r w:rsidR="00C46293">
        <w:rPr>
          <w:rFonts w:cs="Arial"/>
          <w:sz w:val="23"/>
          <w:szCs w:val="23"/>
        </w:rPr>
        <w:t xml:space="preserve"> </w:t>
      </w:r>
      <w:r w:rsidR="00E575B8">
        <w:rPr>
          <w:rFonts w:cs="Arial"/>
          <w:sz w:val="23"/>
          <w:szCs w:val="23"/>
        </w:rPr>
        <w:t xml:space="preserve">Le nombre de formations sanitaires offrant des SONU était de </w:t>
      </w:r>
      <w:r w:rsidR="00E575B8" w:rsidRPr="002D49AE">
        <w:rPr>
          <w:rFonts w:cs="Arial"/>
          <w:sz w:val="23"/>
          <w:szCs w:val="23"/>
        </w:rPr>
        <w:t>0</w:t>
      </w:r>
      <w:r w:rsidR="004527CF" w:rsidRPr="002D49AE">
        <w:rPr>
          <w:rFonts w:cs="Arial"/>
          <w:sz w:val="23"/>
          <w:szCs w:val="23"/>
        </w:rPr>
        <w:t>,8 en 2010</w:t>
      </w:r>
      <w:r w:rsidR="00E575B8">
        <w:rPr>
          <w:rFonts w:cs="Arial"/>
          <w:sz w:val="23"/>
          <w:szCs w:val="23"/>
        </w:rPr>
        <w:t xml:space="preserve"> et </w:t>
      </w:r>
      <w:r w:rsidR="00E575B8" w:rsidRPr="002D49AE">
        <w:rPr>
          <w:rFonts w:cs="Arial"/>
          <w:sz w:val="23"/>
          <w:szCs w:val="23"/>
        </w:rPr>
        <w:t>0</w:t>
      </w:r>
      <w:r w:rsidR="00E575B8">
        <w:rPr>
          <w:rFonts w:cs="Arial"/>
          <w:sz w:val="23"/>
          <w:szCs w:val="23"/>
        </w:rPr>
        <w:t>,9/</w:t>
      </w:r>
      <w:r w:rsidR="004527CF" w:rsidRPr="002D49AE">
        <w:rPr>
          <w:rFonts w:cs="Arial"/>
          <w:sz w:val="23"/>
          <w:szCs w:val="23"/>
        </w:rPr>
        <w:t xml:space="preserve">500 000 habitants en 2016. </w:t>
      </w:r>
    </w:p>
    <w:p w:rsidR="004527CF" w:rsidRDefault="00E575B8" w:rsidP="00E575B8">
      <w:pPr>
        <w:spacing w:after="0" w:line="360" w:lineRule="auto"/>
        <w:jc w:val="both"/>
        <w:rPr>
          <w:rFonts w:cs="Arial"/>
          <w:sz w:val="23"/>
          <w:szCs w:val="23"/>
        </w:rPr>
      </w:pPr>
      <w:r>
        <w:rPr>
          <w:rFonts w:cs="Arial"/>
          <w:sz w:val="23"/>
          <w:szCs w:val="23"/>
        </w:rPr>
        <w:t>L</w:t>
      </w:r>
      <w:r w:rsidR="004527CF" w:rsidRPr="00E575B8">
        <w:rPr>
          <w:rFonts w:cs="Arial"/>
          <w:sz w:val="23"/>
          <w:szCs w:val="23"/>
        </w:rPr>
        <w:t xml:space="preserve">a proportion des naissances qui ont lieu dans les établissements </w:t>
      </w:r>
      <w:r>
        <w:rPr>
          <w:rFonts w:cs="Arial"/>
          <w:sz w:val="23"/>
          <w:szCs w:val="23"/>
        </w:rPr>
        <w:t xml:space="preserve">offrant des </w:t>
      </w:r>
      <w:r w:rsidR="004527CF" w:rsidRPr="00E575B8">
        <w:rPr>
          <w:rFonts w:cs="Arial"/>
          <w:sz w:val="23"/>
          <w:szCs w:val="23"/>
        </w:rPr>
        <w:t>SONU a légè</w:t>
      </w:r>
      <w:r>
        <w:rPr>
          <w:rFonts w:cs="Arial"/>
          <w:sz w:val="23"/>
          <w:szCs w:val="23"/>
        </w:rPr>
        <w:t xml:space="preserve">rement augmenté, </w:t>
      </w:r>
      <w:r w:rsidR="004527CF" w:rsidRPr="00E575B8">
        <w:rPr>
          <w:rFonts w:cs="Arial"/>
          <w:sz w:val="23"/>
          <w:szCs w:val="23"/>
        </w:rPr>
        <w:t>passant de 4,5% en 2010 et en 2014 à 6,4% en 2016.</w:t>
      </w:r>
    </w:p>
    <w:p w:rsidR="004527CF" w:rsidRPr="00EE47D5" w:rsidRDefault="00E575B8" w:rsidP="00EE47D5">
      <w:pPr>
        <w:spacing w:after="0" w:line="360" w:lineRule="auto"/>
        <w:jc w:val="both"/>
        <w:rPr>
          <w:rFonts w:cs="Arial"/>
          <w:b/>
          <w:sz w:val="23"/>
          <w:szCs w:val="23"/>
        </w:rPr>
      </w:pPr>
      <w:r>
        <w:rPr>
          <w:rFonts w:cs="Arial"/>
          <w:sz w:val="23"/>
          <w:szCs w:val="23"/>
        </w:rPr>
        <w:t xml:space="preserve">La proportion de </w:t>
      </w:r>
      <w:r w:rsidR="009D3348" w:rsidRPr="00B72473">
        <w:rPr>
          <w:rFonts w:cs="Arial"/>
          <w:sz w:val="23"/>
          <w:szCs w:val="23"/>
        </w:rPr>
        <w:t>complications obstétricales directes étaient reçues et traitées dans les établissements SONU</w:t>
      </w:r>
      <w:r w:rsidR="009D3348">
        <w:rPr>
          <w:rFonts w:cs="Arial"/>
          <w:sz w:val="23"/>
          <w:szCs w:val="23"/>
        </w:rPr>
        <w:t xml:space="preserve"> était de </w:t>
      </w:r>
      <w:r w:rsidR="009D3348" w:rsidRPr="00B72473">
        <w:rPr>
          <w:rFonts w:cs="Arial"/>
          <w:sz w:val="23"/>
          <w:szCs w:val="23"/>
        </w:rPr>
        <w:t>12,3% en 2010</w:t>
      </w:r>
      <w:r w:rsidR="009D3348">
        <w:rPr>
          <w:rFonts w:cs="Arial"/>
          <w:sz w:val="23"/>
          <w:szCs w:val="23"/>
        </w:rPr>
        <w:t xml:space="preserve">, </w:t>
      </w:r>
      <w:r w:rsidR="009D3348" w:rsidRPr="00B72473">
        <w:rPr>
          <w:rFonts w:cs="Arial"/>
          <w:sz w:val="23"/>
          <w:szCs w:val="23"/>
        </w:rPr>
        <w:t>17,1%</w:t>
      </w:r>
      <w:r w:rsidR="009D3348">
        <w:rPr>
          <w:rFonts w:cs="Arial"/>
          <w:sz w:val="23"/>
          <w:szCs w:val="23"/>
        </w:rPr>
        <w:t xml:space="preserve"> e</w:t>
      </w:r>
      <w:r w:rsidR="009D3348" w:rsidRPr="00B72473">
        <w:rPr>
          <w:rFonts w:cs="Arial"/>
          <w:sz w:val="23"/>
          <w:szCs w:val="23"/>
        </w:rPr>
        <w:t>n 2014</w:t>
      </w:r>
      <w:r w:rsidR="009D3348">
        <w:rPr>
          <w:rFonts w:cs="Arial"/>
          <w:sz w:val="23"/>
          <w:szCs w:val="23"/>
        </w:rPr>
        <w:t xml:space="preserve"> et </w:t>
      </w:r>
      <w:r w:rsidR="009D3348" w:rsidRPr="00B72473">
        <w:rPr>
          <w:rFonts w:cs="Arial"/>
          <w:sz w:val="23"/>
          <w:szCs w:val="23"/>
        </w:rPr>
        <w:t>15,3%</w:t>
      </w:r>
      <w:r w:rsidR="009D3348">
        <w:rPr>
          <w:rFonts w:cs="Arial"/>
          <w:sz w:val="23"/>
          <w:szCs w:val="23"/>
        </w:rPr>
        <w:t xml:space="preserve"> en 2016</w:t>
      </w:r>
      <w:r w:rsidR="009D3348" w:rsidRPr="00B72473">
        <w:rPr>
          <w:rFonts w:cs="Arial"/>
          <w:sz w:val="23"/>
          <w:szCs w:val="23"/>
        </w:rPr>
        <w:t>.</w:t>
      </w:r>
    </w:p>
    <w:p w:rsidR="00CF6E45" w:rsidRPr="00D9258A" w:rsidRDefault="00D9258A" w:rsidP="00D9258A">
      <w:pPr>
        <w:pStyle w:val="Paragraphedeliste"/>
        <w:numPr>
          <w:ilvl w:val="3"/>
          <w:numId w:val="3"/>
        </w:numPr>
        <w:spacing w:after="160" w:line="360" w:lineRule="auto"/>
        <w:jc w:val="both"/>
        <w:rPr>
          <w:rFonts w:eastAsia="Calibri" w:cs="Arial"/>
          <w:b/>
          <w:i/>
          <w:sz w:val="23"/>
          <w:szCs w:val="23"/>
          <w:lang w:val="fr-BE"/>
        </w:rPr>
      </w:pPr>
      <w:r w:rsidRPr="00D9258A">
        <w:rPr>
          <w:rFonts w:eastAsia="Calibri" w:cs="Arial"/>
          <w:b/>
          <w:i/>
          <w:sz w:val="23"/>
          <w:szCs w:val="23"/>
          <w:lang w:val="fr-BE"/>
        </w:rPr>
        <w:t>Les SONUB</w:t>
      </w:r>
    </w:p>
    <w:p w:rsidR="0033707B" w:rsidRDefault="00EE47D5" w:rsidP="004527CF">
      <w:pPr>
        <w:spacing w:after="160" w:line="360" w:lineRule="auto"/>
        <w:contextualSpacing/>
        <w:jc w:val="both"/>
        <w:rPr>
          <w:rFonts w:eastAsia="Calibri" w:cs="Arial"/>
          <w:sz w:val="23"/>
          <w:szCs w:val="23"/>
          <w:lang w:val="fr-BE"/>
        </w:rPr>
      </w:pPr>
      <w:r>
        <w:rPr>
          <w:rFonts w:eastAsia="Calibri" w:cs="Arial"/>
          <w:sz w:val="23"/>
          <w:szCs w:val="23"/>
          <w:lang w:val="fr-BE"/>
        </w:rPr>
        <w:t xml:space="preserve">En rapport avec l’offre de services essentielles de SONU, la disponibilité moyenne des soins néonataux d’urgence était passée de 32% en 2014 à </w:t>
      </w:r>
      <w:r w:rsidR="00E26584">
        <w:rPr>
          <w:rFonts w:eastAsia="Calibri" w:cs="Arial"/>
          <w:sz w:val="23"/>
          <w:szCs w:val="23"/>
          <w:lang w:val="fr-BE"/>
        </w:rPr>
        <w:t>39 % en 2016</w:t>
      </w:r>
      <w:r w:rsidR="0033707B">
        <w:rPr>
          <w:rFonts w:eastAsia="Calibri" w:cs="Arial"/>
          <w:sz w:val="23"/>
          <w:szCs w:val="23"/>
          <w:lang w:val="fr-BE"/>
        </w:rPr>
        <w:t xml:space="preserve">. </w:t>
      </w:r>
    </w:p>
    <w:p w:rsidR="0033707B" w:rsidRDefault="0033707B" w:rsidP="004527CF">
      <w:pPr>
        <w:spacing w:after="160" w:line="360" w:lineRule="auto"/>
        <w:contextualSpacing/>
        <w:jc w:val="both"/>
        <w:rPr>
          <w:rFonts w:eastAsia="Calibri" w:cs="Arial"/>
          <w:sz w:val="23"/>
          <w:szCs w:val="23"/>
          <w:lang w:val="fr-BE"/>
        </w:rPr>
      </w:pPr>
      <w:r>
        <w:rPr>
          <w:rFonts w:eastAsia="Calibri" w:cs="Arial"/>
          <w:sz w:val="23"/>
          <w:szCs w:val="23"/>
          <w:lang w:val="fr-BE"/>
        </w:rPr>
        <w:t>L’allaitement maternel immédiat et exclusif, les soins d’hygiène du cordon et la protection thermique restent en haut de l’échelle avec plus de 85%. La proportion des formations offrant des antibiotiques injectables pour la septicémie néonatale et la réanimation néonatale atteint seulement 43 et 34%.</w:t>
      </w:r>
      <w:r w:rsidR="00E26584">
        <w:rPr>
          <w:rFonts w:eastAsia="Calibri" w:cs="Arial"/>
          <w:sz w:val="23"/>
          <w:szCs w:val="23"/>
          <w:lang w:val="fr-BE"/>
        </w:rPr>
        <w:t xml:space="preserve"> </w:t>
      </w:r>
    </w:p>
    <w:p w:rsidR="00CF6E45" w:rsidRDefault="00B24DD6" w:rsidP="004527CF">
      <w:pPr>
        <w:spacing w:after="160" w:line="360" w:lineRule="auto"/>
        <w:contextualSpacing/>
        <w:jc w:val="both"/>
        <w:rPr>
          <w:rFonts w:eastAsia="Calibri" w:cs="Arial"/>
          <w:sz w:val="23"/>
          <w:szCs w:val="23"/>
          <w:lang w:val="fr-BE"/>
        </w:rPr>
      </w:pPr>
      <w:r>
        <w:rPr>
          <w:rFonts w:eastAsia="Calibri" w:cs="Arial"/>
          <w:sz w:val="23"/>
          <w:szCs w:val="23"/>
          <w:lang w:val="fr-BE"/>
        </w:rPr>
        <w:lastRenderedPageBreak/>
        <w:t>Pour l</w:t>
      </w:r>
      <w:r w:rsidR="00E26584">
        <w:rPr>
          <w:rFonts w:eastAsia="Calibri" w:cs="Arial"/>
          <w:sz w:val="23"/>
          <w:szCs w:val="23"/>
          <w:lang w:val="fr-BE"/>
        </w:rPr>
        <w:t>es soins obstétricaux</w:t>
      </w:r>
      <w:r>
        <w:rPr>
          <w:rFonts w:eastAsia="Calibri" w:cs="Arial"/>
          <w:sz w:val="23"/>
          <w:szCs w:val="23"/>
          <w:lang w:val="fr-BE"/>
        </w:rPr>
        <w:t>, la disponibilité moyenne étai</w:t>
      </w:r>
      <w:r w:rsidR="0033707B">
        <w:rPr>
          <w:rFonts w:eastAsia="Calibri" w:cs="Arial"/>
          <w:sz w:val="23"/>
          <w:szCs w:val="23"/>
          <w:lang w:val="fr-BE"/>
        </w:rPr>
        <w:t xml:space="preserve">t </w:t>
      </w:r>
      <w:r>
        <w:rPr>
          <w:rFonts w:eastAsia="Calibri" w:cs="Arial"/>
          <w:sz w:val="23"/>
          <w:szCs w:val="23"/>
          <w:lang w:val="fr-BE"/>
        </w:rPr>
        <w:t xml:space="preserve">de </w:t>
      </w:r>
      <w:r w:rsidR="00E26584">
        <w:rPr>
          <w:rFonts w:eastAsia="Calibri" w:cs="Arial"/>
          <w:sz w:val="23"/>
          <w:szCs w:val="23"/>
          <w:lang w:val="fr-BE"/>
        </w:rPr>
        <w:t>58</w:t>
      </w:r>
      <w:r>
        <w:rPr>
          <w:rFonts w:eastAsia="Calibri" w:cs="Arial"/>
          <w:sz w:val="23"/>
          <w:szCs w:val="23"/>
          <w:lang w:val="fr-BE"/>
        </w:rPr>
        <w:t xml:space="preserve">% en 2014 et </w:t>
      </w:r>
      <w:r w:rsidR="00E26584">
        <w:rPr>
          <w:rFonts w:eastAsia="Calibri" w:cs="Arial"/>
          <w:sz w:val="23"/>
          <w:szCs w:val="23"/>
          <w:lang w:val="fr-BE"/>
        </w:rPr>
        <w:t>60 %</w:t>
      </w:r>
      <w:r>
        <w:rPr>
          <w:rFonts w:eastAsia="Calibri" w:cs="Arial"/>
          <w:sz w:val="23"/>
          <w:szCs w:val="23"/>
          <w:lang w:val="fr-BE"/>
        </w:rPr>
        <w:t xml:space="preserve"> en 2016.</w:t>
      </w:r>
    </w:p>
    <w:p w:rsidR="00CF6E45" w:rsidRDefault="00B24DD6" w:rsidP="004527CF">
      <w:pPr>
        <w:spacing w:after="160" w:line="360" w:lineRule="auto"/>
        <w:contextualSpacing/>
        <w:jc w:val="both"/>
        <w:rPr>
          <w:rFonts w:eastAsia="Calibri" w:cs="Arial"/>
          <w:sz w:val="23"/>
          <w:szCs w:val="23"/>
          <w:lang w:val="fr-BE"/>
        </w:rPr>
      </w:pPr>
      <w:r>
        <w:rPr>
          <w:sz w:val="23"/>
          <w:szCs w:val="23"/>
        </w:rPr>
        <w:t xml:space="preserve">L’offre de services d’accouchement (88%), les accouchements assistés par voie basse (87%), l’administration d’ocytocine (87%) et le suivi du travail avec l’utilisation du partogramme (84%) sont les principaux soins offerts à la mère dans les structures de soins. Par contre, les services relatifs à l’administration parentérale d’anticonvulsivants et à l’évacuation utérine après accouchement n’était disponible que dans 26 et 18% des formations.  </w:t>
      </w:r>
    </w:p>
    <w:p w:rsidR="00BD7F7B" w:rsidRDefault="00BD7F7B" w:rsidP="004527CF">
      <w:pPr>
        <w:spacing w:after="160" w:line="360" w:lineRule="auto"/>
        <w:contextualSpacing/>
        <w:jc w:val="both"/>
        <w:rPr>
          <w:rFonts w:eastAsia="Calibri" w:cs="Arial"/>
          <w:sz w:val="23"/>
          <w:szCs w:val="23"/>
          <w:lang w:val="fr-BE"/>
        </w:rPr>
      </w:pPr>
    </w:p>
    <w:tbl>
      <w:tblPr>
        <w:tblStyle w:val="Grilledutableau"/>
        <w:tblW w:w="0" w:type="auto"/>
        <w:tblLook w:val="04A0" w:firstRow="1" w:lastRow="0" w:firstColumn="1" w:lastColumn="0" w:noHBand="0" w:noVBand="1"/>
      </w:tblPr>
      <w:tblGrid>
        <w:gridCol w:w="9062"/>
      </w:tblGrid>
      <w:tr w:rsidR="00CF6E45" w:rsidTr="00CF6E45">
        <w:tc>
          <w:tcPr>
            <w:tcW w:w="9062" w:type="dxa"/>
          </w:tcPr>
          <w:p w:rsidR="00CF6E45" w:rsidRDefault="00CF6E45" w:rsidP="00CF6E45">
            <w:pPr>
              <w:spacing w:after="160" w:line="360" w:lineRule="auto"/>
              <w:contextualSpacing/>
              <w:jc w:val="center"/>
              <w:rPr>
                <w:rFonts w:eastAsia="Calibri" w:cs="Arial"/>
                <w:sz w:val="23"/>
                <w:szCs w:val="23"/>
                <w:lang w:val="fr-BE"/>
              </w:rPr>
            </w:pPr>
            <w:r w:rsidRPr="00CF6E45">
              <w:rPr>
                <w:rFonts w:eastAsia="Calibri" w:cs="Arial"/>
                <w:noProof/>
                <w:sz w:val="23"/>
                <w:szCs w:val="23"/>
                <w:lang w:eastAsia="fr-FR"/>
              </w:rPr>
              <w:drawing>
                <wp:inline distT="0" distB="0" distL="0" distR="0" wp14:anchorId="4764614D" wp14:editId="70F59CC3">
                  <wp:extent cx="5524500" cy="3265309"/>
                  <wp:effectExtent l="0" t="0" r="0" b="0"/>
                  <wp:docPr id="22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525710" cy="3266024"/>
                          </a:xfrm>
                          <a:prstGeom prst="rect">
                            <a:avLst/>
                          </a:prstGeom>
                          <a:noFill/>
                          <a:ln>
                            <a:noFill/>
                          </a:ln>
                        </pic:spPr>
                      </pic:pic>
                    </a:graphicData>
                  </a:graphic>
                </wp:inline>
              </w:drawing>
            </w:r>
          </w:p>
        </w:tc>
      </w:tr>
      <w:tr w:rsidR="00CF6E45" w:rsidTr="00CF6E45">
        <w:tc>
          <w:tcPr>
            <w:tcW w:w="9062" w:type="dxa"/>
          </w:tcPr>
          <w:p w:rsidR="00CF6E45" w:rsidRPr="00613E13" w:rsidRDefault="00CF6E45" w:rsidP="00CF6E45">
            <w:pPr>
              <w:spacing w:after="160" w:line="360" w:lineRule="auto"/>
              <w:contextualSpacing/>
              <w:jc w:val="both"/>
              <w:rPr>
                <w:rFonts w:eastAsia="Calibri" w:cs="Arial"/>
                <w:b/>
                <w:sz w:val="20"/>
                <w:szCs w:val="20"/>
                <w:lang w:val="fr-BE"/>
              </w:rPr>
            </w:pPr>
            <w:r w:rsidRPr="00613E13">
              <w:rPr>
                <w:rFonts w:eastAsia="Calibri" w:cs="Arial"/>
                <w:b/>
                <w:sz w:val="20"/>
                <w:szCs w:val="20"/>
                <w:lang w:val="fr-BE"/>
              </w:rPr>
              <w:t>Figure 8 : Proportion des formations sanitaires offrant les services essentielles de SONU</w:t>
            </w:r>
            <w:r w:rsidRPr="00613E13">
              <w:rPr>
                <w:rStyle w:val="Appelnotedebasdep"/>
                <w:rFonts w:eastAsia="Calibri" w:cs="Arial"/>
                <w:b/>
                <w:sz w:val="20"/>
                <w:szCs w:val="20"/>
                <w:lang w:val="fr-BE"/>
              </w:rPr>
              <w:footnoteReference w:id="23"/>
            </w:r>
          </w:p>
        </w:tc>
      </w:tr>
    </w:tbl>
    <w:p w:rsidR="00CF6E45" w:rsidRDefault="00CF6E45" w:rsidP="004527CF">
      <w:pPr>
        <w:spacing w:after="160" w:line="360" w:lineRule="auto"/>
        <w:contextualSpacing/>
        <w:jc w:val="both"/>
        <w:rPr>
          <w:rFonts w:eastAsia="Calibri" w:cs="Arial"/>
          <w:sz w:val="23"/>
          <w:szCs w:val="23"/>
          <w:lang w:val="fr-BE"/>
        </w:rPr>
      </w:pPr>
    </w:p>
    <w:p w:rsidR="00AC2046" w:rsidRPr="00F81055" w:rsidRDefault="00AC2046" w:rsidP="00400BB4">
      <w:pPr>
        <w:spacing w:after="160" w:line="360" w:lineRule="auto"/>
        <w:contextualSpacing/>
        <w:jc w:val="both"/>
        <w:rPr>
          <w:sz w:val="24"/>
          <w:szCs w:val="24"/>
        </w:rPr>
      </w:pPr>
      <w:r w:rsidRPr="00AC2046">
        <w:rPr>
          <w:sz w:val="24"/>
          <w:szCs w:val="24"/>
        </w:rPr>
        <w:t xml:space="preserve">L’évaluation de la capacité opérationnelle des établissements à fournir des SONUB, sur base de la disponibilité des 21 éléments traceurs (personnel et directives, équipements, médicaments et produits) avait montré que </w:t>
      </w:r>
      <w:r w:rsidR="00DC1EC7">
        <w:rPr>
          <w:sz w:val="23"/>
          <w:szCs w:val="23"/>
        </w:rPr>
        <w:t xml:space="preserve">la proportion des formations sanitaires disposant de l’ensemble des éléments traceurs est de 5% pour les hôpitaux et polycliniques, 1% pour les CMA et clinique et moins de 1% pour les CM/CSPS/Cabinet médical/CSI avec une moyenne de </w:t>
      </w:r>
      <w:r w:rsidRPr="00AC2046">
        <w:rPr>
          <w:sz w:val="24"/>
          <w:szCs w:val="24"/>
        </w:rPr>
        <w:t>moins de</w:t>
      </w:r>
      <w:r>
        <w:t xml:space="preserve"> </w:t>
      </w:r>
      <w:r w:rsidRPr="00AC2046">
        <w:rPr>
          <w:sz w:val="24"/>
          <w:szCs w:val="24"/>
        </w:rPr>
        <w:t xml:space="preserve">1% </w:t>
      </w:r>
      <w:r w:rsidR="00DC1EC7">
        <w:rPr>
          <w:sz w:val="24"/>
          <w:szCs w:val="24"/>
        </w:rPr>
        <w:t xml:space="preserve">pour l’ensemble des établissements de soins. </w:t>
      </w:r>
      <w:r w:rsidRPr="00AC2046">
        <w:rPr>
          <w:sz w:val="24"/>
          <w:szCs w:val="24"/>
        </w:rPr>
        <w:t xml:space="preserve">Ces résultats sont similaires à ceux des éditions de 2012 et de 2014. </w:t>
      </w:r>
      <w:r w:rsidR="000C67C0">
        <w:rPr>
          <w:sz w:val="24"/>
          <w:szCs w:val="24"/>
        </w:rPr>
        <w:t xml:space="preserve">Au niveau national, en moyenne les </w:t>
      </w:r>
      <w:r w:rsidR="00400BB4" w:rsidRPr="00AC2046">
        <w:rPr>
          <w:sz w:val="24"/>
          <w:szCs w:val="24"/>
        </w:rPr>
        <w:t>formation</w:t>
      </w:r>
      <w:r w:rsidR="000C67C0">
        <w:rPr>
          <w:sz w:val="24"/>
          <w:szCs w:val="24"/>
        </w:rPr>
        <w:t>s</w:t>
      </w:r>
      <w:r w:rsidR="00400BB4" w:rsidRPr="00AC2046">
        <w:rPr>
          <w:sz w:val="24"/>
          <w:szCs w:val="24"/>
        </w:rPr>
        <w:t xml:space="preserve"> sanitaire</w:t>
      </w:r>
      <w:r w:rsidR="000C67C0">
        <w:rPr>
          <w:sz w:val="24"/>
          <w:szCs w:val="24"/>
        </w:rPr>
        <w:t>s</w:t>
      </w:r>
      <w:r w:rsidR="00400BB4" w:rsidRPr="00AC2046">
        <w:rPr>
          <w:sz w:val="24"/>
          <w:szCs w:val="24"/>
        </w:rPr>
        <w:t xml:space="preserve"> dispose</w:t>
      </w:r>
      <w:r w:rsidR="000C67C0">
        <w:rPr>
          <w:sz w:val="24"/>
          <w:szCs w:val="24"/>
        </w:rPr>
        <w:t>nt</w:t>
      </w:r>
      <w:r w:rsidR="00400BB4" w:rsidRPr="00AC2046">
        <w:rPr>
          <w:sz w:val="24"/>
          <w:szCs w:val="24"/>
        </w:rPr>
        <w:t xml:space="preserve"> en moyenne de 64% des 21 éléments.</w:t>
      </w:r>
      <w:r w:rsidR="000C67C0">
        <w:rPr>
          <w:sz w:val="24"/>
          <w:szCs w:val="24"/>
        </w:rPr>
        <w:t xml:space="preserve"> </w:t>
      </w:r>
      <w:r w:rsidR="00F81055">
        <w:rPr>
          <w:sz w:val="24"/>
          <w:szCs w:val="24"/>
        </w:rPr>
        <w:t xml:space="preserve"> </w:t>
      </w:r>
      <w:r w:rsidR="000C67C0">
        <w:rPr>
          <w:sz w:val="24"/>
          <w:szCs w:val="24"/>
        </w:rPr>
        <w:t xml:space="preserve">Au niveau régional, les formations sanitaires </w:t>
      </w:r>
      <w:r w:rsidR="000C67C0">
        <w:rPr>
          <w:sz w:val="24"/>
          <w:szCs w:val="24"/>
        </w:rPr>
        <w:lastRenderedPageBreak/>
        <w:t>dans 7 régions n’atteignent pas la moyenne nationale : Centre, Centre-Ouest et hauts-Bassins avec 62%, Centre-Sud et Plateau Central avec 59%, Centre-Est et Cascades avec 57%.</w:t>
      </w:r>
    </w:p>
    <w:p w:rsidR="00400BB4" w:rsidRDefault="00AC2046" w:rsidP="00AC2046">
      <w:pPr>
        <w:pStyle w:val="Default"/>
        <w:spacing w:line="360" w:lineRule="auto"/>
        <w:jc w:val="both"/>
        <w:rPr>
          <w:rFonts w:asciiTheme="minorHAnsi" w:hAnsiTheme="minorHAnsi"/>
        </w:rPr>
      </w:pPr>
      <w:r>
        <w:rPr>
          <w:rFonts w:asciiTheme="minorHAnsi" w:hAnsiTheme="minorHAnsi"/>
        </w:rPr>
        <w:t xml:space="preserve">Les éléments traceurs Directives et Personnel accusent une baisse passant respectivement de 85% en 2014 à 54% en 2016 et de 62% à </w:t>
      </w:r>
      <w:r w:rsidR="00400BB4">
        <w:rPr>
          <w:rFonts w:asciiTheme="minorHAnsi" w:hAnsiTheme="minorHAnsi"/>
        </w:rPr>
        <w:t xml:space="preserve">53 %. </w:t>
      </w:r>
    </w:p>
    <w:p w:rsidR="00AC2046" w:rsidRDefault="00400BB4" w:rsidP="00400BB4">
      <w:pPr>
        <w:pStyle w:val="Default"/>
        <w:spacing w:line="360" w:lineRule="auto"/>
        <w:jc w:val="both"/>
        <w:rPr>
          <w:rFonts w:asciiTheme="minorHAnsi" w:hAnsiTheme="minorHAnsi"/>
        </w:rPr>
      </w:pPr>
      <w:r>
        <w:rPr>
          <w:rFonts w:asciiTheme="minorHAnsi" w:hAnsiTheme="minorHAnsi"/>
        </w:rPr>
        <w:t>Pour les autres éléments, les proportions sont assez stables généralement entre 75 % et 100% sauf pour les ventouses (7</w:t>
      </w:r>
      <w:r w:rsidR="00D9258A">
        <w:rPr>
          <w:rFonts w:asciiTheme="minorHAnsi" w:hAnsiTheme="minorHAnsi"/>
        </w:rPr>
        <w:t>%),</w:t>
      </w:r>
      <w:r>
        <w:rPr>
          <w:rFonts w:asciiTheme="minorHAnsi" w:hAnsiTheme="minorHAnsi"/>
        </w:rPr>
        <w:t xml:space="preserve"> </w:t>
      </w:r>
      <w:r w:rsidRPr="00AC2046">
        <w:rPr>
          <w:rFonts w:asciiTheme="minorHAnsi" w:hAnsiTheme="minorHAnsi"/>
        </w:rPr>
        <w:t xml:space="preserve">ballons et masques </w:t>
      </w:r>
      <w:r>
        <w:rPr>
          <w:rFonts w:asciiTheme="minorHAnsi" w:hAnsiTheme="minorHAnsi"/>
        </w:rPr>
        <w:t xml:space="preserve">(18%) et </w:t>
      </w:r>
      <w:r w:rsidRPr="00AC2046">
        <w:rPr>
          <w:rFonts w:asciiTheme="minorHAnsi" w:hAnsiTheme="minorHAnsi"/>
        </w:rPr>
        <w:t xml:space="preserve">lampes d’examen </w:t>
      </w:r>
      <w:r>
        <w:rPr>
          <w:rFonts w:asciiTheme="minorHAnsi" w:hAnsiTheme="minorHAnsi"/>
        </w:rPr>
        <w:t>(</w:t>
      </w:r>
      <w:r w:rsidRPr="00AC2046">
        <w:rPr>
          <w:rFonts w:asciiTheme="minorHAnsi" w:hAnsiTheme="minorHAnsi"/>
        </w:rPr>
        <w:t>59%</w:t>
      </w:r>
      <w:r>
        <w:rPr>
          <w:rFonts w:asciiTheme="minorHAnsi" w:hAnsiTheme="minorHAnsi"/>
        </w:rPr>
        <w:t>).</w:t>
      </w:r>
    </w:p>
    <w:p w:rsidR="00D9258A" w:rsidRDefault="00D9258A" w:rsidP="00D9258A">
      <w:pPr>
        <w:pStyle w:val="Paragraphedeliste"/>
        <w:numPr>
          <w:ilvl w:val="3"/>
          <w:numId w:val="3"/>
        </w:numPr>
        <w:spacing w:after="160" w:line="360" w:lineRule="auto"/>
        <w:jc w:val="both"/>
        <w:rPr>
          <w:rFonts w:cs="Arial"/>
          <w:b/>
          <w:sz w:val="23"/>
          <w:szCs w:val="23"/>
        </w:rPr>
      </w:pPr>
      <w:r>
        <w:rPr>
          <w:rFonts w:cs="Arial"/>
          <w:b/>
          <w:sz w:val="23"/>
          <w:szCs w:val="23"/>
        </w:rPr>
        <w:t xml:space="preserve"> Les SONUC</w:t>
      </w:r>
      <w:r w:rsidR="000013DC">
        <w:rPr>
          <w:rStyle w:val="Appelnotedebasdep"/>
          <w:rFonts w:cs="Arial"/>
          <w:b/>
          <w:sz w:val="23"/>
          <w:szCs w:val="23"/>
        </w:rPr>
        <w:footnoteReference w:id="24"/>
      </w:r>
    </w:p>
    <w:p w:rsidR="00D9258A" w:rsidRDefault="00D9258A" w:rsidP="00D9258A">
      <w:pPr>
        <w:spacing w:after="160" w:line="360" w:lineRule="auto"/>
        <w:jc w:val="both"/>
        <w:rPr>
          <w:rFonts w:cs="Arial"/>
          <w:sz w:val="23"/>
          <w:szCs w:val="23"/>
        </w:rPr>
      </w:pPr>
      <w:r w:rsidRPr="00D9258A">
        <w:rPr>
          <w:rFonts w:cs="Arial"/>
          <w:sz w:val="23"/>
          <w:szCs w:val="23"/>
        </w:rPr>
        <w:t>Les SONUC comprennent</w:t>
      </w:r>
      <w:r>
        <w:rPr>
          <w:rFonts w:cs="Arial"/>
          <w:sz w:val="23"/>
          <w:szCs w:val="23"/>
        </w:rPr>
        <w:t>,</w:t>
      </w:r>
      <w:r w:rsidRPr="00D9258A">
        <w:rPr>
          <w:rFonts w:cs="Arial"/>
          <w:sz w:val="23"/>
          <w:szCs w:val="23"/>
        </w:rPr>
        <w:t xml:space="preserve"> outre les fonctions de la SONUB</w:t>
      </w:r>
      <w:r>
        <w:rPr>
          <w:rFonts w:cs="Arial"/>
          <w:sz w:val="23"/>
          <w:szCs w:val="23"/>
        </w:rPr>
        <w:t xml:space="preserve">, </w:t>
      </w:r>
      <w:r w:rsidR="00DC1EC7">
        <w:rPr>
          <w:rFonts w:cs="Arial"/>
          <w:sz w:val="23"/>
          <w:szCs w:val="23"/>
        </w:rPr>
        <w:t>la césarienne et la transfusion.</w:t>
      </w:r>
    </w:p>
    <w:p w:rsidR="000013DC" w:rsidRPr="00D9258A" w:rsidRDefault="000013DC" w:rsidP="000013DC">
      <w:pPr>
        <w:spacing w:after="160" w:line="360" w:lineRule="auto"/>
        <w:jc w:val="both"/>
        <w:rPr>
          <w:rFonts w:cs="Arial"/>
          <w:sz w:val="23"/>
          <w:szCs w:val="23"/>
        </w:rPr>
      </w:pPr>
      <w:r>
        <w:rPr>
          <w:sz w:val="23"/>
          <w:szCs w:val="23"/>
        </w:rPr>
        <w:t>Au niveau national, la disponibilité des services de SONUC est en moyenne de 58% et les SONUC sont offerts par 80% des structures publiques et 28% des structures privées. Les écarts entre régions sont très grands allant de 15% dans la région du Centre-Nord à 100% dans celle de la Boucle du Mouhoun.</w:t>
      </w:r>
    </w:p>
    <w:p w:rsidR="007544D4" w:rsidRPr="007544D4" w:rsidRDefault="007544D4" w:rsidP="007544D4">
      <w:pPr>
        <w:pStyle w:val="Default"/>
        <w:spacing w:line="360" w:lineRule="auto"/>
        <w:jc w:val="both"/>
        <w:rPr>
          <w:rFonts w:asciiTheme="minorHAnsi" w:hAnsiTheme="minorHAnsi"/>
        </w:rPr>
      </w:pPr>
      <w:r w:rsidRPr="007544D4">
        <w:rPr>
          <w:rFonts w:asciiTheme="minorHAnsi" w:hAnsiTheme="minorHAnsi"/>
        </w:rPr>
        <w:t>L’évaluation de la capacité opérationnelle des services (</w:t>
      </w:r>
      <w:r w:rsidRPr="007544D4">
        <w:rPr>
          <w:rFonts w:asciiTheme="minorHAnsi" w:hAnsiTheme="minorHAnsi" w:cs="Calibri"/>
        </w:rPr>
        <w:t xml:space="preserve">directives et personnel, équipement, capacité de diagnostic, médicaments et produits) montre que </w:t>
      </w:r>
      <w:r>
        <w:rPr>
          <w:rFonts w:asciiTheme="minorHAnsi" w:hAnsiTheme="minorHAnsi" w:cs="Calibri"/>
        </w:rPr>
        <w:t xml:space="preserve">celle-ci est passée </w:t>
      </w:r>
      <w:r w:rsidRPr="007544D4">
        <w:rPr>
          <w:rFonts w:asciiTheme="minorHAnsi" w:hAnsiTheme="minorHAnsi" w:cs="Calibri"/>
        </w:rPr>
        <w:t>73%</w:t>
      </w:r>
      <w:r>
        <w:rPr>
          <w:rFonts w:asciiTheme="minorHAnsi" w:hAnsiTheme="minorHAnsi" w:cs="Calibri"/>
        </w:rPr>
        <w:t xml:space="preserve"> en 2014 à </w:t>
      </w:r>
      <w:r w:rsidRPr="007544D4">
        <w:rPr>
          <w:rFonts w:asciiTheme="minorHAnsi" w:hAnsiTheme="minorHAnsi"/>
        </w:rPr>
        <w:t>57% des structures disposaient de l’ensemble des éléments</w:t>
      </w:r>
      <w:r>
        <w:rPr>
          <w:rFonts w:asciiTheme="minorHAnsi" w:hAnsiTheme="minorHAnsi"/>
        </w:rPr>
        <w:t xml:space="preserve"> en 2016</w:t>
      </w:r>
      <w:r w:rsidRPr="007544D4">
        <w:rPr>
          <w:rFonts w:asciiTheme="minorHAnsi" w:hAnsiTheme="minorHAnsi" w:cs="Calibri"/>
        </w:rPr>
        <w:t xml:space="preserve">. </w:t>
      </w:r>
    </w:p>
    <w:p w:rsidR="004527CF" w:rsidRDefault="00DC1EC7" w:rsidP="007544D4">
      <w:pPr>
        <w:pStyle w:val="Paragraphedeliste"/>
        <w:spacing w:line="360" w:lineRule="auto"/>
        <w:ind w:left="0"/>
        <w:jc w:val="both"/>
        <w:rPr>
          <w:rFonts w:cs="Arial"/>
          <w:sz w:val="23"/>
          <w:szCs w:val="23"/>
        </w:rPr>
      </w:pPr>
      <w:r w:rsidRPr="007544D4">
        <w:rPr>
          <w:rFonts w:cs="Arial"/>
          <w:b/>
          <w:bCs/>
          <w:sz w:val="24"/>
          <w:szCs w:val="24"/>
        </w:rPr>
        <w:t>L</w:t>
      </w:r>
      <w:r w:rsidR="004527CF" w:rsidRPr="007544D4">
        <w:rPr>
          <w:rFonts w:cs="Arial"/>
          <w:sz w:val="24"/>
          <w:szCs w:val="24"/>
        </w:rPr>
        <w:t>e taux de réalisation des césariennes, s’est amélioré</w:t>
      </w:r>
      <w:r w:rsidRPr="007544D4">
        <w:rPr>
          <w:rFonts w:cs="Arial"/>
          <w:sz w:val="24"/>
          <w:szCs w:val="24"/>
        </w:rPr>
        <w:t xml:space="preserve"> progressivement </w:t>
      </w:r>
      <w:r w:rsidR="004527CF" w:rsidRPr="007544D4">
        <w:rPr>
          <w:rFonts w:cs="Arial"/>
          <w:sz w:val="24"/>
          <w:szCs w:val="24"/>
        </w:rPr>
        <w:t>allant de 2,4% en 2015 à</w:t>
      </w:r>
      <w:r w:rsidR="004527CF" w:rsidRPr="00B72473">
        <w:rPr>
          <w:rFonts w:cs="Arial"/>
          <w:sz w:val="23"/>
          <w:szCs w:val="23"/>
        </w:rPr>
        <w:t xml:space="preserve"> 4,8% en 2017</w:t>
      </w:r>
      <w:r>
        <w:rPr>
          <w:rFonts w:cs="Arial"/>
          <w:sz w:val="23"/>
          <w:szCs w:val="23"/>
        </w:rPr>
        <w:t xml:space="preserve">, cependant sans atteindre complètement </w:t>
      </w:r>
      <w:r w:rsidRPr="00B72473">
        <w:rPr>
          <w:rFonts w:cs="Arial"/>
          <w:sz w:val="23"/>
          <w:szCs w:val="23"/>
        </w:rPr>
        <w:t>l’objectif</w:t>
      </w:r>
      <w:r w:rsidR="004527CF" w:rsidRPr="00B72473">
        <w:rPr>
          <w:rFonts w:cs="Arial"/>
          <w:sz w:val="23"/>
          <w:szCs w:val="23"/>
        </w:rPr>
        <w:t xml:space="preserve"> </w:t>
      </w:r>
      <w:r>
        <w:rPr>
          <w:rFonts w:cs="Arial"/>
          <w:sz w:val="23"/>
          <w:szCs w:val="23"/>
        </w:rPr>
        <w:t>de 5% (PNDS 2011-20)</w:t>
      </w:r>
      <w:r w:rsidR="004527CF" w:rsidRPr="00B72473">
        <w:rPr>
          <w:rFonts w:cs="Arial"/>
          <w:sz w:val="23"/>
          <w:szCs w:val="23"/>
        </w:rPr>
        <w:t>.</w:t>
      </w:r>
    </w:p>
    <w:p w:rsidR="00F81055" w:rsidRPr="00AB0B0C" w:rsidRDefault="00AB0B0C" w:rsidP="00AB0B0C">
      <w:pPr>
        <w:pStyle w:val="Default"/>
        <w:spacing w:line="360" w:lineRule="auto"/>
        <w:jc w:val="both"/>
        <w:rPr>
          <w:rFonts w:asciiTheme="minorHAnsi" w:hAnsiTheme="minorHAnsi"/>
        </w:rPr>
      </w:pPr>
      <w:r w:rsidRPr="00AB0B0C">
        <w:rPr>
          <w:rFonts w:asciiTheme="minorHAnsi" w:hAnsiTheme="minorHAnsi"/>
        </w:rPr>
        <w:t xml:space="preserve">La proportion des </w:t>
      </w:r>
      <w:r w:rsidR="00F81055" w:rsidRPr="00AB0B0C">
        <w:rPr>
          <w:rFonts w:asciiTheme="minorHAnsi" w:hAnsiTheme="minorHAnsi"/>
        </w:rPr>
        <w:t xml:space="preserve">hôpitaux et polycliniques </w:t>
      </w:r>
      <w:r w:rsidRPr="00AB0B0C">
        <w:rPr>
          <w:rFonts w:asciiTheme="minorHAnsi" w:hAnsiTheme="minorHAnsi"/>
        </w:rPr>
        <w:t xml:space="preserve">qui </w:t>
      </w:r>
      <w:r w:rsidR="00F81055" w:rsidRPr="00AB0B0C">
        <w:rPr>
          <w:rFonts w:asciiTheme="minorHAnsi" w:hAnsiTheme="minorHAnsi"/>
        </w:rPr>
        <w:t xml:space="preserve">offrent des prestations SONUC </w:t>
      </w:r>
      <w:r w:rsidRPr="00AB0B0C">
        <w:rPr>
          <w:rFonts w:asciiTheme="minorHAnsi" w:hAnsiTheme="minorHAnsi"/>
        </w:rPr>
        <w:t>passant de</w:t>
      </w:r>
      <w:r w:rsidR="00F81055" w:rsidRPr="00AB0B0C">
        <w:rPr>
          <w:rFonts w:asciiTheme="minorHAnsi" w:hAnsiTheme="minorHAnsi"/>
        </w:rPr>
        <w:t xml:space="preserve"> 83% en 2014 </w:t>
      </w:r>
      <w:r w:rsidRPr="00AB0B0C">
        <w:rPr>
          <w:rFonts w:asciiTheme="minorHAnsi" w:hAnsiTheme="minorHAnsi"/>
        </w:rPr>
        <w:t xml:space="preserve">à </w:t>
      </w:r>
      <w:r w:rsidR="00F81055" w:rsidRPr="00AB0B0C">
        <w:rPr>
          <w:rFonts w:asciiTheme="minorHAnsi" w:hAnsiTheme="minorHAnsi"/>
        </w:rPr>
        <w:t xml:space="preserve">et </w:t>
      </w:r>
      <w:r w:rsidRPr="00AB0B0C">
        <w:rPr>
          <w:rFonts w:asciiTheme="minorHAnsi" w:hAnsiTheme="minorHAnsi"/>
        </w:rPr>
        <w:t xml:space="preserve">88 % en 2016. </w:t>
      </w:r>
      <w:r w:rsidR="00F81055" w:rsidRPr="00AB0B0C">
        <w:rPr>
          <w:rFonts w:asciiTheme="minorHAnsi" w:hAnsiTheme="minorHAnsi"/>
        </w:rPr>
        <w:t xml:space="preserve">Au niveau des CMA et cliniques cette proportion est passée de 48% en 2012, à 49% en 2014 puis à 51% en 2016. </w:t>
      </w:r>
    </w:p>
    <w:p w:rsidR="00F81055" w:rsidRPr="00B72473" w:rsidRDefault="00F81055" w:rsidP="00AB0B0C">
      <w:pPr>
        <w:pStyle w:val="Paragraphedeliste"/>
        <w:spacing w:line="360" w:lineRule="auto"/>
        <w:ind w:left="0"/>
        <w:jc w:val="both"/>
        <w:rPr>
          <w:rFonts w:cs="Arial"/>
          <w:sz w:val="23"/>
          <w:szCs w:val="23"/>
        </w:rPr>
      </w:pPr>
      <w:r w:rsidRPr="00AB0B0C">
        <w:rPr>
          <w:sz w:val="24"/>
          <w:szCs w:val="24"/>
        </w:rPr>
        <w:t>Les césariennes sont réalisées dans 95% des hôpitaux/polycliniques et dans 61% des</w:t>
      </w:r>
      <w:r>
        <w:rPr>
          <w:sz w:val="23"/>
          <w:szCs w:val="23"/>
        </w:rPr>
        <w:t xml:space="preserve"> CMA/cliniques. Cette offre était respectivement de 89% et 60% en 2014</w:t>
      </w:r>
      <w:r w:rsidR="00AB0B0C">
        <w:rPr>
          <w:sz w:val="23"/>
          <w:szCs w:val="23"/>
        </w:rPr>
        <w:t>.</w:t>
      </w:r>
    </w:p>
    <w:p w:rsidR="002B3A14" w:rsidRDefault="002B3A14" w:rsidP="002B3A14">
      <w:pPr>
        <w:spacing w:after="0" w:line="360" w:lineRule="auto"/>
        <w:jc w:val="both"/>
        <w:rPr>
          <w:sz w:val="23"/>
          <w:szCs w:val="23"/>
        </w:rPr>
      </w:pPr>
      <w:r>
        <w:rPr>
          <w:sz w:val="23"/>
          <w:szCs w:val="23"/>
        </w:rPr>
        <w:t>Au plan national, 76% des établissements de santé offrent des services de transfusion sanguine en 2016. Cette disponibilité varie de 33% dans la région des cascades à 100% dans les régions de la Boucle du Mouhoun, de l’Est, du Centre Nord et du Sud-Ouest.</w:t>
      </w:r>
    </w:p>
    <w:p w:rsidR="00AB0B0C" w:rsidRDefault="00AB0B0C" w:rsidP="004527CF">
      <w:pPr>
        <w:spacing w:line="360" w:lineRule="auto"/>
        <w:jc w:val="both"/>
        <w:rPr>
          <w:sz w:val="23"/>
          <w:szCs w:val="23"/>
        </w:rPr>
      </w:pPr>
      <w:r>
        <w:rPr>
          <w:sz w:val="23"/>
          <w:szCs w:val="23"/>
        </w:rPr>
        <w:t>Tous les hôpitaux et polycliniques réalisent la transfusion sanguine dans le cadre des SONUC. Cependant, 31% des CMA et cliniques ne la réalisent pas.</w:t>
      </w:r>
    </w:p>
    <w:p w:rsidR="00510F75" w:rsidRDefault="002B3A14" w:rsidP="00510F75">
      <w:pPr>
        <w:pStyle w:val="Default"/>
        <w:spacing w:line="360" w:lineRule="auto"/>
        <w:jc w:val="both"/>
        <w:rPr>
          <w:rFonts w:asciiTheme="minorHAnsi" w:hAnsiTheme="minorHAnsi"/>
        </w:rPr>
      </w:pPr>
      <w:r w:rsidRPr="00510F75">
        <w:rPr>
          <w:rFonts w:asciiTheme="minorHAnsi" w:hAnsiTheme="minorHAnsi"/>
        </w:rPr>
        <w:lastRenderedPageBreak/>
        <w:t xml:space="preserve">En 2016, 6% des établissements de santé disposaient de tous les éléments traceurs pour la transfusion sanguine </w:t>
      </w:r>
      <w:r w:rsidR="00510F75" w:rsidRPr="00510F75">
        <w:rPr>
          <w:rFonts w:asciiTheme="minorHAnsi" w:hAnsiTheme="minorHAnsi"/>
        </w:rPr>
        <w:t xml:space="preserve">(Personnel et directives, </w:t>
      </w:r>
      <w:r w:rsidR="00510F75" w:rsidRPr="002B3A14">
        <w:rPr>
          <w:rFonts w:asciiTheme="minorHAnsi" w:hAnsiTheme="minorHAnsi"/>
          <w:bCs/>
        </w:rPr>
        <w:t>Equipement</w:t>
      </w:r>
      <w:r w:rsidR="00510F75" w:rsidRPr="00510F75">
        <w:rPr>
          <w:rFonts w:asciiTheme="minorHAnsi" w:hAnsiTheme="minorHAnsi"/>
          <w:bCs/>
        </w:rPr>
        <w:t xml:space="preserve">, </w:t>
      </w:r>
      <w:r w:rsidR="00510F75" w:rsidRPr="002B3A14">
        <w:rPr>
          <w:rFonts w:asciiTheme="minorHAnsi" w:hAnsiTheme="minorHAnsi"/>
          <w:bCs/>
        </w:rPr>
        <w:t>Capacité de diagnostic</w:t>
      </w:r>
      <w:r w:rsidR="00510F75" w:rsidRPr="00510F75">
        <w:rPr>
          <w:rFonts w:asciiTheme="minorHAnsi" w:hAnsiTheme="minorHAnsi"/>
          <w:bCs/>
        </w:rPr>
        <w:t xml:space="preserve">, </w:t>
      </w:r>
      <w:r w:rsidR="00510F75" w:rsidRPr="002B3A14">
        <w:rPr>
          <w:rFonts w:asciiTheme="minorHAnsi" w:hAnsiTheme="minorHAnsi"/>
          <w:bCs/>
        </w:rPr>
        <w:t>Médicaments et produits</w:t>
      </w:r>
      <w:r w:rsidR="00510F75" w:rsidRPr="00510F75">
        <w:rPr>
          <w:rFonts w:asciiTheme="minorHAnsi" w:hAnsiTheme="minorHAnsi"/>
          <w:bCs/>
        </w:rPr>
        <w:t>)</w:t>
      </w:r>
      <w:r w:rsidR="00510F75" w:rsidRPr="00510F75">
        <w:rPr>
          <w:rFonts w:asciiTheme="minorHAnsi" w:hAnsiTheme="minorHAnsi" w:cs="Wingdings"/>
        </w:rPr>
        <w:t xml:space="preserve"> </w:t>
      </w:r>
      <w:r w:rsidRPr="00510F75">
        <w:rPr>
          <w:rFonts w:asciiTheme="minorHAnsi" w:hAnsiTheme="minorHAnsi"/>
        </w:rPr>
        <w:t xml:space="preserve">contre 2% en 2014 et 9% en 2012. </w:t>
      </w:r>
    </w:p>
    <w:p w:rsidR="00510F75" w:rsidRPr="00510F75" w:rsidRDefault="002B3A14" w:rsidP="00510F75">
      <w:pPr>
        <w:pStyle w:val="Default"/>
        <w:spacing w:line="360" w:lineRule="auto"/>
        <w:jc w:val="both"/>
        <w:rPr>
          <w:rFonts w:asciiTheme="minorHAnsi" w:hAnsiTheme="minorHAnsi"/>
        </w:rPr>
      </w:pPr>
      <w:r w:rsidRPr="00510F75">
        <w:rPr>
          <w:rFonts w:asciiTheme="minorHAnsi" w:hAnsiTheme="minorHAnsi"/>
        </w:rPr>
        <w:t xml:space="preserve">Le score moyen de disponibilité est de 55% contre 51% en 2014. </w:t>
      </w:r>
      <w:r w:rsidR="00510F75">
        <w:rPr>
          <w:rFonts w:asciiTheme="minorHAnsi" w:hAnsiTheme="minorHAnsi"/>
        </w:rPr>
        <w:t xml:space="preserve">Les régions les plus défavorisées sont </w:t>
      </w:r>
      <w:r w:rsidR="00510F75">
        <w:rPr>
          <w:sz w:val="23"/>
          <w:szCs w:val="23"/>
        </w:rPr>
        <w:t>le Centre et les Hauts Bassins.</w:t>
      </w:r>
    </w:p>
    <w:p w:rsidR="002B3A14" w:rsidRDefault="002B3A14" w:rsidP="00510F75">
      <w:pPr>
        <w:spacing w:after="0" w:line="360" w:lineRule="auto"/>
        <w:jc w:val="both"/>
        <w:rPr>
          <w:sz w:val="24"/>
          <w:szCs w:val="24"/>
        </w:rPr>
      </w:pPr>
      <w:r w:rsidRPr="00510F75">
        <w:rPr>
          <w:sz w:val="24"/>
          <w:szCs w:val="24"/>
        </w:rPr>
        <w:t>La satisfaction des besoins d’approvision</w:t>
      </w:r>
      <w:r w:rsidR="00404A72">
        <w:rPr>
          <w:sz w:val="24"/>
          <w:szCs w:val="24"/>
        </w:rPr>
        <w:t>nement en sang est faible (30%).</w:t>
      </w:r>
    </w:p>
    <w:p w:rsidR="00404A72" w:rsidRPr="00404A72" w:rsidRDefault="00404A72" w:rsidP="00510F75">
      <w:pPr>
        <w:spacing w:after="0" w:line="360" w:lineRule="auto"/>
        <w:jc w:val="both"/>
        <w:rPr>
          <w:b/>
          <w:sz w:val="24"/>
          <w:szCs w:val="24"/>
        </w:rPr>
      </w:pPr>
      <w:r w:rsidRPr="00404A72">
        <w:rPr>
          <w:b/>
          <w:sz w:val="24"/>
          <w:szCs w:val="24"/>
        </w:rPr>
        <w:t>1.2.3. Consultation postnatale</w:t>
      </w:r>
    </w:p>
    <w:p w:rsidR="004527CF" w:rsidRDefault="00404A72" w:rsidP="004527CF">
      <w:pPr>
        <w:autoSpaceDE w:val="0"/>
        <w:autoSpaceDN w:val="0"/>
        <w:adjustRightInd w:val="0"/>
        <w:spacing w:line="360" w:lineRule="auto"/>
        <w:jc w:val="both"/>
        <w:rPr>
          <w:sz w:val="23"/>
          <w:szCs w:val="23"/>
        </w:rPr>
      </w:pPr>
      <w:r>
        <w:rPr>
          <w:sz w:val="23"/>
          <w:szCs w:val="23"/>
        </w:rPr>
        <w:t>En 2016, s</w:t>
      </w:r>
      <w:r w:rsidR="004527CF" w:rsidRPr="00B72473">
        <w:rPr>
          <w:sz w:val="23"/>
          <w:szCs w:val="23"/>
        </w:rPr>
        <w:t xml:space="preserve">eulement 63 % et </w:t>
      </w:r>
      <w:r w:rsidR="004527CF" w:rsidRPr="00B72473">
        <w:rPr>
          <w:rFonts w:cs="Arial"/>
          <w:sz w:val="23"/>
          <w:szCs w:val="23"/>
        </w:rPr>
        <w:t xml:space="preserve">43,2% </w:t>
      </w:r>
      <w:r w:rsidR="004527CF" w:rsidRPr="00B72473">
        <w:rPr>
          <w:sz w:val="23"/>
          <w:szCs w:val="23"/>
        </w:rPr>
        <w:t>des femmes sont vues en consultation postnatale au 6</w:t>
      </w:r>
      <w:r w:rsidR="004527CF" w:rsidRPr="00B72473">
        <w:rPr>
          <w:sz w:val="23"/>
          <w:szCs w:val="23"/>
          <w:vertAlign w:val="superscript"/>
        </w:rPr>
        <w:t>ème</w:t>
      </w:r>
      <w:r w:rsidR="004527CF" w:rsidRPr="00B72473">
        <w:rPr>
          <w:sz w:val="23"/>
          <w:szCs w:val="23"/>
        </w:rPr>
        <w:t xml:space="preserve"> jour et à la 6</w:t>
      </w:r>
      <w:r w:rsidR="004527CF" w:rsidRPr="00B72473">
        <w:rPr>
          <w:sz w:val="23"/>
          <w:szCs w:val="23"/>
          <w:vertAlign w:val="superscript"/>
        </w:rPr>
        <w:t>ème</w:t>
      </w:r>
      <w:r w:rsidR="004527CF" w:rsidRPr="00B72473">
        <w:rPr>
          <w:sz w:val="23"/>
          <w:szCs w:val="23"/>
        </w:rPr>
        <w:t xml:space="preserve"> semaine dans les DS. </w:t>
      </w:r>
      <w:r>
        <w:rPr>
          <w:sz w:val="23"/>
          <w:szCs w:val="23"/>
        </w:rPr>
        <w:t xml:space="preserve">Ces chiffres sont encore plus bas </w:t>
      </w:r>
      <w:r w:rsidR="004527CF" w:rsidRPr="00B72473">
        <w:rPr>
          <w:sz w:val="23"/>
          <w:szCs w:val="23"/>
        </w:rPr>
        <w:t>au niveau hospitalier avec 20 % et 23 %. Au niveau du suivi et de la promotion de la croissance des enfants, on note surtout une faible disponibilité des directives de surveillance de la croissance (38 %) et une faible disponibilité des balances pour enfants (55 %)</w:t>
      </w:r>
      <w:r>
        <w:rPr>
          <w:rStyle w:val="Appelnotedebasdep"/>
          <w:sz w:val="23"/>
          <w:szCs w:val="23"/>
        </w:rPr>
        <w:footnoteReference w:id="25"/>
      </w:r>
      <w:r w:rsidR="004A6997">
        <w:rPr>
          <w:sz w:val="23"/>
          <w:szCs w:val="23"/>
        </w:rPr>
        <w:t xml:space="preserve">. </w:t>
      </w:r>
    </w:p>
    <w:p w:rsidR="004527CF" w:rsidRPr="000E574C" w:rsidRDefault="004A6997" w:rsidP="000E574C">
      <w:pPr>
        <w:autoSpaceDE w:val="0"/>
        <w:autoSpaceDN w:val="0"/>
        <w:adjustRightInd w:val="0"/>
        <w:spacing w:after="0" w:line="360" w:lineRule="auto"/>
        <w:jc w:val="both"/>
        <w:rPr>
          <w:b/>
          <w:sz w:val="23"/>
          <w:szCs w:val="23"/>
        </w:rPr>
      </w:pPr>
      <w:r w:rsidRPr="000E574C">
        <w:rPr>
          <w:b/>
          <w:sz w:val="23"/>
          <w:szCs w:val="23"/>
        </w:rPr>
        <w:t xml:space="preserve">1.2.4. </w:t>
      </w:r>
      <w:r w:rsidRPr="000E574C">
        <w:rPr>
          <w:rFonts w:eastAsia="Calibri"/>
          <w:b/>
          <w:caps/>
        </w:rPr>
        <w:t>A</w:t>
      </w:r>
      <w:r w:rsidRPr="000E574C">
        <w:rPr>
          <w:rFonts w:eastAsia="Calibri"/>
          <w:b/>
        </w:rPr>
        <w:t xml:space="preserve">ssistance </w:t>
      </w:r>
      <w:r w:rsidR="000E574C" w:rsidRPr="000E574C">
        <w:rPr>
          <w:rFonts w:eastAsia="Calibri"/>
          <w:b/>
        </w:rPr>
        <w:t>qualifiée à</w:t>
      </w:r>
      <w:r w:rsidRPr="000E574C">
        <w:rPr>
          <w:rFonts w:eastAsia="Calibri"/>
          <w:b/>
        </w:rPr>
        <w:t xml:space="preserve"> l’accouchement</w:t>
      </w:r>
      <w:r w:rsidRPr="000E574C">
        <w:rPr>
          <w:rFonts w:eastAsia="Calibri"/>
          <w:b/>
          <w:caps/>
        </w:rPr>
        <w:t> </w:t>
      </w:r>
    </w:p>
    <w:p w:rsidR="004A6997" w:rsidRDefault="004A6997" w:rsidP="004A6997">
      <w:pPr>
        <w:autoSpaceDE w:val="0"/>
        <w:autoSpaceDN w:val="0"/>
        <w:adjustRightInd w:val="0"/>
        <w:spacing w:after="180" w:line="360" w:lineRule="auto"/>
        <w:jc w:val="both"/>
        <w:rPr>
          <w:rFonts w:cs="Arial"/>
          <w:sz w:val="23"/>
          <w:szCs w:val="23"/>
        </w:rPr>
      </w:pPr>
      <w:r>
        <w:rPr>
          <w:rFonts w:cs="Arial"/>
          <w:sz w:val="23"/>
          <w:szCs w:val="23"/>
        </w:rPr>
        <w:t>En passant de 86,2% en 2014 à 80,9 % en 2016 l</w:t>
      </w:r>
      <w:r w:rsidR="004527CF" w:rsidRPr="00B72473">
        <w:rPr>
          <w:rFonts w:cs="Arial"/>
          <w:sz w:val="23"/>
          <w:szCs w:val="23"/>
        </w:rPr>
        <w:t xml:space="preserve">e taux d’accouchement assistés par du personnel qualifié a </w:t>
      </w:r>
      <w:r>
        <w:rPr>
          <w:rFonts w:cs="Arial"/>
          <w:sz w:val="23"/>
          <w:szCs w:val="23"/>
        </w:rPr>
        <w:t xml:space="preserve">connu une inflexion avec de reprendre une courbe ascendante en 2017 avec 83,9%. Cependant la cible de 85% </w:t>
      </w:r>
      <w:r w:rsidRPr="00B72473">
        <w:rPr>
          <w:rFonts w:cs="Arial"/>
          <w:sz w:val="23"/>
          <w:szCs w:val="23"/>
        </w:rPr>
        <w:t>d’accouchement assistés par du personnel qualifié</w:t>
      </w:r>
      <w:r>
        <w:rPr>
          <w:rFonts w:cs="Arial"/>
          <w:sz w:val="23"/>
          <w:szCs w:val="23"/>
        </w:rPr>
        <w:t xml:space="preserve"> n’a pas été atteinte</w:t>
      </w:r>
      <w:r>
        <w:rPr>
          <w:rStyle w:val="Appelnotedebasdep"/>
          <w:rFonts w:cs="Arial"/>
          <w:sz w:val="23"/>
          <w:szCs w:val="23"/>
        </w:rPr>
        <w:footnoteReference w:id="26"/>
      </w:r>
      <w:r>
        <w:rPr>
          <w:rFonts w:cs="Arial"/>
          <w:sz w:val="23"/>
          <w:szCs w:val="23"/>
        </w:rPr>
        <w:t>.</w:t>
      </w:r>
    </w:p>
    <w:p w:rsidR="00C15864" w:rsidRDefault="004A6997" w:rsidP="00C15864">
      <w:pPr>
        <w:autoSpaceDE w:val="0"/>
        <w:autoSpaceDN w:val="0"/>
        <w:adjustRightInd w:val="0"/>
        <w:spacing w:line="360" w:lineRule="auto"/>
        <w:jc w:val="both"/>
        <w:rPr>
          <w:rFonts w:eastAsia="Times New Roman" w:cs="Arial"/>
          <w:noProof/>
          <w:sz w:val="23"/>
          <w:szCs w:val="23"/>
        </w:rPr>
      </w:pPr>
      <w:r w:rsidRPr="00B72473">
        <w:rPr>
          <w:rFonts w:eastAsia="Times New Roman" w:cs="Arial"/>
          <w:noProof/>
          <w:sz w:val="23"/>
          <w:szCs w:val="23"/>
        </w:rPr>
        <w:object w:dxaOrig="7533" w:dyaOrig="4321">
          <v:shape id="_x0000_i1028" type="#_x0000_t75" style="width:450pt;height:235.5pt" o:ole="">
            <v:imagedata r:id="rId26" o:title=""/>
          </v:shape>
          <o:OLEObject Type="Embed" ProgID="Excel.Sheet.12" ShapeID="_x0000_i1028" DrawAspect="Content" ObjectID="_1599457030" r:id="rId27"/>
        </w:object>
      </w:r>
      <w:r w:rsidRPr="00B72473">
        <w:rPr>
          <w:rFonts w:eastAsia="Times New Roman" w:cs="Arial"/>
          <w:b/>
          <w:sz w:val="23"/>
          <w:szCs w:val="23"/>
        </w:rPr>
        <w:t>Graphique n</w:t>
      </w:r>
      <w:r>
        <w:rPr>
          <w:rFonts w:eastAsia="Times New Roman" w:cs="Arial"/>
          <w:b/>
          <w:sz w:val="23"/>
          <w:szCs w:val="23"/>
        </w:rPr>
        <w:t xml:space="preserve">°3 </w:t>
      </w:r>
      <w:r w:rsidRPr="00B72473">
        <w:rPr>
          <w:rFonts w:eastAsia="Times New Roman" w:cs="Arial"/>
          <w:b/>
          <w:sz w:val="23"/>
          <w:szCs w:val="23"/>
        </w:rPr>
        <w:t xml:space="preserve">: </w:t>
      </w:r>
      <w:r w:rsidRPr="00B72473">
        <w:rPr>
          <w:rFonts w:eastAsia="Times New Roman" w:cs="Arial"/>
          <w:sz w:val="23"/>
          <w:szCs w:val="23"/>
        </w:rPr>
        <w:t>Taux d’accouchements assistés de 2014 à 2017</w:t>
      </w:r>
    </w:p>
    <w:p w:rsidR="000E574C" w:rsidRDefault="000E574C" w:rsidP="00C15864">
      <w:pPr>
        <w:spacing w:after="40" w:line="360" w:lineRule="auto"/>
        <w:jc w:val="both"/>
        <w:rPr>
          <w:rFonts w:eastAsia="Times New Roman" w:cs="Arial"/>
          <w:sz w:val="23"/>
          <w:szCs w:val="23"/>
        </w:rPr>
      </w:pPr>
      <w:r>
        <w:rPr>
          <w:rFonts w:eastAsia="Times New Roman" w:cs="Arial"/>
          <w:sz w:val="23"/>
          <w:szCs w:val="23"/>
        </w:rPr>
        <w:lastRenderedPageBreak/>
        <w:t xml:space="preserve">Six régions ont réalisé une performance en dessous de la moyenne : Est (83,54%), Centre Sud (82,50%), Centre Ouest (80,96%), Centre Nord (79,63%), Centre Est (78,29%), Centre (76,77%), Cascades (74,46%) et Boucle du Mouhoun (69,92%). </w:t>
      </w:r>
    </w:p>
    <w:p w:rsidR="004527CF" w:rsidRPr="00B72473" w:rsidRDefault="004527CF" w:rsidP="004527CF">
      <w:pPr>
        <w:spacing w:line="360" w:lineRule="auto"/>
        <w:jc w:val="both"/>
        <w:rPr>
          <w:rFonts w:eastAsia="Times New Roman" w:cs="Arial"/>
          <w:sz w:val="23"/>
          <w:szCs w:val="23"/>
        </w:rPr>
      </w:pPr>
      <w:r w:rsidRPr="00B72473">
        <w:rPr>
          <w:rFonts w:eastAsia="Times New Roman"/>
          <w:noProof/>
          <w:sz w:val="23"/>
          <w:szCs w:val="23"/>
          <w:lang w:eastAsia="fr-FR"/>
        </w:rPr>
        <w:drawing>
          <wp:inline distT="0" distB="0" distL="0" distR="0" wp14:anchorId="198BE438" wp14:editId="26BF0A18">
            <wp:extent cx="5677535" cy="2498651"/>
            <wp:effectExtent l="0" t="0" r="18415" b="16510"/>
            <wp:docPr id="62" name="Graphique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4527CF" w:rsidRDefault="000E574C" w:rsidP="004527CF">
      <w:pPr>
        <w:spacing w:line="360" w:lineRule="auto"/>
        <w:jc w:val="both"/>
        <w:rPr>
          <w:rFonts w:eastAsia="Times New Roman" w:cs="Arial"/>
          <w:sz w:val="23"/>
          <w:szCs w:val="23"/>
        </w:rPr>
      </w:pPr>
      <w:r>
        <w:rPr>
          <w:rFonts w:eastAsia="Times New Roman" w:cs="Arial"/>
          <w:b/>
          <w:sz w:val="23"/>
          <w:szCs w:val="23"/>
        </w:rPr>
        <w:t xml:space="preserve">Figure </w:t>
      </w:r>
      <w:r w:rsidR="004527CF">
        <w:rPr>
          <w:rFonts w:eastAsia="Times New Roman" w:cs="Arial"/>
          <w:b/>
          <w:sz w:val="23"/>
          <w:szCs w:val="23"/>
        </w:rPr>
        <w:t>4</w:t>
      </w:r>
      <w:r w:rsidR="004527CF" w:rsidRPr="00B72473">
        <w:rPr>
          <w:rFonts w:eastAsia="Times New Roman" w:cs="Arial"/>
          <w:b/>
          <w:sz w:val="23"/>
          <w:szCs w:val="23"/>
        </w:rPr>
        <w:t xml:space="preserve">: </w:t>
      </w:r>
      <w:r w:rsidR="004527CF" w:rsidRPr="00B72473">
        <w:rPr>
          <w:rFonts w:eastAsia="Times New Roman" w:cs="Arial"/>
          <w:sz w:val="23"/>
          <w:szCs w:val="23"/>
        </w:rPr>
        <w:t>Taux d’accouchements assistés par région en 2017</w:t>
      </w:r>
      <w:r w:rsidR="00D03C6E">
        <w:rPr>
          <w:rStyle w:val="Appelnotedebasdep"/>
          <w:rFonts w:eastAsia="Times New Roman" w:cs="Arial"/>
          <w:sz w:val="23"/>
          <w:szCs w:val="23"/>
        </w:rPr>
        <w:footnoteReference w:id="27"/>
      </w:r>
    </w:p>
    <w:p w:rsidR="00D03C6E" w:rsidRDefault="000E574C" w:rsidP="00D03C6E">
      <w:pPr>
        <w:autoSpaceDE w:val="0"/>
        <w:autoSpaceDN w:val="0"/>
        <w:adjustRightInd w:val="0"/>
        <w:spacing w:after="180" w:line="360" w:lineRule="auto"/>
        <w:jc w:val="both"/>
        <w:rPr>
          <w:rFonts w:cs="TimesNewRoman"/>
          <w:sz w:val="23"/>
          <w:szCs w:val="23"/>
        </w:rPr>
      </w:pPr>
      <w:r>
        <w:rPr>
          <w:rFonts w:cs="TimesNewRoman"/>
          <w:sz w:val="23"/>
          <w:szCs w:val="23"/>
        </w:rPr>
        <w:t>L</w:t>
      </w:r>
      <w:r w:rsidRPr="00B72473">
        <w:rPr>
          <w:rFonts w:cs="TimesNewRoman"/>
          <w:sz w:val="23"/>
          <w:szCs w:val="23"/>
        </w:rPr>
        <w:t xml:space="preserve">es accoucheuses auxiliaires </w:t>
      </w:r>
      <w:r>
        <w:rPr>
          <w:rFonts w:cs="TimesNewRoman"/>
          <w:sz w:val="23"/>
          <w:szCs w:val="23"/>
        </w:rPr>
        <w:t xml:space="preserve">interviennent dans 43% des accouchements assistés par du personnel qualifié </w:t>
      </w:r>
      <w:r w:rsidRPr="00B72473">
        <w:rPr>
          <w:rFonts w:cs="TimesNewRoman"/>
          <w:sz w:val="23"/>
          <w:szCs w:val="23"/>
        </w:rPr>
        <w:t xml:space="preserve">et les sages-femmes </w:t>
      </w:r>
      <w:r>
        <w:rPr>
          <w:rFonts w:cs="TimesNewRoman"/>
          <w:sz w:val="23"/>
          <w:szCs w:val="23"/>
        </w:rPr>
        <w:t xml:space="preserve">interviennent dans 14% des cas. </w:t>
      </w:r>
      <w:r w:rsidRPr="00B72473">
        <w:rPr>
          <w:rFonts w:cs="TimesNewRoman"/>
          <w:sz w:val="23"/>
          <w:szCs w:val="23"/>
        </w:rPr>
        <w:t xml:space="preserve"> Une femme sur dix accouche avec l’assistance d’une accoucheuse traditionnelle (10%). </w:t>
      </w:r>
      <w:bookmarkStart w:id="3" w:name="_Toc522532884"/>
    </w:p>
    <w:p w:rsidR="004527CF" w:rsidRPr="00D03C6E" w:rsidRDefault="00DD0298" w:rsidP="00C15864">
      <w:pPr>
        <w:autoSpaceDE w:val="0"/>
        <w:autoSpaceDN w:val="0"/>
        <w:adjustRightInd w:val="0"/>
        <w:spacing w:after="0" w:line="360" w:lineRule="auto"/>
        <w:jc w:val="both"/>
        <w:rPr>
          <w:rFonts w:cs="Arial"/>
          <w:b/>
          <w:bCs/>
          <w:sz w:val="23"/>
          <w:szCs w:val="23"/>
        </w:rPr>
      </w:pPr>
      <w:r>
        <w:rPr>
          <w:rFonts w:eastAsia="Calibri"/>
          <w:b/>
          <w:caps/>
        </w:rPr>
        <w:t>1.1.</w:t>
      </w:r>
      <w:r w:rsidR="004527CF" w:rsidRPr="00D03C6E">
        <w:rPr>
          <w:rFonts w:eastAsia="Calibri"/>
          <w:b/>
          <w:caps/>
        </w:rPr>
        <w:t>5</w:t>
      </w:r>
      <w:r>
        <w:rPr>
          <w:rFonts w:eastAsia="Calibri"/>
          <w:b/>
          <w:caps/>
        </w:rPr>
        <w:t xml:space="preserve">. </w:t>
      </w:r>
      <w:r w:rsidR="004527CF" w:rsidRPr="00D03C6E">
        <w:rPr>
          <w:rFonts w:eastAsia="Calibri"/>
          <w:b/>
          <w:caps/>
        </w:rPr>
        <w:t xml:space="preserve"> S</w:t>
      </w:r>
      <w:r w:rsidR="00D03C6E" w:rsidRPr="00D03C6E">
        <w:rPr>
          <w:rFonts w:eastAsia="Calibri"/>
          <w:b/>
        </w:rPr>
        <w:t>oins après avortement </w:t>
      </w:r>
      <w:bookmarkEnd w:id="3"/>
    </w:p>
    <w:p w:rsidR="00DD0298" w:rsidRDefault="00DD0298" w:rsidP="00DD0298">
      <w:pPr>
        <w:spacing w:after="0" w:line="360" w:lineRule="auto"/>
        <w:jc w:val="both"/>
        <w:rPr>
          <w:rFonts w:cs="OfficinaSans-Book"/>
          <w:sz w:val="24"/>
          <w:szCs w:val="24"/>
        </w:rPr>
      </w:pPr>
      <w:r w:rsidRPr="00B72473">
        <w:rPr>
          <w:sz w:val="23"/>
          <w:szCs w:val="23"/>
        </w:rPr>
        <w:t>Au Burkina Faso, l’article 387 du Code Pénal et la loi SR de 2005 autorisent l’avortement à certa</w:t>
      </w:r>
      <w:r>
        <w:rPr>
          <w:sz w:val="23"/>
          <w:szCs w:val="23"/>
        </w:rPr>
        <w:t>ines conditions (thérapeutique).</w:t>
      </w:r>
    </w:p>
    <w:p w:rsidR="00DD0298" w:rsidRPr="001E2F3F" w:rsidRDefault="00DD0298" w:rsidP="00DD0298">
      <w:pPr>
        <w:spacing w:after="0" w:line="360" w:lineRule="auto"/>
        <w:jc w:val="both"/>
        <w:rPr>
          <w:rFonts w:cs="OfficinaSans-Book"/>
          <w:sz w:val="24"/>
          <w:szCs w:val="24"/>
        </w:rPr>
      </w:pPr>
      <w:r w:rsidRPr="001E2F3F">
        <w:rPr>
          <w:rFonts w:cs="OfficinaSans-Book"/>
          <w:sz w:val="24"/>
          <w:szCs w:val="24"/>
        </w:rPr>
        <w:t>En 2012, environ 105 000 avortements ont été pratiqués au Burkina Faso</w:t>
      </w:r>
      <w:r>
        <w:rPr>
          <w:rFonts w:cs="OfficinaSans-Book"/>
          <w:sz w:val="24"/>
          <w:szCs w:val="24"/>
        </w:rPr>
        <w:t xml:space="preserve"> et</w:t>
      </w:r>
      <w:r w:rsidRPr="001E2F3F">
        <w:rPr>
          <w:rFonts w:cs="OfficinaSans-Book"/>
          <w:sz w:val="24"/>
          <w:szCs w:val="24"/>
        </w:rPr>
        <w:t xml:space="preserve"> le taux</w:t>
      </w:r>
      <w:r w:rsidRPr="00A54FC4">
        <w:rPr>
          <w:rFonts w:cs="OfficinaSans-Book"/>
          <w:sz w:val="24"/>
          <w:szCs w:val="24"/>
        </w:rPr>
        <w:t xml:space="preserve"> </w:t>
      </w:r>
      <w:r w:rsidRPr="001E2F3F">
        <w:rPr>
          <w:rFonts w:cs="OfficinaSans-Book"/>
          <w:sz w:val="24"/>
          <w:szCs w:val="24"/>
        </w:rPr>
        <w:t>national d’avortement était de 25 pour 1 000 femmes âgées de 15 à 49 ans</w:t>
      </w:r>
      <w:r w:rsidR="00C15864">
        <w:rPr>
          <w:rStyle w:val="Appelnotedebasdep"/>
          <w:rFonts w:cs="OfficinaSans-Book"/>
          <w:sz w:val="24"/>
          <w:szCs w:val="24"/>
        </w:rPr>
        <w:footnoteReference w:id="28"/>
      </w:r>
      <w:r w:rsidRPr="001E2F3F">
        <w:rPr>
          <w:rFonts w:cs="OfficinaSans-Book"/>
          <w:sz w:val="24"/>
          <w:szCs w:val="24"/>
        </w:rPr>
        <w:t>.</w:t>
      </w:r>
    </w:p>
    <w:p w:rsidR="00DD0298" w:rsidRPr="001E2F3F" w:rsidRDefault="00DD0298" w:rsidP="00DD0298">
      <w:pPr>
        <w:autoSpaceDE w:val="0"/>
        <w:autoSpaceDN w:val="0"/>
        <w:adjustRightInd w:val="0"/>
        <w:spacing w:after="0" w:line="360" w:lineRule="auto"/>
        <w:jc w:val="both"/>
        <w:rPr>
          <w:rFonts w:cs="OfficinaSans-Book"/>
          <w:sz w:val="24"/>
          <w:szCs w:val="24"/>
        </w:rPr>
      </w:pPr>
      <w:r w:rsidRPr="001E2F3F">
        <w:rPr>
          <w:sz w:val="24"/>
          <w:szCs w:val="24"/>
        </w:rPr>
        <w:t>Le recours à des méthodes d’avortement sûr reste très faible au Burkina Faso et il est presque inexistant chez les femmes des zones rurales où 97% des avortements sont à risque.</w:t>
      </w:r>
      <w:r w:rsidRPr="001E2F3F">
        <w:rPr>
          <w:rFonts w:cs="OfficinaSans-Book"/>
          <w:sz w:val="24"/>
          <w:szCs w:val="24"/>
        </w:rPr>
        <w:t xml:space="preserve"> </w:t>
      </w:r>
    </w:p>
    <w:p w:rsidR="00DD0298" w:rsidRPr="00EB2626" w:rsidRDefault="00DD0298" w:rsidP="00EB2626">
      <w:pPr>
        <w:autoSpaceDE w:val="0"/>
        <w:autoSpaceDN w:val="0"/>
        <w:adjustRightInd w:val="0"/>
        <w:spacing w:after="0" w:line="360" w:lineRule="auto"/>
        <w:jc w:val="both"/>
        <w:rPr>
          <w:rFonts w:cs="OfficinaSans-Book"/>
          <w:sz w:val="24"/>
          <w:szCs w:val="24"/>
        </w:rPr>
      </w:pPr>
      <w:r w:rsidRPr="001E2F3F">
        <w:rPr>
          <w:rFonts w:cs="OfficinaSans-Book"/>
          <w:sz w:val="24"/>
          <w:szCs w:val="24"/>
        </w:rPr>
        <w:t>En 2008, environ 23 000 femmes ont été traitées pour complications liées à un avortement et 15 000 femmes ayant connu des complications sévères n’ayant pas reçu les soins dont elles avaient besoin</w:t>
      </w:r>
      <w:r w:rsidRPr="001E2F3F">
        <w:rPr>
          <w:rStyle w:val="Appelnotedebasdep"/>
          <w:rFonts w:cs="OfficinaSans-Book"/>
          <w:sz w:val="24"/>
          <w:szCs w:val="24"/>
        </w:rPr>
        <w:footnoteReference w:id="29"/>
      </w:r>
      <w:r w:rsidRPr="001E2F3F">
        <w:rPr>
          <w:rFonts w:cs="OfficinaSans-Book"/>
          <w:sz w:val="24"/>
          <w:szCs w:val="24"/>
        </w:rPr>
        <w:t>.</w:t>
      </w:r>
    </w:p>
    <w:p w:rsidR="004527CF" w:rsidRPr="00B72473" w:rsidRDefault="00DD0298" w:rsidP="004527CF">
      <w:pPr>
        <w:spacing w:before="100" w:beforeAutospacing="1" w:after="100" w:afterAutospacing="1" w:line="360" w:lineRule="auto"/>
        <w:jc w:val="both"/>
        <w:rPr>
          <w:rFonts w:eastAsia="Times New Roman"/>
          <w:sz w:val="23"/>
          <w:szCs w:val="23"/>
        </w:rPr>
      </w:pPr>
      <w:r>
        <w:rPr>
          <w:rFonts w:eastAsia="Times New Roman"/>
          <w:sz w:val="23"/>
          <w:szCs w:val="23"/>
        </w:rPr>
        <w:lastRenderedPageBreak/>
        <w:t>L</w:t>
      </w:r>
      <w:r w:rsidR="004527CF" w:rsidRPr="00B72473">
        <w:rPr>
          <w:rFonts w:eastAsia="Times New Roman"/>
          <w:sz w:val="23"/>
          <w:szCs w:val="23"/>
        </w:rPr>
        <w:t xml:space="preserve">es soins </w:t>
      </w:r>
      <w:r>
        <w:rPr>
          <w:rFonts w:eastAsia="Times New Roman"/>
          <w:sz w:val="23"/>
          <w:szCs w:val="23"/>
        </w:rPr>
        <w:t xml:space="preserve">après avortement </w:t>
      </w:r>
      <w:r w:rsidR="004527CF" w:rsidRPr="00B72473">
        <w:rPr>
          <w:rFonts w:eastAsia="Times New Roman"/>
          <w:sz w:val="23"/>
          <w:szCs w:val="23"/>
        </w:rPr>
        <w:t xml:space="preserve">comprennent l’aspiration des débris de </w:t>
      </w:r>
      <w:r>
        <w:rPr>
          <w:rFonts w:eastAsia="Times New Roman"/>
          <w:sz w:val="23"/>
          <w:szCs w:val="23"/>
        </w:rPr>
        <w:t>conception ou l’utilisation du M</w:t>
      </w:r>
      <w:r w:rsidR="004527CF" w:rsidRPr="00B72473">
        <w:rPr>
          <w:rFonts w:eastAsia="Times New Roman"/>
          <w:sz w:val="23"/>
          <w:szCs w:val="23"/>
        </w:rPr>
        <w:t>isoprostol. Les résultats de l’enquête SONU-2013 et du CEFOREP-2017 ont montrés une insuffisance dans l’offre et la disponibilité des services de soins après avortement au Burkina Faso. En effet, ces résultats montrent que 28% des décès maternels dans les formations sanitaires sont causés par un avortement compliqué, 49% de formations sanitaires disposait de Manuels/Protocoles sur les SAA ; 33% des formations sanitaires qui n’ont pas réalisé d’extraction des produits résiduels dans les trois derniers mois suivant l’enquête (par manque de formation, de fournitures et d’équipement). En effet seulement 0,3% des prestataires ont pu identifier l’ensemble des 9 traitements en cas de complications d’avortement incomplet ou à risque et seulement 5% ont pu identifier l’ensemble des six éléments d’information en SAA.</w:t>
      </w:r>
    </w:p>
    <w:p w:rsidR="00EF7771" w:rsidRPr="00EF7771" w:rsidRDefault="00EF7771" w:rsidP="00EB2626">
      <w:pPr>
        <w:spacing w:before="100" w:beforeAutospacing="1" w:after="0" w:line="360" w:lineRule="auto"/>
        <w:jc w:val="both"/>
        <w:rPr>
          <w:rFonts w:eastAsia="Times New Roman"/>
          <w:b/>
          <w:sz w:val="24"/>
          <w:szCs w:val="24"/>
        </w:rPr>
      </w:pPr>
      <w:r w:rsidRPr="00EF7771">
        <w:rPr>
          <w:rFonts w:eastAsia="Times New Roman"/>
          <w:b/>
          <w:sz w:val="24"/>
          <w:szCs w:val="24"/>
        </w:rPr>
        <w:t>1.1.6. Les cancers de la femme</w:t>
      </w:r>
    </w:p>
    <w:p w:rsidR="004527CF" w:rsidRPr="00B72473" w:rsidRDefault="004527CF" w:rsidP="004527CF">
      <w:pPr>
        <w:spacing w:before="100" w:beforeAutospacing="1" w:line="360" w:lineRule="auto"/>
        <w:jc w:val="both"/>
        <w:rPr>
          <w:rFonts w:eastAsia="Times New Roman"/>
          <w:sz w:val="23"/>
          <w:szCs w:val="23"/>
        </w:rPr>
      </w:pPr>
      <w:r w:rsidRPr="00B72473">
        <w:rPr>
          <w:rFonts w:eastAsia="Times New Roman"/>
          <w:sz w:val="23"/>
          <w:szCs w:val="23"/>
        </w:rPr>
        <w:t>GLOBOCAN 2012, Cancer Incidence, Mortality and Prevalence Worldwide estime qu’au Burkina Faso, les cancers du sein (13,39 %) et du col de l’utérus (12,46%) sont plus fréquents chez les adultes. La femme est la plus affectée dans plus de la moitié des cas. Selon la même source l’incidence du cancer en 2012 était de 7760 cas de cancers dont 5012 chez les femmes. Des 7 760 cas 6 215 sont décédés, soit une mortalité de 80% en 2012 En 2015, l’incidence du cancer était de 8167 cas de cancers dont 5242 chez les femmes et le taux de mortalité se chiffrait à 70%</w:t>
      </w:r>
      <w:r w:rsidR="009C67A0">
        <w:rPr>
          <w:rStyle w:val="Appelnotedebasdep"/>
          <w:rFonts w:eastAsia="Times New Roman"/>
          <w:sz w:val="23"/>
          <w:szCs w:val="23"/>
        </w:rPr>
        <w:footnoteReference w:id="30"/>
      </w:r>
      <w:r w:rsidRPr="00B72473">
        <w:rPr>
          <w:rFonts w:eastAsia="Times New Roman"/>
          <w:sz w:val="23"/>
          <w:szCs w:val="23"/>
        </w:rPr>
        <w:t>.</w:t>
      </w:r>
    </w:p>
    <w:p w:rsidR="00EF7771" w:rsidRDefault="004527CF" w:rsidP="00EF7771">
      <w:pPr>
        <w:spacing w:before="100" w:beforeAutospacing="1" w:line="360" w:lineRule="auto"/>
        <w:jc w:val="both"/>
        <w:rPr>
          <w:rFonts w:eastAsia="Times New Roman"/>
          <w:sz w:val="23"/>
          <w:szCs w:val="23"/>
        </w:rPr>
      </w:pPr>
      <w:r w:rsidRPr="00B72473">
        <w:rPr>
          <w:rFonts w:eastAsia="Times New Roman"/>
          <w:sz w:val="23"/>
          <w:szCs w:val="23"/>
        </w:rPr>
        <w:t xml:space="preserve">Le cancer du col de l’utérus est l’un des cancers sexuellement transmissibles parce qu’il est dû dans près de 98% des cas à un virus appelé HPV, le virus papilloma humain. </w:t>
      </w:r>
      <w:r w:rsidR="009C67A0">
        <w:rPr>
          <w:rFonts w:eastAsia="Times New Roman"/>
          <w:sz w:val="23"/>
          <w:szCs w:val="23"/>
        </w:rPr>
        <w:t>La disponibilité d’un vaccin efficace est susceptible de modifier considérablement la prise en charge de ce cancer.</w:t>
      </w:r>
      <w:bookmarkStart w:id="4" w:name="_Toc522532887"/>
    </w:p>
    <w:p w:rsidR="004527CF" w:rsidRPr="00EF7771" w:rsidRDefault="00EF7771" w:rsidP="00EF7771">
      <w:pPr>
        <w:spacing w:before="100" w:beforeAutospacing="1" w:line="360" w:lineRule="auto"/>
        <w:jc w:val="both"/>
        <w:rPr>
          <w:rFonts w:eastAsia="Times New Roman"/>
          <w:sz w:val="23"/>
          <w:szCs w:val="23"/>
        </w:rPr>
      </w:pPr>
      <w:r>
        <w:rPr>
          <w:rFonts w:eastAsia="Times New Roman"/>
          <w:sz w:val="23"/>
          <w:szCs w:val="23"/>
        </w:rPr>
        <w:t xml:space="preserve">1.1.7. </w:t>
      </w:r>
      <w:r w:rsidR="004527CF" w:rsidRPr="00B72473">
        <w:rPr>
          <w:rFonts w:eastAsia="Calibri"/>
          <w:caps/>
        </w:rPr>
        <w:t>Planification familiale</w:t>
      </w:r>
      <w:bookmarkEnd w:id="4"/>
    </w:p>
    <w:p w:rsidR="004527CF" w:rsidRDefault="00EB2626" w:rsidP="004527CF">
      <w:pPr>
        <w:spacing w:line="360" w:lineRule="auto"/>
        <w:jc w:val="both"/>
        <w:rPr>
          <w:sz w:val="23"/>
          <w:szCs w:val="23"/>
        </w:rPr>
      </w:pPr>
      <w:r>
        <w:rPr>
          <w:bCs/>
          <w:sz w:val="23"/>
          <w:szCs w:val="23"/>
        </w:rPr>
        <w:t>L</w:t>
      </w:r>
      <w:r w:rsidR="004527CF" w:rsidRPr="00B72473">
        <w:rPr>
          <w:bCs/>
          <w:sz w:val="23"/>
          <w:szCs w:val="23"/>
        </w:rPr>
        <w:t xml:space="preserve">e plan national d’accélération de la planification familiale (PNAPF) </w:t>
      </w:r>
      <w:r>
        <w:rPr>
          <w:bCs/>
          <w:sz w:val="23"/>
          <w:szCs w:val="23"/>
        </w:rPr>
        <w:t xml:space="preserve">2017-2020 </w:t>
      </w:r>
      <w:r w:rsidR="004527CF" w:rsidRPr="00B72473">
        <w:rPr>
          <w:bCs/>
          <w:sz w:val="23"/>
          <w:szCs w:val="23"/>
        </w:rPr>
        <w:t xml:space="preserve">se fixe comme objectif de porter le taux de prévalence contraceptive moderne (TPCm) de 22,5% en 2015 à </w:t>
      </w:r>
      <w:r w:rsidR="004527CF" w:rsidRPr="00B72473">
        <w:rPr>
          <w:sz w:val="23"/>
          <w:szCs w:val="23"/>
        </w:rPr>
        <w:t xml:space="preserve">32% en 2020. La présente analyse de la situation sera axée sur les cinq axes stratégiques du PNAPF </w:t>
      </w:r>
      <w:r>
        <w:rPr>
          <w:sz w:val="23"/>
          <w:szCs w:val="23"/>
        </w:rPr>
        <w:t>.</w:t>
      </w:r>
    </w:p>
    <w:p w:rsidR="004527CF" w:rsidRPr="00EB2626" w:rsidRDefault="004527CF" w:rsidP="00EB2626">
      <w:pPr>
        <w:pStyle w:val="Paragraphedeliste"/>
        <w:numPr>
          <w:ilvl w:val="3"/>
          <w:numId w:val="38"/>
        </w:numPr>
        <w:spacing w:before="100" w:beforeAutospacing="1" w:after="100" w:afterAutospacing="1"/>
        <w:jc w:val="both"/>
        <w:rPr>
          <w:b/>
        </w:rPr>
      </w:pPr>
      <w:bookmarkStart w:id="5" w:name="_Toc520818500"/>
      <w:r w:rsidRPr="00EB2626">
        <w:rPr>
          <w:b/>
        </w:rPr>
        <w:t>Création de la demande</w:t>
      </w:r>
      <w:bookmarkEnd w:id="5"/>
      <w:r w:rsidRPr="00EB2626">
        <w:rPr>
          <w:b/>
        </w:rPr>
        <w:t xml:space="preserve"> en matière de planification familiale au Burkina Faso</w:t>
      </w:r>
    </w:p>
    <w:p w:rsidR="00EB2626" w:rsidRPr="00B72473" w:rsidRDefault="004527CF" w:rsidP="00EB2626">
      <w:pPr>
        <w:spacing w:line="360" w:lineRule="auto"/>
        <w:jc w:val="both"/>
        <w:rPr>
          <w:sz w:val="23"/>
          <w:szCs w:val="23"/>
        </w:rPr>
      </w:pPr>
      <w:r w:rsidRPr="00B72473">
        <w:rPr>
          <w:sz w:val="23"/>
          <w:szCs w:val="23"/>
        </w:rPr>
        <w:t xml:space="preserve">En 2010, environ 98% des femmes en union et 99,5% des hommes en union ont déclaré connaître au moins une méthode contraceptive (EDS 2010). Il s'agit d'une augmentation des connaissances </w:t>
      </w:r>
      <w:r w:rsidRPr="00B72473">
        <w:rPr>
          <w:sz w:val="23"/>
          <w:szCs w:val="23"/>
        </w:rPr>
        <w:lastRenderedPageBreak/>
        <w:t xml:space="preserve">à partir de 2003, lorsque 91,7% des femmes en union et 95,6% des hommes en union ont déclaré connaître au moins une méthode de planification familiale (EDS 2003). </w:t>
      </w:r>
    </w:p>
    <w:p w:rsidR="004527CF" w:rsidRPr="00B72473" w:rsidRDefault="004527CF" w:rsidP="004527CF">
      <w:pPr>
        <w:spacing w:line="360" w:lineRule="auto"/>
        <w:jc w:val="both"/>
        <w:rPr>
          <w:sz w:val="23"/>
          <w:szCs w:val="23"/>
        </w:rPr>
      </w:pPr>
      <w:r w:rsidRPr="00B72473">
        <w:rPr>
          <w:sz w:val="23"/>
          <w:szCs w:val="23"/>
        </w:rPr>
        <w:t>La demande de PF chez les femmes actuellement en union est de 43,3%. Cependant, seuls 22,5% des femmes en union utilisent des contraceptifs, ce qui signifie que 19,4% des femmes actuellement en union ont un besoin non satisfait en PF (EDS 2010).</w:t>
      </w:r>
    </w:p>
    <w:p w:rsidR="004527CF" w:rsidRPr="00B72473" w:rsidRDefault="004527CF" w:rsidP="004527CF">
      <w:pPr>
        <w:spacing w:line="360" w:lineRule="auto"/>
        <w:jc w:val="both"/>
        <w:rPr>
          <w:sz w:val="23"/>
          <w:szCs w:val="23"/>
        </w:rPr>
      </w:pPr>
      <w:r w:rsidRPr="00B72473">
        <w:rPr>
          <w:sz w:val="23"/>
          <w:szCs w:val="23"/>
        </w:rPr>
        <w:t xml:space="preserve">Les messages de PF sont un moyen essentiel pour informer la population sur les services de PF au sein de leurs communautés. Outre les formes de communication interpersonnelle, trois formes principales de médias permettent d'exprimer des messages sur la PF : la radio, la télévision et les journaux ou les magazines. </w:t>
      </w:r>
    </w:p>
    <w:p w:rsidR="004527CF" w:rsidRPr="00B72473" w:rsidRDefault="004527CF" w:rsidP="004527CF">
      <w:pPr>
        <w:pStyle w:val="Sous-titre"/>
        <w:numPr>
          <w:ilvl w:val="0"/>
          <w:numId w:val="0"/>
        </w:numPr>
        <w:rPr>
          <w:rFonts w:asciiTheme="minorHAnsi" w:hAnsiTheme="minorHAnsi"/>
          <w:color w:val="auto"/>
          <w:sz w:val="23"/>
          <w:szCs w:val="23"/>
        </w:rPr>
      </w:pPr>
      <w:r w:rsidRPr="00B72473">
        <w:rPr>
          <w:rFonts w:asciiTheme="minorHAnsi" w:hAnsiTheme="minorHAnsi"/>
          <w:color w:val="auto"/>
          <w:sz w:val="23"/>
          <w:szCs w:val="23"/>
        </w:rPr>
        <w:t xml:space="preserve">Graphique </w:t>
      </w:r>
      <w:r w:rsidRPr="00FC6CA2">
        <w:rPr>
          <w:rFonts w:asciiTheme="minorHAnsi" w:hAnsiTheme="minorHAnsi"/>
          <w:color w:val="auto"/>
          <w:sz w:val="23"/>
          <w:szCs w:val="23"/>
        </w:rPr>
        <w:t>n°5</w:t>
      </w:r>
      <w:r w:rsidRPr="00B72473">
        <w:rPr>
          <w:rFonts w:asciiTheme="minorHAnsi" w:hAnsiTheme="minorHAnsi"/>
          <w:color w:val="auto"/>
          <w:sz w:val="23"/>
          <w:szCs w:val="23"/>
        </w:rPr>
        <w:t> : Exposition aux messages de PF dans les médias en 2010.</w:t>
      </w:r>
    </w:p>
    <w:p w:rsidR="004527CF" w:rsidRPr="00B72473" w:rsidRDefault="004527CF" w:rsidP="004527CF">
      <w:pPr>
        <w:rPr>
          <w:sz w:val="23"/>
          <w:szCs w:val="23"/>
        </w:rPr>
      </w:pPr>
      <w:r w:rsidRPr="00B72473">
        <w:rPr>
          <w:noProof/>
          <w:sz w:val="23"/>
          <w:szCs w:val="23"/>
          <w:lang w:eastAsia="fr-FR"/>
        </w:rPr>
        <w:drawing>
          <wp:inline distT="0" distB="0" distL="0" distR="0" wp14:anchorId="09F2F4B8" wp14:editId="48A2DA96">
            <wp:extent cx="5762847" cy="2306955"/>
            <wp:effectExtent l="0" t="0" r="9525" b="17145"/>
            <wp:docPr id="68" name="Graphique 6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4527CF" w:rsidRPr="00B72473" w:rsidRDefault="004527CF" w:rsidP="004527CF">
      <w:pPr>
        <w:pStyle w:val="Figuresource"/>
        <w:spacing w:after="100" w:afterAutospacing="1"/>
        <w:ind w:left="720"/>
        <w:rPr>
          <w:rFonts w:asciiTheme="minorHAnsi" w:hAnsiTheme="minorHAnsi"/>
          <w:b/>
          <w:color w:val="auto"/>
          <w:sz w:val="23"/>
          <w:szCs w:val="23"/>
        </w:rPr>
      </w:pPr>
      <w:r w:rsidRPr="00B72473">
        <w:rPr>
          <w:rFonts w:asciiTheme="minorHAnsi" w:hAnsiTheme="minorHAnsi"/>
          <w:color w:val="auto"/>
          <w:sz w:val="23"/>
          <w:szCs w:val="23"/>
        </w:rPr>
        <w:t>Source : EDS, 2010.</w:t>
      </w:r>
    </w:p>
    <w:p w:rsidR="00AF2F00" w:rsidRDefault="004527CF" w:rsidP="00AF2F00">
      <w:pPr>
        <w:spacing w:line="360" w:lineRule="auto"/>
        <w:jc w:val="both"/>
        <w:rPr>
          <w:sz w:val="23"/>
          <w:szCs w:val="23"/>
        </w:rPr>
      </w:pPr>
      <w:r w:rsidRPr="00B72473">
        <w:rPr>
          <w:sz w:val="23"/>
          <w:szCs w:val="23"/>
        </w:rPr>
        <w:t>La cré</w:t>
      </w:r>
      <w:r w:rsidR="00EB2626">
        <w:rPr>
          <w:sz w:val="23"/>
          <w:szCs w:val="23"/>
        </w:rPr>
        <w:t>ation de la demande est particulièrement importante</w:t>
      </w:r>
      <w:r w:rsidRPr="00B72473">
        <w:rPr>
          <w:sz w:val="23"/>
          <w:szCs w:val="23"/>
        </w:rPr>
        <w:t xml:space="preserve"> pour les jeunes. Cela porte sur le manque d’informations sur la sexualité, les droits qui s’y rattachent et sur les services de PF et de SR, existants et qu’ils peuvent utiliser.</w:t>
      </w:r>
      <w:bookmarkStart w:id="6" w:name="_Toc520818503"/>
    </w:p>
    <w:p w:rsidR="004527CF" w:rsidRPr="00AF2F00" w:rsidRDefault="004527CF" w:rsidP="00AF2F00">
      <w:pPr>
        <w:pStyle w:val="Paragraphedeliste"/>
        <w:numPr>
          <w:ilvl w:val="3"/>
          <w:numId w:val="38"/>
        </w:numPr>
        <w:spacing w:line="360" w:lineRule="auto"/>
        <w:jc w:val="both"/>
        <w:rPr>
          <w:sz w:val="23"/>
          <w:szCs w:val="23"/>
        </w:rPr>
      </w:pPr>
      <w:r w:rsidRPr="00AF2F00">
        <w:rPr>
          <w:b/>
        </w:rPr>
        <w:t>Offre et Accès aux Services en matière de planification familiale au Burkina Faso</w:t>
      </w:r>
    </w:p>
    <w:bookmarkEnd w:id="6"/>
    <w:p w:rsidR="004527CF" w:rsidRPr="00B72473" w:rsidRDefault="004527CF" w:rsidP="004527CF">
      <w:pPr>
        <w:spacing w:line="360" w:lineRule="auto"/>
        <w:jc w:val="both"/>
        <w:rPr>
          <w:sz w:val="23"/>
          <w:szCs w:val="23"/>
        </w:rPr>
      </w:pPr>
      <w:r w:rsidRPr="00B72473">
        <w:rPr>
          <w:sz w:val="23"/>
          <w:szCs w:val="23"/>
        </w:rPr>
        <w:t>L’offre des méthodes contraceptives au Burkina Faso se fait au niveau :</w:t>
      </w:r>
    </w:p>
    <w:p w:rsidR="004527CF" w:rsidRPr="00B72473" w:rsidRDefault="004527CF" w:rsidP="00A773D3">
      <w:pPr>
        <w:pStyle w:val="Paragraphedeliste"/>
        <w:numPr>
          <w:ilvl w:val="0"/>
          <w:numId w:val="20"/>
        </w:numPr>
        <w:spacing w:after="0" w:line="360" w:lineRule="auto"/>
        <w:jc w:val="both"/>
        <w:rPr>
          <w:sz w:val="23"/>
          <w:szCs w:val="23"/>
        </w:rPr>
      </w:pPr>
      <w:r w:rsidRPr="00B72473">
        <w:rPr>
          <w:sz w:val="23"/>
          <w:szCs w:val="23"/>
        </w:rPr>
        <w:t>de la communauté à travers les agents de santé à base communautaire (ASBC) ;</w:t>
      </w:r>
    </w:p>
    <w:p w:rsidR="004527CF" w:rsidRPr="00B72473" w:rsidRDefault="004527CF" w:rsidP="00A773D3">
      <w:pPr>
        <w:pStyle w:val="Paragraphedeliste"/>
        <w:numPr>
          <w:ilvl w:val="0"/>
          <w:numId w:val="20"/>
        </w:numPr>
        <w:spacing w:after="0" w:line="360" w:lineRule="auto"/>
        <w:jc w:val="both"/>
        <w:rPr>
          <w:sz w:val="23"/>
          <w:szCs w:val="23"/>
        </w:rPr>
      </w:pPr>
      <w:r w:rsidRPr="00B72473">
        <w:rPr>
          <w:sz w:val="23"/>
          <w:szCs w:val="23"/>
        </w:rPr>
        <w:t>des districts sanitaires (DS) : dans les Centres de Santé et de Promotion Sociale (CSPS), les Centres médicaux (CM) et les Centres Médicaux avec une Antenne chirurgicale (CMA) ;</w:t>
      </w:r>
    </w:p>
    <w:p w:rsidR="004527CF" w:rsidRPr="00B72473" w:rsidRDefault="004527CF" w:rsidP="00A773D3">
      <w:pPr>
        <w:pStyle w:val="Paragraphedeliste"/>
        <w:numPr>
          <w:ilvl w:val="0"/>
          <w:numId w:val="20"/>
        </w:numPr>
        <w:spacing w:after="0" w:line="360" w:lineRule="auto"/>
        <w:jc w:val="both"/>
        <w:rPr>
          <w:sz w:val="23"/>
          <w:szCs w:val="23"/>
        </w:rPr>
      </w:pPr>
      <w:r w:rsidRPr="00B72473">
        <w:rPr>
          <w:sz w:val="23"/>
          <w:szCs w:val="23"/>
        </w:rPr>
        <w:t>des centres hospitaliers régionaux (CHR) ;</w:t>
      </w:r>
    </w:p>
    <w:p w:rsidR="004527CF" w:rsidRPr="00B72473" w:rsidRDefault="004527CF" w:rsidP="00A773D3">
      <w:pPr>
        <w:pStyle w:val="Paragraphedeliste"/>
        <w:numPr>
          <w:ilvl w:val="0"/>
          <w:numId w:val="20"/>
        </w:numPr>
        <w:spacing w:after="0" w:line="360" w:lineRule="auto"/>
        <w:jc w:val="both"/>
        <w:rPr>
          <w:sz w:val="23"/>
          <w:szCs w:val="23"/>
        </w:rPr>
      </w:pPr>
      <w:r w:rsidRPr="00B72473">
        <w:rPr>
          <w:sz w:val="23"/>
          <w:szCs w:val="23"/>
        </w:rPr>
        <w:lastRenderedPageBreak/>
        <w:t>des centres hospitaliers universitaires (CHU).</w:t>
      </w:r>
    </w:p>
    <w:p w:rsidR="004527CF" w:rsidRPr="00B72473" w:rsidRDefault="004527CF" w:rsidP="004527CF">
      <w:pPr>
        <w:spacing w:line="360" w:lineRule="auto"/>
        <w:jc w:val="both"/>
        <w:rPr>
          <w:sz w:val="23"/>
          <w:szCs w:val="23"/>
        </w:rPr>
      </w:pPr>
      <w:r w:rsidRPr="00B72473">
        <w:rPr>
          <w:sz w:val="23"/>
          <w:szCs w:val="23"/>
        </w:rPr>
        <w:t xml:space="preserve">Quatre-vingt-quinze pourcent (99.5%) des centres de santé publics offrent certains services de PF, mais seulement </w:t>
      </w:r>
      <w:r w:rsidRPr="00B72473">
        <w:rPr>
          <w:bCs/>
          <w:sz w:val="23"/>
          <w:szCs w:val="23"/>
        </w:rPr>
        <w:t>30,1%</w:t>
      </w:r>
      <w:r w:rsidRPr="00B72473">
        <w:rPr>
          <w:sz w:val="23"/>
          <w:szCs w:val="23"/>
        </w:rPr>
        <w:t xml:space="preserve"> des points de prestations disposent de toute la gamme complète de contraceptifs. </w:t>
      </w:r>
    </w:p>
    <w:p w:rsidR="004527CF" w:rsidRPr="00B72473" w:rsidRDefault="004527CF" w:rsidP="004527CF">
      <w:pPr>
        <w:spacing w:line="360" w:lineRule="auto"/>
        <w:jc w:val="both"/>
        <w:rPr>
          <w:rFonts w:eastAsia="Times New Roman"/>
          <w:sz w:val="23"/>
          <w:szCs w:val="23"/>
        </w:rPr>
      </w:pPr>
      <w:r w:rsidRPr="00B72473">
        <w:rPr>
          <w:sz w:val="23"/>
          <w:szCs w:val="23"/>
        </w:rPr>
        <w:t>Au fil des dernières années le nombre de structures offrants les services de Pf a considérablement augmenté : Ce sont Marie Stopes Burkina (MS-Burkina), l’Association Burkinabè pour le Bien-Etre Familial (ABBEF), l’Association</w:t>
      </w:r>
      <w:r w:rsidRPr="00B72473">
        <w:rPr>
          <w:bCs/>
          <w:sz w:val="23"/>
          <w:szCs w:val="23"/>
        </w:rPr>
        <w:t xml:space="preserve"> Burkinabè des Sages-Femmes et Maïeuticiens (ABSFM). </w:t>
      </w:r>
    </w:p>
    <w:p w:rsidR="004527CF" w:rsidRPr="00B72473" w:rsidRDefault="004527CF" w:rsidP="004527CF">
      <w:pPr>
        <w:spacing w:line="360" w:lineRule="auto"/>
        <w:jc w:val="both"/>
        <w:rPr>
          <w:sz w:val="23"/>
          <w:szCs w:val="23"/>
        </w:rPr>
      </w:pPr>
      <w:r w:rsidRPr="00B72473">
        <w:rPr>
          <w:sz w:val="23"/>
          <w:szCs w:val="23"/>
        </w:rPr>
        <w:t xml:space="preserve">Le secteur privé à but non lucratif et la société civile fournissent également des services de marketing social et de distribution à base communautaire des contraceptifs (DBC). </w:t>
      </w:r>
    </w:p>
    <w:p w:rsidR="004527CF" w:rsidRPr="00B72473" w:rsidRDefault="004527CF" w:rsidP="00AF2F00">
      <w:pPr>
        <w:spacing w:line="360" w:lineRule="auto"/>
        <w:jc w:val="both"/>
        <w:rPr>
          <w:sz w:val="23"/>
          <w:szCs w:val="23"/>
        </w:rPr>
      </w:pPr>
      <w:r w:rsidRPr="00B72473">
        <w:rPr>
          <w:sz w:val="23"/>
          <w:szCs w:val="23"/>
        </w:rPr>
        <w:t>Le secteur public joue un rôle important dans l’approvisionnement des femmes en méthodes de contraception (74% en 2010), principalement dans les centres de santé et de promotion sociale (CSPS), avec un taux d’approvisionnement de 58 % pour l’ensemble des méthodes. Comme le graphique 10 l’indique, le secteur public fournit 97,3% des injectables, 97,8% des implants, 84,2% des pilules et 94,4% des stérilisations féminines Toutefois, il ne fournit que 9% des condoms masculins. Cela demande un restockage plus fréquent et entraine plus facilement des ruptures de stock. Pour les condoms masculins, les sources alternatives d’approvisionnement constituent l</w:t>
      </w:r>
      <w:r w:rsidR="00AF2F00">
        <w:rPr>
          <w:sz w:val="23"/>
          <w:szCs w:val="23"/>
        </w:rPr>
        <w:t xml:space="preserve">e taux le plus élevé avec 51%. </w:t>
      </w:r>
    </w:p>
    <w:p w:rsidR="00AF2F00" w:rsidRDefault="00AF2F00" w:rsidP="00AF2F00">
      <w:pPr>
        <w:rPr>
          <w:sz w:val="23"/>
          <w:szCs w:val="23"/>
        </w:rPr>
      </w:pPr>
      <w:r>
        <w:rPr>
          <w:sz w:val="23"/>
          <w:szCs w:val="23"/>
        </w:rPr>
        <w:t>Pour améliorer l’offre de services PF, le gouvernement a pris (i) l’</w:t>
      </w:r>
      <w:r w:rsidR="004527CF" w:rsidRPr="00AF2F00">
        <w:rPr>
          <w:sz w:val="23"/>
          <w:szCs w:val="23"/>
        </w:rPr>
        <w:t>engagement de réduire de</w:t>
      </w:r>
      <w:r>
        <w:rPr>
          <w:sz w:val="23"/>
          <w:szCs w:val="23"/>
        </w:rPr>
        <w:t xml:space="preserve"> 50% les prix des contraceptifs, de consacrer </w:t>
      </w:r>
      <w:r w:rsidR="004527CF" w:rsidRPr="00B72473">
        <w:rPr>
          <w:sz w:val="23"/>
          <w:szCs w:val="23"/>
        </w:rPr>
        <w:t xml:space="preserve">une ligne budgétaire </w:t>
      </w:r>
      <w:r w:rsidRPr="00B72473">
        <w:rPr>
          <w:sz w:val="23"/>
          <w:szCs w:val="23"/>
        </w:rPr>
        <w:t xml:space="preserve">de 500 millions de francs CFA  </w:t>
      </w:r>
      <w:r w:rsidR="004527CF" w:rsidRPr="00B72473">
        <w:rPr>
          <w:sz w:val="23"/>
          <w:szCs w:val="23"/>
        </w:rPr>
        <w:t xml:space="preserve"> pour l’a</w:t>
      </w:r>
      <w:r>
        <w:rPr>
          <w:sz w:val="23"/>
          <w:szCs w:val="23"/>
        </w:rPr>
        <w:t xml:space="preserve">chat des produits contraceptifs et (iii) </w:t>
      </w:r>
      <w:r w:rsidR="004527CF" w:rsidRPr="00B72473">
        <w:rPr>
          <w:sz w:val="23"/>
          <w:szCs w:val="23"/>
        </w:rPr>
        <w:t>d’assurer la gratuité de la planification familiale</w:t>
      </w:r>
      <w:bookmarkStart w:id="7" w:name="_Toc520818506"/>
      <w:r>
        <w:rPr>
          <w:sz w:val="23"/>
          <w:szCs w:val="23"/>
        </w:rPr>
        <w:t>.</w:t>
      </w:r>
    </w:p>
    <w:p w:rsidR="004527CF" w:rsidRPr="00AF2F00" w:rsidRDefault="004527CF" w:rsidP="00AF2F00">
      <w:pPr>
        <w:pStyle w:val="Paragraphedeliste"/>
        <w:numPr>
          <w:ilvl w:val="3"/>
          <w:numId w:val="38"/>
        </w:numPr>
        <w:rPr>
          <w:b/>
        </w:rPr>
      </w:pPr>
      <w:r w:rsidRPr="00AF2F00">
        <w:rPr>
          <w:b/>
        </w:rPr>
        <w:t>Sécurisation des produits contraceptifs</w:t>
      </w:r>
      <w:bookmarkEnd w:id="7"/>
      <w:r w:rsidRPr="00AF2F00">
        <w:rPr>
          <w:b/>
        </w:rPr>
        <w:t xml:space="preserve"> de planification familiale au Burkina Faso</w:t>
      </w:r>
    </w:p>
    <w:p w:rsidR="004527CF" w:rsidRPr="00B72473" w:rsidRDefault="004527CF" w:rsidP="004527CF">
      <w:pPr>
        <w:spacing w:line="360" w:lineRule="auto"/>
        <w:jc w:val="both"/>
        <w:rPr>
          <w:sz w:val="23"/>
          <w:szCs w:val="23"/>
        </w:rPr>
      </w:pPr>
      <w:r w:rsidRPr="00B72473">
        <w:rPr>
          <w:sz w:val="23"/>
          <w:szCs w:val="23"/>
        </w:rPr>
        <w:t>La demande totale en PF en 2015 est de 43,3% et seulement 55,3% de la demande est satisfaite. Les besoins non satisfaits sont toujours élevés à 19%</w:t>
      </w:r>
      <w:r w:rsidRPr="00B72473">
        <w:rPr>
          <w:rStyle w:val="Appelnotedebasdep"/>
          <w:sz w:val="23"/>
          <w:szCs w:val="23"/>
        </w:rPr>
        <w:footnoteReference w:id="31"/>
      </w:r>
      <w:r w:rsidRPr="00B72473">
        <w:rPr>
          <w:sz w:val="23"/>
          <w:szCs w:val="23"/>
        </w:rPr>
        <w:t xml:space="preserve">. </w:t>
      </w:r>
    </w:p>
    <w:p w:rsidR="004527CF" w:rsidRPr="00B72473" w:rsidRDefault="004527CF" w:rsidP="004527CF">
      <w:pPr>
        <w:spacing w:line="360" w:lineRule="auto"/>
        <w:jc w:val="both"/>
        <w:rPr>
          <w:sz w:val="23"/>
          <w:szCs w:val="23"/>
        </w:rPr>
      </w:pPr>
      <w:r w:rsidRPr="00B72473">
        <w:rPr>
          <w:sz w:val="23"/>
          <w:szCs w:val="23"/>
        </w:rPr>
        <w:t>Dans le but d’assurer une réponse adéquate le pays a opté pour :</w:t>
      </w:r>
    </w:p>
    <w:p w:rsidR="004527CF" w:rsidRPr="00B72473" w:rsidRDefault="004527CF" w:rsidP="00A773D3">
      <w:pPr>
        <w:numPr>
          <w:ilvl w:val="0"/>
          <w:numId w:val="37"/>
        </w:numPr>
        <w:spacing w:after="0" w:line="360" w:lineRule="auto"/>
        <w:jc w:val="both"/>
        <w:rPr>
          <w:sz w:val="23"/>
          <w:szCs w:val="23"/>
        </w:rPr>
      </w:pPr>
      <w:r w:rsidRPr="00B72473">
        <w:rPr>
          <w:sz w:val="23"/>
          <w:szCs w:val="23"/>
        </w:rPr>
        <w:t>Une enquête annuelle nationale sur la disponibilité des produits SR/PF</w:t>
      </w:r>
    </w:p>
    <w:p w:rsidR="004527CF" w:rsidRPr="00B72473" w:rsidRDefault="004527CF" w:rsidP="00A773D3">
      <w:pPr>
        <w:numPr>
          <w:ilvl w:val="0"/>
          <w:numId w:val="37"/>
        </w:numPr>
        <w:spacing w:after="0" w:line="360" w:lineRule="auto"/>
        <w:jc w:val="both"/>
        <w:rPr>
          <w:sz w:val="23"/>
          <w:szCs w:val="23"/>
        </w:rPr>
      </w:pPr>
      <w:r w:rsidRPr="00B72473">
        <w:rPr>
          <w:sz w:val="23"/>
          <w:szCs w:val="23"/>
        </w:rPr>
        <w:t>Inscription d’une ligne au budget de l’Etat consacrée à l’achat des produits contraceptifs</w:t>
      </w:r>
    </w:p>
    <w:p w:rsidR="004527CF" w:rsidRPr="00B72473" w:rsidRDefault="004527CF" w:rsidP="00A773D3">
      <w:pPr>
        <w:numPr>
          <w:ilvl w:val="0"/>
          <w:numId w:val="37"/>
        </w:numPr>
        <w:spacing w:after="0" w:line="360" w:lineRule="auto"/>
        <w:jc w:val="both"/>
        <w:rPr>
          <w:sz w:val="23"/>
          <w:szCs w:val="23"/>
        </w:rPr>
      </w:pPr>
      <w:r w:rsidRPr="00B72473">
        <w:rPr>
          <w:sz w:val="23"/>
          <w:szCs w:val="23"/>
        </w:rPr>
        <w:t>Instauration des TAC qui participatif avec la participation des partenaires</w:t>
      </w:r>
    </w:p>
    <w:p w:rsidR="004527CF" w:rsidRPr="00B72473" w:rsidRDefault="004527CF" w:rsidP="00A773D3">
      <w:pPr>
        <w:numPr>
          <w:ilvl w:val="0"/>
          <w:numId w:val="37"/>
        </w:numPr>
        <w:spacing w:after="0" w:line="360" w:lineRule="auto"/>
        <w:jc w:val="both"/>
        <w:rPr>
          <w:sz w:val="23"/>
          <w:szCs w:val="23"/>
        </w:rPr>
      </w:pPr>
      <w:r w:rsidRPr="00B72473">
        <w:rPr>
          <w:sz w:val="23"/>
          <w:szCs w:val="23"/>
        </w:rPr>
        <w:t>Existence d’un logiciel « Channel » pour le suivi régulier des produits contraceptifs</w:t>
      </w:r>
    </w:p>
    <w:p w:rsidR="004527CF" w:rsidRPr="00F26721" w:rsidRDefault="00AF2F00" w:rsidP="004527CF">
      <w:pPr>
        <w:pStyle w:val="Titre1"/>
        <w:rPr>
          <w:rFonts w:eastAsia="Calibri"/>
          <w:caps w:val="0"/>
          <w:color w:val="auto"/>
          <w:sz w:val="24"/>
          <w:szCs w:val="24"/>
        </w:rPr>
      </w:pPr>
      <w:bookmarkStart w:id="8" w:name="_Toc522532888"/>
      <w:r w:rsidRPr="00F26721">
        <w:rPr>
          <w:rFonts w:eastAsia="Calibri"/>
          <w:caps w:val="0"/>
          <w:color w:val="auto"/>
          <w:sz w:val="24"/>
          <w:szCs w:val="24"/>
        </w:rPr>
        <w:lastRenderedPageBreak/>
        <w:t xml:space="preserve">1.1.8. </w:t>
      </w:r>
      <w:r w:rsidR="004527CF" w:rsidRPr="00F26721">
        <w:rPr>
          <w:rFonts w:eastAsia="Calibri"/>
          <w:caps w:val="0"/>
          <w:color w:val="auto"/>
          <w:sz w:val="24"/>
          <w:szCs w:val="24"/>
        </w:rPr>
        <w:t>Elimination de la transmission mère-enfant du VIH</w:t>
      </w:r>
      <w:bookmarkEnd w:id="8"/>
    </w:p>
    <w:p w:rsidR="004527CF" w:rsidRDefault="00960A33" w:rsidP="004527CF">
      <w:pPr>
        <w:spacing w:line="360" w:lineRule="auto"/>
        <w:jc w:val="both"/>
        <w:rPr>
          <w:rFonts w:cs="Gisha"/>
          <w:sz w:val="23"/>
          <w:szCs w:val="23"/>
        </w:rPr>
      </w:pPr>
      <w:r>
        <w:rPr>
          <w:rFonts w:cs="Gisha"/>
          <w:sz w:val="23"/>
          <w:szCs w:val="23"/>
        </w:rPr>
        <w:t>Au cours des 8 dernières années, l</w:t>
      </w:r>
      <w:r w:rsidR="00AF2F00">
        <w:rPr>
          <w:rFonts w:cs="Gisha"/>
          <w:sz w:val="23"/>
          <w:szCs w:val="23"/>
        </w:rPr>
        <w:t xml:space="preserve">es indicateurs </w:t>
      </w:r>
      <w:r>
        <w:rPr>
          <w:rFonts w:cs="Gisha"/>
          <w:sz w:val="23"/>
          <w:szCs w:val="23"/>
        </w:rPr>
        <w:t>de Transmission mère - enfant du VIH ont évoluée en dent de scie. C</w:t>
      </w:r>
      <w:r w:rsidR="004527CF" w:rsidRPr="00B72473">
        <w:rPr>
          <w:rFonts w:cs="Gisha"/>
          <w:sz w:val="23"/>
          <w:szCs w:val="23"/>
        </w:rPr>
        <w:t>et indicateur a</w:t>
      </w:r>
      <w:r>
        <w:rPr>
          <w:rFonts w:cs="Gisha"/>
          <w:sz w:val="23"/>
          <w:szCs w:val="23"/>
        </w:rPr>
        <w:t>vait</w:t>
      </w:r>
      <w:r w:rsidR="004527CF" w:rsidRPr="00B72473">
        <w:rPr>
          <w:rFonts w:cs="Gisha"/>
          <w:sz w:val="23"/>
          <w:szCs w:val="23"/>
        </w:rPr>
        <w:t xml:space="preserve"> connu une baisse progressive de 2010</w:t>
      </w:r>
      <w:r w:rsidR="004527CF">
        <w:rPr>
          <w:rFonts w:cs="Gisha"/>
          <w:sz w:val="23"/>
          <w:szCs w:val="23"/>
        </w:rPr>
        <w:t xml:space="preserve"> (</w:t>
      </w:r>
      <w:r w:rsidR="004527CF" w:rsidRPr="00B72473">
        <w:rPr>
          <w:rFonts w:ascii="Gisha" w:eastAsia="Times New Roman" w:hAnsi="Gisha" w:cs="Gisha"/>
          <w:sz w:val="20"/>
        </w:rPr>
        <w:t>7,80%</w:t>
      </w:r>
      <w:r w:rsidR="004527CF">
        <w:rPr>
          <w:rFonts w:ascii="Gisha" w:eastAsia="Times New Roman" w:hAnsi="Gisha" w:cs="Gisha"/>
          <w:sz w:val="20"/>
        </w:rPr>
        <w:t>)</w:t>
      </w:r>
      <w:r w:rsidR="004527CF" w:rsidRPr="00B72473">
        <w:rPr>
          <w:rFonts w:cs="Gisha"/>
          <w:sz w:val="23"/>
          <w:szCs w:val="23"/>
        </w:rPr>
        <w:t xml:space="preserve"> à 2014</w:t>
      </w:r>
      <w:r w:rsidR="004527CF">
        <w:rPr>
          <w:rFonts w:cs="Gisha"/>
          <w:sz w:val="23"/>
          <w:szCs w:val="23"/>
        </w:rPr>
        <w:t xml:space="preserve"> (</w:t>
      </w:r>
      <w:r w:rsidR="004527CF" w:rsidRPr="00B72473">
        <w:rPr>
          <w:rFonts w:ascii="Gisha" w:eastAsia="Times New Roman" w:hAnsi="Gisha" w:cs="Gisha"/>
          <w:sz w:val="20"/>
        </w:rPr>
        <w:t>5,30%</w:t>
      </w:r>
      <w:r w:rsidR="004527CF">
        <w:rPr>
          <w:rFonts w:ascii="Gisha" w:eastAsia="Times New Roman" w:hAnsi="Gisha" w:cs="Gisha"/>
          <w:sz w:val="20"/>
        </w:rPr>
        <w:t>)</w:t>
      </w:r>
      <w:r>
        <w:rPr>
          <w:rFonts w:cs="Gisha"/>
          <w:sz w:val="23"/>
          <w:szCs w:val="23"/>
        </w:rPr>
        <w:t xml:space="preserve">, puis </w:t>
      </w:r>
      <w:r w:rsidR="004527CF" w:rsidRPr="00B72473">
        <w:rPr>
          <w:rFonts w:cs="Gisha"/>
          <w:sz w:val="23"/>
          <w:szCs w:val="23"/>
        </w:rPr>
        <w:t>une hausse entre 2015</w:t>
      </w:r>
      <w:r w:rsidR="004527CF">
        <w:rPr>
          <w:rFonts w:cs="Gisha"/>
          <w:sz w:val="23"/>
          <w:szCs w:val="23"/>
        </w:rPr>
        <w:t xml:space="preserve"> (</w:t>
      </w:r>
      <w:r w:rsidR="004527CF" w:rsidRPr="00B72473">
        <w:rPr>
          <w:rFonts w:ascii="Gisha" w:eastAsia="Times New Roman" w:hAnsi="Gisha" w:cs="Gisha"/>
          <w:sz w:val="20"/>
        </w:rPr>
        <w:t>5,94%</w:t>
      </w:r>
      <w:r w:rsidR="004527CF">
        <w:rPr>
          <w:rFonts w:ascii="Gisha" w:eastAsia="Times New Roman" w:hAnsi="Gisha" w:cs="Gisha"/>
          <w:sz w:val="20"/>
        </w:rPr>
        <w:t>)</w:t>
      </w:r>
      <w:r w:rsidR="004527CF" w:rsidRPr="00B72473">
        <w:rPr>
          <w:rFonts w:cs="Gisha"/>
          <w:sz w:val="23"/>
          <w:szCs w:val="23"/>
        </w:rPr>
        <w:t xml:space="preserve"> et 2016</w:t>
      </w:r>
      <w:r w:rsidR="004527CF">
        <w:rPr>
          <w:rFonts w:cs="Gisha"/>
          <w:sz w:val="23"/>
          <w:szCs w:val="23"/>
        </w:rPr>
        <w:t xml:space="preserve"> (8,2%)</w:t>
      </w:r>
      <w:r>
        <w:rPr>
          <w:rFonts w:cs="Gisha"/>
          <w:sz w:val="23"/>
          <w:szCs w:val="23"/>
        </w:rPr>
        <w:t xml:space="preserve"> et enfin une nouvelle baisse en</w:t>
      </w:r>
      <w:r w:rsidR="004527CF">
        <w:rPr>
          <w:rFonts w:cs="Gisha"/>
          <w:sz w:val="23"/>
          <w:szCs w:val="23"/>
        </w:rPr>
        <w:t xml:space="preserve"> 2017 avec un taux de 5,5%</w:t>
      </w:r>
      <w:r w:rsidR="004527CF" w:rsidRPr="00B72473">
        <w:rPr>
          <w:rFonts w:cs="Gisha"/>
          <w:sz w:val="23"/>
          <w:szCs w:val="23"/>
        </w:rPr>
        <w:t xml:space="preserve">. </w:t>
      </w:r>
    </w:p>
    <w:p w:rsidR="004527CF" w:rsidRPr="00960A33" w:rsidRDefault="00960A33" w:rsidP="00960A33">
      <w:pPr>
        <w:spacing w:line="360" w:lineRule="auto"/>
        <w:jc w:val="both"/>
        <w:rPr>
          <w:rFonts w:cs="Gisha"/>
          <w:sz w:val="23"/>
          <w:szCs w:val="23"/>
        </w:rPr>
      </w:pPr>
      <w:r>
        <w:rPr>
          <w:rFonts w:cs="Gisha"/>
          <w:sz w:val="23"/>
          <w:szCs w:val="23"/>
        </w:rPr>
        <w:t xml:space="preserve">Les principales causes sont le manque de formation suffisante </w:t>
      </w:r>
      <w:r w:rsidRPr="00960A33">
        <w:rPr>
          <w:rFonts w:ascii="Calibri" w:hAnsi="Calibri" w:cs="Gisha"/>
          <w:sz w:val="23"/>
          <w:szCs w:val="23"/>
        </w:rPr>
        <w:t>des</w:t>
      </w:r>
      <w:r w:rsidR="004527CF" w:rsidRPr="00960A33">
        <w:rPr>
          <w:rFonts w:ascii="Calibri" w:hAnsi="Calibri" w:cs="Gisha"/>
          <w:sz w:val="23"/>
          <w:szCs w:val="23"/>
        </w:rPr>
        <w:t xml:space="preserve"> </w:t>
      </w:r>
      <w:r>
        <w:rPr>
          <w:rFonts w:ascii="Calibri" w:hAnsi="Calibri" w:cs="Gisha"/>
          <w:sz w:val="23"/>
          <w:szCs w:val="23"/>
        </w:rPr>
        <w:t>prestataires en matière de PTME, la faible couverture de la CPN4</w:t>
      </w:r>
      <w:r>
        <w:rPr>
          <w:rFonts w:cs="Gisha"/>
          <w:sz w:val="23"/>
          <w:szCs w:val="23"/>
        </w:rPr>
        <w:t>, l</w:t>
      </w:r>
      <w:r>
        <w:rPr>
          <w:rFonts w:ascii="Calibri" w:hAnsi="Calibri" w:cs="Gisha"/>
          <w:sz w:val="23"/>
          <w:szCs w:val="23"/>
        </w:rPr>
        <w:t>es insuffisances dans le dépistage</w:t>
      </w:r>
      <w:r>
        <w:rPr>
          <w:rFonts w:cs="Gisha"/>
          <w:sz w:val="23"/>
          <w:szCs w:val="23"/>
        </w:rPr>
        <w:t>, dans l</w:t>
      </w:r>
      <w:r w:rsidRPr="00960A33">
        <w:rPr>
          <w:rFonts w:ascii="Calibri" w:hAnsi="Calibri" w:cs="Gisha"/>
          <w:sz w:val="23"/>
          <w:szCs w:val="23"/>
        </w:rPr>
        <w:t>a</w:t>
      </w:r>
      <w:r w:rsidR="004527CF" w:rsidRPr="00960A33">
        <w:rPr>
          <w:rFonts w:ascii="Calibri" w:hAnsi="Calibri" w:cs="Gisha"/>
          <w:sz w:val="23"/>
          <w:szCs w:val="23"/>
        </w:rPr>
        <w:t xml:space="preserve"> qualité des soins offerts,</w:t>
      </w:r>
      <w:r>
        <w:rPr>
          <w:rFonts w:cs="Gisha"/>
          <w:sz w:val="23"/>
          <w:szCs w:val="23"/>
        </w:rPr>
        <w:t xml:space="preserve"> </w:t>
      </w:r>
      <w:r>
        <w:rPr>
          <w:rFonts w:ascii="Calibri" w:hAnsi="Calibri" w:cs="Gisha"/>
          <w:sz w:val="23"/>
          <w:szCs w:val="23"/>
        </w:rPr>
        <w:t xml:space="preserve">le suivi </w:t>
      </w:r>
      <w:r w:rsidR="004527CF" w:rsidRPr="00960A33">
        <w:rPr>
          <w:rFonts w:ascii="Calibri" w:hAnsi="Calibri" w:cs="Gisha"/>
          <w:sz w:val="23"/>
          <w:szCs w:val="23"/>
        </w:rPr>
        <w:t xml:space="preserve"> du couple mère enfant  l</w:t>
      </w:r>
      <w:r>
        <w:rPr>
          <w:rFonts w:ascii="Calibri" w:hAnsi="Calibri" w:cs="Gisha"/>
          <w:sz w:val="23"/>
          <w:szCs w:val="23"/>
        </w:rPr>
        <w:t xml:space="preserve">’observance du traitement et </w:t>
      </w:r>
      <w:r w:rsidR="004527CF" w:rsidRPr="00960A33">
        <w:rPr>
          <w:rFonts w:ascii="Calibri" w:hAnsi="Calibri" w:cs="Gisha"/>
          <w:sz w:val="23"/>
          <w:szCs w:val="23"/>
        </w:rPr>
        <w:t xml:space="preserve">dans le suivi/supervision des activités mises en œuvre dans le domaine de la PTME.   </w:t>
      </w:r>
    </w:p>
    <w:p w:rsidR="004527CF" w:rsidRPr="00B72473" w:rsidRDefault="004527CF" w:rsidP="004527CF">
      <w:pPr>
        <w:spacing w:line="360" w:lineRule="auto"/>
        <w:jc w:val="both"/>
        <w:rPr>
          <w:rFonts w:cs="Gisha"/>
          <w:sz w:val="23"/>
          <w:szCs w:val="23"/>
        </w:rPr>
      </w:pPr>
      <w:r w:rsidRPr="00B72473">
        <w:rPr>
          <w:rFonts w:cs="Gisha"/>
          <w:b/>
          <w:sz w:val="23"/>
          <w:szCs w:val="23"/>
        </w:rPr>
        <w:t xml:space="preserve">Tableau </w:t>
      </w:r>
      <w:r w:rsidRPr="00A331E9">
        <w:rPr>
          <w:rFonts w:eastAsia="Times New Roman"/>
          <w:b/>
          <w:bCs/>
          <w:sz w:val="23"/>
          <w:szCs w:val="23"/>
        </w:rPr>
        <w:t>n°</w:t>
      </w:r>
      <w:r>
        <w:rPr>
          <w:rFonts w:eastAsia="Times New Roman"/>
          <w:b/>
          <w:bCs/>
          <w:sz w:val="23"/>
          <w:szCs w:val="23"/>
        </w:rPr>
        <w:t>2</w:t>
      </w:r>
      <w:r w:rsidRPr="00A331E9">
        <w:rPr>
          <w:rFonts w:eastAsia="Times New Roman"/>
          <w:b/>
          <w:bCs/>
          <w:sz w:val="23"/>
          <w:szCs w:val="23"/>
        </w:rPr>
        <w:t> </w:t>
      </w:r>
      <w:r w:rsidRPr="00B72473">
        <w:rPr>
          <w:rFonts w:cs="Gisha"/>
          <w:b/>
          <w:sz w:val="23"/>
          <w:szCs w:val="23"/>
        </w:rPr>
        <w:t>:Evolution des indicateurs de la PTME de 2010 à 2016 au Burkina Faso</w:t>
      </w:r>
    </w:p>
    <w:p w:rsidR="004527CF" w:rsidRPr="00B72473" w:rsidRDefault="004527CF" w:rsidP="004527CF">
      <w:pPr>
        <w:spacing w:after="160"/>
        <w:contextualSpacing/>
        <w:rPr>
          <w:rFonts w:ascii="Gisha" w:hAnsi="Gisha" w:cs="Gisha"/>
          <w:sz w:val="6"/>
          <w:szCs w:val="28"/>
        </w:rPr>
      </w:pPr>
    </w:p>
    <w:tbl>
      <w:tblPr>
        <w:tblW w:w="9757" w:type="dxa"/>
        <w:tblCellMar>
          <w:left w:w="6" w:type="dxa"/>
          <w:right w:w="6" w:type="dxa"/>
        </w:tblCellMar>
        <w:tblLook w:val="04A0" w:firstRow="1" w:lastRow="0" w:firstColumn="1" w:lastColumn="0" w:noHBand="0" w:noVBand="1"/>
      </w:tblPr>
      <w:tblGrid>
        <w:gridCol w:w="4061"/>
        <w:gridCol w:w="709"/>
        <w:gridCol w:w="709"/>
        <w:gridCol w:w="708"/>
        <w:gridCol w:w="716"/>
        <w:gridCol w:w="709"/>
        <w:gridCol w:w="709"/>
        <w:gridCol w:w="718"/>
        <w:gridCol w:w="718"/>
      </w:tblGrid>
      <w:tr w:rsidR="004527CF" w:rsidRPr="00B72473" w:rsidTr="004527CF">
        <w:trPr>
          <w:trHeight w:val="300"/>
          <w:tblHeader/>
        </w:trPr>
        <w:tc>
          <w:tcPr>
            <w:tcW w:w="4061" w:type="dxa"/>
            <w:tcBorders>
              <w:top w:val="single" w:sz="18" w:space="0" w:color="auto"/>
              <w:left w:val="single" w:sz="18" w:space="0" w:color="auto"/>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INDICATEURS</w:t>
            </w:r>
          </w:p>
        </w:tc>
        <w:tc>
          <w:tcPr>
            <w:tcW w:w="709"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2010</w:t>
            </w:r>
          </w:p>
        </w:tc>
        <w:tc>
          <w:tcPr>
            <w:tcW w:w="709"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2011</w:t>
            </w:r>
          </w:p>
        </w:tc>
        <w:tc>
          <w:tcPr>
            <w:tcW w:w="708"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2012</w:t>
            </w:r>
          </w:p>
        </w:tc>
        <w:tc>
          <w:tcPr>
            <w:tcW w:w="716"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2013</w:t>
            </w:r>
          </w:p>
        </w:tc>
        <w:tc>
          <w:tcPr>
            <w:tcW w:w="709"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2014</w:t>
            </w:r>
          </w:p>
        </w:tc>
        <w:tc>
          <w:tcPr>
            <w:tcW w:w="709"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2015</w:t>
            </w:r>
          </w:p>
        </w:tc>
        <w:tc>
          <w:tcPr>
            <w:tcW w:w="718" w:type="dxa"/>
            <w:tcBorders>
              <w:top w:val="single" w:sz="18" w:space="0" w:color="auto"/>
              <w:left w:val="single" w:sz="8" w:space="0" w:color="auto"/>
              <w:bottom w:val="single" w:sz="18" w:space="0" w:color="auto"/>
              <w:right w:val="single" w:sz="6" w:space="0" w:color="auto"/>
            </w:tcBorders>
            <w:shd w:val="clear" w:color="auto" w:fill="D9D9D9" w:themeFill="background1" w:themeFillShade="D9"/>
            <w:noWrap/>
            <w:vAlign w:val="center"/>
            <w:hideMark/>
          </w:tcPr>
          <w:p w:rsidR="004527CF" w:rsidRPr="00B72473" w:rsidRDefault="004527CF" w:rsidP="004527CF">
            <w:pPr>
              <w:jc w:val="center"/>
              <w:rPr>
                <w:rFonts w:ascii="Gisha" w:eastAsia="Times New Roman" w:hAnsi="Gisha" w:cs="Gisha"/>
                <w:b/>
                <w:bCs/>
                <w:sz w:val="20"/>
                <w:szCs w:val="20"/>
              </w:rPr>
            </w:pPr>
            <w:r w:rsidRPr="00B72473">
              <w:rPr>
                <w:rFonts w:ascii="Gisha" w:eastAsia="Times New Roman" w:hAnsi="Gisha" w:cs="Gisha"/>
                <w:b/>
                <w:bCs/>
                <w:sz w:val="20"/>
                <w:szCs w:val="20"/>
              </w:rPr>
              <w:t>2016</w:t>
            </w:r>
          </w:p>
        </w:tc>
        <w:tc>
          <w:tcPr>
            <w:tcW w:w="718" w:type="dxa"/>
            <w:tcBorders>
              <w:top w:val="single" w:sz="18" w:space="0" w:color="auto"/>
              <w:left w:val="single" w:sz="6" w:space="0" w:color="auto"/>
              <w:bottom w:val="single" w:sz="18" w:space="0" w:color="auto"/>
              <w:right w:val="single" w:sz="18" w:space="0" w:color="auto"/>
            </w:tcBorders>
            <w:shd w:val="clear" w:color="auto" w:fill="D9D9D9" w:themeFill="background1" w:themeFillShade="D9"/>
          </w:tcPr>
          <w:p w:rsidR="004527CF" w:rsidRPr="00B72473" w:rsidRDefault="004527CF" w:rsidP="004527CF">
            <w:pPr>
              <w:jc w:val="center"/>
              <w:rPr>
                <w:rFonts w:ascii="Gisha" w:eastAsia="Times New Roman" w:hAnsi="Gisha" w:cs="Gisha"/>
                <w:b/>
                <w:bCs/>
                <w:sz w:val="20"/>
                <w:szCs w:val="20"/>
              </w:rPr>
            </w:pPr>
            <w:r>
              <w:rPr>
                <w:rFonts w:ascii="Gisha" w:eastAsia="Times New Roman" w:hAnsi="Gisha" w:cs="Gisha"/>
                <w:b/>
                <w:bCs/>
                <w:sz w:val="20"/>
                <w:szCs w:val="20"/>
              </w:rPr>
              <w:t>2017</w:t>
            </w:r>
          </w:p>
        </w:tc>
      </w:tr>
      <w:tr w:rsidR="004527CF" w:rsidRPr="00B72473" w:rsidTr="004527CF">
        <w:trPr>
          <w:trHeight w:val="60"/>
        </w:trPr>
        <w:tc>
          <w:tcPr>
            <w:tcW w:w="4061" w:type="dxa"/>
            <w:tcBorders>
              <w:top w:val="single" w:sz="18" w:space="0" w:color="auto"/>
              <w:left w:val="single" w:sz="18" w:space="0" w:color="auto"/>
              <w:bottom w:val="single" w:sz="4" w:space="0" w:color="auto"/>
              <w:right w:val="single" w:sz="4" w:space="0" w:color="auto"/>
            </w:tcBorders>
            <w:shd w:val="clear" w:color="auto" w:fill="auto"/>
            <w:vAlign w:val="center"/>
            <w:hideMark/>
          </w:tcPr>
          <w:p w:rsidR="004527CF" w:rsidRPr="00B72473" w:rsidRDefault="004527CF" w:rsidP="004527CF">
            <w:pPr>
              <w:rPr>
                <w:rFonts w:ascii="Gisha" w:eastAsia="Times New Roman" w:hAnsi="Gisha" w:cs="Gisha"/>
                <w:sz w:val="20"/>
                <w:szCs w:val="20"/>
              </w:rPr>
            </w:pPr>
            <w:r w:rsidRPr="00B72473">
              <w:rPr>
                <w:rFonts w:ascii="Gisha" w:eastAsia="Times New Roman" w:hAnsi="Gisha" w:cs="Gisha"/>
                <w:sz w:val="20"/>
                <w:szCs w:val="20"/>
              </w:rPr>
              <w:t>Proportion d’enfants ayant reçu le traitement ARV pour la prévention</w:t>
            </w:r>
          </w:p>
        </w:tc>
        <w:tc>
          <w:tcPr>
            <w:tcW w:w="709"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93%</w:t>
            </w:r>
          </w:p>
        </w:tc>
        <w:tc>
          <w:tcPr>
            <w:tcW w:w="709"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93,84%</w:t>
            </w:r>
          </w:p>
        </w:tc>
        <w:tc>
          <w:tcPr>
            <w:tcW w:w="708"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62,88%</w:t>
            </w:r>
          </w:p>
        </w:tc>
        <w:tc>
          <w:tcPr>
            <w:tcW w:w="716"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59,14%</w:t>
            </w:r>
          </w:p>
        </w:tc>
        <w:tc>
          <w:tcPr>
            <w:tcW w:w="709"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66,36%</w:t>
            </w:r>
          </w:p>
        </w:tc>
        <w:tc>
          <w:tcPr>
            <w:tcW w:w="709"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73,57%</w:t>
            </w:r>
          </w:p>
        </w:tc>
        <w:tc>
          <w:tcPr>
            <w:tcW w:w="718" w:type="dxa"/>
            <w:tcBorders>
              <w:top w:val="single" w:sz="18" w:space="0" w:color="auto"/>
              <w:left w:val="nil"/>
              <w:bottom w:val="single" w:sz="4" w:space="0" w:color="auto"/>
              <w:right w:val="single" w:sz="6"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89,30%</w:t>
            </w:r>
          </w:p>
        </w:tc>
        <w:tc>
          <w:tcPr>
            <w:tcW w:w="718" w:type="dxa"/>
            <w:tcBorders>
              <w:top w:val="single" w:sz="18" w:space="0" w:color="auto"/>
              <w:left w:val="single" w:sz="6" w:space="0" w:color="auto"/>
              <w:bottom w:val="single" w:sz="4" w:space="0" w:color="auto"/>
              <w:right w:val="single" w:sz="18" w:space="0" w:color="auto"/>
            </w:tcBorders>
            <w:vAlign w:val="center"/>
          </w:tcPr>
          <w:p w:rsidR="004527CF" w:rsidRPr="00B72473" w:rsidRDefault="004527CF" w:rsidP="004527CF">
            <w:pPr>
              <w:jc w:val="center"/>
              <w:rPr>
                <w:rFonts w:ascii="Gisha" w:eastAsia="Times New Roman" w:hAnsi="Gisha" w:cs="Gisha"/>
                <w:sz w:val="20"/>
              </w:rPr>
            </w:pPr>
            <w:r w:rsidRPr="00953D7E">
              <w:rPr>
                <w:rFonts w:ascii="Gisha" w:eastAsia="Times New Roman" w:hAnsi="Gisha" w:cs="Gisha"/>
                <w:sz w:val="20"/>
              </w:rPr>
              <w:t>93,36%</w:t>
            </w:r>
          </w:p>
        </w:tc>
      </w:tr>
      <w:tr w:rsidR="004527CF" w:rsidRPr="00B72473" w:rsidTr="004527CF">
        <w:trPr>
          <w:trHeight w:val="60"/>
        </w:trPr>
        <w:tc>
          <w:tcPr>
            <w:tcW w:w="4061" w:type="dxa"/>
            <w:tcBorders>
              <w:top w:val="single" w:sz="4" w:space="0" w:color="auto"/>
              <w:left w:val="single" w:sz="18" w:space="0" w:color="auto"/>
              <w:bottom w:val="single" w:sz="4" w:space="0" w:color="auto"/>
              <w:right w:val="single" w:sz="4" w:space="0" w:color="auto"/>
            </w:tcBorders>
            <w:shd w:val="clear" w:color="auto" w:fill="EAF1DD" w:themeFill="accent3" w:themeFillTint="33"/>
            <w:vAlign w:val="center"/>
            <w:hideMark/>
          </w:tcPr>
          <w:p w:rsidR="004527CF" w:rsidRPr="00B72473" w:rsidRDefault="004527CF" w:rsidP="004527CF">
            <w:pPr>
              <w:rPr>
                <w:rFonts w:ascii="Gisha" w:eastAsia="Times New Roman" w:hAnsi="Gisha" w:cs="Gisha"/>
                <w:sz w:val="20"/>
                <w:szCs w:val="20"/>
              </w:rPr>
            </w:pPr>
            <w:r w:rsidRPr="00B72473">
              <w:rPr>
                <w:rFonts w:ascii="Gisha" w:eastAsia="Times New Roman" w:hAnsi="Gisha" w:cs="Gisha"/>
                <w:sz w:val="20"/>
                <w:szCs w:val="20"/>
              </w:rPr>
              <w:t>% de formations sanitaires offrant des services PTME </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92%</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97%</w:t>
            </w:r>
          </w:p>
        </w:tc>
        <w:tc>
          <w:tcPr>
            <w:tcW w:w="708"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97%</w:t>
            </w:r>
          </w:p>
        </w:tc>
        <w:tc>
          <w:tcPr>
            <w:tcW w:w="716"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97,65%.</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98%</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98%</w:t>
            </w:r>
          </w:p>
        </w:tc>
        <w:tc>
          <w:tcPr>
            <w:tcW w:w="718" w:type="dxa"/>
            <w:tcBorders>
              <w:top w:val="single" w:sz="4" w:space="0" w:color="auto"/>
              <w:left w:val="nil"/>
              <w:bottom w:val="single" w:sz="4" w:space="0" w:color="auto"/>
              <w:right w:val="single" w:sz="6"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98,00%</w:t>
            </w:r>
          </w:p>
        </w:tc>
        <w:tc>
          <w:tcPr>
            <w:tcW w:w="718" w:type="dxa"/>
            <w:tcBorders>
              <w:top w:val="single" w:sz="4" w:space="0" w:color="auto"/>
              <w:left w:val="single" w:sz="6" w:space="0" w:color="auto"/>
              <w:bottom w:val="single" w:sz="4" w:space="0" w:color="auto"/>
              <w:right w:val="single" w:sz="18" w:space="0" w:color="auto"/>
            </w:tcBorders>
            <w:shd w:val="clear" w:color="auto" w:fill="EAF1DD" w:themeFill="accent3" w:themeFillTint="33"/>
            <w:vAlign w:val="center"/>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98,00%</w:t>
            </w:r>
          </w:p>
        </w:tc>
      </w:tr>
      <w:tr w:rsidR="004527CF" w:rsidRPr="00B72473" w:rsidTr="004527CF">
        <w:trPr>
          <w:trHeight w:val="60"/>
        </w:trPr>
        <w:tc>
          <w:tcPr>
            <w:tcW w:w="4061" w:type="dxa"/>
            <w:tcBorders>
              <w:top w:val="single" w:sz="4" w:space="0" w:color="auto"/>
              <w:left w:val="single" w:sz="18" w:space="0" w:color="auto"/>
              <w:bottom w:val="single" w:sz="4" w:space="0" w:color="auto"/>
              <w:right w:val="single" w:sz="4" w:space="0" w:color="auto"/>
            </w:tcBorders>
            <w:shd w:val="clear" w:color="auto" w:fill="EAF1DD" w:themeFill="accent3" w:themeFillTint="33"/>
            <w:vAlign w:val="center"/>
            <w:hideMark/>
          </w:tcPr>
          <w:p w:rsidR="004527CF" w:rsidRPr="00B72473" w:rsidRDefault="004527CF" w:rsidP="004527CF">
            <w:pPr>
              <w:rPr>
                <w:rFonts w:ascii="Gisha" w:eastAsia="Times New Roman" w:hAnsi="Gisha" w:cs="Gisha"/>
                <w:sz w:val="20"/>
                <w:szCs w:val="20"/>
              </w:rPr>
            </w:pPr>
            <w:r w:rsidRPr="00B72473">
              <w:rPr>
                <w:rFonts w:ascii="Gisha" w:eastAsia="Times New Roman" w:hAnsi="Gisha" w:cs="Gisha"/>
                <w:sz w:val="20"/>
                <w:szCs w:val="20"/>
              </w:rPr>
              <w:t>Taux de transmission résiduelle du VIH (TME) de la mère à l’enfant</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7,80%</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ND</w:t>
            </w:r>
          </w:p>
        </w:tc>
        <w:tc>
          <w:tcPr>
            <w:tcW w:w="708"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6%</w:t>
            </w:r>
          </w:p>
        </w:tc>
        <w:tc>
          <w:tcPr>
            <w:tcW w:w="716"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5,72%</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5,30%</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5,94%</w:t>
            </w:r>
          </w:p>
        </w:tc>
        <w:tc>
          <w:tcPr>
            <w:tcW w:w="718" w:type="dxa"/>
            <w:tcBorders>
              <w:top w:val="single" w:sz="4" w:space="0" w:color="auto"/>
              <w:left w:val="nil"/>
              <w:bottom w:val="single" w:sz="4" w:space="0" w:color="auto"/>
              <w:right w:val="single" w:sz="6"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8,20%</w:t>
            </w:r>
          </w:p>
        </w:tc>
        <w:tc>
          <w:tcPr>
            <w:tcW w:w="718" w:type="dxa"/>
            <w:tcBorders>
              <w:top w:val="single" w:sz="4" w:space="0" w:color="auto"/>
              <w:left w:val="single" w:sz="6" w:space="0" w:color="auto"/>
              <w:bottom w:val="single" w:sz="4" w:space="0" w:color="auto"/>
              <w:right w:val="single" w:sz="18" w:space="0" w:color="auto"/>
            </w:tcBorders>
            <w:shd w:val="clear" w:color="auto" w:fill="EAF1DD" w:themeFill="accent3" w:themeFillTint="33"/>
            <w:vAlign w:val="center"/>
          </w:tcPr>
          <w:p w:rsidR="004527CF" w:rsidRPr="00B72473" w:rsidRDefault="004527CF" w:rsidP="004527CF">
            <w:pPr>
              <w:jc w:val="center"/>
              <w:rPr>
                <w:rFonts w:ascii="Gisha" w:eastAsia="Times New Roman" w:hAnsi="Gisha" w:cs="Gisha"/>
                <w:sz w:val="20"/>
              </w:rPr>
            </w:pPr>
            <w:r>
              <w:rPr>
                <w:rFonts w:ascii="Gisha" w:eastAsia="Times New Roman" w:hAnsi="Gisha" w:cs="Gisha"/>
                <w:sz w:val="20"/>
              </w:rPr>
              <w:t>5,5%</w:t>
            </w:r>
          </w:p>
        </w:tc>
      </w:tr>
      <w:tr w:rsidR="004527CF" w:rsidRPr="00B72473" w:rsidTr="004527CF">
        <w:trPr>
          <w:trHeight w:val="60"/>
        </w:trPr>
        <w:tc>
          <w:tcPr>
            <w:tcW w:w="4061" w:type="dxa"/>
            <w:tcBorders>
              <w:top w:val="single" w:sz="4" w:space="0" w:color="auto"/>
              <w:left w:val="single" w:sz="18" w:space="0" w:color="auto"/>
              <w:bottom w:val="single" w:sz="4" w:space="0" w:color="auto"/>
              <w:right w:val="single" w:sz="4" w:space="0" w:color="auto"/>
            </w:tcBorders>
            <w:shd w:val="clear" w:color="auto" w:fill="auto"/>
            <w:vAlign w:val="center"/>
            <w:hideMark/>
          </w:tcPr>
          <w:p w:rsidR="004527CF" w:rsidRPr="00B72473" w:rsidRDefault="004527CF" w:rsidP="004527CF">
            <w:pPr>
              <w:rPr>
                <w:rFonts w:ascii="Gisha" w:eastAsia="Times New Roman" w:hAnsi="Gisha" w:cs="Gisha"/>
                <w:sz w:val="20"/>
                <w:szCs w:val="20"/>
              </w:rPr>
            </w:pPr>
            <w:r w:rsidRPr="00B72473">
              <w:rPr>
                <w:rFonts w:ascii="Gisha" w:eastAsia="Times New Roman" w:hAnsi="Gisha" w:cs="Gisha"/>
                <w:sz w:val="20"/>
                <w:szCs w:val="20"/>
              </w:rPr>
              <w:t>% de femmes enceintes vues en CPN qui ont fait le dépistage</w:t>
            </w:r>
          </w:p>
        </w:tc>
        <w:tc>
          <w:tcPr>
            <w:tcW w:w="709" w:type="dxa"/>
            <w:tcBorders>
              <w:top w:val="single" w:sz="4" w:space="0" w:color="auto"/>
              <w:left w:val="nil"/>
              <w:bottom w:val="single" w:sz="4" w:space="0" w:color="auto"/>
              <w:right w:val="single" w:sz="4" w:space="0" w:color="auto"/>
            </w:tcBorders>
            <w:shd w:val="clear" w:color="000000" w:fill="FFFFFF"/>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56%</w:t>
            </w:r>
          </w:p>
        </w:tc>
        <w:tc>
          <w:tcPr>
            <w:tcW w:w="709"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67%</w:t>
            </w:r>
          </w:p>
        </w:tc>
        <w:tc>
          <w:tcPr>
            <w:tcW w:w="708"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71,14%</w:t>
            </w:r>
          </w:p>
        </w:tc>
        <w:tc>
          <w:tcPr>
            <w:tcW w:w="716"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82,31%</w:t>
            </w:r>
          </w:p>
        </w:tc>
        <w:tc>
          <w:tcPr>
            <w:tcW w:w="709"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85,67%</w:t>
            </w:r>
          </w:p>
        </w:tc>
        <w:tc>
          <w:tcPr>
            <w:tcW w:w="709" w:type="dxa"/>
            <w:tcBorders>
              <w:top w:val="single" w:sz="4" w:space="0" w:color="auto"/>
              <w:left w:val="nil"/>
              <w:bottom w:val="single" w:sz="4" w:space="0" w:color="auto"/>
              <w:right w:val="single" w:sz="4" w:space="0" w:color="auto"/>
            </w:tcBorders>
            <w:shd w:val="clear" w:color="000000" w:fill="FFFFFF"/>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86,06%</w:t>
            </w:r>
          </w:p>
        </w:tc>
        <w:tc>
          <w:tcPr>
            <w:tcW w:w="718" w:type="dxa"/>
            <w:tcBorders>
              <w:top w:val="single" w:sz="4" w:space="0" w:color="auto"/>
              <w:left w:val="nil"/>
              <w:bottom w:val="single" w:sz="4" w:space="0" w:color="auto"/>
              <w:right w:val="single" w:sz="6"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84,90%</w:t>
            </w:r>
          </w:p>
        </w:tc>
        <w:tc>
          <w:tcPr>
            <w:tcW w:w="718" w:type="dxa"/>
            <w:tcBorders>
              <w:top w:val="single" w:sz="4" w:space="0" w:color="auto"/>
              <w:left w:val="single" w:sz="6" w:space="0" w:color="auto"/>
              <w:bottom w:val="single" w:sz="4" w:space="0" w:color="auto"/>
              <w:right w:val="single" w:sz="18" w:space="0" w:color="auto"/>
            </w:tcBorders>
            <w:vAlign w:val="center"/>
          </w:tcPr>
          <w:p w:rsidR="004527CF" w:rsidRPr="00B72473" w:rsidRDefault="004527CF" w:rsidP="004527CF">
            <w:pPr>
              <w:jc w:val="center"/>
              <w:rPr>
                <w:rFonts w:ascii="Gisha" w:eastAsia="Times New Roman" w:hAnsi="Gisha" w:cs="Gisha"/>
                <w:sz w:val="20"/>
              </w:rPr>
            </w:pPr>
            <w:r>
              <w:rPr>
                <w:rFonts w:ascii="Gisha" w:eastAsia="Times New Roman" w:hAnsi="Gisha" w:cs="Gisha"/>
                <w:sz w:val="20"/>
              </w:rPr>
              <w:t>84,</w:t>
            </w:r>
            <w:r w:rsidRPr="00B72473">
              <w:rPr>
                <w:rFonts w:ascii="Gisha" w:eastAsia="Times New Roman" w:hAnsi="Gisha" w:cs="Gisha"/>
                <w:sz w:val="20"/>
              </w:rPr>
              <w:t>0%</w:t>
            </w:r>
          </w:p>
        </w:tc>
      </w:tr>
      <w:tr w:rsidR="004527CF" w:rsidRPr="00B72473" w:rsidTr="004527CF">
        <w:trPr>
          <w:trHeight w:val="60"/>
        </w:trPr>
        <w:tc>
          <w:tcPr>
            <w:tcW w:w="4061" w:type="dxa"/>
            <w:tcBorders>
              <w:top w:val="single" w:sz="4" w:space="0" w:color="auto"/>
              <w:left w:val="single" w:sz="18" w:space="0" w:color="auto"/>
              <w:bottom w:val="single" w:sz="4" w:space="0" w:color="auto"/>
              <w:right w:val="single" w:sz="4" w:space="0" w:color="auto"/>
            </w:tcBorders>
            <w:shd w:val="clear" w:color="auto" w:fill="EAF1DD" w:themeFill="accent3" w:themeFillTint="33"/>
            <w:vAlign w:val="center"/>
            <w:hideMark/>
          </w:tcPr>
          <w:p w:rsidR="004527CF" w:rsidRPr="00B72473" w:rsidRDefault="004527CF" w:rsidP="004527CF">
            <w:pPr>
              <w:rPr>
                <w:rFonts w:ascii="Gisha" w:eastAsia="Times New Roman" w:hAnsi="Gisha" w:cs="Gisha"/>
                <w:sz w:val="20"/>
                <w:szCs w:val="20"/>
              </w:rPr>
            </w:pPr>
            <w:r w:rsidRPr="00B72473">
              <w:rPr>
                <w:rFonts w:ascii="Gisha" w:eastAsia="Times New Roman" w:hAnsi="Gisha" w:cs="Gisha"/>
                <w:sz w:val="20"/>
                <w:szCs w:val="20"/>
              </w:rPr>
              <w:t>Proportion de femmes enceintes dépistées séropositives qui ont bénéficié d’un comptage de CD4</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20,06%</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15,52%</w:t>
            </w:r>
          </w:p>
        </w:tc>
        <w:tc>
          <w:tcPr>
            <w:tcW w:w="708"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13,88%</w:t>
            </w:r>
          </w:p>
        </w:tc>
        <w:tc>
          <w:tcPr>
            <w:tcW w:w="716"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16,39%</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21,84%</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51,07%</w:t>
            </w:r>
          </w:p>
        </w:tc>
        <w:tc>
          <w:tcPr>
            <w:tcW w:w="718" w:type="dxa"/>
            <w:tcBorders>
              <w:top w:val="single" w:sz="4" w:space="0" w:color="auto"/>
              <w:left w:val="nil"/>
              <w:bottom w:val="single" w:sz="4" w:space="0" w:color="auto"/>
              <w:right w:val="single" w:sz="6" w:space="0" w:color="auto"/>
            </w:tcBorders>
            <w:shd w:val="clear" w:color="auto" w:fill="EAF1DD" w:themeFill="accent3" w:themeFillTint="33"/>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11,40%</w:t>
            </w:r>
          </w:p>
        </w:tc>
        <w:tc>
          <w:tcPr>
            <w:tcW w:w="718" w:type="dxa"/>
            <w:tcBorders>
              <w:top w:val="single" w:sz="4" w:space="0" w:color="auto"/>
              <w:left w:val="single" w:sz="6" w:space="0" w:color="auto"/>
              <w:bottom w:val="single" w:sz="4" w:space="0" w:color="auto"/>
              <w:right w:val="single" w:sz="18" w:space="0" w:color="auto"/>
            </w:tcBorders>
            <w:shd w:val="clear" w:color="auto" w:fill="EAF1DD" w:themeFill="accent3" w:themeFillTint="33"/>
            <w:vAlign w:val="center"/>
          </w:tcPr>
          <w:p w:rsidR="004527CF" w:rsidRPr="00B72473" w:rsidRDefault="004527CF" w:rsidP="004527CF">
            <w:pPr>
              <w:jc w:val="center"/>
              <w:rPr>
                <w:rFonts w:ascii="Gisha" w:eastAsia="Times New Roman" w:hAnsi="Gisha" w:cs="Gisha"/>
                <w:sz w:val="20"/>
              </w:rPr>
            </w:pPr>
            <w:r w:rsidRPr="00543E6F">
              <w:rPr>
                <w:rFonts w:ascii="Gisha" w:eastAsia="Times New Roman" w:hAnsi="Gisha" w:cs="Gisha"/>
                <w:sz w:val="20"/>
              </w:rPr>
              <w:t>16,82%</w:t>
            </w:r>
          </w:p>
        </w:tc>
      </w:tr>
      <w:tr w:rsidR="004527CF" w:rsidRPr="00B72473" w:rsidTr="004527CF">
        <w:trPr>
          <w:trHeight w:val="60"/>
        </w:trPr>
        <w:tc>
          <w:tcPr>
            <w:tcW w:w="4061" w:type="dxa"/>
            <w:tcBorders>
              <w:top w:val="single" w:sz="4" w:space="0" w:color="auto"/>
              <w:left w:val="single" w:sz="18" w:space="0" w:color="auto"/>
              <w:bottom w:val="single" w:sz="18" w:space="0" w:color="auto"/>
              <w:right w:val="single" w:sz="4" w:space="0" w:color="auto"/>
            </w:tcBorders>
            <w:shd w:val="clear" w:color="auto" w:fill="auto"/>
            <w:vAlign w:val="center"/>
            <w:hideMark/>
          </w:tcPr>
          <w:p w:rsidR="004527CF" w:rsidRPr="00B72473" w:rsidRDefault="004527CF" w:rsidP="004527CF">
            <w:pPr>
              <w:rPr>
                <w:rFonts w:ascii="Gisha" w:eastAsia="Times New Roman" w:hAnsi="Gisha" w:cs="Gisha"/>
                <w:sz w:val="20"/>
                <w:szCs w:val="20"/>
              </w:rPr>
            </w:pPr>
            <w:r w:rsidRPr="00B72473">
              <w:rPr>
                <w:rFonts w:ascii="Gisha" w:eastAsia="Times New Roman" w:hAnsi="Gisha" w:cs="Gisha"/>
                <w:sz w:val="20"/>
                <w:szCs w:val="20"/>
              </w:rPr>
              <w:t xml:space="preserve">% de femmes enceintes séropositives à qui on a administré des ARV pour réduire le risque de transmission mère-enfant </w:t>
            </w:r>
          </w:p>
        </w:tc>
        <w:tc>
          <w:tcPr>
            <w:tcW w:w="709" w:type="dxa"/>
            <w:tcBorders>
              <w:top w:val="single" w:sz="4" w:space="0" w:color="auto"/>
              <w:left w:val="nil"/>
              <w:bottom w:val="single" w:sz="18" w:space="0" w:color="auto"/>
              <w:right w:val="single" w:sz="4" w:space="0" w:color="auto"/>
            </w:tcBorders>
            <w:shd w:val="clear" w:color="000000" w:fill="FFFFFF"/>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90%</w:t>
            </w:r>
          </w:p>
        </w:tc>
        <w:tc>
          <w:tcPr>
            <w:tcW w:w="709"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90,86%</w:t>
            </w:r>
          </w:p>
        </w:tc>
        <w:tc>
          <w:tcPr>
            <w:tcW w:w="708"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92,81%</w:t>
            </w:r>
          </w:p>
        </w:tc>
        <w:tc>
          <w:tcPr>
            <w:tcW w:w="716"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88,15%</w:t>
            </w:r>
          </w:p>
        </w:tc>
        <w:tc>
          <w:tcPr>
            <w:tcW w:w="709"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92,09%</w:t>
            </w:r>
          </w:p>
        </w:tc>
        <w:tc>
          <w:tcPr>
            <w:tcW w:w="709" w:type="dxa"/>
            <w:tcBorders>
              <w:top w:val="single" w:sz="4" w:space="0" w:color="auto"/>
              <w:left w:val="nil"/>
              <w:bottom w:val="single" w:sz="18" w:space="0" w:color="auto"/>
              <w:right w:val="single" w:sz="4" w:space="0" w:color="auto"/>
            </w:tcBorders>
            <w:shd w:val="clear" w:color="000000" w:fill="FFFFFF"/>
            <w:tcMar>
              <w:right w:w="28" w:type="dxa"/>
            </w:tcMar>
            <w:vAlign w:val="center"/>
            <w:hideMark/>
          </w:tcPr>
          <w:p w:rsidR="004527CF" w:rsidRPr="00B72473" w:rsidRDefault="004527CF" w:rsidP="004527CF">
            <w:pPr>
              <w:jc w:val="center"/>
              <w:rPr>
                <w:rFonts w:ascii="Gisha" w:eastAsia="Times New Roman" w:hAnsi="Gisha" w:cs="Gisha"/>
                <w:bCs/>
                <w:sz w:val="20"/>
              </w:rPr>
            </w:pPr>
            <w:r w:rsidRPr="00B72473">
              <w:rPr>
                <w:rFonts w:ascii="Gisha" w:eastAsia="Times New Roman" w:hAnsi="Gisha" w:cs="Gisha"/>
                <w:bCs/>
                <w:sz w:val="20"/>
              </w:rPr>
              <w:t>67,18%</w:t>
            </w:r>
          </w:p>
        </w:tc>
        <w:tc>
          <w:tcPr>
            <w:tcW w:w="718" w:type="dxa"/>
            <w:tcBorders>
              <w:top w:val="single" w:sz="4" w:space="0" w:color="auto"/>
              <w:left w:val="nil"/>
              <w:bottom w:val="single" w:sz="18" w:space="0" w:color="auto"/>
              <w:right w:val="single" w:sz="6" w:space="0" w:color="auto"/>
            </w:tcBorders>
            <w:shd w:val="clear" w:color="auto" w:fill="auto"/>
            <w:tcMar>
              <w:right w:w="28" w:type="dxa"/>
            </w:tcMar>
            <w:vAlign w:val="center"/>
            <w:hideMark/>
          </w:tcPr>
          <w:p w:rsidR="004527CF" w:rsidRPr="00B72473" w:rsidRDefault="004527CF" w:rsidP="004527CF">
            <w:pPr>
              <w:jc w:val="center"/>
              <w:rPr>
                <w:rFonts w:ascii="Gisha" w:eastAsia="Times New Roman" w:hAnsi="Gisha" w:cs="Gisha"/>
                <w:sz w:val="20"/>
              </w:rPr>
            </w:pPr>
            <w:r w:rsidRPr="00B72473">
              <w:rPr>
                <w:rFonts w:ascii="Gisha" w:eastAsia="Times New Roman" w:hAnsi="Gisha" w:cs="Gisha"/>
                <w:sz w:val="20"/>
              </w:rPr>
              <w:t>91,60%</w:t>
            </w:r>
          </w:p>
        </w:tc>
        <w:tc>
          <w:tcPr>
            <w:tcW w:w="718" w:type="dxa"/>
            <w:tcBorders>
              <w:top w:val="single" w:sz="4" w:space="0" w:color="auto"/>
              <w:left w:val="single" w:sz="6" w:space="0" w:color="auto"/>
              <w:bottom w:val="single" w:sz="18" w:space="0" w:color="auto"/>
              <w:right w:val="single" w:sz="18" w:space="0" w:color="auto"/>
            </w:tcBorders>
            <w:vAlign w:val="center"/>
          </w:tcPr>
          <w:p w:rsidR="004527CF" w:rsidRPr="00B72473" w:rsidRDefault="004527CF" w:rsidP="004527CF">
            <w:pPr>
              <w:jc w:val="center"/>
              <w:rPr>
                <w:rFonts w:ascii="Gisha" w:eastAsia="Times New Roman" w:hAnsi="Gisha" w:cs="Gisha"/>
                <w:sz w:val="20"/>
              </w:rPr>
            </w:pPr>
            <w:r w:rsidRPr="00543E6F">
              <w:rPr>
                <w:rFonts w:ascii="Gisha" w:eastAsia="Times New Roman" w:hAnsi="Gisha" w:cs="Gisha"/>
                <w:sz w:val="20"/>
              </w:rPr>
              <w:t>110%</w:t>
            </w:r>
          </w:p>
        </w:tc>
      </w:tr>
    </w:tbl>
    <w:p w:rsidR="004527CF" w:rsidRPr="00B72473" w:rsidRDefault="004527CF" w:rsidP="004527CF">
      <w:pPr>
        <w:spacing w:after="160"/>
        <w:contextualSpacing/>
        <w:rPr>
          <w:rFonts w:ascii="Gisha" w:hAnsi="Gisha" w:cs="Gisha"/>
          <w:sz w:val="28"/>
          <w:szCs w:val="28"/>
        </w:rPr>
      </w:pPr>
    </w:p>
    <w:p w:rsidR="004527CF" w:rsidRPr="00B72473" w:rsidRDefault="004527CF" w:rsidP="004527CF">
      <w:pPr>
        <w:spacing w:line="360" w:lineRule="auto"/>
        <w:rPr>
          <w:sz w:val="23"/>
          <w:szCs w:val="23"/>
        </w:rPr>
      </w:pPr>
      <w:r w:rsidRPr="00B72473">
        <w:rPr>
          <w:sz w:val="23"/>
          <w:szCs w:val="23"/>
        </w:rPr>
        <w:t>Les goulots qui entravent l’élimination de la transmission résiduelle du VIH de la mère à l’enfant sont entre autres :</w:t>
      </w:r>
      <w:bookmarkStart w:id="9" w:name="_Toc481684979"/>
    </w:p>
    <w:p w:rsidR="004527CF" w:rsidRPr="00B72473" w:rsidRDefault="004527CF" w:rsidP="00A773D3">
      <w:pPr>
        <w:pStyle w:val="Paragraphedeliste"/>
        <w:numPr>
          <w:ilvl w:val="0"/>
          <w:numId w:val="27"/>
        </w:numPr>
        <w:spacing w:before="100" w:beforeAutospacing="1" w:after="120" w:line="360" w:lineRule="auto"/>
        <w:ind w:left="714" w:hanging="357"/>
        <w:contextualSpacing w:val="0"/>
        <w:jc w:val="both"/>
        <w:rPr>
          <w:b/>
          <w:sz w:val="23"/>
          <w:szCs w:val="23"/>
        </w:rPr>
      </w:pPr>
      <w:r w:rsidRPr="00B72473">
        <w:rPr>
          <w:b/>
          <w:sz w:val="23"/>
          <w:szCs w:val="23"/>
        </w:rPr>
        <w:t>En ce qui concerne les Consultations prénatales</w:t>
      </w:r>
      <w:bookmarkEnd w:id="9"/>
    </w:p>
    <w:p w:rsidR="004527CF" w:rsidRPr="00FC6CA2" w:rsidRDefault="004527CF" w:rsidP="004527CF">
      <w:pPr>
        <w:contextualSpacing/>
        <w:rPr>
          <w:rFonts w:eastAsia="Times New Roman" w:cs="Gisha"/>
          <w:b/>
          <w:sz w:val="23"/>
          <w:szCs w:val="23"/>
        </w:rPr>
      </w:pPr>
      <w:r w:rsidRPr="00FC6CA2">
        <w:rPr>
          <w:rFonts w:eastAsia="Times New Roman" w:cs="Gisha"/>
          <w:b/>
          <w:sz w:val="23"/>
          <w:szCs w:val="23"/>
        </w:rPr>
        <w:t xml:space="preserve">Graphique </w:t>
      </w:r>
      <w:r w:rsidRPr="00FC6CA2">
        <w:rPr>
          <w:rFonts w:eastAsia="Times New Roman"/>
          <w:b/>
          <w:sz w:val="23"/>
          <w:szCs w:val="23"/>
        </w:rPr>
        <w:t>n°</w:t>
      </w:r>
      <w:r w:rsidRPr="00FC6CA2">
        <w:rPr>
          <w:b/>
          <w:sz w:val="23"/>
          <w:szCs w:val="23"/>
        </w:rPr>
        <w:t>8 </w:t>
      </w:r>
      <w:r w:rsidRPr="00FC6CA2">
        <w:rPr>
          <w:rFonts w:eastAsia="Times New Roman" w:cs="Gisha"/>
          <w:b/>
          <w:sz w:val="23"/>
          <w:szCs w:val="23"/>
        </w:rPr>
        <w:t>: goulot identifié pour les traceur consultation prénatale</w:t>
      </w:r>
    </w:p>
    <w:p w:rsidR="004527CF" w:rsidRPr="00B72473" w:rsidRDefault="004527CF" w:rsidP="004527CF">
      <w:pPr>
        <w:rPr>
          <w:rFonts w:ascii="Gisha" w:eastAsia="Times New Roman" w:hAnsi="Gisha" w:cs="Gisha"/>
          <w:sz w:val="26"/>
          <w:szCs w:val="26"/>
        </w:rPr>
      </w:pPr>
      <w:r w:rsidRPr="00B72473">
        <w:rPr>
          <w:noProof/>
          <w:lang w:eastAsia="fr-FR"/>
        </w:rPr>
        <w:lastRenderedPageBreak/>
        <w:drawing>
          <wp:inline distT="0" distB="0" distL="0" distR="0" wp14:anchorId="721C3890" wp14:editId="3FB2E9D1">
            <wp:extent cx="5759449" cy="2990850"/>
            <wp:effectExtent l="38100" t="38100" r="32385" b="3810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0">
                      <a:extLst>
                        <a:ext uri="{28A0092B-C50C-407E-A947-70E740481C1C}">
                          <a14:useLocalDpi xmlns:a14="http://schemas.microsoft.com/office/drawing/2010/main" val="0"/>
                        </a:ext>
                      </a:extLst>
                    </a:blip>
                    <a:srcRect b="24870"/>
                    <a:stretch/>
                  </pic:blipFill>
                  <pic:spPr bwMode="auto">
                    <a:xfrm>
                      <a:off x="0" y="0"/>
                      <a:ext cx="5761988" cy="2992169"/>
                    </a:xfrm>
                    <a:prstGeom prst="rect">
                      <a:avLst/>
                    </a:prstGeom>
                    <a:noFill/>
                    <a:ln w="38100">
                      <a:solidFill>
                        <a:schemeClr val="tx1"/>
                      </a:solidFill>
                    </a:ln>
                    <a:extLst>
                      <a:ext uri="{53640926-AAD7-44D8-BBD7-CCE9431645EC}">
                        <a14:shadowObscured xmlns:a14="http://schemas.microsoft.com/office/drawing/2010/main"/>
                      </a:ext>
                    </a:extLst>
                  </pic:spPr>
                </pic:pic>
              </a:graphicData>
            </a:graphic>
          </wp:inline>
        </w:drawing>
      </w:r>
    </w:p>
    <w:p w:rsidR="004527CF" w:rsidRPr="00B72473" w:rsidRDefault="004527CF" w:rsidP="004527CF">
      <w:pPr>
        <w:jc w:val="both"/>
        <w:rPr>
          <w:rFonts w:ascii="Gisha" w:eastAsia="Times New Roman" w:hAnsi="Gisha" w:cs="Gisha"/>
          <w:sz w:val="26"/>
          <w:szCs w:val="26"/>
        </w:rPr>
      </w:pP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Au niveau de la demande, le goulot porte sur l’accessibilité et est représenté par la proportion de la population cible (42%) qui n’habitent pas dans un rayon de 5 km d’une formation sanitaire offrant des services de CPN.</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Le deuxième goulot porte sur l’utilisation continue : 66% des femmes enceintes n’ont pas réalisé les 4 CPN. Ceci constitue une contrainte majeure pour le suivi des femmes enceintes séropositives.</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 xml:space="preserve">Sur le déterminant de la qualité, on constate que 69% des femmes enceintes ne viennent  pas au premier trimestre de la grossesse, occasionnant un  retard par rapport au dépistage et à la mise éventuelle sous traitement ARV. </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Les  causes liées à cette situation seraient en rapport avec ;</w:t>
      </w:r>
    </w:p>
    <w:p w:rsidR="004527CF" w:rsidRPr="00B72473" w:rsidRDefault="004527CF" w:rsidP="00A773D3">
      <w:pPr>
        <w:numPr>
          <w:ilvl w:val="0"/>
          <w:numId w:val="23"/>
        </w:numPr>
        <w:spacing w:after="0" w:line="360" w:lineRule="auto"/>
        <w:contextualSpacing/>
        <w:jc w:val="both"/>
        <w:rPr>
          <w:rFonts w:eastAsia="Times New Roman" w:cs="Gisha"/>
          <w:sz w:val="23"/>
          <w:szCs w:val="23"/>
        </w:rPr>
      </w:pPr>
      <w:r w:rsidRPr="00B72473">
        <w:rPr>
          <w:rFonts w:eastAsia="Times New Roman" w:cs="Gisha"/>
          <w:sz w:val="23"/>
          <w:szCs w:val="23"/>
        </w:rPr>
        <w:t>Les croyances socio culturelles qui n’autorisent pas certaines femmes à annoncer leur grossesse,</w:t>
      </w:r>
    </w:p>
    <w:p w:rsidR="004527CF" w:rsidRPr="00B72473" w:rsidRDefault="004527CF" w:rsidP="00A773D3">
      <w:pPr>
        <w:numPr>
          <w:ilvl w:val="0"/>
          <w:numId w:val="23"/>
        </w:numPr>
        <w:spacing w:after="0" w:line="360" w:lineRule="auto"/>
        <w:contextualSpacing/>
        <w:jc w:val="both"/>
        <w:rPr>
          <w:rFonts w:eastAsia="Times New Roman" w:cs="Gisha"/>
          <w:sz w:val="23"/>
          <w:szCs w:val="23"/>
        </w:rPr>
      </w:pPr>
      <w:r w:rsidRPr="00B72473">
        <w:rPr>
          <w:rFonts w:eastAsia="Times New Roman" w:cs="Gisha"/>
          <w:sz w:val="23"/>
          <w:szCs w:val="23"/>
        </w:rPr>
        <w:t>L’insuffisance de connaissance sur les avantages de la CPN,</w:t>
      </w:r>
    </w:p>
    <w:p w:rsidR="004527CF" w:rsidRPr="00B72473" w:rsidRDefault="004527CF" w:rsidP="00A773D3">
      <w:pPr>
        <w:numPr>
          <w:ilvl w:val="0"/>
          <w:numId w:val="23"/>
        </w:numPr>
        <w:spacing w:after="0"/>
        <w:contextualSpacing/>
        <w:jc w:val="both"/>
        <w:rPr>
          <w:rFonts w:eastAsia="Times New Roman" w:cs="Gisha"/>
          <w:sz w:val="23"/>
          <w:szCs w:val="23"/>
        </w:rPr>
      </w:pPr>
      <w:r w:rsidRPr="00B72473">
        <w:rPr>
          <w:rFonts w:eastAsia="Times New Roman" w:cs="Gisha"/>
          <w:sz w:val="23"/>
          <w:szCs w:val="23"/>
        </w:rPr>
        <w:t>L’influence du milieu familial (du mari, belle-mère),</w:t>
      </w:r>
    </w:p>
    <w:p w:rsidR="004527CF" w:rsidRPr="00B72473" w:rsidRDefault="004527CF" w:rsidP="00A773D3">
      <w:pPr>
        <w:numPr>
          <w:ilvl w:val="0"/>
          <w:numId w:val="23"/>
        </w:numPr>
        <w:spacing w:after="0"/>
        <w:contextualSpacing/>
        <w:jc w:val="both"/>
        <w:rPr>
          <w:rFonts w:eastAsia="Times New Roman" w:cs="Gisha"/>
          <w:sz w:val="23"/>
          <w:szCs w:val="23"/>
        </w:rPr>
      </w:pPr>
      <w:r w:rsidRPr="00B72473">
        <w:rPr>
          <w:rFonts w:eastAsia="Times New Roman" w:cs="Gisha"/>
          <w:sz w:val="23"/>
          <w:szCs w:val="23"/>
        </w:rPr>
        <w:t>L’insuffisance dans la mise en œuvre des interventions comm</w:t>
      </w:r>
      <w:r>
        <w:rPr>
          <w:rFonts w:eastAsia="Times New Roman" w:cs="Gisha"/>
          <w:sz w:val="23"/>
          <w:szCs w:val="23"/>
        </w:rPr>
        <w:t>²</w:t>
      </w:r>
      <w:r w:rsidRPr="00B72473">
        <w:rPr>
          <w:rFonts w:eastAsia="Times New Roman" w:cs="Gisha"/>
          <w:sz w:val="23"/>
          <w:szCs w:val="23"/>
        </w:rPr>
        <w:t xml:space="preserve">unautaires. </w:t>
      </w:r>
    </w:p>
    <w:p w:rsidR="004527CF" w:rsidRPr="00B72473" w:rsidRDefault="004527CF" w:rsidP="00A773D3">
      <w:pPr>
        <w:pStyle w:val="Paragraphedeliste"/>
        <w:numPr>
          <w:ilvl w:val="0"/>
          <w:numId w:val="27"/>
        </w:numPr>
        <w:spacing w:before="100" w:beforeAutospacing="1" w:after="100" w:afterAutospacing="1" w:line="360" w:lineRule="auto"/>
        <w:ind w:left="714" w:hanging="357"/>
        <w:contextualSpacing w:val="0"/>
        <w:jc w:val="both"/>
        <w:rPr>
          <w:b/>
          <w:sz w:val="24"/>
          <w:szCs w:val="23"/>
        </w:rPr>
      </w:pPr>
      <w:bookmarkStart w:id="10" w:name="_Toc481684980"/>
      <w:r w:rsidRPr="00B72473">
        <w:rPr>
          <w:b/>
          <w:sz w:val="24"/>
          <w:szCs w:val="23"/>
        </w:rPr>
        <w:t>En ce qui concerne le Planning familial</w:t>
      </w:r>
      <w:bookmarkEnd w:id="10"/>
    </w:p>
    <w:p w:rsidR="004527CF" w:rsidRPr="00FC6CA2" w:rsidRDefault="004527CF" w:rsidP="004527CF">
      <w:pPr>
        <w:jc w:val="both"/>
        <w:rPr>
          <w:rFonts w:eastAsia="Times New Roman" w:cs="Gisha"/>
          <w:b/>
          <w:sz w:val="23"/>
          <w:szCs w:val="23"/>
        </w:rPr>
      </w:pPr>
      <w:r w:rsidRPr="00FC6CA2">
        <w:rPr>
          <w:rFonts w:eastAsia="Times New Roman" w:cs="Gisha"/>
          <w:b/>
          <w:sz w:val="23"/>
          <w:szCs w:val="23"/>
        </w:rPr>
        <w:t xml:space="preserve">Graphique </w:t>
      </w:r>
      <w:r w:rsidRPr="00FC6CA2">
        <w:rPr>
          <w:rFonts w:eastAsia="Times New Roman"/>
          <w:b/>
          <w:sz w:val="23"/>
          <w:szCs w:val="23"/>
        </w:rPr>
        <w:t>n°</w:t>
      </w:r>
      <w:r w:rsidRPr="00FC6CA2">
        <w:rPr>
          <w:b/>
          <w:sz w:val="23"/>
          <w:szCs w:val="23"/>
        </w:rPr>
        <w:t>9 </w:t>
      </w:r>
      <w:r w:rsidRPr="00FC6CA2">
        <w:rPr>
          <w:rFonts w:eastAsia="Times New Roman" w:cs="Gisha"/>
          <w:b/>
          <w:sz w:val="23"/>
          <w:szCs w:val="23"/>
        </w:rPr>
        <w:t>: goulot identifiés pour le traceur planning familial</w:t>
      </w:r>
    </w:p>
    <w:p w:rsidR="004527CF" w:rsidRPr="00B72473" w:rsidRDefault="004527CF" w:rsidP="004527CF">
      <w:pPr>
        <w:jc w:val="both"/>
        <w:rPr>
          <w:rFonts w:eastAsia="Times New Roman" w:cs="Gisha"/>
          <w:sz w:val="23"/>
          <w:szCs w:val="23"/>
        </w:rPr>
      </w:pPr>
      <w:r w:rsidRPr="00B72473">
        <w:rPr>
          <w:rFonts w:ascii="Gisha" w:eastAsia="Times New Roman" w:hAnsi="Gisha" w:cs="Gisha"/>
          <w:noProof/>
          <w:sz w:val="26"/>
          <w:szCs w:val="26"/>
          <w:bdr w:val="single" w:sz="4" w:space="0" w:color="auto"/>
          <w:lang w:eastAsia="fr-FR"/>
        </w:rPr>
        <w:lastRenderedPageBreak/>
        <w:drawing>
          <wp:inline distT="0" distB="0" distL="0" distR="0" wp14:anchorId="4DC0DA5B" wp14:editId="7A85B051">
            <wp:extent cx="6018028" cy="3934046"/>
            <wp:effectExtent l="0" t="0" r="1905" b="0"/>
            <wp:docPr id="15"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 xml:space="preserve">Concernant le déterminant de l’offre au niveau de l’intervention traceur Planning familial, on constate deux goulots d’étranglement au niveau de l’offre et de la demande. </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Concernant l’offre, on note que 33% des structures de santé qui offrent des services  de PF ont connu des ruptures de stock en contraceptifs pendant les trois derniers mois.</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Le deuxième goulot est lié à l’utilisation continue ; on observe que 76% des femmes mariées et célibataires sexuellement actives (âgées de 15-49 ans) n’utilisent pas une méthode contraceptive.</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Les causes liées à cette situation sont entre autres:</w:t>
      </w:r>
    </w:p>
    <w:p w:rsidR="004527CF" w:rsidRPr="00B72473" w:rsidRDefault="004527CF" w:rsidP="00A773D3">
      <w:pPr>
        <w:numPr>
          <w:ilvl w:val="0"/>
          <w:numId w:val="24"/>
        </w:numPr>
        <w:spacing w:after="0" w:line="360" w:lineRule="auto"/>
        <w:contextualSpacing/>
        <w:jc w:val="both"/>
        <w:rPr>
          <w:rFonts w:eastAsia="Times New Roman" w:cs="Gisha"/>
          <w:sz w:val="23"/>
          <w:szCs w:val="23"/>
        </w:rPr>
      </w:pPr>
      <w:r w:rsidRPr="00B72473">
        <w:rPr>
          <w:rFonts w:eastAsia="Times New Roman" w:cs="Gisha"/>
          <w:sz w:val="23"/>
          <w:szCs w:val="23"/>
        </w:rPr>
        <w:t>L’insuffisance de compétences des acteurs en gestion de stock,</w:t>
      </w:r>
    </w:p>
    <w:p w:rsidR="004527CF" w:rsidRPr="00B72473" w:rsidRDefault="004527CF" w:rsidP="00A773D3">
      <w:pPr>
        <w:numPr>
          <w:ilvl w:val="0"/>
          <w:numId w:val="24"/>
        </w:numPr>
        <w:spacing w:after="0" w:line="360" w:lineRule="auto"/>
        <w:contextualSpacing/>
        <w:jc w:val="both"/>
        <w:rPr>
          <w:rFonts w:eastAsia="Times New Roman" w:cs="Gisha"/>
          <w:sz w:val="23"/>
          <w:szCs w:val="23"/>
        </w:rPr>
      </w:pPr>
      <w:r w:rsidRPr="00B72473">
        <w:rPr>
          <w:rFonts w:eastAsia="Times New Roman" w:cs="Gisha"/>
          <w:sz w:val="23"/>
          <w:szCs w:val="23"/>
        </w:rPr>
        <w:t>La rupture des méthodes contraceptives au niveau DRD/CAMEG,</w:t>
      </w:r>
    </w:p>
    <w:p w:rsidR="004527CF" w:rsidRPr="00B72473" w:rsidRDefault="004527CF" w:rsidP="00A773D3">
      <w:pPr>
        <w:numPr>
          <w:ilvl w:val="0"/>
          <w:numId w:val="24"/>
        </w:numPr>
        <w:spacing w:after="0" w:line="360" w:lineRule="auto"/>
        <w:contextualSpacing/>
        <w:jc w:val="both"/>
        <w:rPr>
          <w:rFonts w:eastAsia="Times New Roman" w:cs="Gisha"/>
          <w:sz w:val="23"/>
          <w:szCs w:val="23"/>
        </w:rPr>
      </w:pPr>
      <w:r w:rsidRPr="00B72473">
        <w:rPr>
          <w:rFonts w:eastAsia="Times New Roman" w:cs="Gisha"/>
          <w:sz w:val="23"/>
          <w:szCs w:val="23"/>
        </w:rPr>
        <w:t xml:space="preserve">Le retard dans la livraison, </w:t>
      </w:r>
    </w:p>
    <w:p w:rsidR="004527CF" w:rsidRPr="00B72473" w:rsidRDefault="004527CF" w:rsidP="00A773D3">
      <w:pPr>
        <w:numPr>
          <w:ilvl w:val="0"/>
          <w:numId w:val="24"/>
        </w:numPr>
        <w:spacing w:after="0" w:line="360" w:lineRule="auto"/>
        <w:contextualSpacing/>
        <w:jc w:val="both"/>
        <w:rPr>
          <w:rFonts w:eastAsia="Times New Roman" w:cs="Gisha"/>
          <w:sz w:val="23"/>
          <w:szCs w:val="23"/>
        </w:rPr>
      </w:pPr>
      <w:r w:rsidRPr="00B72473">
        <w:rPr>
          <w:rFonts w:eastAsia="Times New Roman" w:cs="Gisha"/>
          <w:sz w:val="23"/>
          <w:szCs w:val="23"/>
        </w:rPr>
        <w:t>La non mise à jour des outils de gestions.</w:t>
      </w:r>
    </w:p>
    <w:p w:rsidR="004527CF" w:rsidRPr="00B72473" w:rsidRDefault="004527CF" w:rsidP="00A773D3">
      <w:pPr>
        <w:pStyle w:val="Paragraphedeliste"/>
        <w:numPr>
          <w:ilvl w:val="0"/>
          <w:numId w:val="27"/>
        </w:numPr>
        <w:spacing w:before="100" w:beforeAutospacing="1" w:after="120" w:line="360" w:lineRule="auto"/>
        <w:ind w:left="714" w:hanging="357"/>
        <w:contextualSpacing w:val="0"/>
        <w:jc w:val="both"/>
        <w:rPr>
          <w:b/>
          <w:sz w:val="24"/>
          <w:szCs w:val="23"/>
        </w:rPr>
      </w:pPr>
      <w:bookmarkStart w:id="11" w:name="_Toc481684981"/>
      <w:r w:rsidRPr="00B72473">
        <w:rPr>
          <w:b/>
          <w:sz w:val="24"/>
          <w:szCs w:val="23"/>
        </w:rPr>
        <w:t>En ce qui concerne l’offre des ARV maternel</w:t>
      </w:r>
      <w:bookmarkEnd w:id="11"/>
    </w:p>
    <w:p w:rsidR="004527CF" w:rsidRPr="00FC6CA2" w:rsidRDefault="004527CF" w:rsidP="004527CF">
      <w:pPr>
        <w:jc w:val="both"/>
        <w:rPr>
          <w:rFonts w:eastAsia="Times New Roman" w:cs="Gisha"/>
          <w:b/>
          <w:sz w:val="23"/>
          <w:szCs w:val="23"/>
        </w:rPr>
      </w:pPr>
      <w:r w:rsidRPr="00FC6CA2">
        <w:rPr>
          <w:rFonts w:eastAsia="Times New Roman" w:cs="Gisha"/>
          <w:b/>
          <w:sz w:val="23"/>
          <w:szCs w:val="23"/>
        </w:rPr>
        <w:t>Graphique </w:t>
      </w:r>
      <w:r w:rsidRPr="00FC6CA2">
        <w:rPr>
          <w:rFonts w:eastAsia="Times New Roman"/>
          <w:b/>
          <w:sz w:val="23"/>
          <w:szCs w:val="23"/>
        </w:rPr>
        <w:t>n°</w:t>
      </w:r>
      <w:r w:rsidRPr="00FC6CA2">
        <w:rPr>
          <w:b/>
          <w:sz w:val="23"/>
          <w:szCs w:val="23"/>
        </w:rPr>
        <w:t>10 </w:t>
      </w:r>
      <w:r w:rsidRPr="00FC6CA2">
        <w:rPr>
          <w:rFonts w:eastAsia="Times New Roman" w:cs="Gisha"/>
          <w:b/>
          <w:sz w:val="23"/>
          <w:szCs w:val="23"/>
        </w:rPr>
        <w:t>: goulot identifiés pour le traceur ARV maternel</w:t>
      </w:r>
    </w:p>
    <w:p w:rsidR="004527CF" w:rsidRPr="00B72473" w:rsidRDefault="004527CF" w:rsidP="004527CF">
      <w:pPr>
        <w:jc w:val="both"/>
        <w:rPr>
          <w:rFonts w:ascii="Gisha" w:eastAsia="Times New Roman" w:hAnsi="Gisha" w:cs="Gisha"/>
          <w:sz w:val="26"/>
          <w:szCs w:val="26"/>
        </w:rPr>
      </w:pPr>
      <w:r w:rsidRPr="00B72473">
        <w:rPr>
          <w:rFonts w:ascii="Gisha" w:eastAsia="Times New Roman" w:hAnsi="Gisha" w:cs="Gisha"/>
          <w:noProof/>
          <w:sz w:val="26"/>
          <w:szCs w:val="26"/>
          <w:lang w:eastAsia="fr-FR"/>
        </w:rPr>
        <w:lastRenderedPageBreak/>
        <w:drawing>
          <wp:inline distT="0" distB="0" distL="0" distR="0" wp14:anchorId="75CA1CC4" wp14:editId="65BE8975">
            <wp:extent cx="6102985" cy="3200400"/>
            <wp:effectExtent l="0" t="0" r="12065" b="0"/>
            <wp:docPr id="17"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4527CF" w:rsidRPr="00B72473" w:rsidRDefault="004527CF" w:rsidP="004527CF">
      <w:pPr>
        <w:jc w:val="both"/>
        <w:rPr>
          <w:rFonts w:ascii="Gisha" w:eastAsia="Times New Roman" w:hAnsi="Gisha" w:cs="Gisha"/>
          <w:sz w:val="26"/>
          <w:szCs w:val="26"/>
        </w:rPr>
      </w:pP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Au niveau du traceur ARV pour la mère, on observe que :</w:t>
      </w:r>
    </w:p>
    <w:p w:rsidR="004527CF" w:rsidRPr="00B72473" w:rsidRDefault="004527CF" w:rsidP="004527CF">
      <w:pPr>
        <w:spacing w:line="360" w:lineRule="auto"/>
        <w:jc w:val="both"/>
        <w:rPr>
          <w:rFonts w:eastAsia="Times New Roman" w:cs="Gisha"/>
          <w:sz w:val="23"/>
          <w:szCs w:val="23"/>
        </w:rPr>
      </w:pPr>
      <w:r w:rsidRPr="00B72473">
        <w:rPr>
          <w:rFonts w:eastAsia="Times New Roman" w:cs="Gisha"/>
          <w:sz w:val="23"/>
          <w:szCs w:val="23"/>
        </w:rPr>
        <w:tab/>
        <w:t>- deux goulots au niveau de la demande : 28% du nombre estimé de femmes enceintes vivant avec le VIH n’ont pas été dépistées pour le VIH et 46 % des femmes enceintes vivant avec le VIH n’ont pas initié le traitement ARV. En termes de qualité, 74% des enfants nés de mères VIH+ n’ont pas reçu la prophylaxie ARV à la naissance.Les causes sont :</w:t>
      </w:r>
    </w:p>
    <w:p w:rsidR="004527CF" w:rsidRPr="00B72473" w:rsidRDefault="004527CF" w:rsidP="00A773D3">
      <w:pPr>
        <w:numPr>
          <w:ilvl w:val="0"/>
          <w:numId w:val="26"/>
        </w:numPr>
        <w:spacing w:after="0" w:line="360" w:lineRule="auto"/>
        <w:contextualSpacing/>
        <w:jc w:val="both"/>
        <w:rPr>
          <w:rFonts w:eastAsia="Times New Roman" w:cs="Gisha"/>
          <w:sz w:val="23"/>
          <w:szCs w:val="23"/>
        </w:rPr>
      </w:pPr>
      <w:r w:rsidRPr="00B72473">
        <w:rPr>
          <w:rFonts w:eastAsia="Times New Roman" w:cs="Gisha"/>
          <w:sz w:val="23"/>
          <w:szCs w:val="23"/>
        </w:rPr>
        <w:t xml:space="preserve">rupture d'intrants PTME surtout pour les intrants de dépistage, les ARV pédiatriques pour la prophylaxie des enfants nés de mères séropositives, </w:t>
      </w:r>
    </w:p>
    <w:p w:rsidR="004527CF" w:rsidRPr="00B72473" w:rsidRDefault="004527CF" w:rsidP="00A773D3">
      <w:pPr>
        <w:numPr>
          <w:ilvl w:val="0"/>
          <w:numId w:val="26"/>
        </w:numPr>
        <w:spacing w:after="0" w:line="360" w:lineRule="auto"/>
        <w:contextualSpacing/>
        <w:jc w:val="both"/>
        <w:rPr>
          <w:rFonts w:eastAsia="Times New Roman" w:cs="Gisha"/>
          <w:sz w:val="23"/>
          <w:szCs w:val="23"/>
        </w:rPr>
      </w:pPr>
      <w:r w:rsidRPr="00B72473">
        <w:rPr>
          <w:rFonts w:eastAsia="Times New Roman" w:cs="Gisha"/>
          <w:sz w:val="23"/>
          <w:szCs w:val="23"/>
        </w:rPr>
        <w:t>difficulté d'identification du statut sérologique des femmes VIH+ en salle d'accouchement,</w:t>
      </w:r>
    </w:p>
    <w:p w:rsidR="004527CF" w:rsidRPr="00B72473" w:rsidRDefault="004527CF" w:rsidP="00A773D3">
      <w:pPr>
        <w:numPr>
          <w:ilvl w:val="0"/>
          <w:numId w:val="26"/>
        </w:numPr>
        <w:spacing w:after="0" w:line="360" w:lineRule="auto"/>
        <w:contextualSpacing/>
        <w:jc w:val="both"/>
        <w:rPr>
          <w:rFonts w:eastAsia="Times New Roman" w:cs="Gisha"/>
          <w:sz w:val="23"/>
          <w:szCs w:val="23"/>
        </w:rPr>
      </w:pPr>
      <w:r w:rsidRPr="00B72473">
        <w:rPr>
          <w:rFonts w:eastAsia="Times New Roman" w:cs="Gisha"/>
          <w:sz w:val="23"/>
          <w:szCs w:val="23"/>
        </w:rPr>
        <w:t>insuffisance dans le suivi du couple mère-enfant,</w:t>
      </w:r>
    </w:p>
    <w:p w:rsidR="004527CF" w:rsidRPr="00B72473" w:rsidRDefault="004527CF" w:rsidP="00A773D3">
      <w:pPr>
        <w:numPr>
          <w:ilvl w:val="0"/>
          <w:numId w:val="26"/>
        </w:numPr>
        <w:spacing w:after="0" w:line="360" w:lineRule="auto"/>
        <w:contextualSpacing/>
        <w:jc w:val="both"/>
        <w:rPr>
          <w:rFonts w:eastAsia="Times New Roman" w:cs="Gisha"/>
          <w:sz w:val="23"/>
          <w:szCs w:val="23"/>
        </w:rPr>
      </w:pPr>
      <w:r w:rsidRPr="00B72473">
        <w:rPr>
          <w:rFonts w:eastAsia="Times New Roman" w:cs="Gisha"/>
          <w:sz w:val="23"/>
          <w:szCs w:val="23"/>
        </w:rPr>
        <w:t xml:space="preserve">toutes les femmes enceintes ne sont pas vues en CPN, </w:t>
      </w:r>
    </w:p>
    <w:p w:rsidR="004527CF" w:rsidRPr="00B72473" w:rsidRDefault="004527CF" w:rsidP="00A773D3">
      <w:pPr>
        <w:numPr>
          <w:ilvl w:val="0"/>
          <w:numId w:val="26"/>
        </w:numPr>
        <w:spacing w:after="0" w:line="360" w:lineRule="auto"/>
        <w:contextualSpacing/>
        <w:jc w:val="both"/>
        <w:rPr>
          <w:rFonts w:eastAsia="Times New Roman" w:cs="Gisha"/>
          <w:sz w:val="23"/>
          <w:szCs w:val="23"/>
        </w:rPr>
      </w:pPr>
      <w:r w:rsidRPr="00B72473">
        <w:rPr>
          <w:rFonts w:eastAsia="Times New Roman" w:cs="Gisha"/>
          <w:sz w:val="23"/>
          <w:szCs w:val="23"/>
        </w:rPr>
        <w:t xml:space="preserve">faible proposition de réalisation du test de dépistage VIH en per/post partum, </w:t>
      </w:r>
    </w:p>
    <w:p w:rsidR="004527CF" w:rsidRPr="00B72473" w:rsidRDefault="004527CF" w:rsidP="00A773D3">
      <w:pPr>
        <w:numPr>
          <w:ilvl w:val="0"/>
          <w:numId w:val="26"/>
        </w:numPr>
        <w:spacing w:after="0" w:line="360" w:lineRule="auto"/>
        <w:contextualSpacing/>
        <w:jc w:val="both"/>
        <w:rPr>
          <w:rFonts w:eastAsia="Times New Roman" w:cs="Gisha"/>
          <w:sz w:val="23"/>
          <w:szCs w:val="23"/>
        </w:rPr>
      </w:pPr>
      <w:r w:rsidRPr="00B72473">
        <w:rPr>
          <w:rFonts w:eastAsia="Times New Roman" w:cs="Gisha"/>
          <w:sz w:val="23"/>
          <w:szCs w:val="23"/>
        </w:rPr>
        <w:t>faible adhésion des partenaires à la PTME.</w:t>
      </w:r>
    </w:p>
    <w:p w:rsidR="004527CF" w:rsidRPr="00B72473" w:rsidRDefault="004527CF" w:rsidP="00A773D3">
      <w:pPr>
        <w:pStyle w:val="Paragraphedeliste"/>
        <w:numPr>
          <w:ilvl w:val="0"/>
          <w:numId w:val="27"/>
        </w:numPr>
        <w:spacing w:before="100" w:beforeAutospacing="1" w:after="120" w:line="360" w:lineRule="auto"/>
        <w:ind w:left="714" w:hanging="357"/>
        <w:contextualSpacing w:val="0"/>
        <w:jc w:val="both"/>
        <w:rPr>
          <w:b/>
          <w:sz w:val="24"/>
          <w:szCs w:val="23"/>
        </w:rPr>
      </w:pPr>
      <w:bookmarkStart w:id="12" w:name="_Toc481684982"/>
      <w:r w:rsidRPr="00B72473">
        <w:rPr>
          <w:b/>
          <w:sz w:val="24"/>
          <w:szCs w:val="23"/>
        </w:rPr>
        <w:t>En ce qui concerne le dépistage précoce</w:t>
      </w:r>
      <w:bookmarkEnd w:id="12"/>
    </w:p>
    <w:p w:rsidR="004527CF" w:rsidRPr="00B72473" w:rsidRDefault="004527CF" w:rsidP="004527CF">
      <w:pPr>
        <w:ind w:left="720"/>
        <w:contextualSpacing/>
        <w:rPr>
          <w:rFonts w:ascii="Gisha" w:eastAsia="SimSun" w:hAnsi="Gisha" w:cs="Gisha"/>
          <w:snapToGrid w:val="0"/>
        </w:rPr>
      </w:pPr>
    </w:p>
    <w:p w:rsidR="004527CF" w:rsidRPr="00B72473" w:rsidRDefault="004527CF" w:rsidP="004527CF">
      <w:pPr>
        <w:rPr>
          <w:rFonts w:ascii="Gisha" w:eastAsia="SimSun" w:hAnsi="Gisha" w:cs="Gisha"/>
          <w:snapToGrid w:val="0"/>
        </w:rPr>
      </w:pPr>
      <w:r w:rsidRPr="00B72473">
        <w:rPr>
          <w:rFonts w:ascii="Gisha" w:eastAsia="SimSun" w:hAnsi="Gisha" w:cs="Gisha"/>
          <w:noProof/>
          <w:snapToGrid w:val="0"/>
          <w:lang w:eastAsia="fr-FR"/>
        </w:rPr>
        <w:lastRenderedPageBreak/>
        <w:drawing>
          <wp:inline distT="0" distB="0" distL="0" distR="0" wp14:anchorId="59AC29E4" wp14:editId="3CCFE83E">
            <wp:extent cx="6170213" cy="4072255"/>
            <wp:effectExtent l="0" t="0" r="2540" b="4445"/>
            <wp:docPr id="18"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4527CF" w:rsidRDefault="004527CF" w:rsidP="004527CF">
      <w:pPr>
        <w:rPr>
          <w:rFonts w:ascii="Gisha" w:eastAsia="SimSun" w:hAnsi="Gisha" w:cs="Gisha"/>
          <w:snapToGrid w:val="0"/>
        </w:rPr>
      </w:pPr>
    </w:p>
    <w:p w:rsidR="004527CF" w:rsidRPr="00FC6CA2" w:rsidRDefault="004527CF" w:rsidP="004527CF">
      <w:pPr>
        <w:spacing w:after="100" w:afterAutospacing="1"/>
        <w:rPr>
          <w:b/>
          <w:sz w:val="23"/>
          <w:szCs w:val="23"/>
        </w:rPr>
      </w:pPr>
      <w:r w:rsidRPr="00FC6CA2">
        <w:rPr>
          <w:b/>
          <w:sz w:val="23"/>
          <w:szCs w:val="23"/>
        </w:rPr>
        <w:t>Graphique n°11 : goulot identifiés pour le traceur diagnostic précoce</w:t>
      </w:r>
    </w:p>
    <w:p w:rsidR="004527CF" w:rsidRPr="00B72473" w:rsidRDefault="004527CF" w:rsidP="004527CF">
      <w:pPr>
        <w:spacing w:line="360" w:lineRule="auto"/>
        <w:jc w:val="both"/>
        <w:rPr>
          <w:rFonts w:eastAsia="SimSun" w:cs="Gisha"/>
          <w:snapToGrid w:val="0"/>
          <w:sz w:val="23"/>
          <w:szCs w:val="23"/>
        </w:rPr>
      </w:pPr>
      <w:r w:rsidRPr="00B72473">
        <w:rPr>
          <w:rFonts w:eastAsia="SimSun" w:cs="Gisha"/>
          <w:snapToGrid w:val="0"/>
          <w:sz w:val="23"/>
          <w:szCs w:val="23"/>
        </w:rPr>
        <w:t>Concernant le traceur, dépistage précoce on constate deux goulots au niveau de la demande :</w:t>
      </w:r>
    </w:p>
    <w:p w:rsidR="004527CF" w:rsidRPr="00B72473" w:rsidRDefault="004527CF" w:rsidP="004527CF">
      <w:pPr>
        <w:spacing w:line="360" w:lineRule="auto"/>
        <w:jc w:val="both"/>
        <w:rPr>
          <w:rFonts w:eastAsia="SimSun" w:cs="Gisha"/>
          <w:snapToGrid w:val="0"/>
          <w:sz w:val="23"/>
          <w:szCs w:val="23"/>
        </w:rPr>
      </w:pPr>
      <w:r w:rsidRPr="00B72473">
        <w:rPr>
          <w:rFonts w:eastAsia="SimSun" w:cs="Gisha"/>
          <w:snapToGrid w:val="0"/>
          <w:sz w:val="23"/>
          <w:szCs w:val="23"/>
        </w:rPr>
        <w:t xml:space="preserve">Le goulot 1 au niveau de l’utilisation initiale : 47% des nourrissons exposés n’ont pas été testés au VIH à l’âge de 12 mois.  </w:t>
      </w:r>
    </w:p>
    <w:p w:rsidR="004527CF" w:rsidRPr="00B72473" w:rsidRDefault="004527CF" w:rsidP="004527CF">
      <w:pPr>
        <w:spacing w:line="360" w:lineRule="auto"/>
        <w:jc w:val="both"/>
        <w:rPr>
          <w:rFonts w:eastAsia="SimSun" w:cs="Gisha"/>
          <w:snapToGrid w:val="0"/>
          <w:sz w:val="23"/>
          <w:szCs w:val="23"/>
        </w:rPr>
      </w:pPr>
      <w:r w:rsidRPr="00B72473">
        <w:rPr>
          <w:rFonts w:eastAsia="SimSun" w:cs="Gisha"/>
          <w:snapToGrid w:val="0"/>
          <w:sz w:val="23"/>
          <w:szCs w:val="23"/>
        </w:rPr>
        <w:t>Au niveau de l’utilisation continue, 47 % des enfants n’ont pas été testés au cours des deux premiers mois de la naissance.</w:t>
      </w:r>
    </w:p>
    <w:p w:rsidR="004527CF" w:rsidRPr="00B72473" w:rsidRDefault="004527CF" w:rsidP="004527CF">
      <w:pPr>
        <w:spacing w:line="360" w:lineRule="auto"/>
        <w:jc w:val="both"/>
        <w:rPr>
          <w:rFonts w:eastAsia="SimSun" w:cs="Gisha"/>
          <w:snapToGrid w:val="0"/>
          <w:sz w:val="23"/>
          <w:szCs w:val="23"/>
        </w:rPr>
      </w:pPr>
      <w:r w:rsidRPr="00B72473">
        <w:rPr>
          <w:rFonts w:eastAsia="SimSun" w:cs="Gisha"/>
          <w:snapToGrid w:val="0"/>
          <w:sz w:val="23"/>
          <w:szCs w:val="23"/>
        </w:rPr>
        <w:t>Les causes évoquées pour expliquer cet état de fait :</w:t>
      </w:r>
    </w:p>
    <w:p w:rsidR="004527CF" w:rsidRPr="00B72473" w:rsidRDefault="004527CF" w:rsidP="00A773D3">
      <w:pPr>
        <w:numPr>
          <w:ilvl w:val="0"/>
          <w:numId w:val="25"/>
        </w:numPr>
        <w:spacing w:after="0" w:line="360" w:lineRule="auto"/>
        <w:contextualSpacing/>
        <w:jc w:val="both"/>
        <w:rPr>
          <w:rFonts w:eastAsia="SimSun" w:cs="Gisha"/>
          <w:snapToGrid w:val="0"/>
          <w:sz w:val="23"/>
          <w:szCs w:val="23"/>
        </w:rPr>
      </w:pPr>
      <w:r w:rsidRPr="00B72473">
        <w:rPr>
          <w:rFonts w:eastAsia="SimSun" w:cs="Gisha"/>
          <w:snapToGrid w:val="0"/>
          <w:sz w:val="23"/>
          <w:szCs w:val="23"/>
        </w:rPr>
        <w:t xml:space="preserve">Insuffisance dans le suivi des enfants exposés, </w:t>
      </w:r>
    </w:p>
    <w:p w:rsidR="004527CF" w:rsidRPr="00B72473" w:rsidRDefault="004527CF" w:rsidP="00A773D3">
      <w:pPr>
        <w:numPr>
          <w:ilvl w:val="0"/>
          <w:numId w:val="25"/>
        </w:numPr>
        <w:spacing w:after="0" w:line="360" w:lineRule="auto"/>
        <w:contextualSpacing/>
        <w:jc w:val="both"/>
        <w:rPr>
          <w:rFonts w:eastAsia="SimSun" w:cs="Gisha"/>
          <w:snapToGrid w:val="0"/>
          <w:sz w:val="23"/>
          <w:szCs w:val="23"/>
        </w:rPr>
      </w:pPr>
      <w:r w:rsidRPr="00B72473">
        <w:rPr>
          <w:rFonts w:eastAsia="SimSun" w:cs="Gisha"/>
          <w:snapToGrid w:val="0"/>
          <w:sz w:val="23"/>
          <w:szCs w:val="23"/>
        </w:rPr>
        <w:t xml:space="preserve">Insuffisance de compétences des agents de santé pour réaliser les DBS, </w:t>
      </w:r>
    </w:p>
    <w:p w:rsidR="004527CF" w:rsidRPr="00B72473" w:rsidRDefault="004527CF" w:rsidP="00A773D3">
      <w:pPr>
        <w:numPr>
          <w:ilvl w:val="0"/>
          <w:numId w:val="25"/>
        </w:numPr>
        <w:spacing w:after="0" w:line="360" w:lineRule="auto"/>
        <w:contextualSpacing/>
        <w:jc w:val="both"/>
        <w:rPr>
          <w:rFonts w:eastAsia="SimSun" w:cs="Gisha"/>
          <w:snapToGrid w:val="0"/>
          <w:sz w:val="23"/>
          <w:szCs w:val="23"/>
        </w:rPr>
      </w:pPr>
      <w:r w:rsidRPr="00B72473">
        <w:rPr>
          <w:rFonts w:eastAsia="SimSun" w:cs="Gisha"/>
          <w:snapToGrid w:val="0"/>
          <w:sz w:val="23"/>
          <w:szCs w:val="23"/>
        </w:rPr>
        <w:t>Insuffisance  de restitution  des résultats de la PCR par les laboratoires de référence,</w:t>
      </w:r>
    </w:p>
    <w:p w:rsidR="004527CF" w:rsidRPr="00B72473" w:rsidRDefault="004527CF" w:rsidP="00A773D3">
      <w:pPr>
        <w:numPr>
          <w:ilvl w:val="0"/>
          <w:numId w:val="25"/>
        </w:numPr>
        <w:spacing w:after="0" w:line="360" w:lineRule="auto"/>
        <w:contextualSpacing/>
        <w:jc w:val="both"/>
        <w:rPr>
          <w:rFonts w:eastAsia="SimSun" w:cs="Gisha"/>
          <w:snapToGrid w:val="0"/>
          <w:sz w:val="23"/>
          <w:szCs w:val="23"/>
        </w:rPr>
      </w:pPr>
      <w:r w:rsidRPr="00B72473">
        <w:rPr>
          <w:rFonts w:eastAsia="SimSun" w:cs="Gisha"/>
          <w:snapToGrid w:val="0"/>
          <w:sz w:val="23"/>
          <w:szCs w:val="23"/>
        </w:rPr>
        <w:t xml:space="preserve">Paiement tardif des frais relatifs aux  examens de laboratoires. </w:t>
      </w:r>
    </w:p>
    <w:p w:rsidR="004527CF" w:rsidRPr="00B72473" w:rsidRDefault="004527CF" w:rsidP="004527CF">
      <w:pPr>
        <w:spacing w:line="360" w:lineRule="auto"/>
        <w:jc w:val="both"/>
        <w:rPr>
          <w:sz w:val="23"/>
          <w:szCs w:val="23"/>
        </w:rPr>
      </w:pPr>
      <w:bookmarkStart w:id="13" w:name="_Toc481684983"/>
      <w:r w:rsidRPr="00B72473">
        <w:rPr>
          <w:sz w:val="23"/>
          <w:szCs w:val="23"/>
        </w:rPr>
        <w:t>L’Analyse des disparités des besoins non couverts</w:t>
      </w:r>
      <w:bookmarkEnd w:id="13"/>
      <w:r w:rsidRPr="00B72473">
        <w:rPr>
          <w:sz w:val="23"/>
          <w:szCs w:val="23"/>
        </w:rPr>
        <w:t xml:space="preserve"> donne le graphique suivant</w:t>
      </w:r>
    </w:p>
    <w:p w:rsidR="004527CF" w:rsidRPr="00B72473" w:rsidRDefault="004527CF" w:rsidP="004527CF">
      <w:pPr>
        <w:spacing w:line="360" w:lineRule="auto"/>
        <w:jc w:val="both"/>
        <w:rPr>
          <w:sz w:val="23"/>
          <w:szCs w:val="23"/>
        </w:rPr>
      </w:pPr>
    </w:p>
    <w:p w:rsidR="004527CF" w:rsidRPr="00B72473" w:rsidRDefault="004527CF" w:rsidP="004527CF">
      <w:pPr>
        <w:rPr>
          <w:rFonts w:ascii="Gisha" w:eastAsia="SimSun" w:hAnsi="Gisha" w:cs="Gisha"/>
          <w:snapToGrid w:val="0"/>
          <w:sz w:val="24"/>
          <w:szCs w:val="24"/>
        </w:rPr>
      </w:pPr>
      <w:r w:rsidRPr="00B72473">
        <w:rPr>
          <w:rFonts w:ascii="Gisha" w:eastAsia="SimSun" w:hAnsi="Gisha" w:cs="Gisha"/>
          <w:noProof/>
          <w:snapToGrid w:val="0"/>
          <w:sz w:val="24"/>
          <w:szCs w:val="24"/>
          <w:lang w:eastAsia="fr-FR"/>
        </w:rPr>
        <w:drawing>
          <wp:inline distT="0" distB="0" distL="0" distR="0" wp14:anchorId="0F0D7941" wp14:editId="12F16737">
            <wp:extent cx="5693134" cy="2449195"/>
            <wp:effectExtent l="0" t="0" r="3175" b="8255"/>
            <wp:docPr id="21"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4527CF" w:rsidRDefault="004527CF" w:rsidP="004527CF">
      <w:pPr>
        <w:spacing w:line="360" w:lineRule="auto"/>
        <w:jc w:val="both"/>
        <w:rPr>
          <w:b/>
          <w:sz w:val="23"/>
          <w:szCs w:val="23"/>
        </w:rPr>
      </w:pPr>
    </w:p>
    <w:p w:rsidR="004527CF" w:rsidRPr="00FC6CA2" w:rsidRDefault="004527CF" w:rsidP="004527CF">
      <w:pPr>
        <w:spacing w:line="360" w:lineRule="auto"/>
        <w:jc w:val="both"/>
        <w:rPr>
          <w:b/>
          <w:sz w:val="23"/>
          <w:szCs w:val="23"/>
        </w:rPr>
      </w:pPr>
      <w:r w:rsidRPr="00FC6CA2">
        <w:rPr>
          <w:b/>
          <w:sz w:val="23"/>
          <w:szCs w:val="23"/>
        </w:rPr>
        <w:t>Graphique 12 : besoins non couverts selon les régions et selon l’intervention</w:t>
      </w:r>
    </w:p>
    <w:p w:rsidR="004527CF" w:rsidRDefault="004527CF" w:rsidP="004527CF">
      <w:pPr>
        <w:spacing w:before="100" w:beforeAutospacing="1" w:after="100" w:afterAutospacing="1" w:line="360" w:lineRule="auto"/>
        <w:jc w:val="both"/>
        <w:rPr>
          <w:rFonts w:eastAsia="SimSun" w:cs="Gisha"/>
          <w:snapToGrid w:val="0"/>
          <w:sz w:val="23"/>
          <w:szCs w:val="23"/>
        </w:rPr>
      </w:pPr>
      <w:r w:rsidRPr="00B72473">
        <w:rPr>
          <w:rFonts w:eastAsia="SimSun" w:cs="Gisha"/>
          <w:snapToGrid w:val="0"/>
          <w:sz w:val="23"/>
          <w:szCs w:val="23"/>
        </w:rPr>
        <w:t xml:space="preserve">On note une disparité dans les besoins non couverts selon les régions. Dans la dispensation des ARV pour le traitement de la mère et la prévention du VIH chez le bébé, on observe que 9 régions (Centre- Centre Est- Centre Nord- centre ouest-centre sud- DRS Est-Haut Bassin-DRS Nord- Sahel) ont les plus grands besoins non couverts entre 20% et 60%.Concernant le dépistage, 7 régions (Boucle du Mouhoun- Centre – Centre Est- Centre Ouest- Centre Sud – Plateau central) représentent 20% à 35% des besoins non couverts. Pour la première consultation prénatale 5 régions (Boucle du Mouhoun-  Centre Est- Centre Ouest- Centre Sud – Plateau central) </w:t>
      </w:r>
      <w:r w:rsidR="00960A33" w:rsidRPr="00B72473">
        <w:rPr>
          <w:rFonts w:eastAsia="SimSun" w:cs="Gisha"/>
          <w:snapToGrid w:val="0"/>
          <w:sz w:val="23"/>
          <w:szCs w:val="23"/>
        </w:rPr>
        <w:t>représentent entre</w:t>
      </w:r>
      <w:r w:rsidRPr="00B72473">
        <w:rPr>
          <w:rFonts w:eastAsia="SimSun" w:cs="Gisha"/>
          <w:snapToGrid w:val="0"/>
          <w:sz w:val="23"/>
          <w:szCs w:val="23"/>
        </w:rPr>
        <w:t xml:space="preserve"> 22% à 35% de besoins non couverts.</w:t>
      </w:r>
    </w:p>
    <w:p w:rsidR="004527CF" w:rsidRPr="00F26721" w:rsidRDefault="00F26721" w:rsidP="00F26721">
      <w:pPr>
        <w:pStyle w:val="Titre1"/>
        <w:rPr>
          <w:rFonts w:eastAsia="Calibri"/>
          <w:caps w:val="0"/>
          <w:color w:val="auto"/>
          <w:sz w:val="24"/>
          <w:szCs w:val="24"/>
        </w:rPr>
      </w:pPr>
      <w:bookmarkStart w:id="14" w:name="_Toc522532897"/>
      <w:r w:rsidRPr="00F26721">
        <w:rPr>
          <w:rFonts w:eastAsia="Calibri"/>
          <w:caps w:val="0"/>
          <w:color w:val="auto"/>
          <w:sz w:val="24"/>
          <w:szCs w:val="24"/>
        </w:rPr>
        <w:t>1.1.9.</w:t>
      </w:r>
      <w:r w:rsidR="004527CF" w:rsidRPr="00F26721">
        <w:rPr>
          <w:rFonts w:eastAsia="Calibri"/>
          <w:caps w:val="0"/>
          <w:color w:val="auto"/>
          <w:sz w:val="24"/>
          <w:szCs w:val="24"/>
        </w:rPr>
        <w:t>Couverture vaccinale des enfants</w:t>
      </w:r>
      <w:bookmarkEnd w:id="14"/>
    </w:p>
    <w:p w:rsidR="004527CF" w:rsidRPr="00F26721" w:rsidRDefault="004527CF" w:rsidP="004527CF">
      <w:pPr>
        <w:spacing w:line="360" w:lineRule="auto"/>
        <w:jc w:val="both"/>
        <w:rPr>
          <w:bCs/>
          <w:sz w:val="24"/>
          <w:szCs w:val="24"/>
        </w:rPr>
      </w:pPr>
      <w:r w:rsidRPr="00F26721">
        <w:rPr>
          <w:bCs/>
          <w:sz w:val="24"/>
          <w:szCs w:val="24"/>
        </w:rPr>
        <w:t>Les couvertures vaccinales nationales sont passées de 99% à 107% pour le Pentavalent 3(DTC-Hep B-HiB), de 74% à 106% pour le PCV 3 et de 74% à 106% pour le Rota3. Le pourcentage de districts ayant un taux de Pentavalent 3 supérieur ou égal à 80% était de 98% en 2011, 100% en 2012, 100% en 2013, 100% en 2014 et 100% en 2015 (cible de 99%3).</w:t>
      </w:r>
    </w:p>
    <w:p w:rsidR="004527CF" w:rsidRPr="00F26721" w:rsidRDefault="004527CF" w:rsidP="004527CF">
      <w:pPr>
        <w:autoSpaceDE w:val="0"/>
        <w:autoSpaceDN w:val="0"/>
        <w:adjustRightInd w:val="0"/>
        <w:spacing w:after="180" w:line="360" w:lineRule="auto"/>
        <w:jc w:val="both"/>
        <w:rPr>
          <w:rFonts w:eastAsia="Calibri" w:cs="ArialMT"/>
          <w:sz w:val="24"/>
          <w:szCs w:val="24"/>
        </w:rPr>
      </w:pPr>
      <w:r w:rsidRPr="00F26721">
        <w:rPr>
          <w:rFonts w:eastAsia="Calibri" w:cs="ArialMT"/>
          <w:sz w:val="24"/>
          <w:szCs w:val="24"/>
        </w:rPr>
        <w:t xml:space="preserve">Il apparaît clairement que les inégalités dans la distribution de la couverture vaccinale varient suivant les régions, et suggère une relation entre le statut socioéconomique et le niveau de santé qui doit aller au-delà de la simple catégorisation (par exemple, faible, moyen, élevé) pour exploiter une gamme plus complète de facteurs discriminants. </w:t>
      </w:r>
    </w:p>
    <w:p w:rsidR="004527CF" w:rsidRPr="00F26721" w:rsidRDefault="004527CF" w:rsidP="004527CF">
      <w:pPr>
        <w:autoSpaceDE w:val="0"/>
        <w:autoSpaceDN w:val="0"/>
        <w:adjustRightInd w:val="0"/>
        <w:spacing w:after="180" w:line="360" w:lineRule="auto"/>
        <w:jc w:val="both"/>
        <w:rPr>
          <w:rFonts w:eastAsia="Calibri" w:cs="ArialMT"/>
          <w:sz w:val="24"/>
          <w:szCs w:val="24"/>
        </w:rPr>
      </w:pPr>
      <w:r w:rsidRPr="00F26721">
        <w:rPr>
          <w:rFonts w:eastAsia="Calibri" w:cs="ArialMT"/>
          <w:sz w:val="24"/>
          <w:szCs w:val="24"/>
        </w:rPr>
        <w:lastRenderedPageBreak/>
        <w:t>La région du Sahel apparaît comme celle qui tire les indicateurs nationaux vers le bas avec une couverture de 67.9% de DTCoq-Heb Hib3 et seulement 56.8% d'enfants de 12-23 mois entièrement vaccinés, suivi des Hauts-Bassins et du Centre-Nord qui se rapprochent sensiblement de la moyenne nationale. Cette région est également celle qui présente les plus grandes inégalités entre les différentes catégories socioéconomiques. Cette performance en matière de vaccination dans certaines régions est certainement le résultat d’une conjonction de facteurs socioculturels et humains.</w:t>
      </w:r>
    </w:p>
    <w:p w:rsidR="004527CF" w:rsidRPr="00F26721" w:rsidRDefault="004527CF" w:rsidP="004527CF">
      <w:pPr>
        <w:autoSpaceDE w:val="0"/>
        <w:autoSpaceDN w:val="0"/>
        <w:adjustRightInd w:val="0"/>
        <w:spacing w:after="180" w:line="360" w:lineRule="auto"/>
        <w:jc w:val="both"/>
        <w:rPr>
          <w:rFonts w:eastAsia="Calibri" w:cs="ArialMT"/>
          <w:sz w:val="24"/>
          <w:szCs w:val="24"/>
        </w:rPr>
      </w:pPr>
      <w:r w:rsidRPr="00F26721">
        <w:rPr>
          <w:rFonts w:eastAsia="Calibri" w:cs="ArialMT"/>
          <w:sz w:val="24"/>
          <w:szCs w:val="24"/>
        </w:rPr>
        <w:t>Dans cette analyse des inégalités territoriales, le classement des régions est relativement stable, c'est-à-dire que les régions performantes tendent à l’être pour tous les antigènes et inversement. Le Centre, le Centre Sud et le Centre Nord se classent dans les trois premiers pour chaque antigène. La région des Hauts Bassins présente un profil particulier. La couverture vaccinale est supérieure à la couverture nationale pour le BCG, le DTCP3 et la rougeole mais elle est plus faible pour la couverture complète. Ceci s’explique, on le verra plus loin, par la forte proportion d’enfants qui dans cette région, n’ont reçu qu’une ou deux des trois vaccinations obligatoires.</w:t>
      </w:r>
    </w:p>
    <w:p w:rsidR="004527CF" w:rsidRPr="00F26721" w:rsidRDefault="004527CF" w:rsidP="004527CF">
      <w:pPr>
        <w:autoSpaceDE w:val="0"/>
        <w:autoSpaceDN w:val="0"/>
        <w:adjustRightInd w:val="0"/>
        <w:spacing w:after="180" w:line="360" w:lineRule="auto"/>
        <w:jc w:val="both"/>
        <w:rPr>
          <w:rFonts w:eastAsia="Calibri" w:cs="ArialMT"/>
          <w:sz w:val="24"/>
          <w:szCs w:val="24"/>
        </w:rPr>
      </w:pPr>
      <w:r w:rsidRPr="00F26721">
        <w:rPr>
          <w:rFonts w:eastAsia="Calibri" w:cs="ArialMT"/>
          <w:sz w:val="24"/>
          <w:szCs w:val="24"/>
        </w:rPr>
        <w:t>Les régions où la proportion d’enfants non-atteints est élevée sont celles des Hauts Bassins, du Plateau Central et du Sahel. Parmi les enfants n’ayant pas une vaccination complète, plus de 40% n’ont reçu aucune des trois vaccinations. Cette proportion élevée d’enfants non rejoints par les stratégies vaccinales, traduit un problème d’adéquation des stratégies vaccinales. L’enjeu stratégique réside dans la nécessité de revoir les stratégies de manière à atteindre les enfants manqués par le système. Pourquoi autant d’enfants ne sont pas atteints ?</w:t>
      </w:r>
    </w:p>
    <w:p w:rsidR="004527CF" w:rsidRPr="00F26721" w:rsidRDefault="004527CF" w:rsidP="004527CF">
      <w:pPr>
        <w:autoSpaceDE w:val="0"/>
        <w:autoSpaceDN w:val="0"/>
        <w:adjustRightInd w:val="0"/>
        <w:spacing w:after="180" w:line="360" w:lineRule="auto"/>
        <w:jc w:val="both"/>
        <w:rPr>
          <w:rFonts w:eastAsia="Calibri" w:cs="ArialMT"/>
          <w:sz w:val="24"/>
          <w:szCs w:val="24"/>
        </w:rPr>
      </w:pPr>
      <w:r w:rsidRPr="00F26721">
        <w:rPr>
          <w:rFonts w:eastAsia="Calibri" w:cs="ArialMT"/>
          <w:sz w:val="24"/>
          <w:szCs w:val="24"/>
        </w:rPr>
        <w:t>Dans certaines régions,  le problème est moins dans l’adéquation de la stratégie d’ensemble car la plupart des enfants sont rejoints à un moment ou à un autre. Il s’agit du Sud-Ouest, du Centre, du Nord, de la Boucle du Mouhoun et du Centre Ouest. Il faudra en revanche, améliorer l’efficacité des prestations actuelles pour garantir la complétude des vaccinations réalisées.</w:t>
      </w:r>
    </w:p>
    <w:tbl>
      <w:tblPr>
        <w:tblStyle w:val="Grilledutableau"/>
        <w:tblW w:w="9042" w:type="dxa"/>
        <w:tblLayout w:type="fixed"/>
        <w:tblLook w:val="04A0" w:firstRow="1" w:lastRow="0" w:firstColumn="1" w:lastColumn="0" w:noHBand="0" w:noVBand="1"/>
      </w:tblPr>
      <w:tblGrid>
        <w:gridCol w:w="4243"/>
        <w:gridCol w:w="383"/>
        <w:gridCol w:w="4416"/>
      </w:tblGrid>
      <w:tr w:rsidR="004527CF" w:rsidRPr="00F26721" w:rsidTr="004527CF">
        <w:tc>
          <w:tcPr>
            <w:tcW w:w="4626" w:type="dxa"/>
            <w:gridSpan w:val="2"/>
            <w:tcBorders>
              <w:top w:val="single" w:sz="4" w:space="0" w:color="auto"/>
              <w:left w:val="single" w:sz="4" w:space="0" w:color="auto"/>
            </w:tcBorders>
          </w:tcPr>
          <w:p w:rsidR="004527CF" w:rsidRPr="00F26721" w:rsidRDefault="004527CF" w:rsidP="004527CF">
            <w:pPr>
              <w:rPr>
                <w:sz w:val="24"/>
                <w:szCs w:val="24"/>
              </w:rPr>
            </w:pPr>
            <w:r w:rsidRPr="00F26721">
              <w:rPr>
                <w:noProof/>
                <w:sz w:val="24"/>
                <w:szCs w:val="24"/>
                <w:lang w:eastAsia="fr-FR"/>
              </w:rPr>
              <w:lastRenderedPageBreak/>
              <w:drawing>
                <wp:inline distT="0" distB="0" distL="0" distR="0" wp14:anchorId="26705EE6" wp14:editId="3FF56B1B">
                  <wp:extent cx="3163001" cy="1963420"/>
                  <wp:effectExtent l="0" t="0" r="0" b="0"/>
                  <wp:docPr id="22" name="Image 8" descr="C:\Users\hp Probook 4540s\Desktop\cartes UNICEF\DTCOQ2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 Probook 4540s\Desktop\cartes UNICEF\DTCOQ2014.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06401" cy="1990360"/>
                          </a:xfrm>
                          <a:prstGeom prst="rect">
                            <a:avLst/>
                          </a:prstGeom>
                          <a:noFill/>
                          <a:ln>
                            <a:noFill/>
                          </a:ln>
                        </pic:spPr>
                      </pic:pic>
                    </a:graphicData>
                  </a:graphic>
                </wp:inline>
              </w:drawing>
            </w:r>
          </w:p>
        </w:tc>
        <w:tc>
          <w:tcPr>
            <w:tcW w:w="4416" w:type="dxa"/>
            <w:tcBorders>
              <w:top w:val="single" w:sz="4" w:space="0" w:color="auto"/>
              <w:right w:val="single" w:sz="4" w:space="0" w:color="auto"/>
            </w:tcBorders>
          </w:tcPr>
          <w:p w:rsidR="004527CF" w:rsidRPr="00F26721" w:rsidRDefault="004527CF" w:rsidP="004527CF">
            <w:pPr>
              <w:rPr>
                <w:sz w:val="24"/>
                <w:szCs w:val="24"/>
              </w:rPr>
            </w:pPr>
            <w:r w:rsidRPr="00F26721">
              <w:rPr>
                <w:noProof/>
                <w:sz w:val="24"/>
                <w:szCs w:val="24"/>
                <w:lang w:eastAsia="fr-FR"/>
              </w:rPr>
              <w:drawing>
                <wp:inline distT="0" distB="0" distL="0" distR="0" wp14:anchorId="451AC493" wp14:editId="2EF4061B">
                  <wp:extent cx="2877820" cy="2019631"/>
                  <wp:effectExtent l="0" t="0" r="0" b="0"/>
                  <wp:docPr id="23" name="Image 9" descr="C:\Users\hp Probook 4540s\Desktop\cartes UNICEF\Vaccination2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 Probook 4540s\Desktop\cartes UNICEF\Vaccination2014.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23603" cy="2051761"/>
                          </a:xfrm>
                          <a:prstGeom prst="rect">
                            <a:avLst/>
                          </a:prstGeom>
                          <a:noFill/>
                          <a:ln>
                            <a:noFill/>
                          </a:ln>
                        </pic:spPr>
                      </pic:pic>
                    </a:graphicData>
                  </a:graphic>
                </wp:inline>
              </w:drawing>
            </w:r>
          </w:p>
        </w:tc>
      </w:tr>
      <w:tr w:rsidR="004527CF" w:rsidRPr="00F26721" w:rsidTr="004527CF">
        <w:tblPrEx>
          <w:tblBorders>
            <w:top w:val="single" w:sz="36" w:space="0" w:color="FFFFFF"/>
            <w:left w:val="single" w:sz="36" w:space="0" w:color="FFFFFF"/>
            <w:bottom w:val="single" w:sz="36" w:space="0" w:color="FFFFFF"/>
            <w:right w:val="single" w:sz="36" w:space="0" w:color="FFFFFF"/>
            <w:insideH w:val="single" w:sz="36" w:space="0" w:color="FFFFFF"/>
            <w:insideV w:val="single" w:sz="36" w:space="0" w:color="FFFFFF"/>
          </w:tblBorders>
        </w:tblPrEx>
        <w:trPr>
          <w:trHeight w:val="171"/>
        </w:trPr>
        <w:tc>
          <w:tcPr>
            <w:tcW w:w="4243" w:type="dxa"/>
            <w:tcBorders>
              <w:left w:val="single" w:sz="4" w:space="0" w:color="auto"/>
              <w:bottom w:val="single" w:sz="4" w:space="0" w:color="auto"/>
            </w:tcBorders>
          </w:tcPr>
          <w:p w:rsidR="004527CF" w:rsidRPr="00F26721" w:rsidRDefault="004527CF" w:rsidP="004527CF">
            <w:pPr>
              <w:jc w:val="both"/>
              <w:rPr>
                <w:sz w:val="24"/>
                <w:szCs w:val="24"/>
              </w:rPr>
            </w:pPr>
            <w:r w:rsidRPr="00F26721">
              <w:rPr>
                <w:i/>
                <w:sz w:val="24"/>
                <w:szCs w:val="24"/>
              </w:rPr>
              <w:t>Source : EMC-MDS, 2015</w:t>
            </w:r>
          </w:p>
        </w:tc>
        <w:tc>
          <w:tcPr>
            <w:tcW w:w="4799" w:type="dxa"/>
            <w:gridSpan w:val="2"/>
            <w:tcBorders>
              <w:bottom w:val="single" w:sz="4" w:space="0" w:color="auto"/>
              <w:right w:val="single" w:sz="4" w:space="0" w:color="auto"/>
            </w:tcBorders>
          </w:tcPr>
          <w:p w:rsidR="004527CF" w:rsidRPr="00F26721" w:rsidRDefault="004527CF" w:rsidP="004527CF">
            <w:pPr>
              <w:jc w:val="both"/>
              <w:rPr>
                <w:noProof/>
                <w:sz w:val="24"/>
                <w:szCs w:val="24"/>
              </w:rPr>
            </w:pPr>
          </w:p>
        </w:tc>
      </w:tr>
    </w:tbl>
    <w:p w:rsidR="004527CF" w:rsidRPr="00F26721" w:rsidRDefault="004527CF" w:rsidP="004527CF">
      <w:pPr>
        <w:tabs>
          <w:tab w:val="left" w:pos="270"/>
        </w:tabs>
        <w:jc w:val="both"/>
        <w:rPr>
          <w:b/>
          <w:sz w:val="24"/>
          <w:szCs w:val="24"/>
        </w:rPr>
      </w:pPr>
    </w:p>
    <w:p w:rsidR="004527CF" w:rsidRPr="00F26721" w:rsidRDefault="004527CF" w:rsidP="004527CF">
      <w:pPr>
        <w:tabs>
          <w:tab w:val="left" w:pos="270"/>
        </w:tabs>
        <w:spacing w:line="360" w:lineRule="auto"/>
        <w:jc w:val="both"/>
        <w:rPr>
          <w:b/>
          <w:sz w:val="24"/>
          <w:szCs w:val="24"/>
        </w:rPr>
      </w:pPr>
      <w:r w:rsidRPr="00F26721">
        <w:rPr>
          <w:b/>
          <w:sz w:val="24"/>
          <w:szCs w:val="24"/>
        </w:rPr>
        <w:t>Graphique n°14   :Disparités régionales dans la couverture vaccinale</w:t>
      </w:r>
    </w:p>
    <w:p w:rsidR="004527CF" w:rsidRPr="00F26721" w:rsidRDefault="004527CF" w:rsidP="004527CF">
      <w:pPr>
        <w:tabs>
          <w:tab w:val="left" w:pos="270"/>
        </w:tabs>
        <w:spacing w:line="360" w:lineRule="auto"/>
        <w:jc w:val="both"/>
        <w:rPr>
          <w:sz w:val="24"/>
          <w:szCs w:val="24"/>
        </w:rPr>
      </w:pPr>
      <w:r w:rsidRPr="00F26721">
        <w:rPr>
          <w:sz w:val="24"/>
          <w:szCs w:val="24"/>
        </w:rPr>
        <w:t>La recherche de soins pour la prise en charge des principales maladies tueuses des enfants s’avère aujourd’hui encore relativement faible en dépit des progrès réalisés. Elle n’est pas effective pour près de la moitié des enfants souffrant d’infections respiratoires aigües. Près d’un enfant souffrant de diarrhée sur trois ne reçoit aucun traitement ou est traité à partir de plantes médicinales</w:t>
      </w:r>
      <w:r w:rsidRPr="00F26721">
        <w:rPr>
          <w:rStyle w:val="Appelnotedebasdep"/>
          <w:sz w:val="24"/>
          <w:szCs w:val="24"/>
        </w:rPr>
        <w:footnoteReference w:id="32"/>
      </w:r>
      <w:r w:rsidRPr="00F26721">
        <w:rPr>
          <w:sz w:val="24"/>
          <w:szCs w:val="24"/>
        </w:rPr>
        <w:t>. En dépit des multiples interventions conduites par le Gouvernement en vue de réduire la morbidité et la mortalité dues au paludisme, près de deux enfants souffrant de fièvre sur cinq n’ont pu bénéficier de soins et conseils auprès d’un prestataire de santé pour leur traitement</w:t>
      </w:r>
      <w:r w:rsidRPr="00F26721">
        <w:rPr>
          <w:rStyle w:val="Appelnotedebasdep"/>
          <w:sz w:val="24"/>
          <w:szCs w:val="24"/>
        </w:rPr>
        <w:footnoteReference w:id="33"/>
      </w:r>
      <w:r w:rsidRPr="00F26721">
        <w:rPr>
          <w:sz w:val="24"/>
          <w:szCs w:val="24"/>
        </w:rPr>
        <w:t>.</w:t>
      </w:r>
    </w:p>
    <w:p w:rsidR="004527CF" w:rsidRPr="00F26721" w:rsidRDefault="004527CF" w:rsidP="004527CF">
      <w:pPr>
        <w:spacing w:after="180" w:line="360" w:lineRule="auto"/>
        <w:jc w:val="both"/>
        <w:rPr>
          <w:rFonts w:eastAsia="Calibri"/>
          <w:sz w:val="24"/>
          <w:szCs w:val="24"/>
        </w:rPr>
      </w:pPr>
      <w:r w:rsidRPr="00F26721">
        <w:rPr>
          <w:rFonts w:eastAsia="Calibri"/>
          <w:sz w:val="24"/>
          <w:szCs w:val="24"/>
        </w:rPr>
        <w:t>Les efforts du Gouvernement ont été constants et en hausse avec la déclaration de vaccination gratuite sur toute l’étendue du territoire à partir de 2000. Cela s’est traduit par un accroissement considérable du taux de couverture vaccinale des enfants. Le pourcentage d’enfants ayant reçu le pentavalent 3 et la rougeole varie respectivement de 41% et 45.8% en 1999</w:t>
      </w:r>
      <w:r w:rsidRPr="00F26721">
        <w:rPr>
          <w:rStyle w:val="Appelnotedebasdep"/>
          <w:rFonts w:eastAsia="Calibri"/>
          <w:sz w:val="24"/>
          <w:szCs w:val="24"/>
        </w:rPr>
        <w:footnoteReference w:id="34"/>
      </w:r>
      <w:r w:rsidRPr="00F26721">
        <w:rPr>
          <w:rFonts w:eastAsia="Calibri"/>
          <w:sz w:val="24"/>
          <w:szCs w:val="24"/>
        </w:rPr>
        <w:t xml:space="preserve"> à 92% et 86% en 2015</w:t>
      </w:r>
      <w:r w:rsidRPr="00F26721">
        <w:rPr>
          <w:rStyle w:val="Appelnotedebasdep"/>
          <w:rFonts w:eastAsia="Calibri"/>
          <w:sz w:val="24"/>
          <w:szCs w:val="24"/>
        </w:rPr>
        <w:footnoteReference w:id="35"/>
      </w:r>
      <w:r w:rsidRPr="00F26721">
        <w:rPr>
          <w:rFonts w:eastAsia="Calibri"/>
          <w:sz w:val="24"/>
          <w:szCs w:val="24"/>
        </w:rPr>
        <w:t xml:space="preserve">. Il faut cependant noter que 16% des enfants âgés de 12 à 23 mois ne bénéficient pas d’une protection complète contre les maladies évitables par la vaccination (poliomyélite, rougeole, fièvre jaune, diphtérie, coqueluche, méningite à Hib, </w:t>
      </w:r>
      <w:r w:rsidRPr="00F26721">
        <w:rPr>
          <w:rFonts w:eastAsia="Calibri"/>
          <w:sz w:val="24"/>
          <w:szCs w:val="24"/>
        </w:rPr>
        <w:lastRenderedPageBreak/>
        <w:t>hépatite virale B et infections à Haemophilus influenzae)</w:t>
      </w:r>
      <w:r w:rsidRPr="00F26721">
        <w:rPr>
          <w:rStyle w:val="Appelnotedebasdep"/>
          <w:rFonts w:eastAsia="Calibri"/>
          <w:sz w:val="24"/>
          <w:szCs w:val="24"/>
        </w:rPr>
        <w:footnoteReference w:id="36"/>
      </w:r>
      <w:r w:rsidRPr="00F26721">
        <w:rPr>
          <w:rFonts w:eastAsia="Calibri"/>
          <w:sz w:val="24"/>
          <w:szCs w:val="24"/>
        </w:rPr>
        <w:t>. Ces enfants résident en grande majorité dans la région du Sahel qui enregistre les plus faibles performances en matière de vaccination. En effet, parmi les enfants âgés de 12 à 23 mois de la région du Sahel, 43.2% ne sont pas complètement vaccinés et 5.6% n’ont reçu aucun vaccin</w:t>
      </w:r>
      <w:r w:rsidRPr="00F26721">
        <w:rPr>
          <w:rStyle w:val="Appelnotedebasdep"/>
          <w:rFonts w:eastAsia="Calibri"/>
          <w:sz w:val="24"/>
          <w:szCs w:val="24"/>
        </w:rPr>
        <w:footnoteReference w:id="37"/>
      </w:r>
      <w:r w:rsidRPr="00F26721">
        <w:rPr>
          <w:rFonts w:eastAsia="Calibri"/>
          <w:sz w:val="24"/>
          <w:szCs w:val="24"/>
        </w:rPr>
        <w:t>.</w:t>
      </w:r>
    </w:p>
    <w:p w:rsidR="00F26721" w:rsidRDefault="004527CF" w:rsidP="00F26721">
      <w:pPr>
        <w:spacing w:after="180" w:line="360" w:lineRule="auto"/>
        <w:jc w:val="both"/>
        <w:rPr>
          <w:rFonts w:eastAsia="Calibri"/>
          <w:sz w:val="24"/>
          <w:szCs w:val="24"/>
        </w:rPr>
      </w:pPr>
      <w:r w:rsidRPr="00F26721">
        <w:rPr>
          <w:rFonts w:eastAsia="Calibri"/>
          <w:sz w:val="24"/>
          <w:szCs w:val="24"/>
        </w:rPr>
        <w:t>La prise en charge de la diarrhée, de la pneumonie et du paludisme qui constituent les principales maladies tueuses de l’enfant reste relativement faible. Un enfant âgé de moins de 5 ans sur quatre (24.8%) ne dort pas sous moustiquaire imprégnée et 39% des enfants souffrant de fièvre n’ont pu bénéficier de recherche de soins et conseils auprès d’un prestataire de santé pour leur traitement</w:t>
      </w:r>
      <w:r w:rsidRPr="00F26721">
        <w:rPr>
          <w:rStyle w:val="Appelnotedebasdep"/>
          <w:rFonts w:eastAsia="Calibri"/>
          <w:sz w:val="24"/>
          <w:szCs w:val="24"/>
        </w:rPr>
        <w:footnoteReference w:id="38"/>
      </w:r>
      <w:r w:rsidRPr="00F26721">
        <w:rPr>
          <w:rFonts w:eastAsia="Calibri"/>
          <w:sz w:val="24"/>
          <w:szCs w:val="24"/>
        </w:rPr>
        <w:t>. La recherche de conseils ou de soins auprès des prestataires de santé n’est pas effective pour près de la moitié (47%) des enfants souffrant d’infections respiratoires aigües. Plus d’un enfant souffrant de diarrhée sur cinq (21.3%) ne reçoit aucun traitement et 12.3% des enfants sont traités à partir d’herbes médicinales</w:t>
      </w:r>
      <w:r w:rsidRPr="00F26721">
        <w:rPr>
          <w:rStyle w:val="Appelnotedebasdep"/>
          <w:rFonts w:eastAsia="Calibri"/>
          <w:sz w:val="24"/>
          <w:szCs w:val="24"/>
        </w:rPr>
        <w:footnoteReference w:id="39"/>
      </w:r>
      <w:bookmarkStart w:id="15" w:name="_Toc522532898"/>
      <w:r w:rsidR="00F26721">
        <w:rPr>
          <w:rFonts w:eastAsia="Calibri"/>
          <w:sz w:val="24"/>
          <w:szCs w:val="24"/>
        </w:rPr>
        <w:t xml:space="preserve">. </w:t>
      </w:r>
    </w:p>
    <w:p w:rsidR="004527CF" w:rsidRPr="00F26721" w:rsidRDefault="00F26721" w:rsidP="00F26721">
      <w:pPr>
        <w:spacing w:after="180" w:line="360" w:lineRule="auto"/>
        <w:jc w:val="both"/>
        <w:rPr>
          <w:rFonts w:eastAsia="Calibri"/>
          <w:b/>
          <w:sz w:val="24"/>
          <w:szCs w:val="24"/>
        </w:rPr>
      </w:pPr>
      <w:r w:rsidRPr="00F26721">
        <w:rPr>
          <w:rFonts w:eastAsia="Calibri"/>
          <w:b/>
          <w:sz w:val="24"/>
          <w:szCs w:val="24"/>
        </w:rPr>
        <w:t xml:space="preserve">1.1.10. </w:t>
      </w:r>
      <w:r w:rsidR="004527CF" w:rsidRPr="00F26721">
        <w:rPr>
          <w:rFonts w:eastAsia="Calibri"/>
          <w:b/>
          <w:caps/>
        </w:rPr>
        <w:t>P</w:t>
      </w:r>
      <w:r w:rsidRPr="00F26721">
        <w:rPr>
          <w:rFonts w:eastAsia="Calibri"/>
          <w:b/>
        </w:rPr>
        <w:t xml:space="preserve">rise en charge intégrée des maladies de l’enfant </w:t>
      </w:r>
      <w:r w:rsidR="004527CF" w:rsidRPr="00F26721">
        <w:rPr>
          <w:rFonts w:eastAsia="Calibri"/>
          <w:b/>
          <w:caps/>
        </w:rPr>
        <w:t>(PCIME)</w:t>
      </w:r>
      <w:bookmarkEnd w:id="15"/>
    </w:p>
    <w:p w:rsidR="004527CF" w:rsidRPr="00B72473" w:rsidRDefault="004527CF" w:rsidP="004527CF">
      <w:pPr>
        <w:spacing w:line="360" w:lineRule="auto"/>
        <w:jc w:val="both"/>
        <w:rPr>
          <w:sz w:val="23"/>
          <w:szCs w:val="23"/>
        </w:rPr>
      </w:pPr>
      <w:r w:rsidRPr="00B72473">
        <w:rPr>
          <w:sz w:val="23"/>
          <w:szCs w:val="23"/>
        </w:rPr>
        <w:t xml:space="preserve">La proportion d’enfants pris en charge est passée de 23.64 en 2014 à 58,5 en 2017%. Ce taux est inférieur à la cible de 70% du PNDS. </w:t>
      </w:r>
    </w:p>
    <w:p w:rsidR="004527CF" w:rsidRPr="00B72473" w:rsidRDefault="004527CF" w:rsidP="004527CF">
      <w:pPr>
        <w:spacing w:line="360" w:lineRule="auto"/>
        <w:jc w:val="both"/>
        <w:rPr>
          <w:sz w:val="23"/>
          <w:szCs w:val="23"/>
        </w:rPr>
      </w:pPr>
      <w:r w:rsidRPr="00B72473">
        <w:rPr>
          <w:sz w:val="23"/>
          <w:szCs w:val="23"/>
        </w:rPr>
        <w:t>Certaines difficultés pourraient expliquer la non atteinte de la cible : mobilité du personnel ; l’insuffisance de gestion des intrants (fiches de pris en charge, les livrets des tableaux.) avec de nombreuses ruptures et la faiblesse des processus de supervision (qualité).  Par ailleurs avec la suppression des fonds du panier commun, le suivi de la mise en œuvre de la PCIME y compris les autres stratégies de survie de l’enfant sont en souffrance dans huit régions qui  (Hauts Bassins, les Cascades, le centre ouest, centre sud, centre Est,  plateau central, sud-ouest). Ces régions ne disposent pas de soutien financier des partenaires classiques tels que l’Unicef.</w:t>
      </w:r>
    </w:p>
    <w:p w:rsidR="004527CF" w:rsidRPr="00B72473" w:rsidRDefault="004527CF" w:rsidP="004527CF">
      <w:pPr>
        <w:spacing w:line="360" w:lineRule="auto"/>
        <w:jc w:val="both"/>
        <w:rPr>
          <w:sz w:val="23"/>
          <w:szCs w:val="23"/>
        </w:rPr>
      </w:pPr>
      <w:r w:rsidRPr="00B72473">
        <w:rPr>
          <w:sz w:val="23"/>
          <w:szCs w:val="23"/>
        </w:rPr>
        <w:t xml:space="preserve">L’introduction du Registre électronique de consultation (REC) dans les centres de santé et de promotion sociale (CSPS) a  révolutionné la pratique des agents de santé et amélioré leur adhésion </w:t>
      </w:r>
      <w:r w:rsidRPr="00B72473">
        <w:rPr>
          <w:sz w:val="23"/>
          <w:szCs w:val="23"/>
        </w:rPr>
        <w:lastRenderedPageBreak/>
        <w:t>à la PCIME.   La progression constatée en ce concerne la proportion d’enfants prise par la stratégie PCIME s’explique en partie par l’introduction de cette stratégie innovante.</w:t>
      </w:r>
    </w:p>
    <w:p w:rsidR="004527CF" w:rsidRPr="00B72473" w:rsidRDefault="004527CF" w:rsidP="004527CF">
      <w:pPr>
        <w:spacing w:line="360" w:lineRule="auto"/>
        <w:jc w:val="both"/>
        <w:rPr>
          <w:sz w:val="23"/>
          <w:szCs w:val="23"/>
        </w:rPr>
      </w:pPr>
      <w:r w:rsidRPr="00B72473">
        <w:rPr>
          <w:sz w:val="23"/>
          <w:szCs w:val="23"/>
        </w:rPr>
        <w:t xml:space="preserve"> Le REC est déployé dans 604 CSPS en fin 2017 soit 30% de couverture du pays. Les régions sites sont  le Nord, la Boucle du Mouhoun, le Sahel (2 Districts sanitaires) et de l’Est (2 Districts sanitaires), soit un total de 16 Districts sanitaires. En termes de  résultats obtenus, on peut noter  plus 180.000 consultations/mois et 1,5 million d’enfants vus représentant </w:t>
      </w:r>
      <w:r w:rsidRPr="00B72473">
        <w:rPr>
          <w:iCs/>
          <w:sz w:val="23"/>
          <w:szCs w:val="23"/>
        </w:rPr>
        <w:t>7,5% de la population totale</w:t>
      </w:r>
      <w:r w:rsidRPr="00B72473">
        <w:rPr>
          <w:sz w:val="23"/>
          <w:szCs w:val="23"/>
        </w:rPr>
        <w:t>.</w:t>
      </w:r>
    </w:p>
    <w:p w:rsidR="004527CF" w:rsidRPr="00B72473" w:rsidRDefault="004527CF" w:rsidP="004527CF">
      <w:pPr>
        <w:spacing w:line="360" w:lineRule="auto"/>
        <w:jc w:val="both"/>
        <w:rPr>
          <w:sz w:val="23"/>
          <w:szCs w:val="23"/>
        </w:rPr>
      </w:pPr>
      <w:r w:rsidRPr="00B72473">
        <w:rPr>
          <w:sz w:val="23"/>
          <w:szCs w:val="23"/>
        </w:rPr>
        <w:t>Au regard des résultats enregistrés à travers la mise en œuvre du REC et du risque de non atteinte de l’atteindre l’objectif de la proportion d’enfants pris en charge selon l’approche PCIME fixé à 75% par le PNDS à l’horizon 2020, il serait nécessaire d’envisager une extension à d’autres régions du pays.</w:t>
      </w:r>
    </w:p>
    <w:p w:rsidR="004527CF" w:rsidRPr="00B72473" w:rsidRDefault="004527CF" w:rsidP="004527CF">
      <w:pPr>
        <w:spacing w:line="360" w:lineRule="auto"/>
        <w:jc w:val="both"/>
        <w:rPr>
          <w:sz w:val="23"/>
          <w:szCs w:val="23"/>
        </w:rPr>
      </w:pPr>
      <w:r w:rsidRPr="00B72473">
        <w:rPr>
          <w:sz w:val="23"/>
          <w:szCs w:val="23"/>
        </w:rPr>
        <w:t>La prise en compte des régions susmentionnées  permettra d’atteindre environ 1090 CSPS et dispensaires isolés soit environ 54,7% de couverture en PCIME/REC sur le plan national à l’horizon 2020 (formations, équipements, coaching, supervision, organisation de rencontres de partage).</w:t>
      </w:r>
    </w:p>
    <w:p w:rsidR="004527CF" w:rsidRPr="00B72473" w:rsidRDefault="004527CF" w:rsidP="004527CF">
      <w:pPr>
        <w:spacing w:line="360" w:lineRule="auto"/>
        <w:jc w:val="both"/>
        <w:rPr>
          <w:sz w:val="23"/>
          <w:szCs w:val="23"/>
        </w:rPr>
      </w:pPr>
      <w:r w:rsidRPr="00B72473">
        <w:rPr>
          <w:sz w:val="23"/>
          <w:szCs w:val="23"/>
        </w:rPr>
        <w:t xml:space="preserve">Pour renforcer la dimension communautaire, le ministère de la santé avait élaboré un plan stratégique sur la PCIME communautaire pour la période de 2010 à 2014. Dans cette dynamique un projet d’accélération de la réduction de la mortalité maternelle et infanto juvénile a été mis en œuvre dans les régions du Nord et du Centre-nord. A cet effet, les agents de santé à base communautaire (ASBC) ont vu leurs capacités renforcées pour le traitement du paludisme et de la diarrhée avec respectivement les ACT et les Sels de réhydratation orale (SRO) +Zinc, dans neufs districts des deux régions. </w:t>
      </w:r>
    </w:p>
    <w:p w:rsidR="004527CF" w:rsidRPr="00B72473" w:rsidRDefault="00B366B0" w:rsidP="004527CF">
      <w:pPr>
        <w:spacing w:line="360" w:lineRule="auto"/>
        <w:jc w:val="both"/>
        <w:rPr>
          <w:sz w:val="23"/>
          <w:szCs w:val="23"/>
        </w:rPr>
      </w:pPr>
      <w:r>
        <w:rPr>
          <w:sz w:val="23"/>
          <w:szCs w:val="23"/>
        </w:rPr>
        <w:t>Aujourd’hui</w:t>
      </w:r>
      <w:r w:rsidR="004527CF" w:rsidRPr="00B72473">
        <w:rPr>
          <w:sz w:val="23"/>
          <w:szCs w:val="23"/>
        </w:rPr>
        <w:t>, le paquet complet de la PCIME communautaire et les soins du nouveau-né à domicile sont mis en œuvre dans 5 régions (Boucle du Mouhoun, Est, Sahel, Nord et Centre-nord) sanitaires soit 40% des districts sanitaires du pays.</w:t>
      </w:r>
    </w:p>
    <w:p w:rsidR="00B366B0" w:rsidRDefault="004527CF" w:rsidP="00B366B0">
      <w:pPr>
        <w:spacing w:line="360" w:lineRule="auto"/>
        <w:jc w:val="both"/>
        <w:rPr>
          <w:sz w:val="23"/>
          <w:szCs w:val="23"/>
        </w:rPr>
      </w:pPr>
      <w:r w:rsidRPr="00B72473">
        <w:rPr>
          <w:sz w:val="23"/>
          <w:szCs w:val="23"/>
        </w:rPr>
        <w:t xml:space="preserve">Au regard de ce qui précède, très peu de districts sanitaires mettent en œuvre le paquet complet de la PCIME communautaire et les soins du nouveau-né à domicile (28 districts sur 70). Les ASBC sur lesquels s’appuie la mise en œuvre de la PCIME communautaire et les soins du nouveau-né à domicile sont peu performants du fait des ruptures fréquentes de stocks d’intrants (ACT, cotrimoxazole, SRO, zinc, carte conseils, </w:t>
      </w:r>
      <w:bookmarkStart w:id="16" w:name="_Toc522532899"/>
      <w:r w:rsidR="00B366B0">
        <w:rPr>
          <w:sz w:val="23"/>
          <w:szCs w:val="23"/>
        </w:rPr>
        <w:t xml:space="preserve">cartes de la mère et du bébé). </w:t>
      </w:r>
    </w:p>
    <w:p w:rsidR="004527CF" w:rsidRPr="00B366B0" w:rsidRDefault="00B366B0" w:rsidP="00B366B0">
      <w:pPr>
        <w:spacing w:line="360" w:lineRule="auto"/>
        <w:jc w:val="both"/>
        <w:rPr>
          <w:b/>
          <w:sz w:val="23"/>
          <w:szCs w:val="23"/>
        </w:rPr>
      </w:pPr>
      <w:r w:rsidRPr="00B366B0">
        <w:rPr>
          <w:b/>
          <w:sz w:val="23"/>
          <w:szCs w:val="23"/>
        </w:rPr>
        <w:t xml:space="preserve">1.1.11. </w:t>
      </w:r>
      <w:r w:rsidR="004527CF" w:rsidRPr="00B366B0">
        <w:rPr>
          <w:rFonts w:eastAsia="Calibri"/>
          <w:b/>
          <w:caps/>
        </w:rPr>
        <w:t xml:space="preserve"> L</w:t>
      </w:r>
      <w:r w:rsidRPr="00B366B0">
        <w:rPr>
          <w:rFonts w:eastAsia="Calibri"/>
          <w:b/>
        </w:rPr>
        <w:t xml:space="preserve">e tri évaluation et traitement des urgences </w:t>
      </w:r>
      <w:r w:rsidR="004527CF" w:rsidRPr="00B366B0">
        <w:rPr>
          <w:rFonts w:eastAsia="Calibri"/>
          <w:b/>
          <w:caps/>
        </w:rPr>
        <w:t>(TETU)</w:t>
      </w:r>
      <w:bookmarkEnd w:id="16"/>
    </w:p>
    <w:p w:rsidR="004527CF" w:rsidRPr="00B72473" w:rsidRDefault="004527CF" w:rsidP="004527CF">
      <w:pPr>
        <w:spacing w:line="360" w:lineRule="auto"/>
        <w:jc w:val="both"/>
        <w:rPr>
          <w:sz w:val="23"/>
          <w:szCs w:val="23"/>
        </w:rPr>
      </w:pPr>
      <w:r w:rsidRPr="00B72473">
        <w:rPr>
          <w:sz w:val="23"/>
          <w:szCs w:val="23"/>
        </w:rPr>
        <w:lastRenderedPageBreak/>
        <w:t>Dans le cadre du projet d’accélération de la réduction de la mortalité maternelle et infanto juvénile  mis en œuvre dans les régions du Nord et du Centre-nord entre 2008-2012, environ 369 agents de santé des CMA et CHR de ces régions ont été renforcés à la stratégie TETU. Aussi, grâce à l’appui de l’Unicef et de l’OMS, au moins deux agents de santé des neuf CHR ont bénéficié de formation TETU en 2014. Ces actions ont permis de renforcer la mise en œuvre de la stratégie. Les enfants pris en charge selon l'approche TETU sont respectivement 46938 en 2016 et 75346 en 2017 selon les annuaires statistiques. En 2018, le rapport de suivi de routine montre qu’aucun CHR ne dispose d’agents formés sur les TETU. Les compétences disponibles dans les CMA sont variables selon les régions. La disponibilité des équipements et consommables reste faible.</w:t>
      </w:r>
    </w:p>
    <w:p w:rsidR="009078FF" w:rsidRDefault="00B366B0" w:rsidP="009078FF">
      <w:pPr>
        <w:spacing w:after="0" w:line="360" w:lineRule="auto"/>
        <w:jc w:val="both"/>
        <w:rPr>
          <w:rFonts w:ascii="Calibri" w:hAnsi="Calibri"/>
          <w:sz w:val="24"/>
          <w:szCs w:val="24"/>
        </w:rPr>
      </w:pPr>
      <w:r w:rsidRPr="00B366B0">
        <w:rPr>
          <w:rFonts w:ascii="Calibri" w:hAnsi="Calibri"/>
          <w:sz w:val="24"/>
          <w:szCs w:val="24"/>
          <w:highlight w:val="yellow"/>
        </w:rPr>
        <w:t>1.1.12. Performance des interventions en faveur de la santé des adolescents et jeunes</w:t>
      </w:r>
    </w:p>
    <w:p w:rsidR="006B1A20" w:rsidRDefault="00B366B0" w:rsidP="009078FF">
      <w:pPr>
        <w:spacing w:after="0" w:line="360" w:lineRule="auto"/>
        <w:jc w:val="both"/>
        <w:rPr>
          <w:rFonts w:ascii="Calibri" w:hAnsi="Calibri"/>
          <w:sz w:val="24"/>
          <w:szCs w:val="24"/>
        </w:rPr>
      </w:pPr>
      <w:r>
        <w:rPr>
          <w:rFonts w:ascii="Calibri" w:hAnsi="Calibri"/>
          <w:sz w:val="24"/>
          <w:szCs w:val="24"/>
        </w:rPr>
        <w:t>…………</w:t>
      </w:r>
      <w:r w:rsidR="006B1A20">
        <w:rPr>
          <w:rFonts w:ascii="Calibri" w:hAnsi="Calibri"/>
          <w:sz w:val="24"/>
          <w:szCs w:val="24"/>
        </w:rPr>
        <w:br w:type="page"/>
      </w:r>
    </w:p>
    <w:p w:rsidR="006B1A20" w:rsidRPr="00D94534" w:rsidRDefault="0063169B" w:rsidP="006B1A20">
      <w:pPr>
        <w:pStyle w:val="Default"/>
        <w:spacing w:line="360" w:lineRule="auto"/>
        <w:jc w:val="both"/>
        <w:outlineLvl w:val="1"/>
        <w:rPr>
          <w:rFonts w:ascii="Calibri" w:hAnsi="Calibri"/>
          <w:b/>
          <w:bCs/>
        </w:rPr>
      </w:pPr>
      <w:r w:rsidRPr="00D94534">
        <w:rPr>
          <w:rFonts w:ascii="Calibri" w:hAnsi="Calibri"/>
          <w:b/>
          <w:bCs/>
          <w:highlight w:val="yellow"/>
        </w:rPr>
        <w:lastRenderedPageBreak/>
        <w:t>Performance de la Couverture en</w:t>
      </w:r>
      <w:r w:rsidR="006B1A20" w:rsidRPr="00D94534">
        <w:rPr>
          <w:rFonts w:ascii="Calibri" w:hAnsi="Calibri"/>
          <w:b/>
          <w:bCs/>
          <w:highlight w:val="yellow"/>
        </w:rPr>
        <w:t xml:space="preserve"> interventions à haut impact de Nutrition selon le continuum de soins</w:t>
      </w:r>
      <w:r w:rsidR="006B1A20" w:rsidRPr="00D94534">
        <w:rPr>
          <w:rFonts w:ascii="Calibri" w:hAnsi="Calibri"/>
          <w:b/>
          <w:bCs/>
        </w:rPr>
        <w:t xml:space="preserve"> </w:t>
      </w:r>
    </w:p>
    <w:p w:rsidR="006B1A20" w:rsidRPr="00D94534" w:rsidRDefault="006B1A20" w:rsidP="00D94534">
      <w:pPr>
        <w:spacing w:line="360" w:lineRule="auto"/>
        <w:jc w:val="both"/>
        <w:rPr>
          <w:rFonts w:ascii="Calibri" w:hAnsi="Calibri"/>
          <w:sz w:val="24"/>
          <w:szCs w:val="24"/>
        </w:rPr>
      </w:pPr>
      <w:r w:rsidRPr="00D94534">
        <w:rPr>
          <w:rFonts w:ascii="Calibri" w:hAnsi="Calibri"/>
          <w:sz w:val="24"/>
          <w:szCs w:val="24"/>
        </w:rPr>
        <w:t xml:space="preserve">Les interventions ayant fait la preuve de leur efficacité sont essentiellement, les interventions </w:t>
      </w:r>
      <w:r w:rsidR="00104798" w:rsidRPr="00D94534">
        <w:rPr>
          <w:rFonts w:ascii="Calibri" w:hAnsi="Calibri"/>
          <w:sz w:val="24"/>
          <w:szCs w:val="24"/>
        </w:rPr>
        <w:t>de nutrition</w:t>
      </w:r>
      <w:r w:rsidRPr="00D94534">
        <w:rPr>
          <w:rFonts w:ascii="Calibri" w:hAnsi="Calibri"/>
          <w:sz w:val="24"/>
          <w:szCs w:val="24"/>
        </w:rPr>
        <w:t xml:space="preserve"> </w:t>
      </w:r>
      <w:r w:rsidR="00104798" w:rsidRPr="00D94534">
        <w:rPr>
          <w:rFonts w:ascii="Calibri" w:hAnsi="Calibri"/>
          <w:sz w:val="24"/>
          <w:szCs w:val="24"/>
        </w:rPr>
        <w:t>maternelle et</w:t>
      </w:r>
      <w:r w:rsidRPr="00D94534">
        <w:rPr>
          <w:rFonts w:ascii="Calibri" w:hAnsi="Calibri"/>
          <w:sz w:val="24"/>
          <w:szCs w:val="24"/>
        </w:rPr>
        <w:t xml:space="preserve"> de promotion de l’alimentation du Nourrisson et de jeune enfant du fait de leur efficience. Un investissement de 207USD/cas permet d’éviter en moyenne 8482 cas et 1150 décès par an liés à la malnutrition chronique.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6"/>
        <w:gridCol w:w="4346"/>
      </w:tblGrid>
      <w:tr w:rsidR="00D94534" w:rsidTr="00D94534">
        <w:trPr>
          <w:trHeight w:val="3566"/>
        </w:trPr>
        <w:tc>
          <w:tcPr>
            <w:tcW w:w="4716" w:type="dxa"/>
          </w:tcPr>
          <w:p w:rsidR="00D94534" w:rsidRPr="00D94534" w:rsidRDefault="00D94534" w:rsidP="006B1A20">
            <w:pPr>
              <w:spacing w:line="360" w:lineRule="auto"/>
              <w:jc w:val="both"/>
              <w:rPr>
                <w:rFonts w:ascii="Calibri" w:hAnsi="Calibri" w:cs="Arial"/>
                <w:b/>
              </w:rPr>
            </w:pPr>
            <w:r w:rsidRPr="00D94534">
              <w:rPr>
                <w:rFonts w:ascii="Calibri" w:hAnsi="Calibri"/>
                <w:b/>
                <w:noProof/>
                <w:highlight w:val="yellow"/>
                <w:lang w:eastAsia="fr-FR"/>
              </w:rPr>
              <w:drawing>
                <wp:anchor distT="11240" distB="8946" distL="125360" distR="126828" simplePos="0" relativeHeight="251689984" behindDoc="1" locked="0" layoutInCell="1" allowOverlap="1" wp14:anchorId="6D684F24" wp14:editId="55B1185B">
                  <wp:simplePos x="0" y="0"/>
                  <wp:positionH relativeFrom="margin">
                    <wp:posOffset>-9525</wp:posOffset>
                  </wp:positionH>
                  <wp:positionV relativeFrom="margin">
                    <wp:posOffset>31750</wp:posOffset>
                  </wp:positionV>
                  <wp:extent cx="2847975" cy="2190750"/>
                  <wp:effectExtent l="0" t="0" r="9525" b="0"/>
                  <wp:wrapThrough wrapText="bothSides">
                    <wp:wrapPolygon edited="0">
                      <wp:start x="0" y="0"/>
                      <wp:lineTo x="0" y="21412"/>
                      <wp:lineTo x="21528" y="21412"/>
                      <wp:lineTo x="21528" y="0"/>
                      <wp:lineTo x="0" y="0"/>
                    </wp:wrapPolygon>
                  </wp:wrapThrough>
                  <wp:docPr id="236" name="Graphique 23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14:sizeRelH relativeFrom="page">
                    <wp14:pctWidth>0</wp14:pctWidth>
                  </wp14:sizeRelH>
                  <wp14:sizeRelV relativeFrom="page">
                    <wp14:pctHeight>0</wp14:pctHeight>
                  </wp14:sizeRelV>
                </wp:anchor>
              </w:drawing>
            </w:r>
            <w:r w:rsidRPr="00D94534">
              <w:rPr>
                <w:rFonts w:ascii="Calibri" w:hAnsi="Calibri" w:cs="Arial"/>
                <w:b/>
                <w:highlight w:val="yellow"/>
              </w:rPr>
              <w:t>Figure :</w:t>
            </w:r>
            <w:r w:rsidRPr="00D94534">
              <w:rPr>
                <w:rFonts w:ascii="Calibri" w:hAnsi="Calibri" w:cs="Arial"/>
                <w:b/>
              </w:rPr>
              <w:t xml:space="preserve"> Analyse de la performance des services  de nutrition à l’aide de l’outil PHCPI (Gaps)</w:t>
            </w:r>
          </w:p>
        </w:tc>
        <w:tc>
          <w:tcPr>
            <w:tcW w:w="4346" w:type="dxa"/>
          </w:tcPr>
          <w:p w:rsidR="00D94534" w:rsidRPr="00D94534" w:rsidRDefault="00D94534" w:rsidP="00D94534">
            <w:pPr>
              <w:spacing w:line="360" w:lineRule="auto"/>
              <w:jc w:val="both"/>
              <w:rPr>
                <w:rFonts w:ascii="Calibri" w:hAnsi="Calibri"/>
                <w:sz w:val="24"/>
                <w:szCs w:val="24"/>
              </w:rPr>
            </w:pPr>
            <w:r w:rsidRPr="00D94534">
              <w:rPr>
                <w:rFonts w:ascii="Calibri" w:hAnsi="Calibri"/>
                <w:sz w:val="24"/>
                <w:szCs w:val="24"/>
              </w:rPr>
              <w:t>Parmi les entraves à une la performance, il faut citer la disponibilité basse des intrants (dont le personnel,) à seulement 46.6%, la couverture en termes de prestations qui est de l’ordre de 65.5%</w:t>
            </w:r>
            <w:r w:rsidRPr="00D94534">
              <w:rPr>
                <w:rStyle w:val="Appelnotedebasdep"/>
                <w:rFonts w:ascii="Calibri" w:hAnsi="Calibri"/>
                <w:sz w:val="24"/>
                <w:szCs w:val="24"/>
              </w:rPr>
              <w:footnoteReference w:id="40"/>
            </w:r>
            <w:r w:rsidRPr="00D94534">
              <w:rPr>
                <w:rFonts w:ascii="Calibri" w:hAnsi="Calibri"/>
                <w:sz w:val="24"/>
                <w:szCs w:val="24"/>
              </w:rPr>
              <w:t xml:space="preserve">.  Ainsi, par exemple le Centre Ouest n’est couvert par aucune intervention de nutrition maternelle et d’ANJE et dans d’autres régions seulement la moitié des districts est couverte. </w:t>
            </w:r>
          </w:p>
        </w:tc>
      </w:tr>
    </w:tbl>
    <w:p w:rsidR="006B1A20" w:rsidRPr="00D94534" w:rsidRDefault="006B1A20" w:rsidP="00D94534">
      <w:pPr>
        <w:spacing w:after="0" w:line="360" w:lineRule="auto"/>
        <w:jc w:val="both"/>
        <w:rPr>
          <w:rFonts w:cs="Arial"/>
          <w:b/>
          <w:sz w:val="24"/>
          <w:szCs w:val="24"/>
        </w:rPr>
      </w:pPr>
      <w:r w:rsidRPr="00D94534">
        <w:rPr>
          <w:rFonts w:cs="Arial"/>
          <w:b/>
          <w:sz w:val="24"/>
          <w:szCs w:val="24"/>
        </w:rPr>
        <w:t xml:space="preserve">Alimentation adéquate de la femme </w:t>
      </w:r>
      <w:r w:rsidR="0063169B" w:rsidRPr="00D94534">
        <w:rPr>
          <w:rFonts w:cs="Arial"/>
          <w:b/>
          <w:sz w:val="24"/>
          <w:szCs w:val="24"/>
        </w:rPr>
        <w:t>enceinte et</w:t>
      </w:r>
      <w:r w:rsidRPr="00D94534">
        <w:rPr>
          <w:rFonts w:cs="Arial"/>
          <w:b/>
          <w:sz w:val="24"/>
          <w:szCs w:val="24"/>
        </w:rPr>
        <w:t xml:space="preserve"> </w:t>
      </w:r>
      <w:r w:rsidR="0063169B" w:rsidRPr="00D94534">
        <w:rPr>
          <w:rFonts w:cs="Arial"/>
          <w:b/>
          <w:sz w:val="24"/>
          <w:szCs w:val="24"/>
        </w:rPr>
        <w:t xml:space="preserve">de la femme </w:t>
      </w:r>
      <w:r w:rsidRPr="00D94534">
        <w:rPr>
          <w:rFonts w:cs="Arial"/>
          <w:b/>
          <w:sz w:val="24"/>
          <w:szCs w:val="24"/>
        </w:rPr>
        <w:t xml:space="preserve">allaitante </w:t>
      </w:r>
    </w:p>
    <w:p w:rsidR="00455971" w:rsidRDefault="006B1A20" w:rsidP="00D94534">
      <w:pPr>
        <w:spacing w:after="0" w:line="360" w:lineRule="auto"/>
        <w:jc w:val="both"/>
        <w:rPr>
          <w:sz w:val="24"/>
          <w:szCs w:val="24"/>
        </w:rPr>
      </w:pPr>
      <w:r w:rsidRPr="00D94534">
        <w:rPr>
          <w:sz w:val="24"/>
          <w:szCs w:val="24"/>
        </w:rPr>
        <w:t xml:space="preserve">Cette intervention vise à procurer une diversité alimentaire aux mères, une alimentation adéquate afin de prévenir l’anémie et les carences en micronutriment qui </w:t>
      </w:r>
      <w:r w:rsidR="0063169B" w:rsidRPr="00D94534">
        <w:rPr>
          <w:sz w:val="24"/>
          <w:szCs w:val="24"/>
        </w:rPr>
        <w:t xml:space="preserve">se répercutent </w:t>
      </w:r>
      <w:r w:rsidRPr="00D94534">
        <w:rPr>
          <w:sz w:val="24"/>
          <w:szCs w:val="24"/>
        </w:rPr>
        <w:t xml:space="preserve">en </w:t>
      </w:r>
      <w:r w:rsidR="0063169B" w:rsidRPr="00D94534">
        <w:rPr>
          <w:sz w:val="24"/>
          <w:szCs w:val="24"/>
        </w:rPr>
        <w:t>général sur le</w:t>
      </w:r>
      <w:r w:rsidRPr="00D94534">
        <w:rPr>
          <w:sz w:val="24"/>
          <w:szCs w:val="24"/>
        </w:rPr>
        <w:t xml:space="preserve"> cycle de vie de l’enfant.  </w:t>
      </w:r>
      <w:r w:rsidR="00EF7771" w:rsidRPr="00D94534">
        <w:rPr>
          <w:sz w:val="24"/>
          <w:szCs w:val="24"/>
        </w:rPr>
        <w:t>La couverture actuelle de la diversité alimentaire est de 20,3%</w:t>
      </w:r>
      <w:r w:rsidR="00EF7771" w:rsidRPr="00D94534">
        <w:rPr>
          <w:rStyle w:val="Appelnotedebasdep"/>
          <w:sz w:val="24"/>
          <w:szCs w:val="24"/>
        </w:rPr>
        <w:footnoteReference w:id="41"/>
      </w:r>
      <w:r w:rsidR="00EF7771" w:rsidRPr="00D94534">
        <w:rPr>
          <w:sz w:val="24"/>
          <w:szCs w:val="24"/>
        </w:rPr>
        <w:t>. Les niveaux faibles de couverture faible en CPN4 (38%) et celui des GASPA, constituent autant d’opportunités manquées de promotion.</w:t>
      </w:r>
    </w:p>
    <w:p w:rsidR="006B1A20" w:rsidRPr="00D94534" w:rsidRDefault="006B1A20" w:rsidP="00455971">
      <w:pPr>
        <w:spacing w:after="0" w:line="360" w:lineRule="auto"/>
        <w:jc w:val="both"/>
        <w:rPr>
          <w:rFonts w:cs="Arial"/>
          <w:b/>
          <w:sz w:val="24"/>
          <w:szCs w:val="24"/>
        </w:rPr>
      </w:pPr>
      <w:r w:rsidRPr="00D94534">
        <w:rPr>
          <w:rFonts w:cs="Arial"/>
          <w:b/>
          <w:sz w:val="24"/>
          <w:szCs w:val="24"/>
        </w:rPr>
        <w:t>Initiation à l’allaitement précoce</w:t>
      </w:r>
    </w:p>
    <w:p w:rsidR="00EF7771" w:rsidRDefault="006B1A20" w:rsidP="00D94534">
      <w:pPr>
        <w:spacing w:after="0" w:line="360" w:lineRule="auto"/>
        <w:jc w:val="both"/>
        <w:rPr>
          <w:rFonts w:cs="Arial"/>
          <w:sz w:val="24"/>
          <w:szCs w:val="24"/>
        </w:rPr>
      </w:pPr>
      <w:r w:rsidRPr="00D94534">
        <w:rPr>
          <w:noProof/>
          <w:sz w:val="24"/>
          <w:szCs w:val="24"/>
          <w:lang w:eastAsia="fr-FR"/>
        </w:rPr>
        <mc:AlternateContent>
          <mc:Choice Requires="wps">
            <w:drawing>
              <wp:anchor distT="0" distB="0" distL="114300" distR="114300" simplePos="0" relativeHeight="251685888" behindDoc="0" locked="0" layoutInCell="1" allowOverlap="1" wp14:anchorId="060033B4" wp14:editId="50CC2F4C">
                <wp:simplePos x="0" y="0"/>
                <wp:positionH relativeFrom="column">
                  <wp:posOffset>1743710</wp:posOffset>
                </wp:positionH>
                <wp:positionV relativeFrom="paragraph">
                  <wp:posOffset>3113405</wp:posOffset>
                </wp:positionV>
                <wp:extent cx="628650" cy="171450"/>
                <wp:effectExtent l="0" t="3175" r="4445" b="0"/>
                <wp:wrapNone/>
                <wp:docPr id="233" name="Zone de texte 2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1714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B2626" w:rsidRPr="003A2DC7" w:rsidRDefault="00EB2626" w:rsidP="006B1A20">
                            <w:pPr>
                              <w:rPr>
                                <w:sz w:val="14"/>
                              </w:rPr>
                            </w:pPr>
                            <w:r w:rsidRPr="003A2DC7">
                              <w:rPr>
                                <w:sz w:val="14"/>
                              </w:rPr>
                              <w:t>ENN 2017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0033B4" id="_x0000_t202" coordsize="21600,21600" o:spt="202" path="m,l,21600r21600,l21600,xe">
                <v:stroke joinstyle="miter"/>
                <v:path gradientshapeok="t" o:connecttype="rect"/>
              </v:shapetype>
              <v:shape id="Zone de texte 233" o:spid="_x0000_s1026" type="#_x0000_t202" style="position:absolute;left:0;text-align:left;margin-left:137.3pt;margin-top:245.15pt;width:49.5pt;height:1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gfFhwIAABcFAAAOAAAAZHJzL2Uyb0RvYy54bWysVNuO2yAQfa/Uf0C8Z31Z52JrndVemqrS&#10;9iJt+9I3YnCMioECib1b9d87QJLN9iJVVf2AgRkOM3POcHE59gLtmLFcyRpnZylGTDaKcrmp8aeP&#10;q8kCI+uIpEQoyWr8wCy+XL58cTHoiuWqU4IygwBE2mrQNe6c01WS2KZjPbFnSjMJxlaZnjhYmk1C&#10;DRkAvRdJnqazZFCGaqMaZi3s3kYjXgb8tmWNe9+2ljkkagyxuTCaMK79mCwvSLUxRHe82YdB/iGK&#10;nnAJlx6hbokjaGv4L1A9b4yyqnVnjeoT1ba8YSEHyCZLf8rmviOahVygOFYfy2T/H2zzbvfBIE5r&#10;nJ+fYyRJDyR9BqoQZcix0THkDVCmQdsKvO81+LvxWo1Ad0jZ6jvVfLFIqpuOyA27MkYNHSMUwsz8&#10;yeTkaMSxHmQ9vFUUbiNbpwLQ2Jre1xCqggAd6Ho4UgSRoAY2Z/liNgVLA6ZsnhUw9zeQ6nBYG+te&#10;M9UjP6mxAQUEcLK7sy66Hlz8XVYJTldciLAwm/WNMGhHQC2r8O3Rn7kJ6Z2l8sciYtyBGOEOb/PR&#10;Bva/lVlepNd5OVnNFvNJsSqmk3KeLiZpVl6Xs7Qoi9vVdx9gVlQdp5TJOw7Fjw0Bm3/H9L4nooaC&#10;FtFQ43KaTyNDf0wyDd/vkuy5g8YUvK/x4uhEKs/rK0khbVI5wkWcJ8/DD4RADQ7/UJWgAk98lIAb&#10;1yOgeGmsFX0APRgFfAG18JrApFPmEaMBOrPG9uuWGIaReCNBU2VWFL6Vw6KYznNYmFPL+tRCZANQ&#10;NXYYxemNi+2/1YZvOrgpqliqK9Bhy4NGnqLaqxe6LySzfyl8e5+ug9fTe7b8AQAA//8DAFBLAwQU&#10;AAYACAAAACEAMtHVZOAAAAALAQAADwAAAGRycy9kb3ducmV2LnhtbEyPwU6DQBCG7ya+w2ZMvBi7&#10;tFC2pQyNmmi8tvYBFtgCkZ0l7LbQt3c86XFmvvzz/fl+tr24mtF3jhCWiwiEocrVHTUIp6/35w0I&#10;HzTVundkEG7Gw764v8t1VruJDuZ6DI3gEPKZRmhDGDIpfdUaq/3CDYb4dnaj1YHHsZH1qCcOt71c&#10;RVEqre6IP7R6MG+tqb6PF4tw/pye1tup/AgndUjSV92p0t0QHx/mlx2IYObwB8OvPqtDwU6lu1Dt&#10;RY+wUknKKEKyjWIQTMQq5k2JsF6qGGSRy/8dih8AAAD//wMAUEsBAi0AFAAGAAgAAAAhALaDOJL+&#10;AAAA4QEAABMAAAAAAAAAAAAAAAAAAAAAAFtDb250ZW50X1R5cGVzXS54bWxQSwECLQAUAAYACAAA&#10;ACEAOP0h/9YAAACUAQAACwAAAAAAAAAAAAAAAAAvAQAAX3JlbHMvLnJlbHNQSwECLQAUAAYACAAA&#10;ACEAnaIHxYcCAAAXBQAADgAAAAAAAAAAAAAAAAAuAgAAZHJzL2Uyb0RvYy54bWxQSwECLQAUAAYA&#10;CAAAACEAMtHVZOAAAAALAQAADwAAAAAAAAAAAAAAAADhBAAAZHJzL2Rvd25yZXYueG1sUEsFBgAA&#10;AAAEAAQA8wAAAO4FAAAAAA==&#10;" stroked="f">
                <v:textbox>
                  <w:txbxContent>
                    <w:p w:rsidR="00EB2626" w:rsidRPr="003A2DC7" w:rsidRDefault="00EB2626" w:rsidP="006B1A20">
                      <w:pPr>
                        <w:rPr>
                          <w:sz w:val="14"/>
                        </w:rPr>
                      </w:pPr>
                      <w:r w:rsidRPr="003A2DC7">
                        <w:rPr>
                          <w:sz w:val="14"/>
                        </w:rPr>
                        <w:t>ENN 2017</w:t>
                      </w:r>
                    </w:p>
                  </w:txbxContent>
                </v:textbox>
              </v:shape>
            </w:pict>
          </mc:Fallback>
        </mc:AlternateContent>
      </w:r>
      <w:r w:rsidRPr="00D94534">
        <w:rPr>
          <w:noProof/>
          <w:sz w:val="24"/>
          <w:szCs w:val="24"/>
          <w:lang w:eastAsia="fr-FR"/>
        </w:rPr>
        <mc:AlternateContent>
          <mc:Choice Requires="wps">
            <w:drawing>
              <wp:anchor distT="0" distB="0" distL="114300" distR="114300" simplePos="0" relativeHeight="251682816" behindDoc="0" locked="0" layoutInCell="1" allowOverlap="1" wp14:anchorId="443F4536" wp14:editId="4A4EF0D9">
                <wp:simplePos x="0" y="0"/>
                <wp:positionH relativeFrom="column">
                  <wp:posOffset>-1885950</wp:posOffset>
                </wp:positionH>
                <wp:positionV relativeFrom="paragraph">
                  <wp:posOffset>1306195</wp:posOffset>
                </wp:positionV>
                <wp:extent cx="825500" cy="149860"/>
                <wp:effectExtent l="4445" t="0" r="0" b="0"/>
                <wp:wrapNone/>
                <wp:docPr id="230" name="Zone de texte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5500" cy="149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B2626" w:rsidRPr="00C004B7" w:rsidRDefault="00EB2626" w:rsidP="006B1A20">
                            <w:pPr>
                              <w:rPr>
                                <w:sz w:val="20"/>
                              </w:rPr>
                            </w:pPr>
                            <w:r w:rsidRPr="00C004B7">
                              <w:rPr>
                                <w:rFonts w:ascii="Cambria" w:hAnsi="Cambria" w:cs="Arial"/>
                                <w:b/>
                                <w:sz w:val="10"/>
                              </w:rPr>
                              <w:t>Source : DHS2010, Mise à jour 22 Mai 2018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F4536" id="Zone de texte 230" o:spid="_x0000_s1027" type="#_x0000_t202" style="position:absolute;left:0;text-align:left;margin-left:-148.5pt;margin-top:102.85pt;width:65pt;height:1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zr9iwIAAB4FAAAOAAAAZHJzL2Uyb0RvYy54bWysVE2P2yAQvVfqf0Dcs/6ok42tOKvNblNV&#10;2n5I2156I4BjVAwUSOxt1f/eASfZdNtKVVUfMDDD483MGxZXQyfRnlsntKpxdpFixBXVTKhtjT9+&#10;WE/mGDlPFCNSK17jB+7w1fL5s0VvKp7rVkvGLQIQ5are1Lj13lRJ4mjLO+IutOEKjI22HfGwtNuE&#10;WdIDeieTPE1nSa8tM1ZT7hzs3o5GvIz4TcOpf9c0jnskawzcfBxtHDdhTJYLUm0tMa2gBxrkH1h0&#10;RCi49AR1SzxBOyt+geoEtdrpxl9Q3SW6aQTlMQaIJkufRHPfEsNjLJAcZ05pcv8Plr7dv7dIsBrn&#10;LyA/inRQpE9QKsQ48nzwHAUDpKk3rgLvewP+fljpAcodQ3bmTtPPDil90xK15dfW6r7lhAHNLJxM&#10;zo6OOC6AbPo3msFtZOd1BBoa24UcQlYQoAOdh1OJgAmisDnPp9MULBRMWVHOZ5FbQqrjYWOdf8V1&#10;h8KkxhYUEMHJ/s75QIZUR5dwl9NSsLWQMi7sdnMjLdoTUMs6fpH/EzepgrPS4diIOO4AR7gj2ALb&#10;WP1vZZYX6SovJ+vZ/HJSrIvppLxM55M0K1flLC3K4nb9PRDMiqoVjHF1JyD5Y0PA5t9V+tATo4ai&#10;FlFf43KaT8cK/THINH6/C7ITHhpTig5yfnIiVajrS8UgbFJ5IuQ4T36mH7MMOTj+Y1aiCkLhRwn4&#10;YTNE3UWJBIVsNHsAWVgNZYMKw6MCk1bbrxj10KA1dl92xHKM5GsF0iqzogA3HxfF9DKHhT23bM4t&#10;RFGAqrHHaJze+PEV2Bkrti3cNIpZ6WuQYyOiVB5ZHUQMTRhjOjwYocvP19Hr8Vlb/gAAAP//AwBQ&#10;SwMEFAAGAAgAAAAhAMh3jmHgAAAADQEAAA8AAABkcnMvZG93bnJldi54bWxMj0FPg0AQhe8m/ofN&#10;mHgxdClaEGRp1ETjtbU/YGCnQGRnCbst9N+7Pelx3ry8971yu5hBnGlyvWUF61UMgrixuudWweH7&#10;I3oG4TyyxsEyKbiQg211e1Nioe3MOzrvfStCCLsCFXTej4WUrunIoFvZkTj8jnYy6MM5tVJPOIdw&#10;M8gkjlNpsOfQ0OFI7x01P/uTUXD8mh82+Vx/+kO2e0rfsM9qe1Hq/m55fQHhafF/ZrjiB3SoAlNt&#10;T6ydGBRESZ6FMV5BEm8yEMESrdOrVAcpyR9BVqX8v6L6BQAA//8DAFBLAQItABQABgAIAAAAIQC2&#10;gziS/gAAAOEBAAATAAAAAAAAAAAAAAAAAAAAAABbQ29udGVudF9UeXBlc10ueG1sUEsBAi0AFAAG&#10;AAgAAAAhADj9If/WAAAAlAEAAAsAAAAAAAAAAAAAAAAALwEAAF9yZWxzLy5yZWxzUEsBAi0AFAAG&#10;AAgAAAAhAPF3Ov2LAgAAHgUAAA4AAAAAAAAAAAAAAAAALgIAAGRycy9lMm9Eb2MueG1sUEsBAi0A&#10;FAAGAAgAAAAhAMh3jmHgAAAADQEAAA8AAAAAAAAAAAAAAAAA5QQAAGRycy9kb3ducmV2LnhtbFBL&#10;BQYAAAAABAAEAPMAAADyBQAAAAA=&#10;" stroked="f">
                <v:textbox>
                  <w:txbxContent>
                    <w:p w:rsidR="00EB2626" w:rsidRPr="00C004B7" w:rsidRDefault="00EB2626" w:rsidP="006B1A20">
                      <w:pPr>
                        <w:rPr>
                          <w:sz w:val="20"/>
                        </w:rPr>
                      </w:pPr>
                      <w:r w:rsidRPr="00C004B7">
                        <w:rPr>
                          <w:rFonts w:ascii="Cambria" w:hAnsi="Cambria" w:cs="Arial"/>
                          <w:b/>
                          <w:sz w:val="10"/>
                        </w:rPr>
                        <w:t>Source : DHS2010, Mise à jour 22 Mai 2018</w:t>
                      </w:r>
                    </w:p>
                  </w:txbxContent>
                </v:textbox>
              </v:shape>
            </w:pict>
          </mc:Fallback>
        </mc:AlternateContent>
      </w:r>
      <w:r w:rsidRPr="00D94534">
        <w:rPr>
          <w:noProof/>
          <w:sz w:val="24"/>
          <w:szCs w:val="24"/>
          <w:lang w:eastAsia="fr-FR"/>
        </w:rPr>
        <mc:AlternateContent>
          <mc:Choice Requires="wps">
            <w:drawing>
              <wp:anchor distT="0" distB="0" distL="114300" distR="114300" simplePos="0" relativeHeight="251681792" behindDoc="0" locked="0" layoutInCell="1" allowOverlap="1" wp14:anchorId="517A9291" wp14:editId="6655A76E">
                <wp:simplePos x="0" y="0"/>
                <wp:positionH relativeFrom="column">
                  <wp:posOffset>-2254250</wp:posOffset>
                </wp:positionH>
                <wp:positionV relativeFrom="paragraph">
                  <wp:posOffset>2794000</wp:posOffset>
                </wp:positionV>
                <wp:extent cx="1064260" cy="149860"/>
                <wp:effectExtent l="0" t="0" r="4445" b="4445"/>
                <wp:wrapNone/>
                <wp:docPr id="229" name="Zone de texte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260" cy="149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B2626" w:rsidRPr="00C004B7" w:rsidRDefault="00EB2626" w:rsidP="006B1A20">
                            <w:pPr>
                              <w:rPr>
                                <w:sz w:val="20"/>
                              </w:rPr>
                            </w:pPr>
                            <w:r w:rsidRPr="00C004B7">
                              <w:rPr>
                                <w:rFonts w:ascii="Cambria" w:hAnsi="Cambria" w:cs="Arial"/>
                                <w:b/>
                                <w:sz w:val="10"/>
                              </w:rPr>
                              <w:t>Source : Enquête Smart 2017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7A9291" id="Zone de texte 229" o:spid="_x0000_s1028" type="#_x0000_t202" style="position:absolute;left:0;text-align:left;margin-left:-177.5pt;margin-top:220pt;width:83.8pt;height:1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ueLiQIAAB8FAAAOAAAAZHJzL2Uyb0RvYy54bWysVFtv2yAUfp+0/4B4T32Rk8ZWnWptl2lS&#10;d5G6veyNAI7RMDAgsbtp/30HSNN0F2ma5gcbfA7fuXzf4eJyGiTac+uEVi0uznKMuKKaCbVt8ccP&#10;69kSI+eJYkRqxVt8zx2+XD1/djGahpe615JxiwBEuWY0Le69N02WOdrzgbgzbbgCY6ftQDxs7TZj&#10;loyAPsiszPNFNmrLjNWUOwd/b5IRryJ+13Hq33Wd4x7JFkNuPr5tfG/CO1tdkGZriekFPaRB/iGL&#10;gQgFQY9QN8QTtLPiF6hBUKud7vwZ1UOmu05QHmuAaor8p2ruemJ4rAWa48yxTe7/wdK3+/cWCdbi&#10;sqwxUmQAkj4BVYhx5PnkOQoGaNNoXAPedwb8/XSlJ6A7luzMraafHVL6uidqy19Yq8eeEwZpFuFk&#10;dnI04bgAshnfaAbRyM7rCDR1dgg9hK4gQAe67o8UQSaIhpD5oioXYKJgK6p6CesQgjQPp411/hXX&#10;AwqLFluQQEQn+1vnk+uDSwjmtBRsLaSMG7vdXEuL9gTkso7PAf2Jm1TBWelwLCGmP5AkxAi2kG6k&#10;/1tdlFV+Vdaz9WJ5PqvW1XxWn+fLWV7UV/Uir+rqZv09JFhUTS8Y4+pWQPfTRMDPv6P6MBRJRFGM&#10;aGxxPS/niaI/FpnH53dFDsLDZEoxtHh5dCJNIPalYlA2aTwRMq2zp+lHQqAHD9/YlSiDwHzSgJ82&#10;UxJeiB4kstHsHnRhNdAGDMOtAote268YjTChLXZfdsRyjORrBdqqi6oKIx031fy8hI09tWxOLURR&#10;gGqxxygtr326BnbGim0PkZKalX4BeuxElMpjVgcVwxTGmg43Rhjz0330erzXVj8AAAD//wMAUEsD&#10;BBQABgAIAAAAIQBQS1ul4QAAAA0BAAAPAAAAZHJzL2Rvd25yZXYueG1sTI/NTsMwEITvSLyDtUhc&#10;UOqU5qeEOBUggbi29AE2sZtExOsodpv07VlOcNvdGc1+U+4WO4iLmXzvSMF6FYMw1DjdU6vg+PUe&#10;bUH4gKRxcGQUXI2HXXV7U2Kh3Ux7czmEVnAI+QIVdCGMhZS+6YxFv3KjIdZObrIYeJ1aqSecOdwO&#10;8jGOM2mxJ/7Q4WjeOtN8H85Wwelzfkif5vojHPN9kr1in9fuqtT93fLyDCKYJfyZ4Ref0aFiptqd&#10;SXsxKIg2acplgoIkiXlgS7Te5gmImk/ZJgNZlfJ/i+oHAAD//wMAUEsBAi0AFAAGAAgAAAAhALaD&#10;OJL+AAAA4QEAABMAAAAAAAAAAAAAAAAAAAAAAFtDb250ZW50X1R5cGVzXS54bWxQSwECLQAUAAYA&#10;CAAAACEAOP0h/9YAAACUAQAACwAAAAAAAAAAAAAAAAAvAQAAX3JlbHMvLnJlbHNQSwECLQAUAAYA&#10;CAAAACEANF7ni4kCAAAfBQAADgAAAAAAAAAAAAAAAAAuAgAAZHJzL2Uyb0RvYy54bWxQSwECLQAU&#10;AAYACAAAACEAUEtbpeEAAAANAQAADwAAAAAAAAAAAAAAAADjBAAAZHJzL2Rvd25yZXYueG1sUEsF&#10;BgAAAAAEAAQA8wAAAPEFAAAAAA==&#10;" stroked="f">
                <v:textbox>
                  <w:txbxContent>
                    <w:p w:rsidR="00EB2626" w:rsidRPr="00C004B7" w:rsidRDefault="00EB2626" w:rsidP="006B1A20">
                      <w:pPr>
                        <w:rPr>
                          <w:sz w:val="20"/>
                        </w:rPr>
                      </w:pPr>
                      <w:r w:rsidRPr="00C004B7">
                        <w:rPr>
                          <w:rFonts w:ascii="Cambria" w:hAnsi="Cambria" w:cs="Arial"/>
                          <w:b/>
                          <w:sz w:val="10"/>
                        </w:rPr>
                        <w:t>Source : Enquête Smart 2017</w:t>
                      </w:r>
                    </w:p>
                  </w:txbxContent>
                </v:textbox>
              </v:shape>
            </w:pict>
          </mc:Fallback>
        </mc:AlternateContent>
      </w:r>
      <w:r w:rsidR="00EF7771" w:rsidRPr="00D94534">
        <w:rPr>
          <w:noProof/>
          <w:sz w:val="24"/>
          <w:szCs w:val="24"/>
        </w:rPr>
        <w:t xml:space="preserve">Elle </w:t>
      </w:r>
      <w:r w:rsidR="00EF7771" w:rsidRPr="00D94534">
        <w:rPr>
          <w:rFonts w:cs="Arial"/>
          <w:sz w:val="24"/>
          <w:szCs w:val="24"/>
        </w:rPr>
        <w:t>consiste</w:t>
      </w:r>
      <w:r w:rsidRPr="00D94534">
        <w:rPr>
          <w:rFonts w:cs="Arial"/>
          <w:sz w:val="24"/>
          <w:szCs w:val="24"/>
        </w:rPr>
        <w:t xml:space="preserve"> à la mise au sein dans l’heure qui suit la naissance. Selon l’outil Equist, l’utilisation initiale pour cette intervention est d’au moins 80% pour la plupart des régions en 2010. Cinq régions ont une couverture en dessous de la moyenne nationale parmi lesquelles les régions du sud-ouest et des cascades </w:t>
      </w:r>
      <w:r w:rsidR="00EF7771" w:rsidRPr="00D94534">
        <w:rPr>
          <w:rFonts w:cs="Arial"/>
          <w:sz w:val="24"/>
          <w:szCs w:val="24"/>
        </w:rPr>
        <w:t>présentant respectivement</w:t>
      </w:r>
      <w:r w:rsidRPr="00D94534">
        <w:rPr>
          <w:rFonts w:cs="Arial"/>
          <w:sz w:val="24"/>
          <w:szCs w:val="24"/>
        </w:rPr>
        <w:t xml:space="preserve"> un niveau de couverture de 46% et 68%. En ce qui concerne </w:t>
      </w:r>
      <w:r w:rsidR="00EF7771" w:rsidRPr="00D94534">
        <w:rPr>
          <w:rFonts w:cs="Arial"/>
          <w:sz w:val="24"/>
          <w:szCs w:val="24"/>
        </w:rPr>
        <w:t>la couverture</w:t>
      </w:r>
      <w:r w:rsidRPr="00D94534">
        <w:rPr>
          <w:rFonts w:cs="Arial"/>
          <w:sz w:val="24"/>
          <w:szCs w:val="24"/>
        </w:rPr>
        <w:t xml:space="preserve"> effective, en moyenne 42% des enfants ont bénéficié d’une mise au sein dans l’heure suivant la naissance en 2010 avec les régions de Centre-Est, </w:t>
      </w:r>
      <w:r w:rsidRPr="00D94534">
        <w:rPr>
          <w:rFonts w:cs="Arial"/>
          <w:sz w:val="24"/>
          <w:szCs w:val="24"/>
        </w:rPr>
        <w:lastRenderedPageBreak/>
        <w:t>du sahel  les régions ayant les  couvertures  les plus faibles soit 27% et 33%. En 2017 l’enquête Smart montre une couverture nationale de 55.8%, le Sud-Ouest, se trouvant en dessous de la moyenne nationale.       Le  niveau de mise en œuvre de la pratique de mise au sein précoce  pourrait se justifier par la disponibilité du personnel formé en  soins obstétricaux de base dans les  formations sanitaires   qui est seulement de 53% selon l’enquête SARA 2016 au plan National et  ceux formés au PISA. En effet, la disponibilité moyenne des soins offerts au nouveau-né dans les formations sanitaires est de 39% ; le Sud Ouest (35%) présente une disponibilité en dessous de la moyenne nationale</w:t>
      </w:r>
      <w:r w:rsidR="00EF7771">
        <w:rPr>
          <w:rFonts w:cs="Arial"/>
          <w:sz w:val="24"/>
          <w:szCs w:val="24"/>
        </w:rPr>
        <w:t>.</w:t>
      </w:r>
    </w:p>
    <w:tbl>
      <w:tblPr>
        <w:tblStyle w:val="Grilledutableau"/>
        <w:tblW w:w="0" w:type="auto"/>
        <w:tblLook w:val="04A0" w:firstRow="1" w:lastRow="0" w:firstColumn="1" w:lastColumn="0" w:noHBand="0" w:noVBand="1"/>
      </w:tblPr>
      <w:tblGrid>
        <w:gridCol w:w="9062"/>
      </w:tblGrid>
      <w:tr w:rsidR="00EF7771" w:rsidTr="00EF7771">
        <w:tc>
          <w:tcPr>
            <w:tcW w:w="9062" w:type="dxa"/>
          </w:tcPr>
          <w:p w:rsidR="00EF7771" w:rsidRDefault="00EF7771" w:rsidP="00D94534">
            <w:pPr>
              <w:spacing w:line="360" w:lineRule="auto"/>
              <w:jc w:val="both"/>
              <w:rPr>
                <w:sz w:val="24"/>
                <w:szCs w:val="24"/>
              </w:rPr>
            </w:pPr>
            <w:r w:rsidRPr="00D94534">
              <w:rPr>
                <w:noProof/>
                <w:sz w:val="24"/>
                <w:szCs w:val="24"/>
                <w:lang w:eastAsia="fr-FR"/>
              </w:rPr>
              <w:drawing>
                <wp:anchor distT="3059" distB="3059" distL="117667" distR="117667" simplePos="0" relativeHeight="251696128" behindDoc="1" locked="0" layoutInCell="1" allowOverlap="1" wp14:anchorId="7F05103B" wp14:editId="004CAF82">
                  <wp:simplePos x="0" y="0"/>
                  <wp:positionH relativeFrom="margin">
                    <wp:posOffset>-9525</wp:posOffset>
                  </wp:positionH>
                  <wp:positionV relativeFrom="margin">
                    <wp:posOffset>0</wp:posOffset>
                  </wp:positionV>
                  <wp:extent cx="5572125" cy="2486025"/>
                  <wp:effectExtent l="0" t="0" r="9525" b="9525"/>
                  <wp:wrapThrough wrapText="bothSides">
                    <wp:wrapPolygon edited="0">
                      <wp:start x="0" y="0"/>
                      <wp:lineTo x="0" y="21517"/>
                      <wp:lineTo x="21563" y="21517"/>
                      <wp:lineTo x="21563" y="0"/>
                      <wp:lineTo x="0" y="0"/>
                    </wp:wrapPolygon>
                  </wp:wrapThrough>
                  <wp:docPr id="232" name="Graphique 23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14:sizeRelH relativeFrom="page">
                    <wp14:pctWidth>0</wp14:pctWidth>
                  </wp14:sizeRelH>
                  <wp14:sizeRelV relativeFrom="page">
                    <wp14:pctHeight>0</wp14:pctHeight>
                  </wp14:sizeRelV>
                </wp:anchor>
              </w:drawing>
            </w:r>
          </w:p>
        </w:tc>
      </w:tr>
    </w:tbl>
    <w:p w:rsidR="00EF7771" w:rsidRPr="00D94534" w:rsidRDefault="00EF7771" w:rsidP="00D94534">
      <w:pPr>
        <w:spacing w:after="0" w:line="360" w:lineRule="auto"/>
        <w:jc w:val="both"/>
        <w:rPr>
          <w:sz w:val="24"/>
          <w:szCs w:val="24"/>
        </w:rPr>
      </w:pPr>
    </w:p>
    <w:p w:rsidR="006B1A20" w:rsidRPr="00D94534" w:rsidRDefault="006B1A20" w:rsidP="00EF7771">
      <w:pPr>
        <w:spacing w:after="0" w:line="360" w:lineRule="auto"/>
        <w:jc w:val="both"/>
        <w:rPr>
          <w:rFonts w:cs="Arial"/>
          <w:b/>
          <w:sz w:val="24"/>
          <w:szCs w:val="24"/>
        </w:rPr>
      </w:pPr>
      <w:r w:rsidRPr="00D94534">
        <w:rPr>
          <w:rFonts w:cs="Arial"/>
          <w:b/>
          <w:noProof/>
          <w:sz w:val="24"/>
          <w:szCs w:val="24"/>
          <w:lang w:eastAsia="fr-FR"/>
        </w:rPr>
        <mc:AlternateContent>
          <mc:Choice Requires="wps">
            <w:drawing>
              <wp:anchor distT="0" distB="0" distL="114300" distR="114300" simplePos="0" relativeHeight="251683840" behindDoc="0" locked="0" layoutInCell="1" allowOverlap="1" wp14:anchorId="18F5BC4F" wp14:editId="2645F161">
                <wp:simplePos x="0" y="0"/>
                <wp:positionH relativeFrom="column">
                  <wp:posOffset>-2987675</wp:posOffset>
                </wp:positionH>
                <wp:positionV relativeFrom="paragraph">
                  <wp:posOffset>226695</wp:posOffset>
                </wp:positionV>
                <wp:extent cx="941070" cy="157480"/>
                <wp:effectExtent l="0" t="0" r="3810" b="4445"/>
                <wp:wrapNone/>
                <wp:docPr id="228" name="Zone de texte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070" cy="157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B2626" w:rsidRPr="00C004B7" w:rsidRDefault="00EB2626" w:rsidP="006B1A20">
                            <w:pPr>
                              <w:rPr>
                                <w:b/>
                                <w:sz w:val="10"/>
                              </w:rPr>
                            </w:pPr>
                            <w:r w:rsidRPr="00C004B7">
                              <w:rPr>
                                <w:b/>
                                <w:sz w:val="10"/>
                              </w:rPr>
                              <w:t>Source : ENN 2017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5BC4F" id="Zone de texte 228" o:spid="_x0000_s1029" type="#_x0000_t202" style="position:absolute;left:0;text-align:left;margin-left:-235.25pt;margin-top:17.85pt;width:74.1pt;height:12.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D/ojAIAAB4FAAAOAAAAZHJzL2Uyb0RvYy54bWysVE2P2yAQvVfqf0Dcs/6os4mtOKvNblNV&#10;2n5I2156I4BjVAwukNi7Vf97B0jSdNtKVVUfMDDDY2beGxZXYyfRnhsrtKpxdpFixBXVTKhtjT9+&#10;WE/mGFlHFCNSK17jB27x1fL5s8XQVzzXrZaMGwQgylZDX+PWub5KEktb3hF7oXuuwNho0xEHS7NN&#10;mCEDoHcyydP0Mhm0Yb3RlFsLu7fRiJcBv2k4de+axnKHZI0hNhdGE8aNH5PlglRbQ/pW0EMY5B+i&#10;6IhQcOkJ6pY4gnZG/ALVCWq01Y27oLpLdNMIykMOkE2WPsnmviU9D7lAcWx/KpP9f7D07f69QYLV&#10;OM+BKkU6IOkTUIUYR46PjiNvgDINva3A+74Hfzeu9Ah0h5Rtf6fpZ4uUvmmJ2vJrY/TQcsIgzMyf&#10;TM6ORhzrQTbDG83gNrJzOgCNjel8DaEqCNCBrocTRRAJorBZFlk6AwsFUzadFfNAYUKq4+HeWPeK&#10;6w75SY0NKCCAk/2ddT4YUh1d/F1WS8HWQsqwMNvNjTRoT0At6/CF+J+4SeWdlfbHImLcgRjhDm/z&#10;0Qb2v5ZZXqSrvJysL+ezSbEuppNyls4naVauysu0KIvb9TcfYFZUrWCMqzsBxY8NAZt/x/ShJ6KG&#10;ghbRALWa5tPI0B+TTMP3uyQ74aAxpehqPD85kcrz+lIxSJtUjggZ58nP4YcqQw2O/1CVoAJPfJSA&#10;Gzdj0N2Lo7g2mj2ALIwG2oBheFRg0mrziNEADVpj+2VHDMdIvlYgrTIrCt/RYVFMZzkszLllc24h&#10;igJUjR1GcXrj4iuw643YtnBTFLPS1yDHRgSpeN3GqA4ihiYMOR0eDN/l5+vg9eNZW34HAAD//wMA&#10;UEsDBBQABgAIAAAAIQDbezay3wAAAAsBAAAPAAAAZHJzL2Rvd25yZXYueG1sTI/RToNAEEXfTfyH&#10;zZj4YugiFFDK0KiJxtfWfsAAUyBldwm7LfTvXZ/s4+Se3Hum2C5qEBeebG80wvMqBMG6Nk2vW4TD&#10;z2fwAsI60g0NRjPClS1sy/u7gvLGzHrHl71rhS/RNieEzrkxl9LWHSuyKzOy9tnRTIqcP6dWNhPN&#10;vlwNMgrDVCrqtV/oaOSPjuvT/qwQjt/zU/I6V1/ukO3W6Tv1WWWuiI8Py9sGhOPF/cPwp+/VofRO&#10;lTnrxooBIVhnYeJZhDjJQHgiiKMoBlEhpD6RZSFvfyh/AQAA//8DAFBLAQItABQABgAIAAAAIQC2&#10;gziS/gAAAOEBAAATAAAAAAAAAAAAAAAAAAAAAABbQ29udGVudF9UeXBlc10ueG1sUEsBAi0AFAAG&#10;AAgAAAAhADj9If/WAAAAlAEAAAsAAAAAAAAAAAAAAAAALwEAAF9yZWxzLy5yZWxzUEsBAi0AFAAG&#10;AAgAAAAhACe4P+iMAgAAHgUAAA4AAAAAAAAAAAAAAAAALgIAAGRycy9lMm9Eb2MueG1sUEsBAi0A&#10;FAAGAAgAAAAhANt7NrLfAAAACwEAAA8AAAAAAAAAAAAAAAAA5gQAAGRycy9kb3ducmV2LnhtbFBL&#10;BQYAAAAABAAEAPMAAADyBQAAAAA=&#10;" stroked="f">
                <v:textbox>
                  <w:txbxContent>
                    <w:p w:rsidR="00EB2626" w:rsidRPr="00C004B7" w:rsidRDefault="00EB2626" w:rsidP="006B1A20">
                      <w:pPr>
                        <w:rPr>
                          <w:b/>
                          <w:sz w:val="10"/>
                        </w:rPr>
                      </w:pPr>
                      <w:r w:rsidRPr="00C004B7">
                        <w:rPr>
                          <w:b/>
                          <w:sz w:val="10"/>
                        </w:rPr>
                        <w:t>Source : ENN 2017</w:t>
                      </w:r>
                    </w:p>
                  </w:txbxContent>
                </v:textbox>
              </v:shape>
            </w:pict>
          </mc:Fallback>
        </mc:AlternateContent>
      </w:r>
      <w:r w:rsidRPr="00D94534">
        <w:rPr>
          <w:rFonts w:cs="Arial"/>
          <w:b/>
          <w:sz w:val="24"/>
          <w:szCs w:val="24"/>
        </w:rPr>
        <w:t>Allaitement Maternel Exclusif</w:t>
      </w:r>
    </w:p>
    <w:p w:rsidR="00EF7771" w:rsidRDefault="006B1A20" w:rsidP="00D94534">
      <w:pPr>
        <w:spacing w:after="0" w:line="360" w:lineRule="auto"/>
        <w:jc w:val="both"/>
        <w:rPr>
          <w:rFonts w:cs="Arial"/>
          <w:sz w:val="24"/>
          <w:szCs w:val="24"/>
        </w:rPr>
      </w:pPr>
      <w:r w:rsidRPr="00D94534">
        <w:rPr>
          <w:noProof/>
          <w:sz w:val="24"/>
          <w:szCs w:val="24"/>
          <w:lang w:eastAsia="fr-FR"/>
        </w:rPr>
        <mc:AlternateContent>
          <mc:Choice Requires="wps">
            <w:drawing>
              <wp:anchor distT="0" distB="0" distL="114300" distR="114300" simplePos="0" relativeHeight="251686912" behindDoc="0" locked="0" layoutInCell="1" allowOverlap="1" wp14:anchorId="6449CD71" wp14:editId="7E5B44BC">
                <wp:simplePos x="0" y="0"/>
                <wp:positionH relativeFrom="column">
                  <wp:posOffset>1671955</wp:posOffset>
                </wp:positionH>
                <wp:positionV relativeFrom="paragraph">
                  <wp:posOffset>255270</wp:posOffset>
                </wp:positionV>
                <wp:extent cx="1314450" cy="200025"/>
                <wp:effectExtent l="9525" t="7620" r="9525" b="11430"/>
                <wp:wrapNone/>
                <wp:docPr id="227" name="Zone de texte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200025"/>
                        </a:xfrm>
                        <a:prstGeom prst="rect">
                          <a:avLst/>
                        </a:prstGeom>
                        <a:solidFill>
                          <a:srgbClr val="FFFFFF"/>
                        </a:solidFill>
                        <a:ln w="9525">
                          <a:solidFill>
                            <a:srgbClr val="000000"/>
                          </a:solidFill>
                          <a:miter lim="800000"/>
                          <a:headEnd/>
                          <a:tailEnd/>
                        </a:ln>
                      </wps:spPr>
                      <wps:txbx>
                        <w:txbxContent>
                          <w:p w:rsidR="00EB2626" w:rsidRPr="003A2DC7" w:rsidRDefault="00EB2626" w:rsidP="006B1A20">
                            <w:pPr>
                              <w:rPr>
                                <w:b/>
                                <w:sz w:val="12"/>
                              </w:rPr>
                            </w:pPr>
                            <w:r w:rsidRPr="003A2DC7">
                              <w:rPr>
                                <w:b/>
                                <w:sz w:val="12"/>
                              </w:rPr>
                              <w:t xml:space="preserve">AE chez les moins de 6 mois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49CD71" id="Zone de texte 227" o:spid="_x0000_s1030" type="#_x0000_t202" style="position:absolute;left:0;text-align:left;margin-left:131.65pt;margin-top:20.1pt;width:103.5pt;height:15.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rTrMQIAAGAEAAAOAAAAZHJzL2Uyb0RvYy54bWysVE1v2zAMvQ/YfxB0X5x4ydoacYouXYYB&#10;3QfQ7bKbLMmxMEnUJCV2+utHyWmafWCHYT4IYkg9Pj6SWV4PRpO99EGBrelsMqVEWg5C2W1Nv3ze&#10;vLikJERmBdNgZU0PMtDr1fNny95VsoQOtJCeIIgNVe9q2sXoqqIIvJOGhQk4adHZgjcsoum3hfCs&#10;R3Sji3I6fVX04IXzwGUI+Ovt6KSrjN+2ksePbRtkJLqmyC3m0+ezSWexWrJq65nrFD/SYP/AwjBl&#10;MekJ6pZFRnZe/QZlFPcQoI0TDqaAtlVc5hqwmtn0l2ruO+ZkrgXFCe4kU/h/sPzD/pMnStS0LC8o&#10;scxgk75iq4iQJMohSpIcKFPvQoXR9w7j4/AaBmx3Ljm4O+DfArGw7pjdyhvvoe8kE0hzll4WZ09H&#10;nJBAmv49CMzGdhEy0NB6kzREVQiiY7sOpxYhE8JTypez+XyBLo4+HIBpucgpWPX42vkQ30owJF1q&#10;6nEEMjrb34WY2LDqMSQlC6CV2Cits+G3zVp7smc4Lpv8HdF/CtOW9DW9WmDuv0MgP/z+BGFUxLnX&#10;ytT08hTEqiTbGyvyVEam9HhHytoedUzSjSLGoRly5+YpQdK4AXFAYT2MY45riZcO/AMlPY54TcP3&#10;HfOSEv3OYnOuUMq0E9mYLy5KNPy5pzn3MMsRqqaRkvG6juMe7ZxX2w4zjeNg4QYb2qqs9ROrI30c&#10;49yC48qlPTm3c9TTH8PqBwAAAP//AwBQSwMEFAAGAAgAAAAhAHTm71bgAAAACQEAAA8AAABkcnMv&#10;ZG93bnJldi54bWxMj8FOwzAMhu9IvENkJC6IJWurdpS6E0ICwW2MaVyzJmsrGqckWVfennCCo+1P&#10;v7+/Ws9mYJN2vreEsFwIYJoaq3pqEXbvT7crYD5IUnKwpBG+tYd1fXlRyVLZM73paRtaFkPIlxKh&#10;C2EsOfdNp430CztqirejdUaGOLqWKyfPMdwMPBEi50b2FD90ctSPnW4+tyeDsMpepg//mm72TX4c&#10;7sJNMT1/OcTrq/nhHljQc/iD4Vc/qkMdnQ72RMqzASHJ0zSiCJlIgEUgK0RcHBCKZQG8rvj/BvUP&#10;AAAA//8DAFBLAQItABQABgAIAAAAIQC2gziS/gAAAOEBAAATAAAAAAAAAAAAAAAAAAAAAABbQ29u&#10;dGVudF9UeXBlc10ueG1sUEsBAi0AFAAGAAgAAAAhADj9If/WAAAAlAEAAAsAAAAAAAAAAAAAAAAA&#10;LwEAAF9yZWxzLy5yZWxzUEsBAi0AFAAGAAgAAAAhADJqtOsxAgAAYAQAAA4AAAAAAAAAAAAAAAAA&#10;LgIAAGRycy9lMm9Eb2MueG1sUEsBAi0AFAAGAAgAAAAhAHTm71bgAAAACQEAAA8AAAAAAAAAAAAA&#10;AAAAiwQAAGRycy9kb3ducmV2LnhtbFBLBQYAAAAABAAEAPMAAACYBQAAAAA=&#10;">
                <v:textbox>
                  <w:txbxContent>
                    <w:p w:rsidR="00EB2626" w:rsidRPr="003A2DC7" w:rsidRDefault="00EB2626" w:rsidP="006B1A20">
                      <w:pPr>
                        <w:rPr>
                          <w:b/>
                          <w:sz w:val="12"/>
                        </w:rPr>
                      </w:pPr>
                      <w:r w:rsidRPr="003A2DC7">
                        <w:rPr>
                          <w:b/>
                          <w:sz w:val="12"/>
                        </w:rPr>
                        <w:t xml:space="preserve">AE chez les moins de 6 mois </w:t>
                      </w:r>
                    </w:p>
                  </w:txbxContent>
                </v:textbox>
              </v:shape>
            </w:pict>
          </mc:Fallback>
        </mc:AlternateContent>
      </w:r>
      <w:r w:rsidRPr="00D94534">
        <w:rPr>
          <w:rFonts w:cs="Arial"/>
          <w:sz w:val="24"/>
          <w:szCs w:val="24"/>
        </w:rPr>
        <w:t>En ce qui concerne l’allaitement exclusif, la pratique est peu répandue au Burkina soit une couverture de 12.5% chez les enfants de moins de six mois selon l’EDS 2010 avec 41.1% à l’utilisation initiale. Avec la mise en œuvre de la stratégie ANJE depuis 2013, l’AE a connu une hausse relative selon l’enquête SMART avec 47.8%. Toutefois, la cible mondiale de 50% n’est pas encore atteinte. Cela pourrait être lié aux insuffisances  dans la mise en œuvre de l’ANJE. En  effet, depuis son adoption, la  stratégie ANJE est effective dans seulement 34% des Districts du pays et  ce à travers la mise en place des groupes d’apprentissage et de soutien des pratiques d’ANJE (GASPA). De plus, sur le plan géographique, aucun des districts ne dispose de la totalité de ces villages  couverte, ce qui entraine une couverture réduite des cibles (mères/ enfants) devant bénéficié   des interventions de l’ANJE.</w:t>
      </w:r>
    </w:p>
    <w:p w:rsidR="00EF7771" w:rsidRPr="00455971" w:rsidRDefault="00EF7771" w:rsidP="00EF7771">
      <w:pPr>
        <w:spacing w:line="360" w:lineRule="auto"/>
        <w:jc w:val="both"/>
        <w:rPr>
          <w:rFonts w:ascii="Calibri" w:hAnsi="Calibri"/>
          <w:sz w:val="20"/>
          <w:szCs w:val="20"/>
        </w:rPr>
      </w:pPr>
    </w:p>
    <w:p w:rsidR="00EF7771" w:rsidRDefault="00EF7771" w:rsidP="00EF7771">
      <w:pPr>
        <w:spacing w:after="0" w:line="360" w:lineRule="auto"/>
        <w:jc w:val="both"/>
        <w:rPr>
          <w:rFonts w:cs="Arial"/>
          <w:sz w:val="24"/>
          <w:szCs w:val="24"/>
        </w:rPr>
      </w:pPr>
      <w:r w:rsidRPr="00455971">
        <w:rPr>
          <w:rFonts w:ascii="Calibri" w:hAnsi="Calibri"/>
          <w:b/>
          <w:noProof/>
          <w:sz w:val="20"/>
          <w:szCs w:val="20"/>
          <w:lang w:eastAsia="fr-FR"/>
        </w:rPr>
        <w:lastRenderedPageBreak/>
        <w:drawing>
          <wp:anchor distT="3372" distB="2389" distL="120126" distR="121583" simplePos="0" relativeHeight="251694080" behindDoc="1" locked="0" layoutInCell="1" allowOverlap="1" wp14:anchorId="0E68D497" wp14:editId="66B054BC">
            <wp:simplePos x="0" y="0"/>
            <wp:positionH relativeFrom="margin">
              <wp:posOffset>-9525</wp:posOffset>
            </wp:positionH>
            <wp:positionV relativeFrom="paragraph">
              <wp:posOffset>0</wp:posOffset>
            </wp:positionV>
            <wp:extent cx="5638800" cy="2524125"/>
            <wp:effectExtent l="0" t="0" r="0" b="9525"/>
            <wp:wrapThrough wrapText="bothSides">
              <wp:wrapPolygon edited="0">
                <wp:start x="0" y="0"/>
                <wp:lineTo x="0" y="21518"/>
                <wp:lineTo x="21527" y="21518"/>
                <wp:lineTo x="21527" y="0"/>
                <wp:lineTo x="0" y="0"/>
              </wp:wrapPolygon>
            </wp:wrapThrough>
            <wp:docPr id="237" name="Graphique 23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14:sizeRelH relativeFrom="page">
              <wp14:pctWidth>0</wp14:pctWidth>
            </wp14:sizeRelH>
            <wp14:sizeRelV relativeFrom="page">
              <wp14:pctHeight>0</wp14:pctHeight>
            </wp14:sizeRelV>
          </wp:anchor>
        </w:drawing>
      </w:r>
      <w:r w:rsidRPr="00455971">
        <w:rPr>
          <w:rFonts w:ascii="Calibri" w:hAnsi="Calibri"/>
          <w:b/>
          <w:sz w:val="20"/>
          <w:szCs w:val="20"/>
        </w:rPr>
        <w:t>Figure </w:t>
      </w:r>
      <w:r w:rsidRPr="00455971">
        <w:rPr>
          <w:rFonts w:ascii="Calibri" w:hAnsi="Calibri"/>
          <w:sz w:val="20"/>
          <w:szCs w:val="20"/>
        </w:rPr>
        <w:t xml:space="preserve">: </w:t>
      </w:r>
      <w:r w:rsidRPr="00455971">
        <w:rPr>
          <w:rFonts w:ascii="Calibri" w:hAnsi="Calibri"/>
          <w:b/>
          <w:sz w:val="20"/>
          <w:szCs w:val="20"/>
        </w:rPr>
        <w:t>A</w:t>
      </w:r>
      <w:r>
        <w:rPr>
          <w:rFonts w:ascii="Calibri" w:hAnsi="Calibri"/>
          <w:b/>
          <w:sz w:val="20"/>
          <w:szCs w:val="20"/>
        </w:rPr>
        <w:t xml:space="preserve">llaitement maternelle </w:t>
      </w:r>
      <w:r w:rsidRPr="00455971">
        <w:rPr>
          <w:rFonts w:ascii="Calibri" w:hAnsi="Calibri"/>
          <w:b/>
          <w:sz w:val="20"/>
          <w:szCs w:val="20"/>
        </w:rPr>
        <w:t>E</w:t>
      </w:r>
      <w:r>
        <w:rPr>
          <w:rFonts w:ascii="Calibri" w:hAnsi="Calibri"/>
          <w:b/>
          <w:sz w:val="20"/>
          <w:szCs w:val="20"/>
        </w:rPr>
        <w:t>xclusif</w:t>
      </w:r>
      <w:r w:rsidRPr="00455971">
        <w:rPr>
          <w:rFonts w:ascii="Calibri" w:hAnsi="Calibri"/>
          <w:b/>
          <w:sz w:val="20"/>
          <w:szCs w:val="20"/>
        </w:rPr>
        <w:t xml:space="preserve"> chez les moins de 6 mois </w:t>
      </w:r>
      <w:r>
        <w:rPr>
          <w:rFonts w:cs="Arial"/>
          <w:sz w:val="24"/>
          <w:szCs w:val="24"/>
        </w:rPr>
        <w:t xml:space="preserve"> </w:t>
      </w:r>
    </w:p>
    <w:p w:rsidR="00EF7771" w:rsidRDefault="00EF7771" w:rsidP="00EF7771">
      <w:pPr>
        <w:spacing w:after="0" w:line="360" w:lineRule="auto"/>
        <w:jc w:val="both"/>
        <w:rPr>
          <w:rFonts w:cs="Arial"/>
          <w:sz w:val="24"/>
          <w:szCs w:val="24"/>
        </w:rPr>
      </w:pPr>
    </w:p>
    <w:p w:rsidR="006B1A20" w:rsidRPr="00EF7771" w:rsidRDefault="006B1A20" w:rsidP="00EF7771">
      <w:pPr>
        <w:spacing w:after="0" w:line="360" w:lineRule="auto"/>
        <w:jc w:val="both"/>
        <w:rPr>
          <w:rFonts w:cs="Arial"/>
          <w:sz w:val="24"/>
          <w:szCs w:val="24"/>
        </w:rPr>
      </w:pPr>
      <w:r w:rsidRPr="00D94534">
        <w:rPr>
          <w:rFonts w:cs="Arial"/>
          <w:b/>
          <w:sz w:val="24"/>
          <w:szCs w:val="24"/>
        </w:rPr>
        <w:t>Supplémentation en Vitamine A des enfants de moins de 5 ans</w:t>
      </w:r>
    </w:p>
    <w:p w:rsidR="00D94534" w:rsidRDefault="006B1A20" w:rsidP="00D94534">
      <w:pPr>
        <w:tabs>
          <w:tab w:val="left" w:pos="284"/>
        </w:tabs>
        <w:spacing w:after="240" w:line="360" w:lineRule="auto"/>
        <w:jc w:val="both"/>
        <w:rPr>
          <w:rFonts w:cs="Arial"/>
          <w:sz w:val="24"/>
          <w:szCs w:val="24"/>
        </w:rPr>
      </w:pPr>
      <w:r w:rsidRPr="00D94534">
        <w:rPr>
          <w:rFonts w:cs="Arial"/>
          <w:sz w:val="24"/>
          <w:szCs w:val="24"/>
        </w:rPr>
        <w:t>Selon l’EDS 2010, la couvert</w:t>
      </w:r>
      <w:r w:rsidR="00D94534">
        <w:rPr>
          <w:rFonts w:cs="Arial"/>
          <w:sz w:val="24"/>
          <w:szCs w:val="24"/>
        </w:rPr>
        <w:t>ure nationale était de 63%. D</w:t>
      </w:r>
      <w:r w:rsidRPr="00D94534">
        <w:rPr>
          <w:rFonts w:cs="Arial"/>
          <w:sz w:val="24"/>
          <w:szCs w:val="24"/>
        </w:rPr>
        <w:t xml:space="preserve">epuis </w:t>
      </w:r>
      <w:r w:rsidR="00D94534" w:rsidRPr="00D94534">
        <w:rPr>
          <w:rFonts w:cs="Arial"/>
          <w:sz w:val="24"/>
          <w:szCs w:val="24"/>
        </w:rPr>
        <w:t>2012</w:t>
      </w:r>
      <w:r w:rsidR="00D94534">
        <w:rPr>
          <w:rFonts w:cs="Arial"/>
          <w:sz w:val="24"/>
          <w:szCs w:val="24"/>
        </w:rPr>
        <w:t>,</w:t>
      </w:r>
      <w:r w:rsidR="00D94534" w:rsidRPr="00D94534">
        <w:rPr>
          <w:rFonts w:cs="Arial"/>
          <w:sz w:val="24"/>
          <w:szCs w:val="24"/>
        </w:rPr>
        <w:t xml:space="preserve"> la</w:t>
      </w:r>
      <w:r w:rsidRPr="00D94534">
        <w:rPr>
          <w:rFonts w:cs="Arial"/>
          <w:sz w:val="24"/>
          <w:szCs w:val="24"/>
        </w:rPr>
        <w:t xml:space="preserve"> stratégie à travers deux</w:t>
      </w:r>
      <w:r w:rsidR="00D94534">
        <w:rPr>
          <w:rFonts w:cs="Arial"/>
          <w:sz w:val="24"/>
          <w:szCs w:val="24"/>
        </w:rPr>
        <w:t xml:space="preserve"> campagnes par an a fait monter la</w:t>
      </w:r>
      <w:r w:rsidRPr="00D94534">
        <w:rPr>
          <w:rFonts w:cs="Arial"/>
          <w:sz w:val="24"/>
          <w:szCs w:val="24"/>
        </w:rPr>
        <w:t xml:space="preserve"> couverture autour de 90%. </w:t>
      </w:r>
    </w:p>
    <w:p w:rsidR="006B1A20" w:rsidRPr="00D94534" w:rsidRDefault="00D94534" w:rsidP="00D94534">
      <w:pPr>
        <w:tabs>
          <w:tab w:val="left" w:pos="284"/>
        </w:tabs>
        <w:spacing w:after="240" w:line="360" w:lineRule="auto"/>
        <w:jc w:val="both"/>
        <w:rPr>
          <w:rFonts w:cs="Arial"/>
          <w:sz w:val="24"/>
          <w:szCs w:val="24"/>
        </w:rPr>
      </w:pPr>
      <w:r>
        <w:rPr>
          <w:rFonts w:cs="Arial"/>
          <w:sz w:val="24"/>
          <w:szCs w:val="24"/>
        </w:rPr>
        <w:t xml:space="preserve">A partir de </w:t>
      </w:r>
      <w:r w:rsidR="006B1A20" w:rsidRPr="00D94534">
        <w:rPr>
          <w:rFonts w:cs="Arial"/>
          <w:sz w:val="24"/>
          <w:szCs w:val="24"/>
        </w:rPr>
        <w:t>2017</w:t>
      </w:r>
      <w:r>
        <w:rPr>
          <w:rFonts w:cs="Arial"/>
          <w:sz w:val="24"/>
          <w:szCs w:val="24"/>
        </w:rPr>
        <w:t>, la</w:t>
      </w:r>
      <w:r w:rsidR="006B1A20" w:rsidRPr="00D94534">
        <w:rPr>
          <w:rFonts w:cs="Arial"/>
          <w:sz w:val="24"/>
          <w:szCs w:val="24"/>
        </w:rPr>
        <w:t xml:space="preserve"> stratégie de supplémentation en routine en milieu rural par les ASBC et par les Distributeurs communautaires a </w:t>
      </w:r>
      <w:r w:rsidRPr="00D94534">
        <w:rPr>
          <w:rFonts w:cs="Arial"/>
          <w:sz w:val="24"/>
          <w:szCs w:val="24"/>
        </w:rPr>
        <w:t>permis de</w:t>
      </w:r>
      <w:r w:rsidR="006B1A20" w:rsidRPr="00D94534">
        <w:rPr>
          <w:rFonts w:cs="Arial"/>
          <w:sz w:val="24"/>
          <w:szCs w:val="24"/>
        </w:rPr>
        <w:t xml:space="preserve"> garantir la pérennité de la supplémentation</w:t>
      </w:r>
      <w:r>
        <w:rPr>
          <w:rFonts w:cs="Arial"/>
          <w:sz w:val="24"/>
          <w:szCs w:val="24"/>
        </w:rPr>
        <w:t xml:space="preserve"> mais à </w:t>
      </w:r>
      <w:r w:rsidR="00EF7771">
        <w:rPr>
          <w:rFonts w:cs="Arial"/>
          <w:sz w:val="24"/>
          <w:szCs w:val="24"/>
        </w:rPr>
        <w:t>un niveau</w:t>
      </w:r>
      <w:r>
        <w:rPr>
          <w:rFonts w:cs="Arial"/>
          <w:sz w:val="24"/>
          <w:szCs w:val="24"/>
        </w:rPr>
        <w:t xml:space="preserve"> qui se situe en dessous des</w:t>
      </w:r>
      <w:r w:rsidRPr="00D94534">
        <w:rPr>
          <w:rFonts w:cs="Arial"/>
          <w:sz w:val="24"/>
          <w:szCs w:val="24"/>
        </w:rPr>
        <w:t xml:space="preserve"> 90</w:t>
      </w:r>
      <w:r w:rsidR="006B1A20" w:rsidRPr="00D94534">
        <w:rPr>
          <w:rFonts w:cs="Arial"/>
          <w:sz w:val="24"/>
          <w:szCs w:val="24"/>
        </w:rPr>
        <w:t xml:space="preserve">%. </w:t>
      </w:r>
    </w:p>
    <w:p w:rsidR="006B1A20" w:rsidRPr="00D94534" w:rsidRDefault="006B1A20" w:rsidP="00EF7771">
      <w:pPr>
        <w:spacing w:after="0" w:line="360" w:lineRule="auto"/>
        <w:jc w:val="both"/>
        <w:rPr>
          <w:rFonts w:cs="Arial"/>
          <w:sz w:val="24"/>
          <w:szCs w:val="24"/>
        </w:rPr>
      </w:pPr>
      <w:r w:rsidRPr="00D94534">
        <w:rPr>
          <w:rFonts w:cs="Arial"/>
          <w:b/>
          <w:sz w:val="24"/>
          <w:szCs w:val="24"/>
        </w:rPr>
        <w:t xml:space="preserve">Alimentation de complément des enfants de 6-24 mois </w:t>
      </w:r>
    </w:p>
    <w:p w:rsidR="00EF7771" w:rsidRDefault="006B1A20" w:rsidP="00D94534">
      <w:pPr>
        <w:spacing w:line="360" w:lineRule="auto"/>
        <w:jc w:val="both"/>
        <w:rPr>
          <w:sz w:val="24"/>
          <w:szCs w:val="24"/>
        </w:rPr>
      </w:pPr>
      <w:r w:rsidRPr="00D94534">
        <w:rPr>
          <w:rFonts w:cs="Arial"/>
          <w:sz w:val="24"/>
          <w:szCs w:val="24"/>
        </w:rPr>
        <w:t xml:space="preserve"> Selon l’enquête nationale nutritionnelle 2017, ce sont 17,5% des enfants de 6-23 mois qui ont reçu une alimentation minimum acceptable. Ceci s’explique par la faible diversité alimentaire chez les enfants de 6 à 23 mois (17,9%). Aussi, cette alimentation se fait dans </w:t>
      </w:r>
      <w:r w:rsidR="00EF7771" w:rsidRPr="00D94534">
        <w:rPr>
          <w:rFonts w:cs="Arial"/>
          <w:sz w:val="24"/>
          <w:szCs w:val="24"/>
        </w:rPr>
        <w:t>un cadre</w:t>
      </w:r>
      <w:r w:rsidRPr="00D94534">
        <w:rPr>
          <w:rFonts w:cs="Arial"/>
          <w:sz w:val="24"/>
          <w:szCs w:val="24"/>
        </w:rPr>
        <w:t xml:space="preserve"> d’assainissement adéquat non satisfaisant (seulement 10% des ménages) selon l’enquête multisectorielle continue en </w:t>
      </w:r>
      <w:r w:rsidR="00EF7771" w:rsidRPr="00D94534">
        <w:rPr>
          <w:rFonts w:cs="Arial"/>
          <w:sz w:val="24"/>
          <w:szCs w:val="24"/>
        </w:rPr>
        <w:t>2014 bien</w:t>
      </w:r>
      <w:r w:rsidRPr="00D94534">
        <w:rPr>
          <w:rFonts w:cs="Arial"/>
          <w:sz w:val="24"/>
          <w:szCs w:val="24"/>
        </w:rPr>
        <w:t xml:space="preserve"> que 70% des ménages </w:t>
      </w:r>
      <w:r w:rsidR="00EF7771" w:rsidRPr="00D94534">
        <w:rPr>
          <w:rFonts w:cs="Arial"/>
          <w:sz w:val="24"/>
          <w:szCs w:val="24"/>
        </w:rPr>
        <w:t>aient de</w:t>
      </w:r>
      <w:r w:rsidRPr="00D94534">
        <w:rPr>
          <w:rFonts w:cs="Arial"/>
          <w:sz w:val="24"/>
          <w:szCs w:val="24"/>
        </w:rPr>
        <w:t xml:space="preserve"> l’eau potable en milieu rural.</w:t>
      </w:r>
      <w:r w:rsidRPr="00D94534">
        <w:rPr>
          <w:sz w:val="24"/>
          <w:szCs w:val="24"/>
        </w:rPr>
        <w:t xml:space="preserve"> En plus, les plateformes du système de santé (CNS, CCI) et communautaires (GASPA) ainsi que les plaidoyers et media de masse ne sont suffisamment mis à profit pour influencer cette pratique.</w:t>
      </w:r>
    </w:p>
    <w:p w:rsidR="006B1A20" w:rsidRPr="00EF7771" w:rsidRDefault="00EF7771" w:rsidP="00D94534">
      <w:pPr>
        <w:spacing w:line="360" w:lineRule="auto"/>
        <w:jc w:val="both"/>
        <w:rPr>
          <w:rFonts w:ascii="Calibri" w:hAnsi="Calibri"/>
          <w:sz w:val="24"/>
          <w:szCs w:val="24"/>
        </w:rPr>
      </w:pPr>
      <w:r w:rsidRPr="00EF7771">
        <w:rPr>
          <w:b/>
          <w:sz w:val="24"/>
          <w:szCs w:val="24"/>
        </w:rPr>
        <w:t>Malnutrition aigüe</w:t>
      </w:r>
      <w:r>
        <w:rPr>
          <w:b/>
          <w:sz w:val="24"/>
          <w:szCs w:val="24"/>
        </w:rPr>
        <w:t> </w:t>
      </w:r>
      <w:r>
        <w:rPr>
          <w:rFonts w:ascii="Calibri" w:hAnsi="Calibri"/>
          <w:sz w:val="24"/>
          <w:szCs w:val="24"/>
        </w:rPr>
        <w:t>?</w:t>
      </w:r>
      <w:r w:rsidR="006B1A20" w:rsidRPr="00EF7771">
        <w:rPr>
          <w:rFonts w:ascii="Calibri" w:hAnsi="Calibri"/>
          <w:sz w:val="24"/>
          <w:szCs w:val="24"/>
        </w:rPr>
        <w:t xml:space="preserve">            </w:t>
      </w:r>
    </w:p>
    <w:p w:rsidR="009078FF" w:rsidRDefault="009078FF" w:rsidP="006B1A20">
      <w:pPr>
        <w:spacing w:after="0" w:line="360" w:lineRule="auto"/>
        <w:jc w:val="both"/>
        <w:rPr>
          <w:rFonts w:ascii="Calibri" w:hAnsi="Calibri"/>
          <w:sz w:val="24"/>
          <w:szCs w:val="24"/>
        </w:rPr>
      </w:pPr>
    </w:p>
    <w:p w:rsidR="009078FF" w:rsidRDefault="009078FF" w:rsidP="009078FF">
      <w:pPr>
        <w:spacing w:after="0" w:line="360" w:lineRule="auto"/>
        <w:jc w:val="both"/>
        <w:rPr>
          <w:rFonts w:ascii="Calibri" w:hAnsi="Calibri"/>
          <w:sz w:val="24"/>
          <w:szCs w:val="24"/>
        </w:rPr>
      </w:pPr>
    </w:p>
    <w:p w:rsidR="009078FF" w:rsidRDefault="009078FF" w:rsidP="009078FF">
      <w:pPr>
        <w:spacing w:after="0" w:line="360" w:lineRule="auto"/>
        <w:jc w:val="both"/>
        <w:rPr>
          <w:rFonts w:ascii="Calibri" w:hAnsi="Calibri"/>
          <w:sz w:val="24"/>
          <w:szCs w:val="24"/>
        </w:rPr>
      </w:pPr>
    </w:p>
    <w:p w:rsidR="002E239B" w:rsidRPr="009078FF" w:rsidRDefault="002E239B" w:rsidP="00EB2626">
      <w:pPr>
        <w:pStyle w:val="Paragraphedeliste"/>
        <w:numPr>
          <w:ilvl w:val="0"/>
          <w:numId w:val="38"/>
        </w:numPr>
        <w:spacing w:after="0" w:line="360" w:lineRule="auto"/>
        <w:jc w:val="both"/>
        <w:rPr>
          <w:rFonts w:ascii="Calibri" w:hAnsi="Calibri"/>
          <w:b/>
          <w:sz w:val="24"/>
          <w:szCs w:val="24"/>
        </w:rPr>
      </w:pPr>
      <w:r w:rsidRPr="009078FF">
        <w:rPr>
          <w:rFonts w:ascii="Calibri" w:hAnsi="Calibri"/>
          <w:b/>
          <w:sz w:val="24"/>
          <w:szCs w:val="24"/>
        </w:rPr>
        <w:t>ANALYSE SITUATIONNELLE DE L’ETA CIVIL</w:t>
      </w:r>
    </w:p>
    <w:p w:rsidR="00346A11" w:rsidRPr="00B72473" w:rsidRDefault="00346A11" w:rsidP="00346A11">
      <w:pPr>
        <w:spacing w:line="360" w:lineRule="auto"/>
        <w:jc w:val="both"/>
        <w:rPr>
          <w:sz w:val="23"/>
          <w:szCs w:val="23"/>
        </w:rPr>
      </w:pPr>
      <w:r w:rsidRPr="00B72473">
        <w:rPr>
          <w:sz w:val="23"/>
          <w:szCs w:val="23"/>
        </w:rPr>
        <w:t>Au Burkina Faso, le système d’état civil a été institué par l’arrêté général n°4602/AP du 16 août 1950 réglementant l’état civil des personnes régies par les coutumes locales, ultérieurement connu sous le nom d’arrêté organisant</w:t>
      </w:r>
      <w:r w:rsidR="000F64A8" w:rsidRPr="00B72473">
        <w:rPr>
          <w:sz w:val="23"/>
          <w:szCs w:val="23"/>
        </w:rPr>
        <w:t xml:space="preserve"> « l’état</w:t>
      </w:r>
      <w:r w:rsidRPr="00B72473">
        <w:rPr>
          <w:sz w:val="23"/>
          <w:szCs w:val="23"/>
        </w:rPr>
        <w:t xml:space="preserve"> civil </w:t>
      </w:r>
      <w:r w:rsidR="000F64A8" w:rsidRPr="00B72473">
        <w:rPr>
          <w:sz w:val="23"/>
          <w:szCs w:val="23"/>
        </w:rPr>
        <w:t>indigène »</w:t>
      </w:r>
      <w:r w:rsidRPr="00B72473">
        <w:rPr>
          <w:sz w:val="23"/>
          <w:szCs w:val="23"/>
        </w:rPr>
        <w:t xml:space="preserve">. </w:t>
      </w:r>
    </w:p>
    <w:p w:rsidR="00346A11" w:rsidRPr="00B72473" w:rsidRDefault="00346A11" w:rsidP="00346A11">
      <w:pPr>
        <w:spacing w:line="360" w:lineRule="auto"/>
        <w:jc w:val="both"/>
        <w:rPr>
          <w:sz w:val="23"/>
          <w:szCs w:val="23"/>
        </w:rPr>
      </w:pPr>
      <w:r w:rsidRPr="00B72473">
        <w:rPr>
          <w:sz w:val="23"/>
          <w:szCs w:val="23"/>
        </w:rPr>
        <w:t>Après l’indépendance</w:t>
      </w:r>
      <w:r w:rsidR="000F64A8">
        <w:rPr>
          <w:sz w:val="23"/>
          <w:szCs w:val="23"/>
        </w:rPr>
        <w:t xml:space="preserve">, des mises à jour ont été faites dans le dispositif légal avec </w:t>
      </w:r>
      <w:r w:rsidRPr="00B72473">
        <w:rPr>
          <w:sz w:val="23"/>
          <w:szCs w:val="23"/>
        </w:rPr>
        <w:t xml:space="preserve">le Code des personnes et de la famille qui entrera en vigueur le 4 août </w:t>
      </w:r>
      <w:r w:rsidR="000F64A8" w:rsidRPr="00B72473">
        <w:rPr>
          <w:sz w:val="23"/>
          <w:szCs w:val="23"/>
        </w:rPr>
        <w:t>1990</w:t>
      </w:r>
      <w:r w:rsidR="000F64A8">
        <w:rPr>
          <w:sz w:val="23"/>
          <w:szCs w:val="23"/>
        </w:rPr>
        <w:t xml:space="preserve">, </w:t>
      </w:r>
      <w:r w:rsidR="000F64A8" w:rsidRPr="00B72473">
        <w:rPr>
          <w:sz w:val="23"/>
          <w:szCs w:val="23"/>
        </w:rPr>
        <w:t>l’arrêté</w:t>
      </w:r>
      <w:r w:rsidRPr="00B72473">
        <w:rPr>
          <w:sz w:val="23"/>
          <w:szCs w:val="23"/>
        </w:rPr>
        <w:t xml:space="preserve"> n°2006-009/MJ/SG/DACPS du 2 mars 2006 portant fixation des modèles d’actes d’état civil</w:t>
      </w:r>
      <w:r w:rsidR="000F64A8">
        <w:rPr>
          <w:sz w:val="23"/>
          <w:szCs w:val="23"/>
        </w:rPr>
        <w:t>.</w:t>
      </w:r>
      <w:r w:rsidRPr="00B72473">
        <w:rPr>
          <w:sz w:val="23"/>
          <w:szCs w:val="23"/>
        </w:rPr>
        <w:t xml:space="preserve"> </w:t>
      </w:r>
    </w:p>
    <w:p w:rsidR="00346A11" w:rsidRDefault="000F64A8" w:rsidP="00346A11">
      <w:pPr>
        <w:spacing w:line="360" w:lineRule="auto"/>
        <w:jc w:val="both"/>
        <w:rPr>
          <w:sz w:val="23"/>
          <w:szCs w:val="23"/>
        </w:rPr>
      </w:pPr>
      <w:r>
        <w:rPr>
          <w:sz w:val="23"/>
          <w:szCs w:val="23"/>
        </w:rPr>
        <w:t>Avec le 2</w:t>
      </w:r>
      <w:r w:rsidRPr="000F64A8">
        <w:rPr>
          <w:sz w:val="23"/>
          <w:szCs w:val="23"/>
          <w:vertAlign w:val="superscript"/>
        </w:rPr>
        <w:t>e</w:t>
      </w:r>
      <w:r>
        <w:rPr>
          <w:sz w:val="23"/>
          <w:szCs w:val="23"/>
        </w:rPr>
        <w:t xml:space="preserve"> Plan d’Action </w:t>
      </w:r>
      <w:r w:rsidRPr="00B72473">
        <w:rPr>
          <w:sz w:val="23"/>
          <w:szCs w:val="23"/>
        </w:rPr>
        <w:t>2017-2021</w:t>
      </w:r>
      <w:r>
        <w:rPr>
          <w:sz w:val="23"/>
          <w:szCs w:val="23"/>
        </w:rPr>
        <w:t>, le</w:t>
      </w:r>
      <w:r w:rsidR="00346A11" w:rsidRPr="00B72473">
        <w:rPr>
          <w:sz w:val="23"/>
          <w:szCs w:val="23"/>
        </w:rPr>
        <w:t xml:space="preserve"> pays est passé de la promotion de l’état civil de 2012-2016 à l’étape de la modernisation. L’ambition du Gouvernement est d’aboutir à une gestion maîtrisée des faits d’état civil, pour bénéficier de données démographiques fiables.</w:t>
      </w:r>
    </w:p>
    <w:p w:rsidR="00FD6E16" w:rsidRPr="00B72473" w:rsidRDefault="00FD6E16" w:rsidP="00FD6E16">
      <w:pPr>
        <w:autoSpaceDE w:val="0"/>
        <w:autoSpaceDN w:val="0"/>
        <w:adjustRightInd w:val="0"/>
        <w:spacing w:line="360" w:lineRule="auto"/>
        <w:jc w:val="both"/>
        <w:rPr>
          <w:rFonts w:cs="Arial"/>
          <w:sz w:val="23"/>
          <w:szCs w:val="23"/>
        </w:rPr>
      </w:pPr>
      <w:r w:rsidRPr="00B72473">
        <w:rPr>
          <w:rFonts w:cs="Arial"/>
          <w:sz w:val="23"/>
          <w:szCs w:val="23"/>
        </w:rPr>
        <w:t xml:space="preserve">Aux termes de l’article 61 du Code des personnes et de la famille, on distingue deux types de centres d’état civil : </w:t>
      </w:r>
      <w:r>
        <w:rPr>
          <w:rFonts w:cs="Arial"/>
          <w:sz w:val="23"/>
          <w:szCs w:val="23"/>
        </w:rPr>
        <w:t xml:space="preserve">(i) </w:t>
      </w:r>
      <w:r w:rsidRPr="00B72473">
        <w:rPr>
          <w:rFonts w:cs="Arial"/>
          <w:sz w:val="23"/>
          <w:szCs w:val="23"/>
        </w:rPr>
        <w:t>les centres principaux situés aux sièges des communes, des arrondissements et des missions diplomatiques et consulaires</w:t>
      </w:r>
      <w:r>
        <w:rPr>
          <w:rFonts w:cs="Arial"/>
          <w:sz w:val="23"/>
          <w:szCs w:val="23"/>
        </w:rPr>
        <w:t xml:space="preserve"> et (ii) </w:t>
      </w:r>
      <w:r w:rsidRPr="00B72473">
        <w:rPr>
          <w:rFonts w:cs="Arial"/>
          <w:sz w:val="23"/>
          <w:szCs w:val="23"/>
        </w:rPr>
        <w:t xml:space="preserve">les centres secondaires situés dans les villages, les secteurs des villes et </w:t>
      </w:r>
      <w:r>
        <w:rPr>
          <w:rFonts w:cs="Arial"/>
          <w:sz w:val="23"/>
          <w:szCs w:val="23"/>
        </w:rPr>
        <w:t>l</w:t>
      </w:r>
      <w:r w:rsidRPr="00B72473">
        <w:rPr>
          <w:rFonts w:cs="Arial"/>
          <w:sz w:val="23"/>
          <w:szCs w:val="23"/>
        </w:rPr>
        <w:t xml:space="preserve">es formations sanitaires </w:t>
      </w:r>
      <w:r>
        <w:rPr>
          <w:rFonts w:cs="Arial"/>
          <w:sz w:val="23"/>
          <w:szCs w:val="23"/>
        </w:rPr>
        <w:t xml:space="preserve">et </w:t>
      </w:r>
      <w:r w:rsidRPr="00B72473">
        <w:rPr>
          <w:rFonts w:cs="Arial"/>
          <w:sz w:val="23"/>
          <w:szCs w:val="23"/>
        </w:rPr>
        <w:t>rattachés au centre principal de la commune</w:t>
      </w:r>
      <w:r>
        <w:rPr>
          <w:rFonts w:cs="Arial"/>
          <w:sz w:val="23"/>
          <w:szCs w:val="23"/>
        </w:rPr>
        <w:t>.</w:t>
      </w:r>
    </w:p>
    <w:p w:rsidR="00FD6E16" w:rsidRDefault="00FD6E16" w:rsidP="00920258">
      <w:pPr>
        <w:autoSpaceDE w:val="0"/>
        <w:autoSpaceDN w:val="0"/>
        <w:adjustRightInd w:val="0"/>
        <w:spacing w:after="0" w:line="360" w:lineRule="auto"/>
        <w:jc w:val="both"/>
        <w:rPr>
          <w:rFonts w:cs="Arial"/>
          <w:sz w:val="23"/>
          <w:szCs w:val="23"/>
        </w:rPr>
      </w:pPr>
      <w:r w:rsidRPr="00B72473">
        <w:rPr>
          <w:rFonts w:cs="Arial"/>
          <w:sz w:val="23"/>
          <w:szCs w:val="23"/>
        </w:rPr>
        <w:t xml:space="preserve">En 2015, il </w:t>
      </w:r>
      <w:r>
        <w:rPr>
          <w:rFonts w:cs="Arial"/>
          <w:sz w:val="23"/>
          <w:szCs w:val="23"/>
        </w:rPr>
        <w:t>y avait</w:t>
      </w:r>
      <w:r w:rsidRPr="00B72473">
        <w:rPr>
          <w:rFonts w:cs="Arial"/>
          <w:sz w:val="23"/>
          <w:szCs w:val="23"/>
        </w:rPr>
        <w:t xml:space="preserve"> quatre cent six (406) centres d’état civil principaux</w:t>
      </w:r>
      <w:r>
        <w:rPr>
          <w:rFonts w:cs="Arial"/>
          <w:sz w:val="23"/>
          <w:szCs w:val="23"/>
        </w:rPr>
        <w:t xml:space="preserve"> et </w:t>
      </w:r>
      <w:r w:rsidRPr="00B72473">
        <w:rPr>
          <w:rFonts w:cs="Arial"/>
          <w:sz w:val="23"/>
          <w:szCs w:val="23"/>
        </w:rPr>
        <w:t>987 centres secondaires</w:t>
      </w:r>
      <w:r w:rsidRPr="00B72473">
        <w:rPr>
          <w:rFonts w:cs="Arial"/>
          <w:sz w:val="23"/>
          <w:szCs w:val="23"/>
          <w:vertAlign w:val="superscript"/>
        </w:rPr>
        <w:footnoteReference w:id="42"/>
      </w:r>
      <w:r w:rsidRPr="00B72473">
        <w:rPr>
          <w:rFonts w:cs="Arial"/>
          <w:sz w:val="23"/>
          <w:szCs w:val="23"/>
        </w:rPr>
        <w:t xml:space="preserve">.  </w:t>
      </w:r>
    </w:p>
    <w:p w:rsidR="00920258" w:rsidRDefault="00920258" w:rsidP="00685878">
      <w:pPr>
        <w:autoSpaceDE w:val="0"/>
        <w:autoSpaceDN w:val="0"/>
        <w:adjustRightInd w:val="0"/>
        <w:spacing w:after="0" w:line="360" w:lineRule="auto"/>
        <w:jc w:val="both"/>
        <w:rPr>
          <w:rFonts w:cs="Arial"/>
          <w:b/>
          <w:sz w:val="23"/>
          <w:szCs w:val="23"/>
        </w:rPr>
      </w:pPr>
      <w:r w:rsidRPr="00920258">
        <w:rPr>
          <w:rFonts w:cs="Arial"/>
          <w:b/>
          <w:sz w:val="23"/>
          <w:szCs w:val="23"/>
        </w:rPr>
        <w:t>Enregistrement des naissances</w:t>
      </w:r>
    </w:p>
    <w:p w:rsidR="00920258" w:rsidRPr="00B72473" w:rsidRDefault="00920258" w:rsidP="00920258">
      <w:pPr>
        <w:autoSpaceDE w:val="0"/>
        <w:autoSpaceDN w:val="0"/>
        <w:adjustRightInd w:val="0"/>
        <w:spacing w:line="360" w:lineRule="auto"/>
        <w:jc w:val="both"/>
        <w:rPr>
          <w:rFonts w:cs="Arial"/>
          <w:sz w:val="23"/>
          <w:szCs w:val="23"/>
        </w:rPr>
      </w:pPr>
      <w:r w:rsidRPr="00B72473">
        <w:rPr>
          <w:rFonts w:cs="Arial"/>
          <w:sz w:val="23"/>
          <w:szCs w:val="23"/>
        </w:rPr>
        <w:t xml:space="preserve">Aux termes de l’article 106 du Code des personnes et de la famille (CPF), toute naissance survenue sur le territoire burkinabè doit faire l’objet d’une déclaration à l’officier de l’état civil du lieu de naissance dans les deux mois à compter du jour de la naissance. </w:t>
      </w:r>
    </w:p>
    <w:p w:rsidR="00920258" w:rsidRPr="00B72473" w:rsidRDefault="00685878" w:rsidP="00920258">
      <w:pPr>
        <w:spacing w:line="360" w:lineRule="auto"/>
        <w:jc w:val="both"/>
        <w:rPr>
          <w:rFonts w:eastAsia="Calibri"/>
          <w:sz w:val="23"/>
          <w:szCs w:val="23"/>
        </w:rPr>
      </w:pPr>
      <w:r>
        <w:rPr>
          <w:rFonts w:eastAsia="Times New Roman" w:cs="Arial"/>
          <w:bCs/>
          <w:sz w:val="23"/>
          <w:szCs w:val="23"/>
        </w:rPr>
        <w:t>En 2015</w:t>
      </w:r>
      <w:r>
        <w:rPr>
          <w:rStyle w:val="Appelnotedebasdep"/>
          <w:rFonts w:eastAsia="Times New Roman" w:cs="Arial"/>
          <w:bCs/>
          <w:sz w:val="23"/>
          <w:szCs w:val="23"/>
        </w:rPr>
        <w:footnoteReference w:id="43"/>
      </w:r>
      <w:r w:rsidR="00C51AA2">
        <w:rPr>
          <w:rFonts w:eastAsia="Times New Roman" w:cs="Arial"/>
          <w:bCs/>
          <w:sz w:val="23"/>
          <w:szCs w:val="23"/>
        </w:rPr>
        <w:t xml:space="preserve">, environ </w:t>
      </w:r>
      <w:r w:rsidR="00C51AA2" w:rsidRPr="00B72473">
        <w:rPr>
          <w:rFonts w:eastAsia="Calibri"/>
          <w:sz w:val="23"/>
          <w:szCs w:val="23"/>
        </w:rPr>
        <w:t>7</w:t>
      </w:r>
      <w:r w:rsidR="00D26F88">
        <w:rPr>
          <w:rFonts w:eastAsia="Calibri"/>
          <w:sz w:val="23"/>
          <w:szCs w:val="23"/>
        </w:rPr>
        <w:t xml:space="preserve">8 </w:t>
      </w:r>
      <w:r w:rsidR="00C51AA2" w:rsidRPr="00B72473">
        <w:rPr>
          <w:rFonts w:eastAsia="Calibri"/>
          <w:sz w:val="23"/>
          <w:szCs w:val="23"/>
        </w:rPr>
        <w:t>%</w:t>
      </w:r>
      <w:r w:rsidR="00C51AA2">
        <w:rPr>
          <w:rFonts w:eastAsia="Calibri"/>
          <w:sz w:val="23"/>
          <w:szCs w:val="23"/>
        </w:rPr>
        <w:t xml:space="preserve"> d</w:t>
      </w:r>
      <w:r w:rsidR="00920258" w:rsidRPr="00B72473">
        <w:rPr>
          <w:rFonts w:eastAsia="Calibri"/>
          <w:sz w:val="23"/>
          <w:szCs w:val="23"/>
        </w:rPr>
        <w:t xml:space="preserve">es naissances </w:t>
      </w:r>
      <w:r w:rsidR="00C51AA2">
        <w:rPr>
          <w:rFonts w:eastAsia="Calibri"/>
          <w:sz w:val="23"/>
          <w:szCs w:val="23"/>
        </w:rPr>
        <w:t xml:space="preserve">sont </w:t>
      </w:r>
      <w:r w:rsidR="00920258" w:rsidRPr="00B72473">
        <w:rPr>
          <w:rFonts w:eastAsia="Calibri"/>
          <w:sz w:val="23"/>
          <w:szCs w:val="23"/>
        </w:rPr>
        <w:t>enregistrées à l’Etat civil</w:t>
      </w:r>
      <w:r w:rsidR="00C51AA2">
        <w:rPr>
          <w:rFonts w:eastAsia="Calibri"/>
          <w:sz w:val="23"/>
          <w:szCs w:val="23"/>
        </w:rPr>
        <w:t xml:space="preserve">. </w:t>
      </w:r>
      <w:r w:rsidR="00920258" w:rsidRPr="00B72473">
        <w:rPr>
          <w:rFonts w:eastAsia="Calibri"/>
          <w:sz w:val="23"/>
          <w:szCs w:val="23"/>
        </w:rPr>
        <w:t xml:space="preserve">Ce taux plutôt élevé cache des disparités </w:t>
      </w:r>
      <w:r w:rsidR="00D26F88" w:rsidRPr="00B72473">
        <w:rPr>
          <w:rFonts w:eastAsia="Calibri"/>
          <w:sz w:val="23"/>
          <w:szCs w:val="23"/>
        </w:rPr>
        <w:t xml:space="preserve">géographiques </w:t>
      </w:r>
      <w:r w:rsidR="00D26F88">
        <w:rPr>
          <w:rFonts w:eastAsia="Calibri"/>
          <w:sz w:val="23"/>
          <w:szCs w:val="23"/>
        </w:rPr>
        <w:t xml:space="preserve">avec un pourcentage de naissances enregistrées de 95% </w:t>
      </w:r>
      <w:r w:rsidR="00920258" w:rsidRPr="00B72473">
        <w:rPr>
          <w:rFonts w:eastAsia="Calibri"/>
          <w:sz w:val="23"/>
          <w:szCs w:val="23"/>
        </w:rPr>
        <w:t xml:space="preserve">dans </w:t>
      </w:r>
      <w:r>
        <w:rPr>
          <w:rFonts w:eastAsia="Calibri"/>
          <w:sz w:val="23"/>
          <w:szCs w:val="23"/>
        </w:rPr>
        <w:t xml:space="preserve">les </w:t>
      </w:r>
      <w:r w:rsidR="00920258" w:rsidRPr="00B72473">
        <w:rPr>
          <w:rFonts w:eastAsia="Calibri"/>
          <w:sz w:val="23"/>
          <w:szCs w:val="23"/>
        </w:rPr>
        <w:t xml:space="preserve">régions </w:t>
      </w:r>
      <w:r>
        <w:rPr>
          <w:rFonts w:eastAsia="Calibri"/>
          <w:sz w:val="23"/>
          <w:szCs w:val="23"/>
        </w:rPr>
        <w:t xml:space="preserve">du </w:t>
      </w:r>
      <w:r w:rsidR="00920258" w:rsidRPr="00B72473">
        <w:rPr>
          <w:rFonts w:eastAsia="Calibri"/>
          <w:sz w:val="23"/>
          <w:szCs w:val="23"/>
        </w:rPr>
        <w:t>Centre</w:t>
      </w:r>
      <w:r>
        <w:rPr>
          <w:rFonts w:eastAsia="Calibri"/>
          <w:sz w:val="23"/>
          <w:szCs w:val="23"/>
        </w:rPr>
        <w:t xml:space="preserve"> et </w:t>
      </w:r>
      <w:r w:rsidR="00920258" w:rsidRPr="00B72473">
        <w:rPr>
          <w:rFonts w:eastAsia="Calibri"/>
          <w:sz w:val="23"/>
          <w:szCs w:val="23"/>
        </w:rPr>
        <w:t>Centre-Sud</w:t>
      </w:r>
      <w:r>
        <w:rPr>
          <w:rFonts w:eastAsia="Calibri"/>
          <w:sz w:val="23"/>
          <w:szCs w:val="23"/>
        </w:rPr>
        <w:t>,</w:t>
      </w:r>
      <w:r w:rsidR="00D26F88">
        <w:rPr>
          <w:rFonts w:eastAsia="Calibri"/>
          <w:sz w:val="23"/>
          <w:szCs w:val="23"/>
        </w:rPr>
        <w:t xml:space="preserve"> de </w:t>
      </w:r>
      <w:r w:rsidR="00D26F88" w:rsidRPr="00B72473">
        <w:rPr>
          <w:rFonts w:eastAsia="Calibri"/>
          <w:sz w:val="23"/>
          <w:szCs w:val="23"/>
        </w:rPr>
        <w:t xml:space="preserve">59.2% </w:t>
      </w:r>
      <w:r w:rsidR="00D26F88">
        <w:t xml:space="preserve">dans la région de l’Est </w:t>
      </w:r>
      <w:r w:rsidR="006135DB">
        <w:t xml:space="preserve">et de </w:t>
      </w:r>
      <w:r w:rsidR="006135DB" w:rsidRPr="00B72473">
        <w:rPr>
          <w:rFonts w:eastAsia="Calibri"/>
          <w:sz w:val="23"/>
          <w:szCs w:val="23"/>
        </w:rPr>
        <w:t>40.6%</w:t>
      </w:r>
      <w:r w:rsidR="006135DB">
        <w:rPr>
          <w:rFonts w:eastAsia="Calibri"/>
          <w:sz w:val="23"/>
          <w:szCs w:val="23"/>
        </w:rPr>
        <w:t xml:space="preserve"> dans la</w:t>
      </w:r>
      <w:r w:rsidR="00920258" w:rsidRPr="00B72473">
        <w:rPr>
          <w:rFonts w:eastAsia="Calibri"/>
          <w:sz w:val="23"/>
          <w:szCs w:val="23"/>
        </w:rPr>
        <w:t xml:space="preserve"> région du Sahel (EMC-MDS, 2015). Les écarts sont considérables entre le milieu rural (</w:t>
      </w:r>
      <w:r w:rsidR="006135DB">
        <w:rPr>
          <w:rFonts w:eastAsia="Calibri"/>
          <w:sz w:val="23"/>
          <w:szCs w:val="23"/>
        </w:rPr>
        <w:t xml:space="preserve">62 </w:t>
      </w:r>
      <w:r w:rsidR="00920258" w:rsidRPr="00B72473">
        <w:rPr>
          <w:rFonts w:eastAsia="Calibri"/>
          <w:sz w:val="23"/>
          <w:szCs w:val="23"/>
        </w:rPr>
        <w:t>%) et le milieu urbain (9</w:t>
      </w:r>
      <w:r w:rsidR="006135DB">
        <w:rPr>
          <w:rFonts w:eastAsia="Calibri"/>
          <w:sz w:val="23"/>
          <w:szCs w:val="23"/>
        </w:rPr>
        <w:t xml:space="preserve">1 </w:t>
      </w:r>
      <w:r w:rsidR="00920258" w:rsidRPr="00B72473">
        <w:rPr>
          <w:rFonts w:eastAsia="Calibri"/>
          <w:sz w:val="23"/>
          <w:szCs w:val="23"/>
        </w:rPr>
        <w:t>%) d’une part, et entre les enfants des ménages riches (9</w:t>
      </w:r>
      <w:r w:rsidR="006135DB">
        <w:rPr>
          <w:rFonts w:eastAsia="Calibri"/>
          <w:sz w:val="23"/>
          <w:szCs w:val="23"/>
        </w:rPr>
        <w:t>1,4</w:t>
      </w:r>
      <w:r w:rsidR="00920258" w:rsidRPr="00B72473">
        <w:rPr>
          <w:rFonts w:eastAsia="Calibri"/>
          <w:sz w:val="23"/>
          <w:szCs w:val="23"/>
        </w:rPr>
        <w:t>%) et ceux des ménages pauvres (</w:t>
      </w:r>
      <w:r w:rsidR="006135DB">
        <w:rPr>
          <w:rFonts w:eastAsia="Calibri"/>
          <w:sz w:val="23"/>
          <w:szCs w:val="23"/>
        </w:rPr>
        <w:t>49,3</w:t>
      </w:r>
      <w:r w:rsidR="00920258" w:rsidRPr="00B72473">
        <w:rPr>
          <w:rFonts w:eastAsia="Calibri"/>
          <w:sz w:val="23"/>
          <w:szCs w:val="23"/>
        </w:rPr>
        <w:t>%) d’autre part</w:t>
      </w:r>
      <w:r>
        <w:rPr>
          <w:rFonts w:eastAsia="Calibri"/>
          <w:sz w:val="23"/>
          <w:szCs w:val="23"/>
        </w:rPr>
        <w:t xml:space="preserve">. </w:t>
      </w:r>
      <w:r w:rsidRPr="00B72473">
        <w:rPr>
          <w:rFonts w:eastAsia="Calibri"/>
          <w:sz w:val="23"/>
          <w:szCs w:val="23"/>
        </w:rPr>
        <w:t>S</w:t>
      </w:r>
      <w:r>
        <w:rPr>
          <w:rFonts w:eastAsia="Calibri"/>
          <w:sz w:val="23"/>
          <w:szCs w:val="23"/>
        </w:rPr>
        <w:t xml:space="preserve">oixante-six </w:t>
      </w:r>
      <w:r w:rsidRPr="00B72473">
        <w:rPr>
          <w:rFonts w:eastAsia="Calibri"/>
          <w:sz w:val="23"/>
          <w:szCs w:val="23"/>
        </w:rPr>
        <w:t xml:space="preserve">% des enfants enregistrés dans les registres de l’état civil </w:t>
      </w:r>
      <w:r>
        <w:rPr>
          <w:rFonts w:eastAsia="Calibri"/>
          <w:sz w:val="23"/>
          <w:szCs w:val="23"/>
        </w:rPr>
        <w:t>étaient en possession</w:t>
      </w:r>
      <w:r w:rsidRPr="00B72473">
        <w:rPr>
          <w:rFonts w:eastAsia="Calibri"/>
          <w:sz w:val="23"/>
          <w:szCs w:val="23"/>
        </w:rPr>
        <w:t xml:space="preserve"> </w:t>
      </w:r>
      <w:r>
        <w:rPr>
          <w:rFonts w:eastAsia="Calibri"/>
          <w:sz w:val="23"/>
          <w:szCs w:val="23"/>
        </w:rPr>
        <w:t>d’</w:t>
      </w:r>
      <w:r w:rsidRPr="00B72473">
        <w:rPr>
          <w:rFonts w:eastAsia="Calibri"/>
          <w:sz w:val="23"/>
          <w:szCs w:val="23"/>
        </w:rPr>
        <w:t>un certificat de naissance</w:t>
      </w:r>
      <w:r>
        <w:rPr>
          <w:rFonts w:eastAsia="Calibri"/>
          <w:sz w:val="23"/>
          <w:szCs w:val="23"/>
        </w:rPr>
        <w:t xml:space="preserve">. </w:t>
      </w:r>
    </w:p>
    <w:p w:rsidR="00920258" w:rsidRPr="00B72473" w:rsidRDefault="00920258" w:rsidP="00920258">
      <w:pPr>
        <w:spacing w:line="360" w:lineRule="auto"/>
        <w:jc w:val="both"/>
        <w:rPr>
          <w:sz w:val="23"/>
          <w:szCs w:val="23"/>
        </w:rPr>
      </w:pPr>
      <w:r w:rsidRPr="00B72473">
        <w:rPr>
          <w:sz w:val="23"/>
          <w:szCs w:val="23"/>
        </w:rPr>
        <w:lastRenderedPageBreak/>
        <w:t>Les causes immédiates du faible enregistrement des naissances sont le manque de connaissance de l’importance de l’enregistrement des naissances, des avantages qu’il confère aux enfants et aux citoyens de manière générale et des conséquences que le non-enregistrement des naissances peut engendrer ainsi que la faible disponibilité des services d’état civil et leur éloignement constituent les causes immédiates du non-enregistrement des naissances des enfants.</w:t>
      </w:r>
    </w:p>
    <w:p w:rsidR="00920258" w:rsidRPr="00B72473" w:rsidRDefault="00920258" w:rsidP="00920258">
      <w:pPr>
        <w:spacing w:line="360" w:lineRule="auto"/>
        <w:jc w:val="both"/>
        <w:rPr>
          <w:sz w:val="23"/>
          <w:szCs w:val="23"/>
        </w:rPr>
      </w:pPr>
      <w:r w:rsidRPr="00B72473">
        <w:rPr>
          <w:sz w:val="23"/>
          <w:szCs w:val="23"/>
        </w:rPr>
        <w:t>Les causes sous-jacentes sont l’insuffisance de personnels formés, les conditions difficiles de travail des agents d’état civil, de la justice et de l’action sociale et leur faible motivation, l’insuffisance du contrôle des services étatiques, le mauvais archivage des registres et la faible informatisation occasionnent des dysfonctionnements au niveau des services déconcentrés d’état civil. Cela se traduit par une faible qualité du service délivré qui n’encouragent pas l’utilisation des services par la population.</w:t>
      </w:r>
    </w:p>
    <w:p w:rsidR="00FD6E16" w:rsidRPr="00B366B0" w:rsidRDefault="00920258" w:rsidP="00B366B0">
      <w:pPr>
        <w:spacing w:line="360" w:lineRule="auto"/>
        <w:jc w:val="both"/>
        <w:rPr>
          <w:sz w:val="23"/>
          <w:szCs w:val="23"/>
        </w:rPr>
      </w:pPr>
      <w:r w:rsidRPr="00B72473">
        <w:rPr>
          <w:sz w:val="23"/>
          <w:szCs w:val="23"/>
        </w:rPr>
        <w:t>Les causes profondes sont l’analphabétisme et le manque d’informations sur les droits de l’enfant et de la femme constituent les causes de la méconnaissance par les individus et les communautés de l’importance de l’enregistrement des naissances et de la persistance des violences de toutes sortes. La faiblesse des mécanismes de suivi-évaluation et de coordination des di</w:t>
      </w:r>
      <w:r w:rsidR="00B366B0">
        <w:rPr>
          <w:sz w:val="23"/>
          <w:szCs w:val="23"/>
        </w:rPr>
        <w:t xml:space="preserve">fférents ministères impliqués. </w:t>
      </w:r>
    </w:p>
    <w:p w:rsidR="00346A11" w:rsidRPr="00B72473" w:rsidRDefault="00346A11" w:rsidP="00346A11">
      <w:pPr>
        <w:pStyle w:val="Titre1"/>
        <w:rPr>
          <w:rFonts w:eastAsia="Calibri"/>
          <w:caps w:val="0"/>
          <w:color w:val="auto"/>
        </w:rPr>
      </w:pPr>
      <w:bookmarkStart w:id="17" w:name="_Toc522532910"/>
      <w:r w:rsidRPr="00B72473">
        <w:rPr>
          <w:rFonts w:eastAsia="Calibri"/>
          <w:caps w:val="0"/>
          <w:color w:val="auto"/>
        </w:rPr>
        <w:t>2.1.2 Déclaration des mariages à l’état civil</w:t>
      </w:r>
      <w:bookmarkEnd w:id="17"/>
    </w:p>
    <w:p w:rsidR="00346A11" w:rsidRPr="00B72473" w:rsidRDefault="00346A11" w:rsidP="00346A11">
      <w:pPr>
        <w:spacing w:line="360" w:lineRule="auto"/>
        <w:jc w:val="both"/>
        <w:rPr>
          <w:rFonts w:eastAsia="Calibri"/>
        </w:rPr>
      </w:pPr>
      <w:r w:rsidRPr="00B72473">
        <w:rPr>
          <w:sz w:val="23"/>
          <w:szCs w:val="23"/>
        </w:rPr>
        <w:t xml:space="preserve">Aux termes des articles 273 et suivants du CPF, le mariage est célébré publiquement par l’officier de l’état civil du lieu de la constitution du dossier de mariage en présence de deux (02) témoins majeurs. </w:t>
      </w:r>
    </w:p>
    <w:p w:rsidR="00346A11" w:rsidRPr="00B72473" w:rsidRDefault="00346A11" w:rsidP="00346A11">
      <w:pPr>
        <w:pStyle w:val="Titre1"/>
        <w:rPr>
          <w:rFonts w:eastAsia="Calibri"/>
          <w:caps w:val="0"/>
          <w:color w:val="auto"/>
        </w:rPr>
      </w:pPr>
      <w:bookmarkStart w:id="18" w:name="_Toc522532911"/>
      <w:r w:rsidRPr="00B72473">
        <w:rPr>
          <w:rFonts w:eastAsia="Calibri"/>
          <w:caps w:val="0"/>
          <w:color w:val="auto"/>
        </w:rPr>
        <w:t>2.1.3 Déclaration des décès à l’état civil</w:t>
      </w:r>
      <w:bookmarkEnd w:id="18"/>
    </w:p>
    <w:p w:rsidR="00346A11" w:rsidRPr="00B72473" w:rsidRDefault="00346A11" w:rsidP="00346A11">
      <w:pPr>
        <w:autoSpaceDE w:val="0"/>
        <w:autoSpaceDN w:val="0"/>
        <w:adjustRightInd w:val="0"/>
        <w:spacing w:line="360" w:lineRule="auto"/>
        <w:jc w:val="both"/>
        <w:rPr>
          <w:sz w:val="23"/>
          <w:szCs w:val="23"/>
        </w:rPr>
      </w:pPr>
      <w:r w:rsidRPr="00B72473">
        <w:rPr>
          <w:sz w:val="23"/>
          <w:szCs w:val="23"/>
        </w:rPr>
        <w:t xml:space="preserve">Aux termes des articles 116 et suivants du CPF, les décès doivent être déclarés, dans un délai de deux (02) mois à l’officier de l’état civil du lieu de décès, par le conjoint survivant, les ascendants ou descendants ou toute personne possédant les renseignements les plus exacts et les plus complets possibles sur l’état civil du défunt. </w:t>
      </w:r>
    </w:p>
    <w:p w:rsidR="00017F9E" w:rsidRPr="00B72473" w:rsidRDefault="00346A11" w:rsidP="00017F9E">
      <w:pPr>
        <w:autoSpaceDE w:val="0"/>
        <w:autoSpaceDN w:val="0"/>
        <w:adjustRightInd w:val="0"/>
        <w:spacing w:line="360" w:lineRule="auto"/>
        <w:jc w:val="both"/>
        <w:rPr>
          <w:sz w:val="23"/>
          <w:szCs w:val="23"/>
        </w:rPr>
      </w:pPr>
      <w:r w:rsidRPr="00B72473">
        <w:rPr>
          <w:sz w:val="23"/>
          <w:szCs w:val="23"/>
        </w:rPr>
        <w:t>Dans les centres urbains où il existe des dispensaires ou des hôpitaux, le décès d’une personne est constaté par un médecin ou un infirmier qui établit une constatation de décès. Au vue de celle-ci, l’officier de l’état civil délivre un permis d’inhumer.</w:t>
      </w:r>
    </w:p>
    <w:p w:rsidR="00346A11" w:rsidRPr="00B72473" w:rsidRDefault="00346A11" w:rsidP="00346A11">
      <w:pPr>
        <w:autoSpaceDE w:val="0"/>
        <w:autoSpaceDN w:val="0"/>
        <w:adjustRightInd w:val="0"/>
        <w:spacing w:line="360" w:lineRule="auto"/>
        <w:jc w:val="both"/>
        <w:rPr>
          <w:sz w:val="23"/>
          <w:szCs w:val="23"/>
        </w:rPr>
      </w:pPr>
      <w:r w:rsidRPr="00B72473">
        <w:rPr>
          <w:sz w:val="23"/>
          <w:szCs w:val="23"/>
        </w:rPr>
        <w:t>.</w:t>
      </w:r>
    </w:p>
    <w:p w:rsidR="00346A11" w:rsidRPr="00B72473" w:rsidRDefault="00346A11" w:rsidP="00346A11">
      <w:pPr>
        <w:pStyle w:val="Titre1"/>
        <w:rPr>
          <w:rFonts w:eastAsia="Calibri"/>
          <w:caps w:val="0"/>
          <w:color w:val="auto"/>
        </w:rPr>
      </w:pPr>
      <w:bookmarkStart w:id="19" w:name="_Toc522532912"/>
      <w:r w:rsidRPr="00B72473">
        <w:rPr>
          <w:rFonts w:eastAsia="Calibri"/>
          <w:caps w:val="0"/>
          <w:color w:val="auto"/>
        </w:rPr>
        <w:lastRenderedPageBreak/>
        <w:t>2.2 Etablissement des statistiques</w:t>
      </w:r>
      <w:bookmarkEnd w:id="19"/>
    </w:p>
    <w:p w:rsidR="00346A11" w:rsidRPr="00B72473" w:rsidRDefault="00346A11" w:rsidP="00346A11">
      <w:pPr>
        <w:autoSpaceDE w:val="0"/>
        <w:autoSpaceDN w:val="0"/>
        <w:adjustRightInd w:val="0"/>
        <w:spacing w:line="360" w:lineRule="auto"/>
        <w:jc w:val="both"/>
        <w:rPr>
          <w:sz w:val="23"/>
          <w:szCs w:val="23"/>
        </w:rPr>
      </w:pPr>
      <w:r w:rsidRPr="00B72473">
        <w:rPr>
          <w:sz w:val="23"/>
          <w:szCs w:val="23"/>
        </w:rPr>
        <w:t xml:space="preserve">Les statistiques de vie se définissent comme l’ensemble des renseignements caractérisant les individus et les événements faisant l’objet d’une déclaration à l’état civil. Elles sont établies à partir des informations sur la naissance vivante, le mariage, la mort fœtale, le divorce, l’annulation, le décès, la séparation de corps et de biens, l’adoption, la légitimation et la reconnaissance. </w:t>
      </w:r>
    </w:p>
    <w:p w:rsidR="00017F9E" w:rsidRDefault="00346A11" w:rsidP="00346A11">
      <w:pPr>
        <w:spacing w:line="360" w:lineRule="auto"/>
        <w:jc w:val="both"/>
        <w:rPr>
          <w:sz w:val="23"/>
          <w:szCs w:val="23"/>
        </w:rPr>
      </w:pPr>
      <w:r w:rsidRPr="00B72473">
        <w:rPr>
          <w:sz w:val="23"/>
          <w:szCs w:val="23"/>
        </w:rPr>
        <w:t xml:space="preserve">Les statistiques de vie sont des éléments essentiels de la planification du développement. </w:t>
      </w:r>
    </w:p>
    <w:p w:rsidR="00346A11" w:rsidRPr="00B72473" w:rsidRDefault="00346A11" w:rsidP="00017F9E">
      <w:pPr>
        <w:spacing w:line="360" w:lineRule="auto"/>
        <w:jc w:val="both"/>
        <w:rPr>
          <w:sz w:val="23"/>
          <w:szCs w:val="23"/>
        </w:rPr>
      </w:pPr>
      <w:r w:rsidRPr="00B72473">
        <w:rPr>
          <w:sz w:val="23"/>
          <w:szCs w:val="23"/>
        </w:rPr>
        <w:t xml:space="preserve">La première et seule expérience de collecte des statistiques de vie au niveau national remontent à l’année 2007. C’est au cours de cette année que la collecte des statistiques de vie concernant les naissances, les décès, les mariages ont véritablement débuté sur l’ensemble du territoire. Cette première collecte, considérée comme une phase pilote, a couvert une période de trois (03) ans (2005 - 2007) et devait se poursuivre par des collectes trimestrielles chaque année. </w:t>
      </w:r>
    </w:p>
    <w:p w:rsidR="00F907B4" w:rsidRDefault="00F907B4" w:rsidP="0028196B">
      <w:pPr>
        <w:spacing w:after="0" w:line="360" w:lineRule="auto"/>
        <w:jc w:val="both"/>
        <w:rPr>
          <w:rFonts w:ascii="Calibri" w:hAnsi="Calibri"/>
          <w:sz w:val="24"/>
          <w:szCs w:val="24"/>
        </w:rPr>
        <w:sectPr w:rsidR="00F907B4" w:rsidSect="002C0C58">
          <w:pgSz w:w="11906" w:h="16838"/>
          <w:pgMar w:top="1417" w:right="1417" w:bottom="1417" w:left="1417" w:header="720" w:footer="720" w:gutter="0"/>
          <w:cols w:space="720"/>
          <w:docGrid w:linePitch="360"/>
        </w:sectPr>
      </w:pPr>
    </w:p>
    <w:p w:rsidR="0028196B" w:rsidRDefault="0028196B" w:rsidP="0028196B">
      <w:pPr>
        <w:spacing w:after="0" w:line="360" w:lineRule="auto"/>
        <w:jc w:val="both"/>
        <w:rPr>
          <w:rFonts w:ascii="Calibri" w:hAnsi="Calibri"/>
          <w:sz w:val="24"/>
          <w:szCs w:val="24"/>
        </w:rPr>
      </w:pPr>
      <w:bookmarkStart w:id="20" w:name="_GoBack"/>
      <w:bookmarkEnd w:id="20"/>
    </w:p>
    <w:p w:rsidR="00530BF8" w:rsidRPr="00F907B4" w:rsidRDefault="00C40365" w:rsidP="00F907B4">
      <w:pPr>
        <w:pStyle w:val="Paragraphedeliste"/>
        <w:numPr>
          <w:ilvl w:val="0"/>
          <w:numId w:val="38"/>
        </w:numPr>
        <w:spacing w:after="0" w:line="360" w:lineRule="auto"/>
        <w:jc w:val="both"/>
        <w:rPr>
          <w:rFonts w:ascii="Calibri" w:hAnsi="Calibri"/>
          <w:sz w:val="24"/>
          <w:szCs w:val="24"/>
        </w:rPr>
      </w:pPr>
      <w:r w:rsidRPr="00F907B4">
        <w:rPr>
          <w:rFonts w:ascii="Calibri" w:hAnsi="Calibri"/>
          <w:sz w:val="24"/>
          <w:szCs w:val="24"/>
        </w:rPr>
        <w:t>IDENTIFICATION ET ANALYSE DES GOULOTS D’ETRANGLEMENT</w:t>
      </w:r>
    </w:p>
    <w:p w:rsidR="00F00710" w:rsidRDefault="00C40365" w:rsidP="00C40365">
      <w:pPr>
        <w:autoSpaceDE w:val="0"/>
        <w:autoSpaceDN w:val="0"/>
        <w:adjustRightInd w:val="0"/>
        <w:spacing w:after="240" w:line="360" w:lineRule="auto"/>
        <w:jc w:val="both"/>
        <w:rPr>
          <w:sz w:val="23"/>
          <w:szCs w:val="23"/>
        </w:rPr>
      </w:pPr>
      <w:r>
        <w:rPr>
          <w:rFonts w:eastAsia="Calibri"/>
          <w:sz w:val="23"/>
          <w:szCs w:val="23"/>
        </w:rPr>
        <w:t>L</w:t>
      </w:r>
      <w:r w:rsidRPr="00B72473">
        <w:rPr>
          <w:rFonts w:eastAsia="Calibri"/>
          <w:sz w:val="23"/>
          <w:szCs w:val="23"/>
        </w:rPr>
        <w:t xml:space="preserve">’identification des principaux goulots d’étranglement </w:t>
      </w:r>
      <w:r>
        <w:rPr>
          <w:rFonts w:eastAsia="Calibri"/>
          <w:sz w:val="23"/>
          <w:szCs w:val="23"/>
        </w:rPr>
        <w:t xml:space="preserve">a été faite </w:t>
      </w:r>
      <w:r w:rsidRPr="00B72473">
        <w:rPr>
          <w:rFonts w:eastAsia="Calibri"/>
          <w:sz w:val="23"/>
          <w:szCs w:val="23"/>
        </w:rPr>
        <w:t xml:space="preserve">selon le modèle </w:t>
      </w:r>
      <w:r>
        <w:rPr>
          <w:rFonts w:eastAsia="Calibri"/>
          <w:sz w:val="23"/>
          <w:szCs w:val="23"/>
        </w:rPr>
        <w:t xml:space="preserve">analytique </w:t>
      </w:r>
      <w:r w:rsidRPr="00B72473">
        <w:rPr>
          <w:rFonts w:eastAsia="Calibri"/>
          <w:sz w:val="23"/>
          <w:szCs w:val="23"/>
        </w:rPr>
        <w:t>de Tanahashi</w:t>
      </w:r>
      <w:r>
        <w:rPr>
          <w:rFonts w:eastAsia="Calibri"/>
          <w:sz w:val="23"/>
          <w:szCs w:val="23"/>
        </w:rPr>
        <w:t xml:space="preserve"> qui porte sur</w:t>
      </w:r>
      <w:r w:rsidRPr="00B72473">
        <w:rPr>
          <w:sz w:val="23"/>
          <w:szCs w:val="23"/>
        </w:rPr>
        <w:t xml:space="preserve"> 3 types de paramètres ou d</w:t>
      </w:r>
      <w:r w:rsidRPr="00B72473">
        <w:rPr>
          <w:bCs/>
          <w:sz w:val="23"/>
          <w:szCs w:val="23"/>
        </w:rPr>
        <w:t>éterminants</w:t>
      </w:r>
      <w:r w:rsidRPr="00B72473">
        <w:rPr>
          <w:sz w:val="23"/>
          <w:szCs w:val="23"/>
        </w:rPr>
        <w:t xml:space="preserve"> qui permettent d’améliorer la couverture des interventions</w:t>
      </w:r>
      <w:r>
        <w:rPr>
          <w:sz w:val="23"/>
          <w:szCs w:val="23"/>
        </w:rPr>
        <w:t xml:space="preserve"> : </w:t>
      </w:r>
      <w:r w:rsidRPr="00B72473">
        <w:rPr>
          <w:sz w:val="23"/>
          <w:szCs w:val="23"/>
        </w:rPr>
        <w:t xml:space="preserve"> (i) l’offre des services : la disponibilité des intrants, </w:t>
      </w:r>
      <w:r w:rsidRPr="00B72473">
        <w:rPr>
          <w:bCs/>
          <w:sz w:val="23"/>
          <w:szCs w:val="23"/>
        </w:rPr>
        <w:t>la disponibilité des ressources humaines qualifiées, l’accessibilité; (ii) de la demande des services, l’utilisation initiale, l’utilisation continue; (iii) de la qualité des services ou couverture effective. Ainsi, l</w:t>
      </w:r>
      <w:r w:rsidRPr="00B72473">
        <w:rPr>
          <w:rFonts w:eastAsia="Calibri"/>
          <w:sz w:val="23"/>
          <w:szCs w:val="23"/>
        </w:rPr>
        <w:t>es éléments du contenu de chaque indicateur critique ont été systématisés suivant les déterminants ci-après : l’offre des services, l’accessibilité, l’utilisation et la couverture effective. La seconde séquence a concerné l’analyse causale en s’intéressant aux différents niveaux de causalité (causes immédiates, sous-jacentes et structurelles) pour appréhender les facteurs critiques qui génèrent et perpétuent ces goulots d’étranglement. A cette étape de</w:t>
      </w:r>
      <w:r w:rsidRPr="00B72473">
        <w:rPr>
          <w:sz w:val="23"/>
          <w:szCs w:val="23"/>
        </w:rPr>
        <w:t xml:space="preserve"> regard critique sur les barrières et les goulots d’étranglement qui handicapent les objectifs de réalisation de la SRMNEA-N, les défis majeurs à relever ont été identifiés.</w:t>
      </w:r>
    </w:p>
    <w:p w:rsidR="00F00710" w:rsidRDefault="00F00710" w:rsidP="00C40365">
      <w:pPr>
        <w:autoSpaceDE w:val="0"/>
        <w:autoSpaceDN w:val="0"/>
        <w:adjustRightInd w:val="0"/>
        <w:spacing w:after="240" w:line="360" w:lineRule="auto"/>
        <w:jc w:val="both"/>
        <w:rPr>
          <w:sz w:val="23"/>
          <w:szCs w:val="23"/>
        </w:rPr>
      </w:pPr>
    </w:p>
    <w:p w:rsidR="00F00710" w:rsidRDefault="00F00710" w:rsidP="00C40365">
      <w:pPr>
        <w:autoSpaceDE w:val="0"/>
        <w:autoSpaceDN w:val="0"/>
        <w:adjustRightInd w:val="0"/>
        <w:spacing w:after="240" w:line="360" w:lineRule="auto"/>
        <w:jc w:val="both"/>
        <w:rPr>
          <w:sz w:val="23"/>
          <w:szCs w:val="23"/>
        </w:rPr>
        <w:sectPr w:rsidR="00F00710" w:rsidSect="002C0C58">
          <w:pgSz w:w="11906" w:h="16838"/>
          <w:pgMar w:top="1417" w:right="1417" w:bottom="1417" w:left="1417" w:header="720" w:footer="720" w:gutter="0"/>
          <w:cols w:space="720"/>
          <w:docGrid w:linePitch="360"/>
        </w:sectPr>
      </w:pPr>
    </w:p>
    <w:tbl>
      <w:tblPr>
        <w:tblStyle w:val="Grilledutableau"/>
        <w:tblW w:w="0" w:type="auto"/>
        <w:tblLook w:val="04A0" w:firstRow="1" w:lastRow="0" w:firstColumn="1" w:lastColumn="0" w:noHBand="0" w:noVBand="1"/>
      </w:tblPr>
      <w:tblGrid>
        <w:gridCol w:w="1999"/>
        <w:gridCol w:w="1999"/>
        <w:gridCol w:w="1999"/>
        <w:gridCol w:w="1999"/>
        <w:gridCol w:w="1999"/>
        <w:gridCol w:w="1999"/>
        <w:gridCol w:w="2000"/>
      </w:tblGrid>
      <w:tr w:rsidR="00F00710" w:rsidTr="00F00710">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r w:rsidR="006B672B" w:rsidTr="00F00710">
        <w:tc>
          <w:tcPr>
            <w:tcW w:w="1999" w:type="dxa"/>
          </w:tcPr>
          <w:p w:rsidR="006B672B" w:rsidRPr="00F00710" w:rsidRDefault="006B672B" w:rsidP="006B672B">
            <w:pPr>
              <w:autoSpaceDE w:val="0"/>
              <w:autoSpaceDN w:val="0"/>
              <w:adjustRightInd w:val="0"/>
              <w:spacing w:after="240"/>
              <w:rPr>
                <w:sz w:val="20"/>
                <w:szCs w:val="20"/>
              </w:rPr>
            </w:pPr>
            <w:r>
              <w:rPr>
                <w:sz w:val="23"/>
                <w:szCs w:val="23"/>
              </w:rPr>
              <w:t>IMPACT</w:t>
            </w:r>
          </w:p>
        </w:tc>
        <w:tc>
          <w:tcPr>
            <w:tcW w:w="1999" w:type="dxa"/>
          </w:tcPr>
          <w:p w:rsidR="006B672B" w:rsidRDefault="006B672B" w:rsidP="00C40365">
            <w:pPr>
              <w:autoSpaceDE w:val="0"/>
              <w:autoSpaceDN w:val="0"/>
              <w:adjustRightInd w:val="0"/>
              <w:spacing w:after="240" w:line="360" w:lineRule="auto"/>
              <w:jc w:val="both"/>
              <w:rPr>
                <w:sz w:val="23"/>
                <w:szCs w:val="23"/>
              </w:rPr>
            </w:pPr>
            <w:r>
              <w:rPr>
                <w:sz w:val="23"/>
                <w:szCs w:val="23"/>
              </w:rPr>
              <w:t>EFFETS</w:t>
            </w:r>
          </w:p>
        </w:tc>
        <w:tc>
          <w:tcPr>
            <w:tcW w:w="1999" w:type="dxa"/>
          </w:tcPr>
          <w:p w:rsidR="006B672B" w:rsidRDefault="006B672B" w:rsidP="00C40365">
            <w:pPr>
              <w:autoSpaceDE w:val="0"/>
              <w:autoSpaceDN w:val="0"/>
              <w:adjustRightInd w:val="0"/>
              <w:spacing w:after="240" w:line="360" w:lineRule="auto"/>
              <w:jc w:val="both"/>
              <w:rPr>
                <w:sz w:val="23"/>
                <w:szCs w:val="23"/>
              </w:rPr>
            </w:pPr>
          </w:p>
        </w:tc>
        <w:tc>
          <w:tcPr>
            <w:tcW w:w="1999" w:type="dxa"/>
          </w:tcPr>
          <w:p w:rsidR="006B672B" w:rsidRDefault="006B672B" w:rsidP="00C40365">
            <w:pPr>
              <w:autoSpaceDE w:val="0"/>
              <w:autoSpaceDN w:val="0"/>
              <w:adjustRightInd w:val="0"/>
              <w:spacing w:after="240" w:line="360" w:lineRule="auto"/>
              <w:jc w:val="both"/>
              <w:rPr>
                <w:sz w:val="23"/>
                <w:szCs w:val="23"/>
              </w:rPr>
            </w:pPr>
          </w:p>
        </w:tc>
        <w:tc>
          <w:tcPr>
            <w:tcW w:w="1999" w:type="dxa"/>
          </w:tcPr>
          <w:p w:rsidR="006B672B" w:rsidRDefault="006B672B" w:rsidP="00C40365">
            <w:pPr>
              <w:autoSpaceDE w:val="0"/>
              <w:autoSpaceDN w:val="0"/>
              <w:adjustRightInd w:val="0"/>
              <w:spacing w:after="240" w:line="360" w:lineRule="auto"/>
              <w:jc w:val="both"/>
              <w:rPr>
                <w:sz w:val="23"/>
                <w:szCs w:val="23"/>
              </w:rPr>
            </w:pPr>
          </w:p>
        </w:tc>
        <w:tc>
          <w:tcPr>
            <w:tcW w:w="1999" w:type="dxa"/>
          </w:tcPr>
          <w:p w:rsidR="006B672B" w:rsidRDefault="006B672B" w:rsidP="00C40365">
            <w:pPr>
              <w:autoSpaceDE w:val="0"/>
              <w:autoSpaceDN w:val="0"/>
              <w:adjustRightInd w:val="0"/>
              <w:spacing w:after="240" w:line="360" w:lineRule="auto"/>
              <w:jc w:val="both"/>
              <w:rPr>
                <w:sz w:val="23"/>
                <w:szCs w:val="23"/>
              </w:rPr>
            </w:pPr>
          </w:p>
        </w:tc>
        <w:tc>
          <w:tcPr>
            <w:tcW w:w="2000" w:type="dxa"/>
          </w:tcPr>
          <w:p w:rsidR="006B672B" w:rsidRDefault="006B672B" w:rsidP="00C40365">
            <w:pPr>
              <w:autoSpaceDE w:val="0"/>
              <w:autoSpaceDN w:val="0"/>
              <w:adjustRightInd w:val="0"/>
              <w:spacing w:after="240" w:line="360" w:lineRule="auto"/>
              <w:jc w:val="both"/>
              <w:rPr>
                <w:sz w:val="23"/>
                <w:szCs w:val="23"/>
              </w:rPr>
            </w:pPr>
          </w:p>
        </w:tc>
      </w:tr>
      <w:tr w:rsidR="00F00710" w:rsidTr="00F00710">
        <w:tc>
          <w:tcPr>
            <w:tcW w:w="1999" w:type="dxa"/>
          </w:tcPr>
          <w:p w:rsidR="00F00710" w:rsidRPr="00F00710" w:rsidRDefault="00F00710" w:rsidP="006B672B">
            <w:pPr>
              <w:autoSpaceDE w:val="0"/>
              <w:autoSpaceDN w:val="0"/>
              <w:adjustRightInd w:val="0"/>
              <w:spacing w:after="240"/>
              <w:rPr>
                <w:sz w:val="20"/>
                <w:szCs w:val="20"/>
              </w:rPr>
            </w:pPr>
            <w:r w:rsidRPr="00F00710">
              <w:rPr>
                <w:sz w:val="20"/>
                <w:szCs w:val="20"/>
              </w:rPr>
              <w:t xml:space="preserve">Malgré les progrès la mortalité maternelle reste inacceptable </w:t>
            </w:r>
            <w:r w:rsidRPr="00F00710">
              <w:rPr>
                <w:rFonts w:cstheme="minorHAnsi"/>
                <w:sz w:val="20"/>
                <w:szCs w:val="20"/>
              </w:rPr>
              <w:t>330/100 000 naissances vivantes</w:t>
            </w:r>
            <w:r w:rsidR="006B672B">
              <w:rPr>
                <w:rFonts w:cstheme="minorHAnsi"/>
                <w:sz w:val="20"/>
                <w:szCs w:val="20"/>
              </w:rPr>
              <w:t xml:space="preserve"> </w:t>
            </w:r>
            <w:r>
              <w:rPr>
                <w:rFonts w:cstheme="minorHAnsi"/>
                <w:sz w:val="20"/>
                <w:szCs w:val="20"/>
              </w:rPr>
              <w:t>(2015</w:t>
            </w:r>
            <w:r w:rsidR="006B672B">
              <w:rPr>
                <w:rFonts w:cstheme="minorHAnsi"/>
                <w:sz w:val="20"/>
                <w:szCs w:val="20"/>
              </w:rPr>
              <w:t>)</w:t>
            </w: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r w:rsidR="006B672B" w:rsidTr="00F00710">
        <w:tc>
          <w:tcPr>
            <w:tcW w:w="1999" w:type="dxa"/>
          </w:tcPr>
          <w:p w:rsidR="006B672B" w:rsidRDefault="006B672B" w:rsidP="006B672B">
            <w:pPr>
              <w:autoSpaceDE w:val="0"/>
              <w:autoSpaceDN w:val="0"/>
              <w:adjustRightInd w:val="0"/>
              <w:jc w:val="both"/>
              <w:rPr>
                <w:sz w:val="20"/>
                <w:szCs w:val="20"/>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2000" w:type="dxa"/>
          </w:tcPr>
          <w:p w:rsidR="006B672B" w:rsidRDefault="006B672B" w:rsidP="006B672B">
            <w:pPr>
              <w:autoSpaceDE w:val="0"/>
              <w:autoSpaceDN w:val="0"/>
              <w:adjustRightInd w:val="0"/>
              <w:spacing w:line="360" w:lineRule="auto"/>
              <w:jc w:val="both"/>
              <w:rPr>
                <w:sz w:val="23"/>
                <w:szCs w:val="23"/>
              </w:rPr>
            </w:pPr>
          </w:p>
        </w:tc>
      </w:tr>
      <w:tr w:rsidR="006B672B" w:rsidTr="00F00710">
        <w:tc>
          <w:tcPr>
            <w:tcW w:w="1999" w:type="dxa"/>
          </w:tcPr>
          <w:p w:rsidR="006B672B" w:rsidRDefault="006B672B" w:rsidP="006B672B">
            <w:pPr>
              <w:autoSpaceDE w:val="0"/>
              <w:autoSpaceDN w:val="0"/>
              <w:adjustRightInd w:val="0"/>
              <w:jc w:val="both"/>
              <w:rPr>
                <w:sz w:val="20"/>
                <w:szCs w:val="20"/>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2000" w:type="dxa"/>
          </w:tcPr>
          <w:p w:rsidR="006B672B" w:rsidRDefault="006B672B" w:rsidP="006B672B">
            <w:pPr>
              <w:autoSpaceDE w:val="0"/>
              <w:autoSpaceDN w:val="0"/>
              <w:adjustRightInd w:val="0"/>
              <w:spacing w:line="360" w:lineRule="auto"/>
              <w:jc w:val="both"/>
              <w:rPr>
                <w:sz w:val="23"/>
                <w:szCs w:val="23"/>
              </w:rPr>
            </w:pPr>
          </w:p>
        </w:tc>
      </w:tr>
      <w:tr w:rsidR="006B672B" w:rsidTr="00F00710">
        <w:tc>
          <w:tcPr>
            <w:tcW w:w="1999" w:type="dxa"/>
          </w:tcPr>
          <w:p w:rsidR="006B672B" w:rsidRDefault="006B672B" w:rsidP="006B672B">
            <w:pPr>
              <w:autoSpaceDE w:val="0"/>
              <w:autoSpaceDN w:val="0"/>
              <w:adjustRightInd w:val="0"/>
              <w:jc w:val="both"/>
              <w:rPr>
                <w:sz w:val="20"/>
                <w:szCs w:val="20"/>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2000" w:type="dxa"/>
          </w:tcPr>
          <w:p w:rsidR="006B672B" w:rsidRDefault="006B672B" w:rsidP="006B672B">
            <w:pPr>
              <w:autoSpaceDE w:val="0"/>
              <w:autoSpaceDN w:val="0"/>
              <w:adjustRightInd w:val="0"/>
              <w:spacing w:line="360" w:lineRule="auto"/>
              <w:jc w:val="both"/>
              <w:rPr>
                <w:sz w:val="23"/>
                <w:szCs w:val="23"/>
              </w:rPr>
            </w:pPr>
          </w:p>
        </w:tc>
      </w:tr>
      <w:tr w:rsidR="006B672B" w:rsidTr="00F00710">
        <w:tc>
          <w:tcPr>
            <w:tcW w:w="1999" w:type="dxa"/>
          </w:tcPr>
          <w:p w:rsidR="006B672B" w:rsidRDefault="006B672B" w:rsidP="006B672B">
            <w:pPr>
              <w:autoSpaceDE w:val="0"/>
              <w:autoSpaceDN w:val="0"/>
              <w:adjustRightInd w:val="0"/>
              <w:jc w:val="both"/>
              <w:rPr>
                <w:sz w:val="20"/>
                <w:szCs w:val="20"/>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2000" w:type="dxa"/>
          </w:tcPr>
          <w:p w:rsidR="006B672B" w:rsidRDefault="006B672B" w:rsidP="006B672B">
            <w:pPr>
              <w:autoSpaceDE w:val="0"/>
              <w:autoSpaceDN w:val="0"/>
              <w:adjustRightInd w:val="0"/>
              <w:spacing w:line="360" w:lineRule="auto"/>
              <w:jc w:val="both"/>
              <w:rPr>
                <w:sz w:val="23"/>
                <w:szCs w:val="23"/>
              </w:rPr>
            </w:pPr>
          </w:p>
        </w:tc>
      </w:tr>
      <w:tr w:rsidR="006B672B" w:rsidTr="00F00710">
        <w:tc>
          <w:tcPr>
            <w:tcW w:w="1999" w:type="dxa"/>
          </w:tcPr>
          <w:p w:rsidR="006B672B" w:rsidRDefault="006B672B" w:rsidP="006B672B">
            <w:pPr>
              <w:autoSpaceDE w:val="0"/>
              <w:autoSpaceDN w:val="0"/>
              <w:adjustRightInd w:val="0"/>
              <w:jc w:val="both"/>
              <w:rPr>
                <w:sz w:val="20"/>
                <w:szCs w:val="20"/>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2000" w:type="dxa"/>
          </w:tcPr>
          <w:p w:rsidR="006B672B" w:rsidRDefault="006B672B" w:rsidP="006B672B">
            <w:pPr>
              <w:autoSpaceDE w:val="0"/>
              <w:autoSpaceDN w:val="0"/>
              <w:adjustRightInd w:val="0"/>
              <w:spacing w:line="360" w:lineRule="auto"/>
              <w:jc w:val="both"/>
              <w:rPr>
                <w:sz w:val="23"/>
                <w:szCs w:val="23"/>
              </w:rPr>
            </w:pPr>
          </w:p>
        </w:tc>
      </w:tr>
      <w:tr w:rsidR="006B672B" w:rsidTr="00F00710">
        <w:tc>
          <w:tcPr>
            <w:tcW w:w="1999" w:type="dxa"/>
          </w:tcPr>
          <w:p w:rsidR="006B672B" w:rsidRDefault="006B672B" w:rsidP="006B672B">
            <w:pPr>
              <w:autoSpaceDE w:val="0"/>
              <w:autoSpaceDN w:val="0"/>
              <w:adjustRightInd w:val="0"/>
              <w:jc w:val="both"/>
              <w:rPr>
                <w:sz w:val="20"/>
                <w:szCs w:val="20"/>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1999" w:type="dxa"/>
          </w:tcPr>
          <w:p w:rsidR="006B672B" w:rsidRDefault="006B672B" w:rsidP="006B672B">
            <w:pPr>
              <w:autoSpaceDE w:val="0"/>
              <w:autoSpaceDN w:val="0"/>
              <w:adjustRightInd w:val="0"/>
              <w:spacing w:line="360" w:lineRule="auto"/>
              <w:jc w:val="both"/>
              <w:rPr>
                <w:sz w:val="23"/>
                <w:szCs w:val="23"/>
              </w:rPr>
            </w:pPr>
          </w:p>
        </w:tc>
        <w:tc>
          <w:tcPr>
            <w:tcW w:w="2000" w:type="dxa"/>
          </w:tcPr>
          <w:p w:rsidR="006B672B" w:rsidRDefault="006B672B" w:rsidP="006B672B">
            <w:pPr>
              <w:autoSpaceDE w:val="0"/>
              <w:autoSpaceDN w:val="0"/>
              <w:adjustRightInd w:val="0"/>
              <w:spacing w:line="360" w:lineRule="auto"/>
              <w:jc w:val="both"/>
              <w:rPr>
                <w:sz w:val="23"/>
                <w:szCs w:val="23"/>
              </w:rPr>
            </w:pPr>
          </w:p>
        </w:tc>
      </w:tr>
      <w:tr w:rsidR="00F00710" w:rsidTr="00F00710">
        <w:tc>
          <w:tcPr>
            <w:tcW w:w="1999" w:type="dxa"/>
          </w:tcPr>
          <w:p w:rsidR="00F00710" w:rsidRPr="006B672B" w:rsidRDefault="006B672B" w:rsidP="006B672B">
            <w:pPr>
              <w:autoSpaceDE w:val="0"/>
              <w:autoSpaceDN w:val="0"/>
              <w:adjustRightInd w:val="0"/>
              <w:jc w:val="both"/>
              <w:rPr>
                <w:sz w:val="20"/>
                <w:szCs w:val="20"/>
              </w:rPr>
            </w:pPr>
            <w:r>
              <w:rPr>
                <w:sz w:val="20"/>
                <w:szCs w:val="20"/>
              </w:rPr>
              <w:t>Le taux de fécondité baisse trop lentement</w:t>
            </w:r>
          </w:p>
          <w:p w:rsidR="006B672B" w:rsidRPr="006B672B" w:rsidRDefault="006B672B" w:rsidP="006B672B">
            <w:pPr>
              <w:autoSpaceDE w:val="0"/>
              <w:autoSpaceDN w:val="0"/>
              <w:adjustRightInd w:val="0"/>
              <w:jc w:val="both"/>
              <w:rPr>
                <w:sz w:val="20"/>
                <w:szCs w:val="20"/>
              </w:rPr>
            </w:pPr>
            <w:r w:rsidRPr="006B672B">
              <w:rPr>
                <w:sz w:val="20"/>
                <w:szCs w:val="20"/>
              </w:rPr>
              <w:t>ISF=5,4 (2015)</w:t>
            </w:r>
          </w:p>
        </w:tc>
        <w:tc>
          <w:tcPr>
            <w:tcW w:w="1999" w:type="dxa"/>
          </w:tcPr>
          <w:p w:rsidR="00F00710" w:rsidRDefault="00F00710" w:rsidP="006B672B">
            <w:pPr>
              <w:autoSpaceDE w:val="0"/>
              <w:autoSpaceDN w:val="0"/>
              <w:adjustRightInd w:val="0"/>
              <w:spacing w:line="360" w:lineRule="auto"/>
              <w:jc w:val="both"/>
              <w:rPr>
                <w:sz w:val="23"/>
                <w:szCs w:val="23"/>
              </w:rPr>
            </w:pPr>
          </w:p>
        </w:tc>
        <w:tc>
          <w:tcPr>
            <w:tcW w:w="1999" w:type="dxa"/>
          </w:tcPr>
          <w:p w:rsidR="00F00710" w:rsidRDefault="00F00710" w:rsidP="006B672B">
            <w:pPr>
              <w:autoSpaceDE w:val="0"/>
              <w:autoSpaceDN w:val="0"/>
              <w:adjustRightInd w:val="0"/>
              <w:spacing w:line="360" w:lineRule="auto"/>
              <w:jc w:val="both"/>
              <w:rPr>
                <w:sz w:val="23"/>
                <w:szCs w:val="23"/>
              </w:rPr>
            </w:pPr>
          </w:p>
        </w:tc>
        <w:tc>
          <w:tcPr>
            <w:tcW w:w="1999" w:type="dxa"/>
          </w:tcPr>
          <w:p w:rsidR="00F00710" w:rsidRDefault="00F00710" w:rsidP="006B672B">
            <w:pPr>
              <w:autoSpaceDE w:val="0"/>
              <w:autoSpaceDN w:val="0"/>
              <w:adjustRightInd w:val="0"/>
              <w:spacing w:line="360" w:lineRule="auto"/>
              <w:jc w:val="both"/>
              <w:rPr>
                <w:sz w:val="23"/>
                <w:szCs w:val="23"/>
              </w:rPr>
            </w:pPr>
          </w:p>
        </w:tc>
        <w:tc>
          <w:tcPr>
            <w:tcW w:w="1999" w:type="dxa"/>
          </w:tcPr>
          <w:p w:rsidR="00F00710" w:rsidRDefault="00F00710" w:rsidP="006B672B">
            <w:pPr>
              <w:autoSpaceDE w:val="0"/>
              <w:autoSpaceDN w:val="0"/>
              <w:adjustRightInd w:val="0"/>
              <w:spacing w:line="360" w:lineRule="auto"/>
              <w:jc w:val="both"/>
              <w:rPr>
                <w:sz w:val="23"/>
                <w:szCs w:val="23"/>
              </w:rPr>
            </w:pPr>
          </w:p>
        </w:tc>
        <w:tc>
          <w:tcPr>
            <w:tcW w:w="1999" w:type="dxa"/>
          </w:tcPr>
          <w:p w:rsidR="00F00710" w:rsidRDefault="00F00710" w:rsidP="006B672B">
            <w:pPr>
              <w:autoSpaceDE w:val="0"/>
              <w:autoSpaceDN w:val="0"/>
              <w:adjustRightInd w:val="0"/>
              <w:spacing w:line="360" w:lineRule="auto"/>
              <w:jc w:val="both"/>
              <w:rPr>
                <w:sz w:val="23"/>
                <w:szCs w:val="23"/>
              </w:rPr>
            </w:pPr>
          </w:p>
        </w:tc>
        <w:tc>
          <w:tcPr>
            <w:tcW w:w="2000" w:type="dxa"/>
          </w:tcPr>
          <w:p w:rsidR="00F00710" w:rsidRDefault="00F00710" w:rsidP="006B672B">
            <w:pPr>
              <w:autoSpaceDE w:val="0"/>
              <w:autoSpaceDN w:val="0"/>
              <w:adjustRightInd w:val="0"/>
              <w:spacing w:line="360" w:lineRule="auto"/>
              <w:jc w:val="both"/>
              <w:rPr>
                <w:sz w:val="23"/>
                <w:szCs w:val="23"/>
              </w:rPr>
            </w:pPr>
          </w:p>
        </w:tc>
      </w:tr>
      <w:tr w:rsidR="00F00710" w:rsidTr="00F00710">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r w:rsidR="00F00710" w:rsidTr="00F00710">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r w:rsidR="00F00710" w:rsidTr="00F00710">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r w:rsidR="00F00710" w:rsidTr="00F00710">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r w:rsidR="00F00710" w:rsidTr="00F00710">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1999" w:type="dxa"/>
          </w:tcPr>
          <w:p w:rsidR="00F00710" w:rsidRDefault="00F00710" w:rsidP="00C40365">
            <w:pPr>
              <w:autoSpaceDE w:val="0"/>
              <w:autoSpaceDN w:val="0"/>
              <w:adjustRightInd w:val="0"/>
              <w:spacing w:after="240" w:line="360" w:lineRule="auto"/>
              <w:jc w:val="both"/>
              <w:rPr>
                <w:sz w:val="23"/>
                <w:szCs w:val="23"/>
              </w:rPr>
            </w:pPr>
          </w:p>
        </w:tc>
        <w:tc>
          <w:tcPr>
            <w:tcW w:w="2000" w:type="dxa"/>
          </w:tcPr>
          <w:p w:rsidR="00F00710" w:rsidRDefault="00F00710" w:rsidP="00C40365">
            <w:pPr>
              <w:autoSpaceDE w:val="0"/>
              <w:autoSpaceDN w:val="0"/>
              <w:adjustRightInd w:val="0"/>
              <w:spacing w:after="240" w:line="360" w:lineRule="auto"/>
              <w:jc w:val="both"/>
              <w:rPr>
                <w:sz w:val="23"/>
                <w:szCs w:val="23"/>
              </w:rPr>
            </w:pPr>
          </w:p>
        </w:tc>
      </w:tr>
    </w:tbl>
    <w:p w:rsidR="00F00710" w:rsidRDefault="00F00710" w:rsidP="00C40365">
      <w:pPr>
        <w:autoSpaceDE w:val="0"/>
        <w:autoSpaceDN w:val="0"/>
        <w:adjustRightInd w:val="0"/>
        <w:spacing w:after="240" w:line="360" w:lineRule="auto"/>
        <w:jc w:val="both"/>
        <w:rPr>
          <w:sz w:val="23"/>
          <w:szCs w:val="23"/>
        </w:rPr>
        <w:sectPr w:rsidR="00F00710" w:rsidSect="00F00710">
          <w:pgSz w:w="16838" w:h="11906" w:orient="landscape"/>
          <w:pgMar w:top="1417" w:right="1417" w:bottom="1417" w:left="1417" w:header="720" w:footer="720" w:gutter="0"/>
          <w:cols w:space="720"/>
          <w:docGrid w:linePitch="360"/>
        </w:sectPr>
      </w:pPr>
    </w:p>
    <w:p w:rsidR="00C40365" w:rsidRPr="00B72473" w:rsidRDefault="00C40365" w:rsidP="00C40365">
      <w:pPr>
        <w:autoSpaceDE w:val="0"/>
        <w:autoSpaceDN w:val="0"/>
        <w:adjustRightInd w:val="0"/>
        <w:spacing w:after="240" w:line="360" w:lineRule="auto"/>
        <w:jc w:val="both"/>
        <w:rPr>
          <w:sz w:val="23"/>
          <w:szCs w:val="23"/>
        </w:rPr>
      </w:pPr>
    </w:p>
    <w:p w:rsidR="00C40365" w:rsidRPr="0028196B" w:rsidRDefault="00C40365" w:rsidP="0028196B">
      <w:pPr>
        <w:spacing w:after="0" w:line="360" w:lineRule="auto"/>
        <w:jc w:val="both"/>
        <w:rPr>
          <w:rFonts w:ascii="Calibri" w:hAnsi="Calibri"/>
          <w:sz w:val="24"/>
          <w:szCs w:val="24"/>
        </w:rPr>
      </w:pPr>
    </w:p>
    <w:bookmarkEnd w:id="0"/>
    <w:p w:rsidR="009955F8" w:rsidRDefault="009955F8" w:rsidP="009955F8">
      <w:pPr>
        <w:widowControl w:val="0"/>
        <w:tabs>
          <w:tab w:val="left" w:pos="9498"/>
        </w:tabs>
        <w:autoSpaceDE w:val="0"/>
        <w:autoSpaceDN w:val="0"/>
        <w:adjustRightInd w:val="0"/>
        <w:spacing w:before="32" w:after="0" w:line="360" w:lineRule="auto"/>
        <w:ind w:left="-142" w:right="-1"/>
        <w:jc w:val="both"/>
        <w:rPr>
          <w:rFonts w:ascii="Cambria" w:hAnsi="Cambria"/>
          <w:sz w:val="24"/>
          <w:szCs w:val="24"/>
        </w:rPr>
      </w:pPr>
    </w:p>
    <w:sectPr w:rsidR="009955F8" w:rsidSect="002C0C58">
      <w:pgSz w:w="11906" w:h="16838"/>
      <w:pgMar w:top="1417" w:right="1417" w:bottom="1417"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6B83" w:rsidRDefault="009F6B83" w:rsidP="00120BD6">
      <w:pPr>
        <w:spacing w:after="0" w:line="240" w:lineRule="auto"/>
      </w:pPr>
      <w:r>
        <w:separator/>
      </w:r>
    </w:p>
  </w:endnote>
  <w:endnote w:type="continuationSeparator" w:id="0">
    <w:p w:rsidR="009F6B83" w:rsidRDefault="009F6B83" w:rsidP="00120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w Cen MT Condensed">
    <w:panose1 w:val="020B0606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aiandra GD">
    <w:panose1 w:val="020E0502030308020204"/>
    <w:charset w:val="00"/>
    <w:family w:val="swiss"/>
    <w:pitch w:val="variable"/>
    <w:sig w:usb0="00000003" w:usb1="00000000" w:usb2="00000000" w:usb3="00000000" w:csb0="00000001" w:csb1="00000000"/>
  </w:font>
  <w:font w:name="Helvetica">
    <w:panose1 w:val="020B0504020202020204"/>
    <w:charset w:val="00"/>
    <w:family w:val="swiss"/>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Optima">
    <w:panose1 w:val="00000000000000000000"/>
    <w:charset w:val="00"/>
    <w:family w:val="swiss"/>
    <w:notTrueType/>
    <w:pitch w:val="default"/>
    <w:sig w:usb0="00000003" w:usb1="00000000" w:usb2="00000000" w:usb3="00000000" w:csb0="00000001" w:csb1="00000000"/>
  </w:font>
  <w:font w:name="QuaySans">
    <w:panose1 w:val="00000000000000000000"/>
    <w:charset w:val="00"/>
    <w:family w:val="auto"/>
    <w:notTrueType/>
    <w:pitch w:val="default"/>
    <w:sig w:usb0="00000003" w:usb1="00000000" w:usb2="00000000" w:usb3="00000000" w:csb0="00000001" w:csb1="00000000"/>
  </w:font>
  <w:font w:name="QuaySansItalic">
    <w:panose1 w:val="00000000000000000000"/>
    <w:charset w:val="00"/>
    <w:family w:val="auto"/>
    <w:notTrueType/>
    <w:pitch w:val="default"/>
    <w:sig w:usb0="00000003" w:usb1="00000000" w:usb2="00000000" w:usb3="00000000" w:csb0="00000001" w:csb1="00000000"/>
  </w:font>
  <w:font w:name="MS Shell Dlg 2">
    <w:panose1 w:val="020B0604030504040204"/>
    <w:charset w:val="00"/>
    <w:family w:val="swiss"/>
    <w:pitch w:val="variable"/>
    <w:sig w:usb0="E1002EFF" w:usb1="C000605B" w:usb2="00000029" w:usb3="00000000" w:csb0="000101FF" w:csb1="00000000"/>
  </w:font>
  <w:font w:name="Gisha">
    <w:altName w:val="Segoe UI"/>
    <w:charset w:val="00"/>
    <w:family w:val="swiss"/>
    <w:pitch w:val="variable"/>
    <w:sig w:usb0="00000000" w:usb1="40000042" w:usb2="00000000" w:usb3="00000000" w:csb0="00000021" w:csb1="00000000"/>
  </w:font>
  <w:font w:name="Arial,Italic">
    <w:altName w:val="Arial"/>
    <w:panose1 w:val="00000000000000000000"/>
    <w:charset w:val="00"/>
    <w:family w:val="swiss"/>
    <w:notTrueType/>
    <w:pitch w:val="default"/>
    <w:sig w:usb0="00000003" w:usb1="00000000" w:usb2="00000000" w:usb3="00000000" w:csb0="00000001" w:csb1="00000000"/>
  </w:font>
  <w:font w:name="OfficinaSans-Book">
    <w:altName w:val="Calibri"/>
    <w:panose1 w:val="00000000000000000000"/>
    <w:charset w:val="00"/>
    <w:family w:val="auto"/>
    <w:notTrueType/>
    <w:pitch w:val="default"/>
    <w:sig w:usb0="00000003" w:usb1="00000000" w:usb2="00000000" w:usb3="00000000" w:csb0="00000001" w:csb1="00000000"/>
  </w:font>
  <w:font w:name="OfficinaSerif-Bold">
    <w:altName w:val="Cambria"/>
    <w:panose1 w:val="00000000000000000000"/>
    <w:charset w:val="00"/>
    <w:family w:val="roman"/>
    <w:notTrueType/>
    <w:pitch w:val="default"/>
    <w:sig w:usb0="00000003" w:usb1="00000000" w:usb2="00000000" w:usb3="00000000" w:csb0="00000001" w:csb1="00000000"/>
  </w:font>
  <w:font w:name="HelveticaNeue-Roman">
    <w:altName w:val="Arial"/>
    <w:panose1 w:val="00000000000000000000"/>
    <w:charset w:val="00"/>
    <w:family w:val="swiss"/>
    <w:notTrueType/>
    <w:pitch w:val="default"/>
    <w:sig w:usb0="00000003" w:usb1="00000000" w:usb2="00000000" w:usb3="00000000" w:csb0="00000001" w:csb1="00000000"/>
  </w:font>
  <w:font w:name="HelveticaNeue-LightItalic">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
    <w:panose1 w:val="00000000000000000000"/>
    <w:charset w:val="00"/>
    <w:family w:val="roman"/>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6B83" w:rsidRDefault="009F6B83" w:rsidP="00120BD6">
      <w:pPr>
        <w:spacing w:after="0" w:line="240" w:lineRule="auto"/>
      </w:pPr>
      <w:r>
        <w:separator/>
      </w:r>
    </w:p>
  </w:footnote>
  <w:footnote w:type="continuationSeparator" w:id="0">
    <w:p w:rsidR="009F6B83" w:rsidRDefault="009F6B83" w:rsidP="00120BD6">
      <w:pPr>
        <w:spacing w:after="0" w:line="240" w:lineRule="auto"/>
      </w:pPr>
      <w:r>
        <w:continuationSeparator/>
      </w:r>
    </w:p>
  </w:footnote>
  <w:footnote w:id="1">
    <w:p w:rsidR="00EB2626" w:rsidRPr="00120BD6" w:rsidRDefault="00EB2626">
      <w:pPr>
        <w:pStyle w:val="Notedebasdepage"/>
        <w:rPr>
          <w:lang w:val="en-US"/>
        </w:rPr>
      </w:pPr>
      <w:r>
        <w:rPr>
          <w:rStyle w:val="Appelnotedebasdep"/>
        </w:rPr>
        <w:footnoteRef/>
      </w:r>
      <w:r>
        <w:t xml:space="preserve"> Institut national de la statistique et de la démographie (INSD). (2008). Le Burkina en chiffre  </w:t>
      </w:r>
    </w:p>
  </w:footnote>
  <w:footnote w:id="2">
    <w:p w:rsidR="00EB2626" w:rsidRPr="00054A9E" w:rsidRDefault="00EB2626" w:rsidP="004050A1">
      <w:pPr>
        <w:pStyle w:val="Notedebasdepage"/>
        <w:rPr>
          <w:sz w:val="16"/>
          <w:szCs w:val="16"/>
        </w:rPr>
      </w:pPr>
      <w:r w:rsidRPr="00054A9E">
        <w:rPr>
          <w:rStyle w:val="Appelnotedebasdep"/>
          <w:sz w:val="16"/>
          <w:szCs w:val="16"/>
        </w:rPr>
        <w:footnoteRef/>
      </w:r>
      <w:r w:rsidRPr="00054A9E">
        <w:rPr>
          <w:sz w:val="16"/>
          <w:szCs w:val="16"/>
        </w:rPr>
        <w:t xml:space="preserve"> Enquête Démographique et de santé 1998-1999   </w:t>
      </w:r>
      <w:r>
        <w:rPr>
          <w:sz w:val="16"/>
          <w:szCs w:val="16"/>
        </w:rPr>
        <w:t xml:space="preserve">Burkina Faso - </w:t>
      </w:r>
      <w:r w:rsidRPr="00054A9E">
        <w:rPr>
          <w:sz w:val="16"/>
          <w:szCs w:val="16"/>
        </w:rPr>
        <w:t xml:space="preserve"> Enquête Démographique et de santé 2003 – Burkina Faso </w:t>
      </w:r>
      <w:r>
        <w:rPr>
          <w:sz w:val="16"/>
          <w:szCs w:val="16"/>
        </w:rPr>
        <w:t>-</w:t>
      </w:r>
      <w:r w:rsidRPr="00054A9E">
        <w:rPr>
          <w:sz w:val="16"/>
          <w:szCs w:val="16"/>
        </w:rPr>
        <w:t xml:space="preserve"> Enquête Démographique et de santé 2010 – Burkina Faso</w:t>
      </w:r>
      <w:r>
        <w:rPr>
          <w:sz w:val="16"/>
          <w:szCs w:val="16"/>
        </w:rPr>
        <w:t>-</w:t>
      </w:r>
      <w:r w:rsidRPr="00054A9E">
        <w:rPr>
          <w:sz w:val="16"/>
          <w:szCs w:val="16"/>
        </w:rPr>
        <w:t xml:space="preserve"> Enquête Module Démographique et Santé (EMDS) 2015 – Burkina Faso</w:t>
      </w:r>
    </w:p>
  </w:footnote>
  <w:footnote w:id="3">
    <w:p w:rsidR="00EB2626" w:rsidRPr="00054A9E" w:rsidRDefault="00EB2626">
      <w:pPr>
        <w:pStyle w:val="Notedebasdepage"/>
        <w:rPr>
          <w:sz w:val="16"/>
          <w:szCs w:val="16"/>
        </w:rPr>
      </w:pPr>
      <w:r w:rsidRPr="00054A9E">
        <w:rPr>
          <w:rStyle w:val="Appelnotedebasdep"/>
          <w:sz w:val="16"/>
          <w:szCs w:val="16"/>
        </w:rPr>
        <w:footnoteRef/>
      </w:r>
      <w:r w:rsidRPr="00054A9E">
        <w:rPr>
          <w:sz w:val="16"/>
          <w:szCs w:val="16"/>
        </w:rPr>
        <w:t xml:space="preserve"> Evaluation Mi-Parcours du PNDS 2011-2020 Burkina Faso. Rapport. Ministère de la Santé Publique 2016</w:t>
      </w:r>
    </w:p>
  </w:footnote>
  <w:footnote w:id="4">
    <w:p w:rsidR="00F26721" w:rsidRDefault="00F26721" w:rsidP="00F26721">
      <w:pPr>
        <w:autoSpaceDE w:val="0"/>
        <w:autoSpaceDN w:val="0"/>
        <w:adjustRightInd w:val="0"/>
        <w:spacing w:after="120"/>
      </w:pPr>
      <w:r>
        <w:rPr>
          <w:rStyle w:val="Appelnotedebasdep"/>
        </w:rPr>
        <w:footnoteRef/>
      </w:r>
      <w:r>
        <w:rPr>
          <w:rFonts w:ascii="QuaySans" w:hAnsi="QuaySans" w:cs="QuaySans"/>
          <w:sz w:val="18"/>
          <w:szCs w:val="18"/>
        </w:rPr>
        <w:t>Somé DT, Sombie I, Meda N. What prevent women for a sustainable use of maternal care in two medical districts of Burkina Faso? A qualitative study. Pan Afr Med J. 2014;18:43.</w:t>
      </w:r>
    </w:p>
  </w:footnote>
  <w:footnote w:id="5">
    <w:p w:rsidR="00F26721" w:rsidRDefault="00F26721" w:rsidP="00F26721">
      <w:pPr>
        <w:autoSpaceDE w:val="0"/>
        <w:autoSpaceDN w:val="0"/>
        <w:adjustRightInd w:val="0"/>
        <w:spacing w:after="120"/>
      </w:pPr>
      <w:r>
        <w:rPr>
          <w:rStyle w:val="Appelnotedebasdep"/>
        </w:rPr>
        <w:footnoteRef/>
      </w:r>
      <w:r>
        <w:rPr>
          <w:rFonts w:ascii="QuaySans" w:hAnsi="QuaySans" w:cs="QuaySans"/>
          <w:sz w:val="18"/>
          <w:szCs w:val="18"/>
        </w:rPr>
        <w:t>Duysburgh E, Ye M, Williams A, Massawe S, Sié A, Williams J, Mpembeni R, Loukanova S, Temmerman M. Counseling on and women’s awareness of pregnancy danger signs in selected rural health facilities in Burkina Faso, Ghana and Tanzania. Trop Med Int Health. 2013;18:1498-509.</w:t>
      </w:r>
    </w:p>
  </w:footnote>
  <w:footnote w:id="6">
    <w:p w:rsidR="00F26721" w:rsidRDefault="00F26721" w:rsidP="00F26721">
      <w:pPr>
        <w:autoSpaceDE w:val="0"/>
        <w:autoSpaceDN w:val="0"/>
        <w:adjustRightInd w:val="0"/>
      </w:pPr>
      <w:r>
        <w:rPr>
          <w:rStyle w:val="Appelnotedebasdep"/>
        </w:rPr>
        <w:footnoteRef/>
      </w:r>
      <w:r>
        <w:rPr>
          <w:rFonts w:ascii="QuaySans" w:hAnsi="QuaySans" w:cs="QuaySans"/>
          <w:sz w:val="18"/>
          <w:szCs w:val="18"/>
        </w:rPr>
        <w:t xml:space="preserve">Bell J, Ouedraogo M, Ganaba R, Sombié I, Byass P </w:t>
      </w:r>
      <w:r>
        <w:rPr>
          <w:rFonts w:ascii="QuaySansItalic" w:hAnsi="QuaySansItalic" w:cs="QuaySansItalic"/>
          <w:i/>
          <w:iCs/>
          <w:sz w:val="18"/>
          <w:szCs w:val="18"/>
        </w:rPr>
        <w:t xml:space="preserve">et al. </w:t>
      </w:r>
      <w:r>
        <w:rPr>
          <w:rFonts w:ascii="QuaySans" w:hAnsi="QuaySans" w:cs="QuaySans"/>
          <w:sz w:val="18"/>
          <w:szCs w:val="18"/>
        </w:rPr>
        <w:t>The epidemiology of pregnancy outcomes in rural Burkina Faso. Tropical Medicine and International Health. 2008;13:31-41.</w:t>
      </w:r>
    </w:p>
  </w:footnote>
  <w:footnote w:id="7">
    <w:p w:rsidR="00F26721" w:rsidRDefault="00F26721" w:rsidP="00F26721">
      <w:pPr>
        <w:autoSpaceDE w:val="0"/>
        <w:autoSpaceDN w:val="0"/>
        <w:adjustRightInd w:val="0"/>
        <w:spacing w:after="120"/>
        <w:jc w:val="both"/>
      </w:pPr>
      <w:r>
        <w:rPr>
          <w:rStyle w:val="Appelnotedebasdep"/>
        </w:rPr>
        <w:footnoteRef/>
      </w:r>
      <w:r>
        <w:rPr>
          <w:rFonts w:ascii="QuaySans" w:hAnsi="QuaySans" w:cs="QuaySans"/>
          <w:sz w:val="18"/>
          <w:szCs w:val="18"/>
        </w:rPr>
        <w:t>De Allegri M, Tiendrebéogo J, Müller O, Yé M, Jahn A, Ridde V.Understanding home delivery in a context of user fee reduction: across-sectional mixed methods study in rural Burkina Faso. BMC Pregnancy Childbirth. 2015;15:330. doi : 10.1186/s12884-015-0764-0.</w:t>
      </w:r>
    </w:p>
  </w:footnote>
  <w:footnote w:id="8">
    <w:p w:rsidR="00F26721" w:rsidRDefault="00F26721" w:rsidP="00F26721">
      <w:pPr>
        <w:autoSpaceDE w:val="0"/>
        <w:autoSpaceDN w:val="0"/>
        <w:adjustRightInd w:val="0"/>
      </w:pPr>
      <w:r>
        <w:rPr>
          <w:rStyle w:val="Appelnotedebasdep"/>
        </w:rPr>
        <w:footnoteRef/>
      </w:r>
      <w:r>
        <w:rPr>
          <w:rFonts w:ascii="QuaySans" w:hAnsi="QuaySans" w:cs="QuaySans"/>
          <w:sz w:val="18"/>
          <w:szCs w:val="18"/>
        </w:rPr>
        <w:t>Kouanda S, Ouédraogo AM, Ouédraogo GH, Sanon D, Belemviré S, Ouédraogo L. Emergency obstetric and neonatal care needs assessment: Results of the 2010 and 2014 surveys in Burkina Faso. International Journal of Gynecology and Obstetrics 2016;135:S11-S15.</w:t>
      </w:r>
    </w:p>
  </w:footnote>
  <w:footnote w:id="9">
    <w:p w:rsidR="00EB2626" w:rsidRPr="00054A9E" w:rsidRDefault="00EB2626" w:rsidP="005A1CF9">
      <w:pPr>
        <w:pStyle w:val="Notedebasdepage"/>
        <w:rPr>
          <w:sz w:val="16"/>
          <w:szCs w:val="16"/>
        </w:rPr>
      </w:pPr>
      <w:r>
        <w:rPr>
          <w:rStyle w:val="Appelnotedebasdep"/>
        </w:rPr>
        <w:footnoteRef/>
      </w:r>
      <w:r>
        <w:t xml:space="preserve"> </w:t>
      </w:r>
      <w:r w:rsidRPr="00054A9E">
        <w:rPr>
          <w:sz w:val="16"/>
          <w:szCs w:val="16"/>
        </w:rPr>
        <w:t>Enquête Démographique et de santé 1998-1999   Burkina Faso</w:t>
      </w:r>
    </w:p>
    <w:p w:rsidR="00EB2626" w:rsidRPr="00054A9E" w:rsidRDefault="00EB2626" w:rsidP="005A1CF9">
      <w:pPr>
        <w:pStyle w:val="Notedebasdepage"/>
        <w:rPr>
          <w:sz w:val="16"/>
          <w:szCs w:val="16"/>
        </w:rPr>
      </w:pPr>
      <w:r w:rsidRPr="00054A9E">
        <w:rPr>
          <w:sz w:val="16"/>
          <w:szCs w:val="16"/>
        </w:rPr>
        <w:t xml:space="preserve">    Enquête Démographique et de santé 2003 – Burkina Faso </w:t>
      </w:r>
    </w:p>
    <w:p w:rsidR="00EB2626" w:rsidRPr="00054A9E" w:rsidRDefault="00EB2626" w:rsidP="005A1CF9">
      <w:pPr>
        <w:pStyle w:val="Notedebasdepage"/>
        <w:rPr>
          <w:sz w:val="16"/>
          <w:szCs w:val="16"/>
        </w:rPr>
      </w:pPr>
      <w:r w:rsidRPr="00054A9E">
        <w:rPr>
          <w:sz w:val="16"/>
          <w:szCs w:val="16"/>
        </w:rPr>
        <w:t xml:space="preserve">    Enquête Démographique et de santé 2010 – Burkina Faso</w:t>
      </w:r>
    </w:p>
    <w:p w:rsidR="00EB2626" w:rsidRDefault="00EB2626" w:rsidP="005A1CF9">
      <w:pPr>
        <w:pStyle w:val="Notedebasdepage"/>
      </w:pPr>
      <w:r w:rsidRPr="00054A9E">
        <w:rPr>
          <w:sz w:val="16"/>
          <w:szCs w:val="16"/>
        </w:rPr>
        <w:t xml:space="preserve">    Enquête Module Démographique et Santé (EMDS) 2015 – Burkina Faso</w:t>
      </w:r>
    </w:p>
  </w:footnote>
  <w:footnote w:id="10">
    <w:p w:rsidR="00EB2626" w:rsidRDefault="00EB2626">
      <w:pPr>
        <w:pStyle w:val="Notedebasdepage"/>
      </w:pPr>
      <w:r>
        <w:rPr>
          <w:rStyle w:val="Appelnotedebasdep"/>
        </w:rPr>
        <w:footnoteRef/>
      </w:r>
      <w:r>
        <w:t xml:space="preserve"> </w:t>
      </w:r>
      <w:r w:rsidRPr="00054A9E">
        <w:rPr>
          <w:sz w:val="16"/>
          <w:szCs w:val="16"/>
        </w:rPr>
        <w:t>Evaluation Mi-Parcours du PNDS 2011-2020 Burkina Faso. Rapport. Ministère de la Santé Publique 2016</w:t>
      </w:r>
    </w:p>
  </w:footnote>
  <w:footnote w:id="11">
    <w:p w:rsidR="00EB2626" w:rsidRPr="00AC4F28" w:rsidRDefault="00EB2626" w:rsidP="00AC4F28">
      <w:pPr>
        <w:autoSpaceDE w:val="0"/>
        <w:autoSpaceDN w:val="0"/>
        <w:adjustRightInd w:val="0"/>
        <w:spacing w:after="0"/>
        <w:jc w:val="both"/>
        <w:rPr>
          <w:rFonts w:cs="Times New Roman"/>
          <w:i/>
          <w:iCs/>
          <w:sz w:val="16"/>
          <w:szCs w:val="16"/>
        </w:rPr>
      </w:pPr>
      <w:r>
        <w:rPr>
          <w:rStyle w:val="Appelnotedebasdep"/>
        </w:rPr>
        <w:footnoteRef/>
      </w:r>
      <w:r>
        <w:t xml:space="preserve"> </w:t>
      </w:r>
      <w:r w:rsidRPr="00AC4F28">
        <w:rPr>
          <w:rFonts w:cs="Times New Roman"/>
          <w:sz w:val="16"/>
          <w:szCs w:val="16"/>
        </w:rPr>
        <w:t xml:space="preserve">Institut National de la Statistique et de la Démographie, et Macro International Inc. 2000. </w:t>
      </w:r>
      <w:r w:rsidRPr="00AC4F28">
        <w:rPr>
          <w:rFonts w:cs="Times New Roman"/>
          <w:i/>
          <w:iCs/>
          <w:sz w:val="16"/>
          <w:szCs w:val="16"/>
        </w:rPr>
        <w:t xml:space="preserve">Enquête Démographique et de Santé, Burkina Faso 1998-1999. </w:t>
      </w:r>
      <w:r w:rsidRPr="00AC4F28">
        <w:rPr>
          <w:rFonts w:cs="Times New Roman"/>
          <w:sz w:val="16"/>
          <w:szCs w:val="16"/>
        </w:rPr>
        <w:t>Calverton, Maryland (USA) : Macro International Inc.</w:t>
      </w:r>
    </w:p>
  </w:footnote>
  <w:footnote w:id="12">
    <w:p w:rsidR="00EB2626" w:rsidRPr="00AC4F28" w:rsidRDefault="00EB2626" w:rsidP="00AC4F28">
      <w:pPr>
        <w:autoSpaceDE w:val="0"/>
        <w:autoSpaceDN w:val="0"/>
        <w:adjustRightInd w:val="0"/>
        <w:spacing w:after="0"/>
        <w:jc w:val="both"/>
        <w:rPr>
          <w:rFonts w:cs="Times New Roman"/>
          <w:i/>
          <w:iCs/>
          <w:sz w:val="16"/>
          <w:szCs w:val="16"/>
        </w:rPr>
      </w:pPr>
      <w:r>
        <w:rPr>
          <w:rStyle w:val="Appelnotedebasdep"/>
        </w:rPr>
        <w:footnoteRef/>
      </w:r>
      <w:r>
        <w:t xml:space="preserve"> </w:t>
      </w:r>
      <w:r w:rsidRPr="00AC4F28">
        <w:rPr>
          <w:rFonts w:cs="Times New Roman"/>
          <w:sz w:val="16"/>
          <w:szCs w:val="16"/>
        </w:rPr>
        <w:t xml:space="preserve">Institut National de la Statistique et de la Démographie (INSD) et ORC Macro. 2004. </w:t>
      </w:r>
      <w:r w:rsidRPr="00AC4F28">
        <w:rPr>
          <w:rFonts w:cs="Times New Roman"/>
          <w:i/>
          <w:iCs/>
          <w:sz w:val="16"/>
          <w:szCs w:val="16"/>
        </w:rPr>
        <w:t>Enquête Démographique et de Santé du Burkina Faso 2003</w:t>
      </w:r>
      <w:r w:rsidRPr="00AC4F28">
        <w:rPr>
          <w:rFonts w:cs="Times New Roman"/>
          <w:sz w:val="16"/>
          <w:szCs w:val="16"/>
        </w:rPr>
        <w:t>. Calverton, Maryland, USA : INSD et ORC Macro.</w:t>
      </w:r>
    </w:p>
  </w:footnote>
  <w:footnote w:id="13">
    <w:p w:rsidR="00EB2626" w:rsidRDefault="00EB2626">
      <w:pPr>
        <w:pStyle w:val="Notedebasdepage"/>
      </w:pPr>
      <w:r>
        <w:rPr>
          <w:rStyle w:val="Appelnotedebasdep"/>
        </w:rPr>
        <w:footnoteRef/>
      </w:r>
      <w:r>
        <w:t xml:space="preserve"> </w:t>
      </w:r>
      <w:r w:rsidRPr="00752A84">
        <w:rPr>
          <w:rFonts w:cs="Arial"/>
          <w:sz w:val="16"/>
          <w:szCs w:val="16"/>
        </w:rPr>
        <w:t xml:space="preserve">Institut National de la Statistique et de la Démographie (INSD) et ICF International, 2012. </w:t>
      </w:r>
      <w:r w:rsidRPr="00752A84">
        <w:rPr>
          <w:rFonts w:cs="Arial,Italic"/>
          <w:i/>
          <w:iCs/>
          <w:sz w:val="16"/>
          <w:szCs w:val="16"/>
        </w:rPr>
        <w:t>Enquête Démographique et de Santé et à Indicateurs Multiples du Burkina Faso 2010</w:t>
      </w:r>
      <w:r w:rsidRPr="00752A84">
        <w:rPr>
          <w:rFonts w:cs="Arial"/>
          <w:sz w:val="16"/>
          <w:szCs w:val="16"/>
        </w:rPr>
        <w:t>. Calverton, Maryland, USA : INSD et ICF International.</w:t>
      </w:r>
    </w:p>
  </w:footnote>
  <w:footnote w:id="14">
    <w:p w:rsidR="00EB2626" w:rsidRPr="004B2318" w:rsidRDefault="00EB2626">
      <w:pPr>
        <w:pStyle w:val="Notedebasdepage"/>
        <w:rPr>
          <w:sz w:val="16"/>
          <w:szCs w:val="16"/>
        </w:rPr>
      </w:pPr>
      <w:r w:rsidRPr="004B2318">
        <w:rPr>
          <w:rStyle w:val="Appelnotedebasdep"/>
          <w:sz w:val="16"/>
          <w:szCs w:val="16"/>
        </w:rPr>
        <w:footnoteRef/>
      </w:r>
      <w:r w:rsidRPr="004B2318">
        <w:rPr>
          <w:sz w:val="16"/>
          <w:szCs w:val="16"/>
        </w:rPr>
        <w:t xml:space="preserve"> EDS BURKINA 1998-99, EDS BURKINA 2003 et EDS BURKINA2010</w:t>
      </w:r>
    </w:p>
  </w:footnote>
  <w:footnote w:id="15">
    <w:p w:rsidR="00EB2626" w:rsidRDefault="00EB2626" w:rsidP="00B54701">
      <w:pPr>
        <w:pStyle w:val="Notedebasdepage"/>
      </w:pPr>
      <w:r w:rsidRPr="004B2318">
        <w:rPr>
          <w:rStyle w:val="Appelnotedebasdep"/>
          <w:sz w:val="16"/>
          <w:szCs w:val="16"/>
        </w:rPr>
        <w:footnoteRef/>
      </w:r>
      <w:r w:rsidRPr="004B2318">
        <w:rPr>
          <w:sz w:val="16"/>
          <w:szCs w:val="16"/>
        </w:rPr>
        <w:t xml:space="preserve"> </w:t>
      </w:r>
      <w:r w:rsidRPr="004B2318">
        <w:rPr>
          <w:rFonts w:cs="Arial"/>
          <w:sz w:val="16"/>
          <w:szCs w:val="16"/>
        </w:rPr>
        <w:t xml:space="preserve">Institut National de la Statistique et de la Démographie (INSD) et ICF International, 2012. </w:t>
      </w:r>
      <w:r w:rsidRPr="004B2318">
        <w:rPr>
          <w:rFonts w:cs="Arial,Italic"/>
          <w:i/>
          <w:iCs/>
          <w:sz w:val="16"/>
          <w:szCs w:val="16"/>
        </w:rPr>
        <w:t>Enquête Démographique et de Santé et à Indicateurs Multiples du Burkina Faso 2010</w:t>
      </w:r>
      <w:r w:rsidRPr="004B2318">
        <w:rPr>
          <w:rFonts w:cs="Arial"/>
          <w:sz w:val="16"/>
          <w:szCs w:val="16"/>
        </w:rPr>
        <w:t>. Calverton, Maryland, USA : INSD et ICF International.</w:t>
      </w:r>
    </w:p>
  </w:footnote>
  <w:footnote w:id="16">
    <w:p w:rsidR="00EB2626" w:rsidRDefault="00EB2626" w:rsidP="004B2318">
      <w:pPr>
        <w:pStyle w:val="Notedebasdepage"/>
      </w:pPr>
      <w:r>
        <w:rPr>
          <w:rStyle w:val="Appelnotedebasdep"/>
        </w:rPr>
        <w:footnoteRef/>
      </w:r>
      <w:r>
        <w:t xml:space="preserve"> Enquête module démographie et santé, Burkina Faso. 2015</w:t>
      </w:r>
    </w:p>
  </w:footnote>
  <w:footnote w:id="17">
    <w:p w:rsidR="00EB2626" w:rsidRDefault="00EB2626">
      <w:pPr>
        <w:pStyle w:val="Notedebasdepage"/>
      </w:pPr>
      <w:r>
        <w:rPr>
          <w:rStyle w:val="Appelnotedebasdep"/>
        </w:rPr>
        <w:footnoteRef/>
      </w:r>
      <w:r>
        <w:t xml:space="preserve"> </w:t>
      </w:r>
      <w:r w:rsidRPr="0003358C">
        <w:rPr>
          <w:rFonts w:cs="OfficinaSerif-Bold"/>
          <w:bCs/>
          <w:sz w:val="18"/>
          <w:szCs w:val="18"/>
        </w:rPr>
        <w:t>Avortement au Burkina Faso</w:t>
      </w:r>
      <w:r>
        <w:rPr>
          <w:rFonts w:cs="OfficinaSerif-Bold"/>
          <w:bCs/>
          <w:sz w:val="18"/>
          <w:szCs w:val="18"/>
        </w:rPr>
        <w:t>. Guttmacher Institute. New York, Février 2014.</w:t>
      </w:r>
    </w:p>
  </w:footnote>
  <w:footnote w:id="18">
    <w:p w:rsidR="00EB2626" w:rsidRPr="003D481D" w:rsidRDefault="00EB2626" w:rsidP="002523B6">
      <w:pPr>
        <w:autoSpaceDE w:val="0"/>
        <w:autoSpaceDN w:val="0"/>
        <w:adjustRightInd w:val="0"/>
        <w:spacing w:after="0" w:line="240" w:lineRule="auto"/>
        <w:rPr>
          <w:rFonts w:ascii="Calibri" w:hAnsi="Calibri" w:cs="Arial"/>
          <w:color w:val="000000"/>
          <w:sz w:val="20"/>
          <w:szCs w:val="20"/>
        </w:rPr>
      </w:pPr>
      <w:r>
        <w:rPr>
          <w:rStyle w:val="Appelnotedebasdep"/>
        </w:rPr>
        <w:footnoteRef/>
      </w:r>
      <w:r>
        <w:t xml:space="preserve"> </w:t>
      </w:r>
      <w:r>
        <w:rPr>
          <w:rFonts w:ascii="HelveticaNeue-LightItalic" w:hAnsi="HelveticaNeue-LightItalic" w:cs="HelveticaNeue-LightItalic"/>
          <w:i/>
          <w:iCs/>
          <w:color w:val="4D4D4D"/>
          <w:sz w:val="18"/>
          <w:szCs w:val="18"/>
        </w:rPr>
        <w:t xml:space="preserve">Guide d’orientation pour l’élaboration des stratégies nationales en matière d’offre de services de santé intègres </w:t>
      </w:r>
      <w:r w:rsidRPr="003D481D">
        <w:rPr>
          <w:rFonts w:ascii="Calibri" w:hAnsi="Calibri" w:cs="Arial"/>
          <w:color w:val="000000"/>
          <w:sz w:val="20"/>
          <w:szCs w:val="20"/>
        </w:rPr>
        <w:t>adaptés aux adolescent(e)s et jeunes dans les pays de l’espace CEDEAO</w:t>
      </w:r>
    </w:p>
  </w:footnote>
  <w:footnote w:id="19">
    <w:p w:rsidR="00EB2626" w:rsidRPr="00E209B6" w:rsidRDefault="00EB2626" w:rsidP="00E209B6">
      <w:pPr>
        <w:pStyle w:val="Default"/>
        <w:ind w:left="360"/>
        <w:jc w:val="both"/>
        <w:rPr>
          <w:rFonts w:ascii="Calibri" w:hAnsi="Calibri"/>
          <w:sz w:val="16"/>
          <w:szCs w:val="16"/>
        </w:rPr>
      </w:pPr>
      <w:r>
        <w:rPr>
          <w:rStyle w:val="Appelnotedebasdep"/>
        </w:rPr>
        <w:footnoteRef/>
      </w:r>
      <w:r w:rsidRPr="003D481D">
        <w:rPr>
          <w:rFonts w:ascii="Calibri" w:hAnsi="Calibri"/>
          <w:sz w:val="16"/>
          <w:szCs w:val="16"/>
        </w:rPr>
        <w:t>EDS Burkina Faso 1998-99</w:t>
      </w:r>
      <w:r>
        <w:rPr>
          <w:rFonts w:ascii="Calibri" w:hAnsi="Calibri"/>
          <w:sz w:val="16"/>
          <w:szCs w:val="16"/>
        </w:rPr>
        <w:t xml:space="preserve">, </w:t>
      </w:r>
      <w:r w:rsidRPr="003D481D">
        <w:rPr>
          <w:rFonts w:ascii="Calibri" w:hAnsi="Calibri"/>
          <w:sz w:val="16"/>
          <w:szCs w:val="16"/>
        </w:rPr>
        <w:t>EDS Burkina Faso 2003</w:t>
      </w:r>
      <w:r>
        <w:rPr>
          <w:rFonts w:ascii="Calibri" w:hAnsi="Calibri"/>
          <w:sz w:val="16"/>
          <w:szCs w:val="16"/>
        </w:rPr>
        <w:t xml:space="preserve">, </w:t>
      </w:r>
      <w:r w:rsidRPr="003D481D">
        <w:rPr>
          <w:rFonts w:ascii="Calibri" w:hAnsi="Calibri"/>
          <w:sz w:val="16"/>
          <w:szCs w:val="16"/>
        </w:rPr>
        <w:t>EDS – MICS Burkina Faso 2010</w:t>
      </w:r>
      <w:r>
        <w:rPr>
          <w:rFonts w:ascii="Calibri" w:hAnsi="Calibri"/>
          <w:sz w:val="16"/>
          <w:szCs w:val="16"/>
        </w:rPr>
        <w:t xml:space="preserve">, </w:t>
      </w:r>
      <w:r w:rsidRPr="003D481D">
        <w:rPr>
          <w:rFonts w:ascii="Calibri" w:hAnsi="Calibri"/>
          <w:sz w:val="16"/>
          <w:szCs w:val="16"/>
        </w:rPr>
        <w:t>Evaluation Mi-Parcours du PNDS 2011-20 Burkina Faso. Rapport – Ministère de la santé publique 2016</w:t>
      </w:r>
      <w:r>
        <w:rPr>
          <w:rFonts w:ascii="Calibri" w:hAnsi="Calibri"/>
          <w:sz w:val="16"/>
          <w:szCs w:val="16"/>
        </w:rPr>
        <w:t xml:space="preserve">, </w:t>
      </w:r>
      <w:r w:rsidRPr="003D481D">
        <w:rPr>
          <w:rFonts w:ascii="Calibri" w:hAnsi="Calibri"/>
          <w:sz w:val="16"/>
          <w:szCs w:val="16"/>
        </w:rPr>
        <w:t>Enquête nutritionnelle nationale SMART 2016</w:t>
      </w:r>
    </w:p>
  </w:footnote>
  <w:footnote w:id="20">
    <w:p w:rsidR="00EB2626" w:rsidRDefault="00EB2626">
      <w:pPr>
        <w:pStyle w:val="Notedebasdepage"/>
      </w:pPr>
      <w:r>
        <w:rPr>
          <w:rStyle w:val="Appelnotedebasdep"/>
        </w:rPr>
        <w:footnoteRef/>
      </w:r>
      <w:r>
        <w:t xml:space="preserve"> Annuaire statistique 2016. Ministère de la Santé Publique. Burkina Faso</w:t>
      </w:r>
    </w:p>
  </w:footnote>
  <w:footnote w:id="21">
    <w:p w:rsidR="00EB2626" w:rsidRDefault="00EB2626">
      <w:pPr>
        <w:pStyle w:val="Notedebasdepage"/>
      </w:pPr>
      <w:r>
        <w:rPr>
          <w:rStyle w:val="Appelnotedebasdep"/>
        </w:rPr>
        <w:footnoteRef/>
      </w:r>
      <w:r>
        <w:t xml:space="preserve"> Annuaire statistique 2017. Ministère de la Santé Publique. Burkina Faso</w:t>
      </w:r>
    </w:p>
  </w:footnote>
  <w:footnote w:id="22">
    <w:p w:rsidR="00EB2626" w:rsidRDefault="00EB2626">
      <w:pPr>
        <w:pStyle w:val="Notedebasdepage"/>
      </w:pPr>
      <w:r>
        <w:rPr>
          <w:rStyle w:val="Appelnotedebasdep"/>
        </w:rPr>
        <w:footnoteRef/>
      </w:r>
      <w:r>
        <w:t xml:space="preserve"> Analyse avec l’outil EQUIST </w:t>
      </w:r>
      <w:r w:rsidRPr="003F3B74">
        <w:rPr>
          <w:highlight w:val="yellow"/>
        </w:rPr>
        <w:t>(Année)</w:t>
      </w:r>
    </w:p>
  </w:footnote>
  <w:footnote w:id="23">
    <w:p w:rsidR="00EB2626" w:rsidRPr="00CF6E45" w:rsidRDefault="00EB2626" w:rsidP="00CF6E45">
      <w:pPr>
        <w:pStyle w:val="Default"/>
      </w:pPr>
      <w:r>
        <w:rPr>
          <w:rStyle w:val="Appelnotedebasdep"/>
        </w:rPr>
        <w:footnoteRef/>
      </w:r>
      <w:r>
        <w:t xml:space="preserve">  </w:t>
      </w:r>
      <w:r w:rsidRPr="00CF6E45">
        <w:rPr>
          <w:b/>
          <w:bCs/>
          <w:sz w:val="16"/>
          <w:szCs w:val="16"/>
        </w:rPr>
        <w:t>Enquête nationale sur la disponibilité et la capacité opérationnelle des services de santé (SARA III) Edition 2016</w:t>
      </w:r>
    </w:p>
  </w:footnote>
  <w:footnote w:id="24">
    <w:p w:rsidR="00EB2626" w:rsidRDefault="00EB2626">
      <w:pPr>
        <w:pStyle w:val="Notedebasdepage"/>
      </w:pPr>
      <w:r>
        <w:rPr>
          <w:rStyle w:val="Appelnotedebasdep"/>
        </w:rPr>
        <w:footnoteRef/>
      </w:r>
      <w:r>
        <w:t xml:space="preserve"> </w:t>
      </w:r>
      <w:r w:rsidRPr="00CF6E45">
        <w:rPr>
          <w:b/>
          <w:bCs/>
          <w:sz w:val="16"/>
          <w:szCs w:val="16"/>
        </w:rPr>
        <w:t>Enquête nationale sur la disponibilité et la capacité opérationnelle des services de santé (SARA III) Edition 2016</w:t>
      </w:r>
    </w:p>
  </w:footnote>
  <w:footnote w:id="25">
    <w:p w:rsidR="00EB2626" w:rsidRDefault="00EB2626">
      <w:pPr>
        <w:pStyle w:val="Notedebasdepage"/>
      </w:pPr>
      <w:r>
        <w:rPr>
          <w:rStyle w:val="Appelnotedebasdep"/>
        </w:rPr>
        <w:footnoteRef/>
      </w:r>
      <w:r>
        <w:t xml:space="preserve"> </w:t>
      </w:r>
      <w:r w:rsidRPr="00CF6E45">
        <w:rPr>
          <w:b/>
          <w:bCs/>
          <w:sz w:val="16"/>
          <w:szCs w:val="16"/>
        </w:rPr>
        <w:t>Enquête nationale sur la disponibilité et la capacité opérationnelle des services de santé (SARA III) Edition 2016</w:t>
      </w:r>
    </w:p>
  </w:footnote>
  <w:footnote w:id="26">
    <w:p w:rsidR="00EB2626" w:rsidRPr="004A6997" w:rsidRDefault="00EB2626">
      <w:pPr>
        <w:pStyle w:val="Notedebasdepage"/>
        <w:rPr>
          <w:b/>
          <w:sz w:val="16"/>
          <w:szCs w:val="16"/>
        </w:rPr>
      </w:pPr>
      <w:r w:rsidRPr="004A6997">
        <w:rPr>
          <w:rStyle w:val="Appelnotedebasdep"/>
          <w:b/>
          <w:sz w:val="16"/>
          <w:szCs w:val="16"/>
        </w:rPr>
        <w:footnoteRef/>
      </w:r>
      <w:r w:rsidRPr="004A6997">
        <w:rPr>
          <w:b/>
          <w:sz w:val="16"/>
          <w:szCs w:val="16"/>
        </w:rPr>
        <w:t xml:space="preserve"> </w:t>
      </w:r>
      <w:r w:rsidRPr="004A6997">
        <w:rPr>
          <w:rFonts w:eastAsia="Times New Roman" w:cs="Arial"/>
          <w:b/>
          <w:sz w:val="16"/>
          <w:szCs w:val="16"/>
        </w:rPr>
        <w:t>Annuaires statistiques 2014, 2015, 2016 et 2017. Ministère de la Santé Publique. Burkina Faso.</w:t>
      </w:r>
    </w:p>
  </w:footnote>
  <w:footnote w:id="27">
    <w:p w:rsidR="00EB2626" w:rsidRDefault="00EB2626">
      <w:pPr>
        <w:pStyle w:val="Notedebasdepage"/>
      </w:pPr>
      <w:r>
        <w:rPr>
          <w:rStyle w:val="Appelnotedebasdep"/>
        </w:rPr>
        <w:footnoteRef/>
      </w:r>
      <w:r>
        <w:t xml:space="preserve"> </w:t>
      </w:r>
      <w:r w:rsidRPr="004A6997">
        <w:rPr>
          <w:rFonts w:eastAsia="Times New Roman" w:cs="Arial"/>
          <w:b/>
          <w:sz w:val="16"/>
          <w:szCs w:val="16"/>
        </w:rPr>
        <w:t>Annuaires s</w:t>
      </w:r>
      <w:r>
        <w:rPr>
          <w:rFonts w:eastAsia="Times New Roman" w:cs="Arial"/>
          <w:b/>
          <w:sz w:val="16"/>
          <w:szCs w:val="16"/>
        </w:rPr>
        <w:t xml:space="preserve">tatistiques </w:t>
      </w:r>
      <w:r w:rsidRPr="004A6997">
        <w:rPr>
          <w:rFonts w:eastAsia="Times New Roman" w:cs="Arial"/>
          <w:b/>
          <w:sz w:val="16"/>
          <w:szCs w:val="16"/>
        </w:rPr>
        <w:t>2017. Ministère de la Santé Publique. Burkina Faso.</w:t>
      </w:r>
    </w:p>
  </w:footnote>
  <w:footnote w:id="28">
    <w:p w:rsidR="00EB2626" w:rsidRDefault="00EB2626" w:rsidP="00C15864">
      <w:pPr>
        <w:spacing w:after="0"/>
        <w:rPr>
          <w:rFonts w:eastAsia="Times New Roman" w:cs="Times New Roman"/>
          <w:b/>
          <w:sz w:val="16"/>
          <w:szCs w:val="16"/>
          <w:lang w:eastAsia="fr-FR"/>
        </w:rPr>
      </w:pPr>
      <w:r>
        <w:rPr>
          <w:rStyle w:val="Appelnotedebasdep"/>
        </w:rPr>
        <w:footnoteRef/>
      </w:r>
      <w:r>
        <w:t xml:space="preserve"> </w:t>
      </w:r>
      <w:r w:rsidRPr="00C15864">
        <w:rPr>
          <w:rFonts w:eastAsia="Times New Roman" w:cs="Times New Roman"/>
          <w:b/>
          <w:sz w:val="16"/>
          <w:szCs w:val="16"/>
          <w:lang w:eastAsia="fr-FR"/>
        </w:rPr>
        <w:t xml:space="preserve">Bankole A, et al., </w:t>
      </w:r>
      <w:r>
        <w:rPr>
          <w:rFonts w:eastAsia="Times New Roman" w:cs="Times New Roman"/>
          <w:b/>
          <w:sz w:val="16"/>
          <w:szCs w:val="16"/>
          <w:lang w:eastAsia="fr-FR"/>
        </w:rPr>
        <w:t xml:space="preserve"> </w:t>
      </w:r>
      <w:r w:rsidRPr="00C15864">
        <w:rPr>
          <w:rFonts w:eastAsia="Times New Roman" w:cs="Times New Roman"/>
          <w:b/>
          <w:sz w:val="16"/>
          <w:szCs w:val="16"/>
          <w:lang w:eastAsia="fr-FR"/>
        </w:rPr>
        <w:t xml:space="preserve">Grossesse non désirée et avortement provoqué au Burkina Faso: causes et conséquences, New York: Guttmacher </w:t>
      </w:r>
    </w:p>
    <w:p w:rsidR="00EB2626" w:rsidRPr="00C15864" w:rsidRDefault="00EB2626" w:rsidP="00C15864">
      <w:pPr>
        <w:spacing w:after="0"/>
        <w:rPr>
          <w:rFonts w:eastAsia="Times New Roman" w:cs="Times New Roman"/>
          <w:b/>
          <w:sz w:val="16"/>
          <w:szCs w:val="16"/>
          <w:lang w:eastAsia="fr-FR"/>
        </w:rPr>
      </w:pPr>
      <w:r>
        <w:rPr>
          <w:rFonts w:eastAsia="Times New Roman" w:cs="Times New Roman"/>
          <w:b/>
          <w:sz w:val="16"/>
          <w:szCs w:val="16"/>
          <w:lang w:eastAsia="fr-FR"/>
        </w:rPr>
        <w:t xml:space="preserve">      </w:t>
      </w:r>
      <w:r w:rsidRPr="00C15864">
        <w:rPr>
          <w:rFonts w:eastAsia="Times New Roman" w:cs="Times New Roman"/>
          <w:b/>
          <w:sz w:val="16"/>
          <w:szCs w:val="16"/>
          <w:lang w:eastAsia="fr-FR"/>
        </w:rPr>
        <w:t>Institute, 2013</w:t>
      </w:r>
      <w:r w:rsidRPr="00C15864">
        <w:rPr>
          <w:rFonts w:ascii="Times New Roman" w:eastAsia="Times New Roman" w:hAnsi="Times New Roman" w:cs="Times New Roman"/>
          <w:sz w:val="21"/>
          <w:szCs w:val="21"/>
          <w:lang w:eastAsia="fr-FR"/>
        </w:rPr>
        <w:t>.</w:t>
      </w:r>
    </w:p>
  </w:footnote>
  <w:footnote w:id="29">
    <w:p w:rsidR="00EB2626" w:rsidRDefault="00EB2626" w:rsidP="00DD0298">
      <w:pPr>
        <w:pStyle w:val="Notedebasdepage"/>
      </w:pPr>
      <w:r>
        <w:rPr>
          <w:rStyle w:val="Appelnotedebasdep"/>
        </w:rPr>
        <w:footnoteRef/>
      </w:r>
      <w:r>
        <w:t xml:space="preserve"> </w:t>
      </w:r>
      <w:r w:rsidRPr="00C15864">
        <w:rPr>
          <w:rFonts w:cs="OfficinaSerif-Bold"/>
          <w:b/>
          <w:bCs/>
          <w:sz w:val="16"/>
          <w:szCs w:val="16"/>
        </w:rPr>
        <w:t>Avortement au Burkina Faso. Guttmacher Institute. New York, Février 2014.</w:t>
      </w:r>
    </w:p>
  </w:footnote>
  <w:footnote w:id="30">
    <w:p w:rsidR="00EB2626" w:rsidRPr="009C67A0" w:rsidRDefault="00EB2626">
      <w:pPr>
        <w:pStyle w:val="Notedebasdepage"/>
        <w:rPr>
          <w:b/>
          <w:sz w:val="16"/>
          <w:szCs w:val="16"/>
        </w:rPr>
      </w:pPr>
      <w:r w:rsidRPr="009C67A0">
        <w:rPr>
          <w:rStyle w:val="Appelnotedebasdep"/>
          <w:b/>
          <w:sz w:val="16"/>
          <w:szCs w:val="16"/>
        </w:rPr>
        <w:footnoteRef/>
      </w:r>
      <w:r w:rsidRPr="009C67A0">
        <w:rPr>
          <w:b/>
          <w:sz w:val="16"/>
          <w:szCs w:val="16"/>
        </w:rPr>
        <w:t xml:space="preserve"> </w:t>
      </w:r>
      <w:r w:rsidRPr="009C67A0">
        <w:rPr>
          <w:rFonts w:eastAsia="Times New Roman"/>
          <w:b/>
          <w:sz w:val="16"/>
          <w:szCs w:val="16"/>
        </w:rPr>
        <w:t>GLOBOCAN 2012, Cancer Incidence, Mortality and Prevalence Worldwide </w:t>
      </w:r>
    </w:p>
  </w:footnote>
  <w:footnote w:id="31">
    <w:p w:rsidR="00EB2626" w:rsidRDefault="00EB2626" w:rsidP="004527CF">
      <w:pPr>
        <w:pStyle w:val="Notedebasdepage"/>
      </w:pPr>
      <w:r w:rsidRPr="00121298">
        <w:rPr>
          <w:sz w:val="16"/>
        </w:rPr>
        <w:footnoteRef/>
      </w:r>
      <w:r w:rsidRPr="00121298">
        <w:rPr>
          <w:sz w:val="16"/>
        </w:rPr>
        <w:t xml:space="preserve"> Ministère de la Santé, Projet de Rapport des Comptes de la Santé 2015. 2016. Copie dure</w:t>
      </w:r>
    </w:p>
  </w:footnote>
  <w:footnote w:id="32">
    <w:p w:rsidR="00EB2626" w:rsidRPr="004C68C9" w:rsidRDefault="00EB2626" w:rsidP="004527CF">
      <w:pPr>
        <w:pStyle w:val="Notedebasdepage"/>
        <w:jc w:val="both"/>
      </w:pPr>
      <w:r w:rsidRPr="004C68C9">
        <w:rPr>
          <w:rStyle w:val="Appelnotedebasdep"/>
        </w:rPr>
        <w:footnoteRef/>
      </w:r>
      <w:r w:rsidRPr="006A457C">
        <w:t>EMC-MDS, 2015.</w:t>
      </w:r>
    </w:p>
  </w:footnote>
  <w:footnote w:id="33">
    <w:p w:rsidR="00EB2626" w:rsidRPr="004C68C9" w:rsidRDefault="00EB2626" w:rsidP="004527CF">
      <w:pPr>
        <w:pStyle w:val="Notedebasdepage"/>
        <w:jc w:val="both"/>
      </w:pPr>
      <w:r w:rsidRPr="004C68C9">
        <w:rPr>
          <w:rStyle w:val="Appelnotedebasdep"/>
        </w:rPr>
        <w:footnoteRef/>
      </w:r>
      <w:r w:rsidRPr="006A457C">
        <w:t>EIPBF, 2014.</w:t>
      </w:r>
    </w:p>
  </w:footnote>
  <w:footnote w:id="34">
    <w:p w:rsidR="00EB2626" w:rsidRPr="004C68C9" w:rsidRDefault="00EB2626" w:rsidP="004527CF">
      <w:pPr>
        <w:pStyle w:val="Notedebasdepage"/>
        <w:jc w:val="both"/>
      </w:pPr>
      <w:r w:rsidRPr="004C68C9">
        <w:rPr>
          <w:rStyle w:val="Appelnotedebasdep"/>
        </w:rPr>
        <w:footnoteRef/>
      </w:r>
      <w:r w:rsidRPr="006A457C">
        <w:rPr>
          <w:rFonts w:eastAsia="Calibri"/>
        </w:rPr>
        <w:t>EDS, 1998/99.</w:t>
      </w:r>
    </w:p>
  </w:footnote>
  <w:footnote w:id="35">
    <w:p w:rsidR="00074796" w:rsidRDefault="00074796"/>
    <w:p w:rsidR="00EB2626" w:rsidRPr="005C422B" w:rsidRDefault="00EB2626" w:rsidP="004527CF">
      <w:pPr>
        <w:pStyle w:val="Notedebasdepage"/>
        <w:jc w:val="both"/>
        <w:rPr>
          <w:sz w:val="2"/>
          <w:szCs w:val="2"/>
        </w:rPr>
      </w:pPr>
    </w:p>
  </w:footnote>
  <w:footnote w:id="36">
    <w:p w:rsidR="00074796" w:rsidRDefault="00074796"/>
    <w:p w:rsidR="00EB2626" w:rsidRPr="005C422B" w:rsidRDefault="00EB2626" w:rsidP="004527CF">
      <w:pPr>
        <w:pStyle w:val="Notedebasdepage"/>
        <w:jc w:val="both"/>
        <w:rPr>
          <w:sz w:val="2"/>
          <w:szCs w:val="2"/>
        </w:rPr>
      </w:pPr>
    </w:p>
  </w:footnote>
  <w:footnote w:id="37">
    <w:p w:rsidR="00074796" w:rsidRDefault="00074796"/>
    <w:p w:rsidR="00EB2626" w:rsidRPr="005C422B" w:rsidRDefault="00EB2626" w:rsidP="004527CF">
      <w:pPr>
        <w:pStyle w:val="Notedebasdepage"/>
        <w:jc w:val="both"/>
        <w:rPr>
          <w:sz w:val="2"/>
          <w:szCs w:val="2"/>
        </w:rPr>
      </w:pPr>
    </w:p>
  </w:footnote>
  <w:footnote w:id="38">
    <w:p w:rsidR="00EB2626" w:rsidRPr="004C68C9" w:rsidRDefault="00EB2626" w:rsidP="004527CF">
      <w:pPr>
        <w:pStyle w:val="Notedebasdepage"/>
        <w:jc w:val="both"/>
      </w:pPr>
      <w:r w:rsidRPr="004C68C9">
        <w:rPr>
          <w:rStyle w:val="Appelnotedebasdep"/>
        </w:rPr>
        <w:footnoteRef/>
      </w:r>
      <w:r w:rsidRPr="006A457C">
        <w:rPr>
          <w:rFonts w:eastAsia="Calibri"/>
        </w:rPr>
        <w:t>EIPBF, 2014.</w:t>
      </w:r>
    </w:p>
  </w:footnote>
  <w:footnote w:id="39">
    <w:p w:rsidR="00074796" w:rsidRDefault="00074796"/>
    <w:p w:rsidR="00EB2626" w:rsidRPr="005C422B" w:rsidRDefault="00EB2626" w:rsidP="004527CF">
      <w:pPr>
        <w:pStyle w:val="Notedebasdepage"/>
        <w:jc w:val="both"/>
        <w:rPr>
          <w:sz w:val="2"/>
          <w:szCs w:val="2"/>
        </w:rPr>
      </w:pPr>
    </w:p>
  </w:footnote>
  <w:footnote w:id="40">
    <w:p w:rsidR="00EB2626" w:rsidRDefault="00EB2626" w:rsidP="00D94534">
      <w:pPr>
        <w:pStyle w:val="Notedebasdepage"/>
      </w:pPr>
      <w:r>
        <w:rPr>
          <w:rStyle w:val="Appelnotedebasdep"/>
        </w:rPr>
        <w:footnoteRef/>
      </w:r>
      <w:r>
        <w:t xml:space="preserve"> Analyse faite à l’aide de l’outil PHCPI</w:t>
      </w:r>
    </w:p>
  </w:footnote>
  <w:footnote w:id="41">
    <w:p w:rsidR="00EB2626" w:rsidRDefault="00EB2626" w:rsidP="00EF7771">
      <w:pPr>
        <w:pStyle w:val="Notedebasdepage"/>
      </w:pPr>
      <w:r>
        <w:rPr>
          <w:rStyle w:val="Appelnotedebasdep"/>
        </w:rPr>
        <w:footnoteRef/>
      </w:r>
      <w:r>
        <w:t xml:space="preserve"> Enquête nationale nutritionnelle. Burkina Faso 2017</w:t>
      </w:r>
    </w:p>
  </w:footnote>
  <w:footnote w:id="42">
    <w:p w:rsidR="00EB2626" w:rsidRPr="006135DB" w:rsidRDefault="00EB2626" w:rsidP="00FD6E16">
      <w:pPr>
        <w:pStyle w:val="Notedebasdepage"/>
        <w:rPr>
          <w:sz w:val="16"/>
          <w:szCs w:val="16"/>
        </w:rPr>
      </w:pPr>
      <w:r w:rsidRPr="006135DB">
        <w:rPr>
          <w:rStyle w:val="Appelnotedebasdep"/>
          <w:sz w:val="16"/>
          <w:szCs w:val="16"/>
        </w:rPr>
        <w:footnoteRef/>
      </w:r>
      <w:r w:rsidRPr="006135DB">
        <w:rPr>
          <w:sz w:val="16"/>
          <w:szCs w:val="16"/>
        </w:rPr>
        <w:t xml:space="preserve"> PNDES Aout 2016  </w:t>
      </w:r>
    </w:p>
  </w:footnote>
  <w:footnote w:id="43">
    <w:p w:rsidR="00EB2626" w:rsidRDefault="00EB2626">
      <w:pPr>
        <w:pStyle w:val="Notedebasdepage"/>
      </w:pPr>
      <w:r>
        <w:rPr>
          <w:rStyle w:val="Appelnotedebasdep"/>
        </w:rPr>
        <w:footnoteRef/>
      </w:r>
      <w:r>
        <w:t xml:space="preserve"> </w:t>
      </w:r>
      <w:r w:rsidRPr="006135DB">
        <w:rPr>
          <w:sz w:val="16"/>
          <w:szCs w:val="16"/>
        </w:rPr>
        <w:t>Enquête Module Démographie et Santé. Burkina Faso 2015</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5167"/>
    <w:multiLevelType w:val="hybridMultilevel"/>
    <w:tmpl w:val="6B366B30"/>
    <w:lvl w:ilvl="0" w:tplc="792E38C6">
      <w:start w:val="1"/>
      <w:numFmt w:val="bullet"/>
      <w:lvlText w:val="-"/>
      <w:lvlJc w:val="left"/>
      <w:pPr>
        <w:ind w:left="720" w:hanging="360"/>
      </w:pPr>
      <w:rPr>
        <w:rFonts w:ascii="Arial" w:eastAsiaTheme="minorHAnsi" w:hAnsi="Arial" w:cs="Arial"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88B633F"/>
    <w:multiLevelType w:val="hybridMultilevel"/>
    <w:tmpl w:val="EFD8C8F4"/>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B6B3331"/>
    <w:multiLevelType w:val="multilevel"/>
    <w:tmpl w:val="22B6FC6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F875AAF"/>
    <w:multiLevelType w:val="hybridMultilevel"/>
    <w:tmpl w:val="514C30E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5DE0A3D"/>
    <w:multiLevelType w:val="hybridMultilevel"/>
    <w:tmpl w:val="EE6A1DE2"/>
    <w:lvl w:ilvl="0" w:tplc="792E38C6">
      <w:start w:val="1"/>
      <w:numFmt w:val="bullet"/>
      <w:lvlText w:val="-"/>
      <w:lvlJc w:val="left"/>
      <w:pPr>
        <w:ind w:left="1080" w:hanging="360"/>
      </w:pPr>
      <w:rPr>
        <w:rFonts w:ascii="Arial" w:eastAsiaTheme="minorHAnsi" w:hAnsi="Arial" w:cs="Arial" w:hint="default"/>
        <w:sz w:val="24"/>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16974452"/>
    <w:multiLevelType w:val="hybridMultilevel"/>
    <w:tmpl w:val="9F4A4AF2"/>
    <w:lvl w:ilvl="0" w:tplc="2D9AD62C">
      <w:numFmt w:val="bullet"/>
      <w:lvlText w:val="-"/>
      <w:lvlJc w:val="left"/>
      <w:pPr>
        <w:tabs>
          <w:tab w:val="num" w:pos="177"/>
        </w:tabs>
        <w:ind w:left="177" w:hanging="360"/>
      </w:pPr>
      <w:rPr>
        <w:rFonts w:ascii="Tw Cen MT Condensed" w:hAnsi="Tw Cen MT Condensed" w:cs="Tw Cen MT Condensed" w:hint="default"/>
        <w:b/>
        <w:i w:val="0"/>
        <w:sz w:val="22"/>
      </w:rPr>
    </w:lvl>
    <w:lvl w:ilvl="1" w:tplc="040C0003">
      <w:start w:val="1"/>
      <w:numFmt w:val="bullet"/>
      <w:lvlText w:val="o"/>
      <w:lvlJc w:val="left"/>
      <w:pPr>
        <w:tabs>
          <w:tab w:val="num" w:pos="897"/>
        </w:tabs>
        <w:ind w:left="897" w:hanging="360"/>
      </w:pPr>
      <w:rPr>
        <w:rFonts w:ascii="Courier New" w:hAnsi="Courier New" w:cs="Courier New" w:hint="default"/>
      </w:rPr>
    </w:lvl>
    <w:lvl w:ilvl="2" w:tplc="040C0005">
      <w:start w:val="1"/>
      <w:numFmt w:val="bullet"/>
      <w:lvlText w:val=""/>
      <w:lvlJc w:val="left"/>
      <w:pPr>
        <w:tabs>
          <w:tab w:val="num" w:pos="1617"/>
        </w:tabs>
        <w:ind w:left="1617" w:hanging="360"/>
      </w:pPr>
      <w:rPr>
        <w:rFonts w:ascii="Wingdings" w:hAnsi="Wingdings" w:hint="default"/>
      </w:rPr>
    </w:lvl>
    <w:lvl w:ilvl="3" w:tplc="040C0001">
      <w:start w:val="1"/>
      <w:numFmt w:val="bullet"/>
      <w:lvlText w:val=""/>
      <w:lvlJc w:val="left"/>
      <w:pPr>
        <w:tabs>
          <w:tab w:val="num" w:pos="2337"/>
        </w:tabs>
        <w:ind w:left="2337" w:hanging="360"/>
      </w:pPr>
      <w:rPr>
        <w:rFonts w:ascii="Symbol" w:hAnsi="Symbol" w:hint="default"/>
      </w:rPr>
    </w:lvl>
    <w:lvl w:ilvl="4" w:tplc="040C0003">
      <w:start w:val="1"/>
      <w:numFmt w:val="bullet"/>
      <w:lvlText w:val="o"/>
      <w:lvlJc w:val="left"/>
      <w:pPr>
        <w:tabs>
          <w:tab w:val="num" w:pos="3057"/>
        </w:tabs>
        <w:ind w:left="3057" w:hanging="360"/>
      </w:pPr>
      <w:rPr>
        <w:rFonts w:ascii="Courier New" w:hAnsi="Courier New" w:cs="Courier New" w:hint="default"/>
      </w:rPr>
    </w:lvl>
    <w:lvl w:ilvl="5" w:tplc="040C0005">
      <w:start w:val="1"/>
      <w:numFmt w:val="bullet"/>
      <w:lvlText w:val=""/>
      <w:lvlJc w:val="left"/>
      <w:pPr>
        <w:tabs>
          <w:tab w:val="num" w:pos="3777"/>
        </w:tabs>
        <w:ind w:left="3777" w:hanging="360"/>
      </w:pPr>
      <w:rPr>
        <w:rFonts w:ascii="Wingdings" w:hAnsi="Wingdings" w:hint="default"/>
      </w:rPr>
    </w:lvl>
    <w:lvl w:ilvl="6" w:tplc="040C0001">
      <w:start w:val="1"/>
      <w:numFmt w:val="bullet"/>
      <w:lvlText w:val=""/>
      <w:lvlJc w:val="left"/>
      <w:pPr>
        <w:tabs>
          <w:tab w:val="num" w:pos="4497"/>
        </w:tabs>
        <w:ind w:left="4497" w:hanging="360"/>
      </w:pPr>
      <w:rPr>
        <w:rFonts w:ascii="Symbol" w:hAnsi="Symbol" w:hint="default"/>
      </w:rPr>
    </w:lvl>
    <w:lvl w:ilvl="7" w:tplc="040C0003">
      <w:start w:val="1"/>
      <w:numFmt w:val="bullet"/>
      <w:lvlText w:val="o"/>
      <w:lvlJc w:val="left"/>
      <w:pPr>
        <w:tabs>
          <w:tab w:val="num" w:pos="5217"/>
        </w:tabs>
        <w:ind w:left="5217" w:hanging="360"/>
      </w:pPr>
      <w:rPr>
        <w:rFonts w:ascii="Courier New" w:hAnsi="Courier New" w:cs="Courier New" w:hint="default"/>
      </w:rPr>
    </w:lvl>
    <w:lvl w:ilvl="8" w:tplc="040C0005">
      <w:start w:val="1"/>
      <w:numFmt w:val="bullet"/>
      <w:lvlText w:val=""/>
      <w:lvlJc w:val="left"/>
      <w:pPr>
        <w:tabs>
          <w:tab w:val="num" w:pos="5937"/>
        </w:tabs>
        <w:ind w:left="5937" w:hanging="360"/>
      </w:pPr>
      <w:rPr>
        <w:rFonts w:ascii="Wingdings" w:hAnsi="Wingdings" w:hint="default"/>
      </w:rPr>
    </w:lvl>
  </w:abstractNum>
  <w:abstractNum w:abstractNumId="6" w15:restartNumberingAfterBreak="0">
    <w:nsid w:val="18FF1D67"/>
    <w:multiLevelType w:val="hybridMultilevel"/>
    <w:tmpl w:val="38F0AA74"/>
    <w:lvl w:ilvl="0" w:tplc="792E38C6">
      <w:start w:val="1"/>
      <w:numFmt w:val="bullet"/>
      <w:lvlText w:val="-"/>
      <w:lvlJc w:val="left"/>
      <w:pPr>
        <w:ind w:left="720" w:hanging="360"/>
      </w:pPr>
      <w:rPr>
        <w:rFonts w:ascii="Arial" w:eastAsiaTheme="minorHAnsi" w:hAnsi="Arial" w:cs="Arial"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9D116C7"/>
    <w:multiLevelType w:val="hybridMultilevel"/>
    <w:tmpl w:val="2D685D6C"/>
    <w:lvl w:ilvl="0" w:tplc="98D0EAE4">
      <w:numFmt w:val="bullet"/>
      <w:lvlText w:val="-"/>
      <w:lvlJc w:val="left"/>
      <w:pPr>
        <w:ind w:left="720" w:hanging="360"/>
      </w:pPr>
      <w:rPr>
        <w:rFonts w:ascii="Times New Roman" w:eastAsia="Times New Roman" w:hAnsi="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BEE297F"/>
    <w:multiLevelType w:val="hybridMultilevel"/>
    <w:tmpl w:val="6B86915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15:restartNumberingAfterBreak="0">
    <w:nsid w:val="1CD83F57"/>
    <w:multiLevelType w:val="hybridMultilevel"/>
    <w:tmpl w:val="4FAE1614"/>
    <w:lvl w:ilvl="0" w:tplc="98D0EAE4">
      <w:numFmt w:val="bullet"/>
      <w:lvlText w:val="-"/>
      <w:lvlJc w:val="left"/>
      <w:pPr>
        <w:ind w:left="720" w:hanging="360"/>
      </w:pPr>
      <w:rPr>
        <w:rFonts w:ascii="Times New Roman" w:eastAsia="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D09115B"/>
    <w:multiLevelType w:val="hybridMultilevel"/>
    <w:tmpl w:val="EC1EBCF6"/>
    <w:lvl w:ilvl="0" w:tplc="040C0001">
      <w:start w:val="1"/>
      <w:numFmt w:val="bullet"/>
      <w:lvlText w:val=""/>
      <w:lvlJc w:val="left"/>
      <w:pPr>
        <w:ind w:left="1080" w:hanging="360"/>
      </w:pPr>
      <w:rPr>
        <w:rFonts w:ascii="Symbol" w:hAnsi="Symbol" w:hint="default"/>
      </w:rPr>
    </w:lvl>
    <w:lvl w:ilvl="1" w:tplc="CD7000FA">
      <w:numFmt w:val="bullet"/>
      <w:lvlText w:val="-"/>
      <w:lvlJc w:val="left"/>
      <w:pPr>
        <w:ind w:left="1800" w:hanging="360"/>
      </w:pPr>
      <w:rPr>
        <w:rFonts w:ascii="Times New Roman" w:eastAsiaTheme="minorHAnsi" w:hAnsi="Times New Roman" w:cs="Times New Roman"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21056E5C"/>
    <w:multiLevelType w:val="hybridMultilevel"/>
    <w:tmpl w:val="2DF0A1E8"/>
    <w:lvl w:ilvl="0" w:tplc="C9CAF016">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2DC0274"/>
    <w:multiLevelType w:val="hybridMultilevel"/>
    <w:tmpl w:val="B198B214"/>
    <w:lvl w:ilvl="0" w:tplc="792E38C6">
      <w:start w:val="1"/>
      <w:numFmt w:val="bullet"/>
      <w:lvlText w:val="-"/>
      <w:lvlJc w:val="left"/>
      <w:pPr>
        <w:ind w:left="1080" w:hanging="360"/>
      </w:pPr>
      <w:rPr>
        <w:rFonts w:ascii="Arial" w:eastAsiaTheme="minorHAnsi" w:hAnsi="Arial" w:cs="Arial" w:hint="default"/>
        <w:sz w:val="24"/>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239B332E"/>
    <w:multiLevelType w:val="hybridMultilevel"/>
    <w:tmpl w:val="32F0AA1E"/>
    <w:lvl w:ilvl="0" w:tplc="98D0EAE4">
      <w:numFmt w:val="bullet"/>
      <w:lvlText w:val="-"/>
      <w:lvlJc w:val="left"/>
      <w:pPr>
        <w:ind w:left="1068" w:hanging="360"/>
      </w:pPr>
      <w:rPr>
        <w:rFonts w:ascii="Times New Roman" w:eastAsia="Times New Roman" w:hAnsi="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4" w15:restartNumberingAfterBreak="0">
    <w:nsid w:val="253A5B89"/>
    <w:multiLevelType w:val="hybridMultilevel"/>
    <w:tmpl w:val="C87E28F0"/>
    <w:lvl w:ilvl="0" w:tplc="792E38C6">
      <w:start w:val="1"/>
      <w:numFmt w:val="bullet"/>
      <w:lvlText w:val="-"/>
      <w:lvlJc w:val="left"/>
      <w:pPr>
        <w:ind w:left="1080" w:hanging="360"/>
      </w:pPr>
      <w:rPr>
        <w:rFonts w:ascii="Arial" w:eastAsiaTheme="minorHAnsi" w:hAnsi="Arial" w:cs="Arial" w:hint="default"/>
        <w:sz w:val="24"/>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2D9327FF"/>
    <w:multiLevelType w:val="hybridMultilevel"/>
    <w:tmpl w:val="3D7AF872"/>
    <w:lvl w:ilvl="0" w:tplc="98D0EAE4">
      <w:numFmt w:val="bullet"/>
      <w:lvlText w:val="-"/>
      <w:lvlJc w:val="left"/>
      <w:pPr>
        <w:ind w:left="720" w:hanging="360"/>
      </w:pPr>
      <w:rPr>
        <w:rFonts w:ascii="Times New Roman" w:eastAsia="Times New Roman" w:hAnsi="Times New Roman"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C635F9"/>
    <w:multiLevelType w:val="hybridMultilevel"/>
    <w:tmpl w:val="BA4CA3A0"/>
    <w:lvl w:ilvl="0" w:tplc="792E38C6">
      <w:start w:val="1"/>
      <w:numFmt w:val="bullet"/>
      <w:lvlText w:val="-"/>
      <w:lvlJc w:val="left"/>
      <w:pPr>
        <w:ind w:left="1080" w:hanging="360"/>
      </w:pPr>
      <w:rPr>
        <w:rFonts w:ascii="Arial" w:eastAsiaTheme="minorHAnsi" w:hAnsi="Arial" w:cs="Arial" w:hint="default"/>
        <w:sz w:val="24"/>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38764AC8"/>
    <w:multiLevelType w:val="multilevel"/>
    <w:tmpl w:val="3508E8E4"/>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B40499D"/>
    <w:multiLevelType w:val="multilevel"/>
    <w:tmpl w:val="7E90CA24"/>
    <w:lvl w:ilvl="0">
      <w:start w:val="1"/>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9" w15:restartNumberingAfterBreak="0">
    <w:nsid w:val="4AEE5991"/>
    <w:multiLevelType w:val="hybridMultilevel"/>
    <w:tmpl w:val="072ECAC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0" w15:restartNumberingAfterBreak="0">
    <w:nsid w:val="4B913FE8"/>
    <w:multiLevelType w:val="hybridMultilevel"/>
    <w:tmpl w:val="59569FA2"/>
    <w:lvl w:ilvl="0" w:tplc="5C0CB9C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F094A5C"/>
    <w:multiLevelType w:val="hybridMultilevel"/>
    <w:tmpl w:val="7FA697EC"/>
    <w:lvl w:ilvl="0" w:tplc="040C000B">
      <w:start w:val="1"/>
      <w:numFmt w:val="bullet"/>
      <w:lvlText w:val=""/>
      <w:lvlJc w:val="left"/>
      <w:pPr>
        <w:ind w:left="1298" w:hanging="360"/>
      </w:pPr>
      <w:rPr>
        <w:rFonts w:ascii="Wingdings" w:hAnsi="Wingdings" w:hint="default"/>
      </w:rPr>
    </w:lvl>
    <w:lvl w:ilvl="1" w:tplc="040C0003" w:tentative="1">
      <w:start w:val="1"/>
      <w:numFmt w:val="bullet"/>
      <w:lvlText w:val="o"/>
      <w:lvlJc w:val="left"/>
      <w:pPr>
        <w:ind w:left="2018" w:hanging="360"/>
      </w:pPr>
      <w:rPr>
        <w:rFonts w:ascii="Courier New" w:hAnsi="Courier New" w:cs="Courier New" w:hint="default"/>
      </w:rPr>
    </w:lvl>
    <w:lvl w:ilvl="2" w:tplc="040C0005" w:tentative="1">
      <w:start w:val="1"/>
      <w:numFmt w:val="bullet"/>
      <w:lvlText w:val=""/>
      <w:lvlJc w:val="left"/>
      <w:pPr>
        <w:ind w:left="2738" w:hanging="360"/>
      </w:pPr>
      <w:rPr>
        <w:rFonts w:ascii="Wingdings" w:hAnsi="Wingdings" w:hint="default"/>
      </w:rPr>
    </w:lvl>
    <w:lvl w:ilvl="3" w:tplc="040C0001" w:tentative="1">
      <w:start w:val="1"/>
      <w:numFmt w:val="bullet"/>
      <w:lvlText w:val=""/>
      <w:lvlJc w:val="left"/>
      <w:pPr>
        <w:ind w:left="3458" w:hanging="360"/>
      </w:pPr>
      <w:rPr>
        <w:rFonts w:ascii="Symbol" w:hAnsi="Symbol" w:hint="default"/>
      </w:rPr>
    </w:lvl>
    <w:lvl w:ilvl="4" w:tplc="040C0003" w:tentative="1">
      <w:start w:val="1"/>
      <w:numFmt w:val="bullet"/>
      <w:lvlText w:val="o"/>
      <w:lvlJc w:val="left"/>
      <w:pPr>
        <w:ind w:left="4178" w:hanging="360"/>
      </w:pPr>
      <w:rPr>
        <w:rFonts w:ascii="Courier New" w:hAnsi="Courier New" w:cs="Courier New" w:hint="default"/>
      </w:rPr>
    </w:lvl>
    <w:lvl w:ilvl="5" w:tplc="040C0005" w:tentative="1">
      <w:start w:val="1"/>
      <w:numFmt w:val="bullet"/>
      <w:lvlText w:val=""/>
      <w:lvlJc w:val="left"/>
      <w:pPr>
        <w:ind w:left="4898" w:hanging="360"/>
      </w:pPr>
      <w:rPr>
        <w:rFonts w:ascii="Wingdings" w:hAnsi="Wingdings" w:hint="default"/>
      </w:rPr>
    </w:lvl>
    <w:lvl w:ilvl="6" w:tplc="040C0001" w:tentative="1">
      <w:start w:val="1"/>
      <w:numFmt w:val="bullet"/>
      <w:lvlText w:val=""/>
      <w:lvlJc w:val="left"/>
      <w:pPr>
        <w:ind w:left="5618" w:hanging="360"/>
      </w:pPr>
      <w:rPr>
        <w:rFonts w:ascii="Symbol" w:hAnsi="Symbol" w:hint="default"/>
      </w:rPr>
    </w:lvl>
    <w:lvl w:ilvl="7" w:tplc="040C0003" w:tentative="1">
      <w:start w:val="1"/>
      <w:numFmt w:val="bullet"/>
      <w:lvlText w:val="o"/>
      <w:lvlJc w:val="left"/>
      <w:pPr>
        <w:ind w:left="6338" w:hanging="360"/>
      </w:pPr>
      <w:rPr>
        <w:rFonts w:ascii="Courier New" w:hAnsi="Courier New" w:cs="Courier New" w:hint="default"/>
      </w:rPr>
    </w:lvl>
    <w:lvl w:ilvl="8" w:tplc="040C0005" w:tentative="1">
      <w:start w:val="1"/>
      <w:numFmt w:val="bullet"/>
      <w:lvlText w:val=""/>
      <w:lvlJc w:val="left"/>
      <w:pPr>
        <w:ind w:left="7058" w:hanging="360"/>
      </w:pPr>
      <w:rPr>
        <w:rFonts w:ascii="Wingdings" w:hAnsi="Wingdings" w:hint="default"/>
      </w:rPr>
    </w:lvl>
  </w:abstractNum>
  <w:abstractNum w:abstractNumId="22" w15:restartNumberingAfterBreak="0">
    <w:nsid w:val="4F9673FD"/>
    <w:multiLevelType w:val="hybridMultilevel"/>
    <w:tmpl w:val="028E7686"/>
    <w:lvl w:ilvl="0" w:tplc="98D0EAE4">
      <w:numFmt w:val="bullet"/>
      <w:lvlText w:val="-"/>
      <w:lvlJc w:val="left"/>
      <w:pPr>
        <w:ind w:left="720" w:hanging="360"/>
      </w:pPr>
      <w:rPr>
        <w:rFonts w:ascii="Times New Roman" w:eastAsia="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F97095B"/>
    <w:multiLevelType w:val="hybridMultilevel"/>
    <w:tmpl w:val="BE9C0B26"/>
    <w:lvl w:ilvl="0" w:tplc="98D0EAE4">
      <w:numFmt w:val="bullet"/>
      <w:lvlText w:val="-"/>
      <w:lvlJc w:val="left"/>
      <w:pPr>
        <w:ind w:left="720" w:hanging="360"/>
      </w:pPr>
      <w:rPr>
        <w:rFonts w:ascii="Times New Roman" w:eastAsia="Times New Roman" w:hAnsi="Times New Roman" w:hint="default"/>
      </w:rPr>
    </w:lvl>
    <w:lvl w:ilvl="1" w:tplc="2E3AB202">
      <w:numFmt w:val="bullet"/>
      <w:lvlText w:val="•"/>
      <w:lvlJc w:val="left"/>
      <w:pPr>
        <w:ind w:left="1440" w:hanging="360"/>
      </w:pPr>
      <w:rPr>
        <w:rFonts w:ascii="Calibri" w:eastAsia="Times New Roman" w:hAnsi="Calibri"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03A7C41"/>
    <w:multiLevelType w:val="hybridMultilevel"/>
    <w:tmpl w:val="FEB02FC4"/>
    <w:lvl w:ilvl="0" w:tplc="04090009">
      <w:start w:val="1"/>
      <w:numFmt w:val="bullet"/>
      <w:lvlText w:val=""/>
      <w:lvlJc w:val="left"/>
      <w:pPr>
        <w:tabs>
          <w:tab w:val="num" w:pos="644"/>
        </w:tabs>
        <w:ind w:left="644"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6DD1603"/>
    <w:multiLevelType w:val="hybridMultilevel"/>
    <w:tmpl w:val="CFB62A4A"/>
    <w:lvl w:ilvl="0" w:tplc="04090005">
      <w:start w:val="1"/>
      <w:numFmt w:val="bullet"/>
      <w:lvlText w:val=""/>
      <w:lvlJc w:val="left"/>
      <w:pPr>
        <w:ind w:left="1080" w:hanging="360"/>
      </w:pPr>
      <w:rPr>
        <w:rFonts w:ascii="Wingdings" w:hAnsi="Wingdings"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6" w15:restartNumberingAfterBreak="0">
    <w:nsid w:val="57EB2B2A"/>
    <w:multiLevelType w:val="hybridMultilevel"/>
    <w:tmpl w:val="44B8C7A6"/>
    <w:lvl w:ilvl="0" w:tplc="98D0EAE4">
      <w:numFmt w:val="bullet"/>
      <w:lvlText w:val="-"/>
      <w:lvlJc w:val="left"/>
      <w:pPr>
        <w:ind w:left="360" w:hanging="360"/>
      </w:pPr>
      <w:rPr>
        <w:rFonts w:ascii="Times New Roman" w:eastAsia="Times New Roman" w:hAnsi="Times New Roman"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88C4409"/>
    <w:multiLevelType w:val="hybridMultilevel"/>
    <w:tmpl w:val="C0C4A7BA"/>
    <w:lvl w:ilvl="0" w:tplc="792E38C6">
      <w:start w:val="1"/>
      <w:numFmt w:val="bullet"/>
      <w:lvlText w:val="-"/>
      <w:lvlJc w:val="left"/>
      <w:pPr>
        <w:ind w:left="720" w:hanging="360"/>
      </w:pPr>
      <w:rPr>
        <w:rFonts w:ascii="Arial" w:eastAsiaTheme="minorHAnsi" w:hAnsi="Arial" w:cs="Arial" w:hint="default"/>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9431D6C"/>
    <w:multiLevelType w:val="hybridMultilevel"/>
    <w:tmpl w:val="D64CC60A"/>
    <w:lvl w:ilvl="0" w:tplc="04090005">
      <w:numFmt w:val="bullet"/>
      <w:lvlText w:val="-"/>
      <w:lvlJc w:val="left"/>
      <w:pPr>
        <w:ind w:left="720" w:hanging="360"/>
      </w:pPr>
      <w:rPr>
        <w:rFonts w:ascii="Times New Roman" w:eastAsia="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DC50BFF"/>
    <w:multiLevelType w:val="hybridMultilevel"/>
    <w:tmpl w:val="EC341D6E"/>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E6460BC"/>
    <w:multiLevelType w:val="hybridMultilevel"/>
    <w:tmpl w:val="8DE65676"/>
    <w:lvl w:ilvl="0" w:tplc="792E38C6">
      <w:start w:val="1"/>
      <w:numFmt w:val="bullet"/>
      <w:lvlText w:val="-"/>
      <w:lvlJc w:val="left"/>
      <w:pPr>
        <w:ind w:left="1428" w:hanging="360"/>
      </w:pPr>
      <w:rPr>
        <w:rFonts w:ascii="Arial" w:eastAsiaTheme="minorHAnsi" w:hAnsi="Arial" w:cs="Arial" w:hint="default"/>
        <w:sz w:val="24"/>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1" w15:restartNumberingAfterBreak="0">
    <w:nsid w:val="5F727454"/>
    <w:multiLevelType w:val="hybridMultilevel"/>
    <w:tmpl w:val="29EA8126"/>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5ED11A3"/>
    <w:multiLevelType w:val="hybridMultilevel"/>
    <w:tmpl w:val="5A48E39A"/>
    <w:lvl w:ilvl="0" w:tplc="4B0A114A">
      <w:start w:val="1"/>
      <w:numFmt w:val="bullet"/>
      <w:lvlText w:val=""/>
      <w:lvlJc w:val="left"/>
      <w:pPr>
        <w:ind w:left="360" w:hanging="360"/>
      </w:pPr>
      <w:rPr>
        <w:rFonts w:ascii="Wingdings" w:hAnsi="Wingdings"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D7332D7"/>
    <w:multiLevelType w:val="hybridMultilevel"/>
    <w:tmpl w:val="261E9A44"/>
    <w:lvl w:ilvl="0" w:tplc="792E38C6">
      <w:start w:val="1"/>
      <w:numFmt w:val="bullet"/>
      <w:lvlText w:val="-"/>
      <w:lvlJc w:val="left"/>
      <w:pPr>
        <w:ind w:left="1080" w:hanging="360"/>
      </w:pPr>
      <w:rPr>
        <w:rFonts w:ascii="Arial" w:eastAsiaTheme="minorHAnsi" w:hAnsi="Arial" w:cs="Arial" w:hint="default"/>
        <w:sz w:val="24"/>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4" w15:restartNumberingAfterBreak="0">
    <w:nsid w:val="74F35103"/>
    <w:multiLevelType w:val="multilevel"/>
    <w:tmpl w:val="4C7A750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360" w:hanging="3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720" w:hanging="72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080" w:hanging="1080"/>
      </w:pPr>
      <w:rPr>
        <w:rFonts w:hint="default"/>
      </w:rPr>
    </w:lvl>
  </w:abstractNum>
  <w:abstractNum w:abstractNumId="35" w15:restartNumberingAfterBreak="0">
    <w:nsid w:val="75CD0C23"/>
    <w:multiLevelType w:val="hybridMultilevel"/>
    <w:tmpl w:val="A1860376"/>
    <w:lvl w:ilvl="0" w:tplc="0409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859494B"/>
    <w:multiLevelType w:val="hybridMultilevel"/>
    <w:tmpl w:val="1AE41ADA"/>
    <w:lvl w:ilvl="0" w:tplc="0409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BC9223C"/>
    <w:multiLevelType w:val="hybridMultilevel"/>
    <w:tmpl w:val="FF040868"/>
    <w:lvl w:ilvl="0" w:tplc="98D0EAE4">
      <w:numFmt w:val="bullet"/>
      <w:lvlText w:val="-"/>
      <w:lvlJc w:val="left"/>
      <w:pPr>
        <w:ind w:left="720" w:hanging="360"/>
      </w:pPr>
      <w:rPr>
        <w:rFonts w:ascii="Times New Roman" w:eastAsia="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F106939"/>
    <w:multiLevelType w:val="hybridMultilevel"/>
    <w:tmpl w:val="BD9A5EB4"/>
    <w:lvl w:ilvl="0" w:tplc="040C0005">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34"/>
  </w:num>
  <w:num w:numId="4">
    <w:abstractNumId w:val="25"/>
  </w:num>
  <w:num w:numId="5">
    <w:abstractNumId w:val="8"/>
  </w:num>
  <w:num w:numId="6">
    <w:abstractNumId w:val="21"/>
  </w:num>
  <w:num w:numId="7">
    <w:abstractNumId w:val="24"/>
  </w:num>
  <w:num w:numId="8">
    <w:abstractNumId w:val="18"/>
  </w:num>
  <w:num w:numId="9">
    <w:abstractNumId w:val="35"/>
  </w:num>
  <w:num w:numId="10">
    <w:abstractNumId w:val="19"/>
  </w:num>
  <w:num w:numId="11">
    <w:abstractNumId w:val="1"/>
  </w:num>
  <w:num w:numId="12">
    <w:abstractNumId w:val="22"/>
  </w:num>
  <w:num w:numId="13">
    <w:abstractNumId w:val="32"/>
  </w:num>
  <w:num w:numId="14">
    <w:abstractNumId w:val="38"/>
  </w:num>
  <w:num w:numId="15">
    <w:abstractNumId w:val="15"/>
  </w:num>
  <w:num w:numId="16">
    <w:abstractNumId w:val="26"/>
  </w:num>
  <w:num w:numId="17">
    <w:abstractNumId w:val="23"/>
  </w:num>
  <w:num w:numId="18">
    <w:abstractNumId w:val="9"/>
  </w:num>
  <w:num w:numId="19">
    <w:abstractNumId w:val="37"/>
  </w:num>
  <w:num w:numId="20">
    <w:abstractNumId w:val="7"/>
  </w:num>
  <w:num w:numId="21">
    <w:abstractNumId w:val="13"/>
  </w:num>
  <w:num w:numId="22">
    <w:abstractNumId w:val="11"/>
  </w:num>
  <w:num w:numId="23">
    <w:abstractNumId w:val="6"/>
  </w:num>
  <w:num w:numId="24">
    <w:abstractNumId w:val="27"/>
  </w:num>
  <w:num w:numId="25">
    <w:abstractNumId w:val="30"/>
  </w:num>
  <w:num w:numId="26">
    <w:abstractNumId w:val="0"/>
  </w:num>
  <w:num w:numId="27">
    <w:abstractNumId w:val="31"/>
  </w:num>
  <w:num w:numId="28">
    <w:abstractNumId w:val="5"/>
  </w:num>
  <w:num w:numId="29">
    <w:abstractNumId w:val="10"/>
  </w:num>
  <w:num w:numId="30">
    <w:abstractNumId w:val="29"/>
  </w:num>
  <w:num w:numId="31">
    <w:abstractNumId w:val="28"/>
  </w:num>
  <w:num w:numId="32">
    <w:abstractNumId w:val="12"/>
  </w:num>
  <w:num w:numId="33">
    <w:abstractNumId w:val="33"/>
  </w:num>
  <w:num w:numId="34">
    <w:abstractNumId w:val="3"/>
  </w:num>
  <w:num w:numId="35">
    <w:abstractNumId w:val="4"/>
  </w:num>
  <w:num w:numId="36">
    <w:abstractNumId w:val="14"/>
  </w:num>
  <w:num w:numId="37">
    <w:abstractNumId w:val="16"/>
  </w:num>
  <w:num w:numId="38">
    <w:abstractNumId w:val="17"/>
  </w:num>
  <w:num w:numId="39">
    <w:abstractNumId w:val="3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D89"/>
    <w:rsid w:val="000013DC"/>
    <w:rsid w:val="00017F9E"/>
    <w:rsid w:val="000327F9"/>
    <w:rsid w:val="0003358C"/>
    <w:rsid w:val="00036FAD"/>
    <w:rsid w:val="00054A9E"/>
    <w:rsid w:val="00074796"/>
    <w:rsid w:val="000B228D"/>
    <w:rsid w:val="000C3784"/>
    <w:rsid w:val="000C67C0"/>
    <w:rsid w:val="000D1EDC"/>
    <w:rsid w:val="000D5FA5"/>
    <w:rsid w:val="000E574C"/>
    <w:rsid w:val="000F64A8"/>
    <w:rsid w:val="00104798"/>
    <w:rsid w:val="00120BD6"/>
    <w:rsid w:val="001302EE"/>
    <w:rsid w:val="001400A0"/>
    <w:rsid w:val="00155AB8"/>
    <w:rsid w:val="00163DC5"/>
    <w:rsid w:val="001672D1"/>
    <w:rsid w:val="00170FB3"/>
    <w:rsid w:val="0017134B"/>
    <w:rsid w:val="00184AB6"/>
    <w:rsid w:val="00186386"/>
    <w:rsid w:val="001914FF"/>
    <w:rsid w:val="001B7D43"/>
    <w:rsid w:val="001D1300"/>
    <w:rsid w:val="001D57AD"/>
    <w:rsid w:val="001E2DB9"/>
    <w:rsid w:val="001E2F3F"/>
    <w:rsid w:val="00216A1D"/>
    <w:rsid w:val="00231001"/>
    <w:rsid w:val="002429C8"/>
    <w:rsid w:val="00245DF4"/>
    <w:rsid w:val="002523B6"/>
    <w:rsid w:val="002617A7"/>
    <w:rsid w:val="0028196B"/>
    <w:rsid w:val="00282BDB"/>
    <w:rsid w:val="00283DE5"/>
    <w:rsid w:val="002B3A14"/>
    <w:rsid w:val="002C0C58"/>
    <w:rsid w:val="002D49AE"/>
    <w:rsid w:val="002E239B"/>
    <w:rsid w:val="002E3A74"/>
    <w:rsid w:val="002E7FDC"/>
    <w:rsid w:val="002F2DCF"/>
    <w:rsid w:val="0030746A"/>
    <w:rsid w:val="00310656"/>
    <w:rsid w:val="003108E3"/>
    <w:rsid w:val="0031438E"/>
    <w:rsid w:val="00323A9C"/>
    <w:rsid w:val="003358E7"/>
    <w:rsid w:val="0033707B"/>
    <w:rsid w:val="00342A98"/>
    <w:rsid w:val="00346A11"/>
    <w:rsid w:val="003624F0"/>
    <w:rsid w:val="0039318F"/>
    <w:rsid w:val="003C204A"/>
    <w:rsid w:val="003C55D0"/>
    <w:rsid w:val="003D320E"/>
    <w:rsid w:val="003D481D"/>
    <w:rsid w:val="003D6371"/>
    <w:rsid w:val="003E1162"/>
    <w:rsid w:val="003F3B74"/>
    <w:rsid w:val="003F6630"/>
    <w:rsid w:val="00400BB4"/>
    <w:rsid w:val="00404A72"/>
    <w:rsid w:val="004050A1"/>
    <w:rsid w:val="004241D6"/>
    <w:rsid w:val="004247CF"/>
    <w:rsid w:val="004527CF"/>
    <w:rsid w:val="00453A08"/>
    <w:rsid w:val="00454FB1"/>
    <w:rsid w:val="00455971"/>
    <w:rsid w:val="004735F7"/>
    <w:rsid w:val="00481263"/>
    <w:rsid w:val="004974CF"/>
    <w:rsid w:val="004A33A0"/>
    <w:rsid w:val="004A6997"/>
    <w:rsid w:val="004B2318"/>
    <w:rsid w:val="004B2F8B"/>
    <w:rsid w:val="004B5F2E"/>
    <w:rsid w:val="004E55B1"/>
    <w:rsid w:val="004F3052"/>
    <w:rsid w:val="004F4785"/>
    <w:rsid w:val="004F5B43"/>
    <w:rsid w:val="00504C25"/>
    <w:rsid w:val="00510F75"/>
    <w:rsid w:val="00530BF8"/>
    <w:rsid w:val="00536D72"/>
    <w:rsid w:val="0055350B"/>
    <w:rsid w:val="0056205D"/>
    <w:rsid w:val="0056387C"/>
    <w:rsid w:val="00576F81"/>
    <w:rsid w:val="005844E0"/>
    <w:rsid w:val="0059258D"/>
    <w:rsid w:val="00592C25"/>
    <w:rsid w:val="00594683"/>
    <w:rsid w:val="00597748"/>
    <w:rsid w:val="005A1969"/>
    <w:rsid w:val="005A1CF9"/>
    <w:rsid w:val="005A6397"/>
    <w:rsid w:val="005D1B32"/>
    <w:rsid w:val="005D5AC4"/>
    <w:rsid w:val="00607123"/>
    <w:rsid w:val="006135DB"/>
    <w:rsid w:val="00613E13"/>
    <w:rsid w:val="0062112E"/>
    <w:rsid w:val="0063169B"/>
    <w:rsid w:val="00634C71"/>
    <w:rsid w:val="006435D4"/>
    <w:rsid w:val="00674270"/>
    <w:rsid w:val="00685878"/>
    <w:rsid w:val="00685B2D"/>
    <w:rsid w:val="006B1A20"/>
    <w:rsid w:val="006B2B94"/>
    <w:rsid w:val="006B63D9"/>
    <w:rsid w:val="006B672B"/>
    <w:rsid w:val="006D0EDB"/>
    <w:rsid w:val="006D1810"/>
    <w:rsid w:val="00700BF2"/>
    <w:rsid w:val="007104E7"/>
    <w:rsid w:val="007121A3"/>
    <w:rsid w:val="00713437"/>
    <w:rsid w:val="0073294B"/>
    <w:rsid w:val="00752A84"/>
    <w:rsid w:val="007544D4"/>
    <w:rsid w:val="00754E45"/>
    <w:rsid w:val="007651B3"/>
    <w:rsid w:val="00785797"/>
    <w:rsid w:val="00785AA7"/>
    <w:rsid w:val="007B089F"/>
    <w:rsid w:val="007C0E33"/>
    <w:rsid w:val="007D17ED"/>
    <w:rsid w:val="007E07DB"/>
    <w:rsid w:val="00831EC3"/>
    <w:rsid w:val="00833071"/>
    <w:rsid w:val="00834617"/>
    <w:rsid w:val="00844D73"/>
    <w:rsid w:val="008E0C09"/>
    <w:rsid w:val="008E7A1F"/>
    <w:rsid w:val="009078FF"/>
    <w:rsid w:val="0091276F"/>
    <w:rsid w:val="00920258"/>
    <w:rsid w:val="00940C28"/>
    <w:rsid w:val="00950C05"/>
    <w:rsid w:val="00960A33"/>
    <w:rsid w:val="00962C41"/>
    <w:rsid w:val="00963874"/>
    <w:rsid w:val="009656DE"/>
    <w:rsid w:val="0096613A"/>
    <w:rsid w:val="00980D34"/>
    <w:rsid w:val="00981410"/>
    <w:rsid w:val="009919D8"/>
    <w:rsid w:val="00991A15"/>
    <w:rsid w:val="009955F8"/>
    <w:rsid w:val="009A54F6"/>
    <w:rsid w:val="009C077B"/>
    <w:rsid w:val="009C0D79"/>
    <w:rsid w:val="009C345E"/>
    <w:rsid w:val="009C67A0"/>
    <w:rsid w:val="009D3348"/>
    <w:rsid w:val="009F6B83"/>
    <w:rsid w:val="00A27DC4"/>
    <w:rsid w:val="00A3099F"/>
    <w:rsid w:val="00A45A56"/>
    <w:rsid w:val="00A47BBC"/>
    <w:rsid w:val="00A54FC4"/>
    <w:rsid w:val="00A773D3"/>
    <w:rsid w:val="00A85C5F"/>
    <w:rsid w:val="00A97407"/>
    <w:rsid w:val="00AB0B0C"/>
    <w:rsid w:val="00AB5973"/>
    <w:rsid w:val="00AB7ED6"/>
    <w:rsid w:val="00AC2046"/>
    <w:rsid w:val="00AC4F28"/>
    <w:rsid w:val="00AE065C"/>
    <w:rsid w:val="00AF1842"/>
    <w:rsid w:val="00AF2F00"/>
    <w:rsid w:val="00B01AF7"/>
    <w:rsid w:val="00B112EE"/>
    <w:rsid w:val="00B15B0B"/>
    <w:rsid w:val="00B15B9D"/>
    <w:rsid w:val="00B24DD6"/>
    <w:rsid w:val="00B366B0"/>
    <w:rsid w:val="00B456C2"/>
    <w:rsid w:val="00B54701"/>
    <w:rsid w:val="00B6709D"/>
    <w:rsid w:val="00B717A5"/>
    <w:rsid w:val="00B84A2C"/>
    <w:rsid w:val="00BC6E90"/>
    <w:rsid w:val="00BD0D89"/>
    <w:rsid w:val="00BD7B96"/>
    <w:rsid w:val="00BD7F7B"/>
    <w:rsid w:val="00C0668D"/>
    <w:rsid w:val="00C15864"/>
    <w:rsid w:val="00C34A27"/>
    <w:rsid w:val="00C40365"/>
    <w:rsid w:val="00C43BA9"/>
    <w:rsid w:val="00C46293"/>
    <w:rsid w:val="00C51AA2"/>
    <w:rsid w:val="00C64E36"/>
    <w:rsid w:val="00C76995"/>
    <w:rsid w:val="00C833EB"/>
    <w:rsid w:val="00C95B64"/>
    <w:rsid w:val="00CA081E"/>
    <w:rsid w:val="00CA6592"/>
    <w:rsid w:val="00CD3352"/>
    <w:rsid w:val="00CF6B22"/>
    <w:rsid w:val="00CF6E45"/>
    <w:rsid w:val="00D03C6E"/>
    <w:rsid w:val="00D04D60"/>
    <w:rsid w:val="00D217E9"/>
    <w:rsid w:val="00D26F88"/>
    <w:rsid w:val="00D364D5"/>
    <w:rsid w:val="00D60C49"/>
    <w:rsid w:val="00D73BB1"/>
    <w:rsid w:val="00D9258A"/>
    <w:rsid w:val="00D94534"/>
    <w:rsid w:val="00DB7798"/>
    <w:rsid w:val="00DB797E"/>
    <w:rsid w:val="00DC1EC7"/>
    <w:rsid w:val="00DD0298"/>
    <w:rsid w:val="00DD2697"/>
    <w:rsid w:val="00DD4489"/>
    <w:rsid w:val="00DE2D2B"/>
    <w:rsid w:val="00DE5CF0"/>
    <w:rsid w:val="00DE758A"/>
    <w:rsid w:val="00DF27C9"/>
    <w:rsid w:val="00E14E26"/>
    <w:rsid w:val="00E209B6"/>
    <w:rsid w:val="00E26584"/>
    <w:rsid w:val="00E4248D"/>
    <w:rsid w:val="00E46BB4"/>
    <w:rsid w:val="00E575B8"/>
    <w:rsid w:val="00E67D19"/>
    <w:rsid w:val="00E71C47"/>
    <w:rsid w:val="00E80BB4"/>
    <w:rsid w:val="00EA5478"/>
    <w:rsid w:val="00EB2626"/>
    <w:rsid w:val="00EB4A28"/>
    <w:rsid w:val="00EC0FC5"/>
    <w:rsid w:val="00EC2222"/>
    <w:rsid w:val="00EC5CB9"/>
    <w:rsid w:val="00ED18FA"/>
    <w:rsid w:val="00ED1AE6"/>
    <w:rsid w:val="00ED7956"/>
    <w:rsid w:val="00EE47D5"/>
    <w:rsid w:val="00EF7771"/>
    <w:rsid w:val="00F00710"/>
    <w:rsid w:val="00F26721"/>
    <w:rsid w:val="00F4656A"/>
    <w:rsid w:val="00F47185"/>
    <w:rsid w:val="00F81055"/>
    <w:rsid w:val="00F812E1"/>
    <w:rsid w:val="00F86893"/>
    <w:rsid w:val="00F907B4"/>
    <w:rsid w:val="00FA46D6"/>
    <w:rsid w:val="00FD2E8B"/>
    <w:rsid w:val="00FD6E1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605B9"/>
  <w15:docId w15:val="{8C631848-13CF-4581-857C-7CB59F1B7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0C58"/>
  </w:style>
  <w:style w:type="paragraph" w:styleId="Titre1">
    <w:name w:val="heading 1"/>
    <w:basedOn w:val="Normal"/>
    <w:next w:val="Normal"/>
    <w:link w:val="Titre1Car"/>
    <w:uiPriority w:val="9"/>
    <w:qFormat/>
    <w:rsid w:val="00EB4A28"/>
    <w:pPr>
      <w:keepNext/>
      <w:keepLines/>
      <w:spacing w:before="240" w:after="240"/>
      <w:jc w:val="both"/>
      <w:outlineLvl w:val="0"/>
    </w:pPr>
    <w:rPr>
      <w:rFonts w:ascii="Calibri" w:eastAsia="Times New Roman" w:hAnsi="Calibri" w:cs="Times New Roman"/>
      <w:b/>
      <w:bCs/>
      <w:caps/>
      <w:color w:val="388135"/>
      <w:sz w:val="32"/>
      <w:szCs w:val="32"/>
    </w:rPr>
  </w:style>
  <w:style w:type="paragraph" w:styleId="Titre2">
    <w:name w:val="heading 2"/>
    <w:basedOn w:val="Normal"/>
    <w:next w:val="Normal"/>
    <w:link w:val="Titre2Car"/>
    <w:uiPriority w:val="9"/>
    <w:unhideWhenUsed/>
    <w:qFormat/>
    <w:rsid w:val="003C55D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semiHidden/>
    <w:unhideWhenUsed/>
    <w:qFormat/>
    <w:rsid w:val="004527CF"/>
    <w:pPr>
      <w:keepNext/>
      <w:keepLines/>
      <w:spacing w:before="40" w:after="0" w:line="240" w:lineRule="auto"/>
      <w:outlineLvl w:val="2"/>
    </w:pPr>
    <w:rPr>
      <w:rFonts w:asciiTheme="majorHAnsi" w:eastAsiaTheme="majorEastAsia" w:hAnsiTheme="majorHAnsi" w:cstheme="majorBidi"/>
      <w:color w:val="243F60" w:themeColor="accent1" w:themeShade="7F"/>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D0D8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andard">
    <w:name w:val="Standard"/>
    <w:uiPriority w:val="99"/>
    <w:rsid w:val="00EA5478"/>
    <w:pPr>
      <w:widowControl w:val="0"/>
      <w:suppressAutoHyphens/>
    </w:pPr>
    <w:rPr>
      <w:rFonts w:ascii="Times New Roman" w:eastAsia="SimSun" w:hAnsi="Times New Roman" w:cs="Mangal"/>
      <w:color w:val="00000A"/>
      <w:sz w:val="24"/>
      <w:szCs w:val="24"/>
      <w:lang w:eastAsia="zh-CN" w:bidi="hi-IN"/>
    </w:rPr>
  </w:style>
  <w:style w:type="paragraph" w:styleId="Paragraphedeliste">
    <w:name w:val="List Paragraph"/>
    <w:aliases w:val="texte,Paragraphe 2,Puce,AB List 1,Bullet Points,U 5,Glossaire,liste de tableaux,Titre1,Farbige Liste - Akzent 11,Bioforce zListePuce,L_4,Bullets,References,Numbered List Paragraph,ReferencesCxSpLast,Paragraphe de liste11,List bullet"/>
    <w:basedOn w:val="Normal"/>
    <w:link w:val="ParagraphedelisteCar"/>
    <w:uiPriority w:val="34"/>
    <w:qFormat/>
    <w:rsid w:val="00E67D19"/>
    <w:pPr>
      <w:ind w:left="720"/>
      <w:contextualSpacing/>
    </w:pPr>
  </w:style>
  <w:style w:type="paragraph" w:customStyle="1" w:styleId="Default">
    <w:name w:val="Default"/>
    <w:rsid w:val="00592C25"/>
    <w:pPr>
      <w:autoSpaceDE w:val="0"/>
      <w:autoSpaceDN w:val="0"/>
      <w:adjustRightInd w:val="0"/>
      <w:spacing w:after="0" w:line="240" w:lineRule="auto"/>
    </w:pPr>
    <w:rPr>
      <w:rFonts w:ascii="Arial" w:hAnsi="Arial" w:cs="Arial"/>
      <w:color w:val="000000"/>
      <w:sz w:val="24"/>
      <w:szCs w:val="24"/>
    </w:rPr>
  </w:style>
  <w:style w:type="paragraph" w:styleId="Notedebasdepage">
    <w:name w:val="footnote text"/>
    <w:aliases w:val=" Car Car,single space,Car Car Car, Car,Car,footnote text,fn,FOOTNOTES,Footnote TextCSR,ALTS FOOTNOTE,Fodnotetekst Tegn,footnote text Char,Fodnotetekst Tegn Char,single space Char,footnote text Char Char Char,Fodnotetekst Tegn Char1,f"/>
    <w:basedOn w:val="Normal"/>
    <w:link w:val="NotedebasdepageCar"/>
    <w:uiPriority w:val="99"/>
    <w:unhideWhenUsed/>
    <w:qFormat/>
    <w:rsid w:val="00120BD6"/>
    <w:pPr>
      <w:spacing w:after="0" w:line="240" w:lineRule="auto"/>
    </w:pPr>
    <w:rPr>
      <w:sz w:val="20"/>
      <w:szCs w:val="20"/>
    </w:rPr>
  </w:style>
  <w:style w:type="character" w:customStyle="1" w:styleId="NotedebasdepageCar">
    <w:name w:val="Note de bas de page Car"/>
    <w:aliases w:val=" Car Car Car,single space Car,Car Car Car Car, Car Car1,Car Car,footnote text Car,fn Car,FOOTNOTES Car,Footnote TextCSR Car,ALTS FOOTNOTE Car,Fodnotetekst Tegn Car,footnote text Char Car,Fodnotetekst Tegn Char Car,f Car"/>
    <w:basedOn w:val="Policepardfaut"/>
    <w:link w:val="Notedebasdepage"/>
    <w:rsid w:val="00120BD6"/>
    <w:rPr>
      <w:sz w:val="20"/>
      <w:szCs w:val="20"/>
    </w:rPr>
  </w:style>
  <w:style w:type="character" w:styleId="Appelnotedebasdep">
    <w:name w:val="footnote reference"/>
    <w:aliases w:val="ftref,16 Point,Superscript 6 Point, Car Car Char Car Char Car Car Char Car Char Char, Car Car Car Car Car Car Car Car Char Car Car Char Car Car Car Char Car Char Char Char,Car Car Char Car Char Car Car Char Car Char Char,SUPERS"/>
    <w:basedOn w:val="Policepardfaut"/>
    <w:link w:val="ftrefCar1CarCar"/>
    <w:unhideWhenUsed/>
    <w:qFormat/>
    <w:rsid w:val="00120BD6"/>
    <w:rPr>
      <w:vertAlign w:val="superscript"/>
    </w:rPr>
  </w:style>
  <w:style w:type="paragraph" w:styleId="Textedebulles">
    <w:name w:val="Balloon Text"/>
    <w:basedOn w:val="Normal"/>
    <w:link w:val="TextedebullesCar"/>
    <w:uiPriority w:val="99"/>
    <w:semiHidden/>
    <w:unhideWhenUsed/>
    <w:rsid w:val="00C0668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0668D"/>
    <w:rPr>
      <w:rFonts w:ascii="Tahoma" w:hAnsi="Tahoma" w:cs="Tahoma"/>
      <w:sz w:val="16"/>
      <w:szCs w:val="16"/>
    </w:rPr>
  </w:style>
  <w:style w:type="character" w:customStyle="1" w:styleId="Titre1Car">
    <w:name w:val="Titre 1 Car"/>
    <w:basedOn w:val="Policepardfaut"/>
    <w:link w:val="Titre1"/>
    <w:uiPriority w:val="9"/>
    <w:rsid w:val="00EB4A28"/>
    <w:rPr>
      <w:rFonts w:ascii="Calibri" w:eastAsia="Times New Roman" w:hAnsi="Calibri" w:cs="Times New Roman"/>
      <w:b/>
      <w:bCs/>
      <w:caps/>
      <w:color w:val="388135"/>
      <w:sz w:val="32"/>
      <w:szCs w:val="32"/>
    </w:rPr>
  </w:style>
  <w:style w:type="paragraph" w:customStyle="1" w:styleId="ftrefCar1CarCar">
    <w:name w:val="ftref Car1 Car Car"/>
    <w:aliases w:val="16 Point Car1 Car Car,Superscript 6 Point Car1 Car Car,Car Car Char Car Char Car Car Char Car Char Char Car1 Car Car,BVI fnr,R, BVI fnr Car Car"/>
    <w:basedOn w:val="Normal"/>
    <w:next w:val="Normal"/>
    <w:link w:val="Appelnotedebasdep"/>
    <w:rsid w:val="00EB4A28"/>
    <w:pPr>
      <w:spacing w:after="0" w:line="240" w:lineRule="auto"/>
      <w:jc w:val="both"/>
    </w:pPr>
    <w:rPr>
      <w:vertAlign w:val="superscript"/>
    </w:rPr>
  </w:style>
  <w:style w:type="character" w:styleId="Lienhypertexte">
    <w:name w:val="Hyperlink"/>
    <w:basedOn w:val="Policepardfaut"/>
    <w:uiPriority w:val="99"/>
    <w:unhideWhenUsed/>
    <w:rsid w:val="00EB4A28"/>
    <w:rPr>
      <w:color w:val="0000FF" w:themeColor="hyperlink"/>
      <w:u w:val="single"/>
    </w:rPr>
  </w:style>
  <w:style w:type="character" w:customStyle="1" w:styleId="st1">
    <w:name w:val="st1"/>
    <w:basedOn w:val="Policepardfaut"/>
    <w:rsid w:val="00EB4A28"/>
  </w:style>
  <w:style w:type="paragraph" w:customStyle="1" w:styleId="T2">
    <w:name w:val="T2"/>
    <w:basedOn w:val="Normal"/>
    <w:link w:val="T2Car"/>
    <w:qFormat/>
    <w:rsid w:val="00DD2697"/>
    <w:pPr>
      <w:ind w:firstLine="567"/>
    </w:pPr>
    <w:rPr>
      <w:rFonts w:ascii="Arial" w:hAnsi="Arial" w:cs="Arial"/>
      <w:b/>
      <w:i/>
    </w:rPr>
  </w:style>
  <w:style w:type="character" w:customStyle="1" w:styleId="T2Car">
    <w:name w:val="T2 Car"/>
    <w:basedOn w:val="Policepardfaut"/>
    <w:link w:val="T2"/>
    <w:rsid w:val="00DD2697"/>
    <w:rPr>
      <w:rFonts w:ascii="Arial" w:hAnsi="Arial" w:cs="Arial"/>
      <w:b/>
      <w:i/>
    </w:rPr>
  </w:style>
  <w:style w:type="character" w:customStyle="1" w:styleId="Titre2Car">
    <w:name w:val="Titre 2 Car"/>
    <w:basedOn w:val="Policepardfaut"/>
    <w:link w:val="Titre2"/>
    <w:uiPriority w:val="9"/>
    <w:rsid w:val="003C55D0"/>
    <w:rPr>
      <w:rFonts w:asciiTheme="majorHAnsi" w:eastAsiaTheme="majorEastAsia" w:hAnsiTheme="majorHAnsi" w:cstheme="majorBidi"/>
      <w:color w:val="365F91" w:themeColor="accent1" w:themeShade="BF"/>
      <w:sz w:val="26"/>
      <w:szCs w:val="26"/>
    </w:rPr>
  </w:style>
  <w:style w:type="character" w:styleId="Marquedecommentaire">
    <w:name w:val="annotation reference"/>
    <w:basedOn w:val="Policepardfaut"/>
    <w:uiPriority w:val="99"/>
    <w:semiHidden/>
    <w:unhideWhenUsed/>
    <w:rsid w:val="002F2DCF"/>
    <w:rPr>
      <w:sz w:val="16"/>
      <w:szCs w:val="16"/>
    </w:rPr>
  </w:style>
  <w:style w:type="paragraph" w:styleId="Commentaire">
    <w:name w:val="annotation text"/>
    <w:basedOn w:val="Normal"/>
    <w:link w:val="CommentaireCar"/>
    <w:uiPriority w:val="99"/>
    <w:semiHidden/>
    <w:unhideWhenUsed/>
    <w:rsid w:val="002F2DCF"/>
    <w:pPr>
      <w:spacing w:line="240" w:lineRule="auto"/>
    </w:pPr>
    <w:rPr>
      <w:sz w:val="20"/>
      <w:szCs w:val="20"/>
    </w:rPr>
  </w:style>
  <w:style w:type="character" w:customStyle="1" w:styleId="CommentaireCar">
    <w:name w:val="Commentaire Car"/>
    <w:basedOn w:val="Policepardfaut"/>
    <w:link w:val="Commentaire"/>
    <w:uiPriority w:val="99"/>
    <w:semiHidden/>
    <w:rsid w:val="002F2DCF"/>
    <w:rPr>
      <w:sz w:val="20"/>
      <w:szCs w:val="20"/>
    </w:rPr>
  </w:style>
  <w:style w:type="paragraph" w:styleId="Objetducommentaire">
    <w:name w:val="annotation subject"/>
    <w:basedOn w:val="Commentaire"/>
    <w:next w:val="Commentaire"/>
    <w:link w:val="ObjetducommentaireCar"/>
    <w:uiPriority w:val="99"/>
    <w:semiHidden/>
    <w:unhideWhenUsed/>
    <w:rsid w:val="002F2DCF"/>
    <w:rPr>
      <w:b/>
      <w:bCs/>
    </w:rPr>
  </w:style>
  <w:style w:type="character" w:customStyle="1" w:styleId="ObjetducommentaireCar">
    <w:name w:val="Objet du commentaire Car"/>
    <w:basedOn w:val="CommentaireCar"/>
    <w:link w:val="Objetducommentaire"/>
    <w:uiPriority w:val="99"/>
    <w:semiHidden/>
    <w:rsid w:val="002F2DCF"/>
    <w:rPr>
      <w:b/>
      <w:bCs/>
      <w:sz w:val="20"/>
      <w:szCs w:val="20"/>
    </w:rPr>
  </w:style>
  <w:style w:type="paragraph" w:styleId="Lgende">
    <w:name w:val="caption"/>
    <w:basedOn w:val="Normal"/>
    <w:next w:val="Normal"/>
    <w:qFormat/>
    <w:rsid w:val="00481263"/>
    <w:pPr>
      <w:autoSpaceDE w:val="0"/>
      <w:autoSpaceDN w:val="0"/>
      <w:adjustRightInd w:val="0"/>
      <w:spacing w:before="120" w:after="0" w:line="240" w:lineRule="auto"/>
      <w:jc w:val="both"/>
    </w:pPr>
    <w:rPr>
      <w:rFonts w:ascii="Verdana" w:eastAsia="Calibri" w:hAnsi="Verdana" w:cs="Verdana"/>
      <w:sz w:val="24"/>
      <w:szCs w:val="24"/>
      <w:lang w:val="en-US"/>
    </w:rPr>
  </w:style>
  <w:style w:type="character" w:customStyle="1" w:styleId="ParagraphedelisteCar">
    <w:name w:val="Paragraphe de liste Car"/>
    <w:aliases w:val="texte Car,Paragraphe 2 Car,Puce Car,AB List 1 Car,Bullet Points Car,U 5 Car,Glossaire Car,liste de tableaux Car,Titre1 Car,Farbige Liste - Akzent 11 Car,Bioforce zListePuce Car,L_4 Car,Bullets Car,References Car,List bullet Car"/>
    <w:link w:val="Paragraphedeliste"/>
    <w:uiPriority w:val="34"/>
    <w:qFormat/>
    <w:rsid w:val="00346A11"/>
  </w:style>
  <w:style w:type="character" w:customStyle="1" w:styleId="Titre3Car">
    <w:name w:val="Titre 3 Car"/>
    <w:basedOn w:val="Policepardfaut"/>
    <w:link w:val="Titre3"/>
    <w:uiPriority w:val="9"/>
    <w:semiHidden/>
    <w:rsid w:val="004527CF"/>
    <w:rPr>
      <w:rFonts w:asciiTheme="majorHAnsi" w:eastAsiaTheme="majorEastAsia" w:hAnsiTheme="majorHAnsi" w:cstheme="majorBidi"/>
      <w:color w:val="243F60" w:themeColor="accent1" w:themeShade="7F"/>
      <w:sz w:val="24"/>
      <w:szCs w:val="24"/>
      <w:lang w:eastAsia="fr-FR"/>
    </w:rPr>
  </w:style>
  <w:style w:type="paragraph" w:styleId="NormalWeb">
    <w:name w:val="Normal (Web)"/>
    <w:basedOn w:val="Normal"/>
    <w:uiPriority w:val="99"/>
    <w:semiHidden/>
    <w:unhideWhenUsed/>
    <w:rsid w:val="004527CF"/>
    <w:pPr>
      <w:spacing w:after="0" w:line="240" w:lineRule="auto"/>
    </w:pPr>
    <w:rPr>
      <w:rFonts w:ascii="Times New Roman" w:hAnsi="Times New Roman" w:cs="Times New Roman"/>
      <w:sz w:val="24"/>
      <w:szCs w:val="24"/>
      <w:lang w:eastAsia="fr-FR"/>
    </w:rPr>
  </w:style>
  <w:style w:type="character" w:customStyle="1" w:styleId="5yl5">
    <w:name w:val="_5yl5"/>
    <w:basedOn w:val="Policepardfaut"/>
    <w:rsid w:val="004527CF"/>
  </w:style>
  <w:style w:type="paragraph" w:styleId="Pieddepage">
    <w:name w:val="footer"/>
    <w:basedOn w:val="Normal"/>
    <w:link w:val="PieddepageCar"/>
    <w:uiPriority w:val="99"/>
    <w:unhideWhenUsed/>
    <w:rsid w:val="004527C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27CF"/>
  </w:style>
  <w:style w:type="paragraph" w:styleId="Sous-titre">
    <w:name w:val="Subtitle"/>
    <w:basedOn w:val="Normal"/>
    <w:next w:val="Normal"/>
    <w:link w:val="Sous-titreCar"/>
    <w:uiPriority w:val="11"/>
    <w:qFormat/>
    <w:rsid w:val="004527CF"/>
    <w:pPr>
      <w:keepNext/>
      <w:numPr>
        <w:ilvl w:val="1"/>
      </w:numPr>
      <w:spacing w:after="160"/>
      <w:jc w:val="both"/>
    </w:pPr>
    <w:rPr>
      <w:rFonts w:ascii="Calibri" w:eastAsia="Times New Roman" w:hAnsi="Calibri" w:cs="Times New Roman"/>
      <w:b/>
      <w:bCs/>
      <w:color w:val="5A5A5A"/>
    </w:rPr>
  </w:style>
  <w:style w:type="character" w:customStyle="1" w:styleId="Sous-titreCar">
    <w:name w:val="Sous-titre Car"/>
    <w:basedOn w:val="Policepardfaut"/>
    <w:link w:val="Sous-titre"/>
    <w:uiPriority w:val="11"/>
    <w:rsid w:val="004527CF"/>
    <w:rPr>
      <w:rFonts w:ascii="Calibri" w:eastAsia="Times New Roman" w:hAnsi="Calibri" w:cs="Times New Roman"/>
      <w:b/>
      <w:bCs/>
      <w:color w:val="5A5A5A"/>
    </w:rPr>
  </w:style>
  <w:style w:type="paragraph" w:customStyle="1" w:styleId="Figuresource">
    <w:name w:val="Figure source"/>
    <w:basedOn w:val="Normal"/>
    <w:qFormat/>
    <w:rsid w:val="004527CF"/>
    <w:pPr>
      <w:spacing w:after="0"/>
      <w:jc w:val="both"/>
    </w:pPr>
    <w:rPr>
      <w:rFonts w:ascii="Calibri" w:eastAsia="Calibri" w:hAnsi="Calibri" w:cs="Times New Roman"/>
      <w:color w:val="595959"/>
      <w:szCs w:val="24"/>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uiPriority w:val="99"/>
    <w:rsid w:val="004527CF"/>
    <w:pPr>
      <w:spacing w:after="160" w:line="240" w:lineRule="exact"/>
      <w:jc w:val="both"/>
    </w:pPr>
    <w:rPr>
      <w:sz w:val="24"/>
      <w:szCs w:val="24"/>
      <w:vertAlign w:val="superscript"/>
    </w:rPr>
  </w:style>
  <w:style w:type="paragraph" w:styleId="En-tte">
    <w:name w:val="header"/>
    <w:basedOn w:val="Normal"/>
    <w:link w:val="En-tteCar"/>
    <w:uiPriority w:val="99"/>
    <w:unhideWhenUsed/>
    <w:rsid w:val="004527CF"/>
    <w:pPr>
      <w:tabs>
        <w:tab w:val="center" w:pos="4536"/>
        <w:tab w:val="right" w:pos="9072"/>
      </w:tabs>
      <w:spacing w:after="0" w:line="240" w:lineRule="auto"/>
    </w:pPr>
    <w:rPr>
      <w:rFonts w:ascii="Calibri" w:hAnsi="Calibri" w:cs="Times New Roman"/>
      <w:lang w:eastAsia="fr-FR"/>
    </w:rPr>
  </w:style>
  <w:style w:type="character" w:customStyle="1" w:styleId="En-tteCar">
    <w:name w:val="En-tête Car"/>
    <w:basedOn w:val="Policepardfaut"/>
    <w:link w:val="En-tte"/>
    <w:uiPriority w:val="99"/>
    <w:rsid w:val="004527CF"/>
    <w:rPr>
      <w:rFonts w:ascii="Calibri" w:hAnsi="Calibri" w:cs="Times New Roman"/>
      <w:lang w:eastAsia="fr-FR"/>
    </w:rPr>
  </w:style>
  <w:style w:type="paragraph" w:styleId="En-ttedetabledesmatires">
    <w:name w:val="TOC Heading"/>
    <w:basedOn w:val="Titre1"/>
    <w:next w:val="Normal"/>
    <w:uiPriority w:val="39"/>
    <w:unhideWhenUsed/>
    <w:qFormat/>
    <w:rsid w:val="004527CF"/>
    <w:pPr>
      <w:spacing w:after="0" w:line="259" w:lineRule="auto"/>
      <w:jc w:val="left"/>
      <w:outlineLvl w:val="9"/>
    </w:pPr>
    <w:rPr>
      <w:rFonts w:asciiTheme="majorHAnsi" w:eastAsiaTheme="majorEastAsia" w:hAnsiTheme="majorHAnsi" w:cstheme="majorBidi"/>
      <w:b w:val="0"/>
      <w:bCs w:val="0"/>
      <w:caps w:val="0"/>
      <w:color w:val="365F91" w:themeColor="accent1" w:themeShade="BF"/>
      <w:lang w:eastAsia="fr-FR"/>
    </w:rPr>
  </w:style>
  <w:style w:type="paragraph" w:styleId="TM2">
    <w:name w:val="toc 2"/>
    <w:basedOn w:val="Normal"/>
    <w:next w:val="Normal"/>
    <w:autoRedefine/>
    <w:uiPriority w:val="39"/>
    <w:unhideWhenUsed/>
    <w:rsid w:val="004527CF"/>
    <w:pPr>
      <w:spacing w:after="100" w:line="240" w:lineRule="auto"/>
      <w:ind w:left="220"/>
    </w:pPr>
    <w:rPr>
      <w:rFonts w:ascii="Calibri" w:hAnsi="Calibri" w:cs="Times New Roman"/>
      <w:lang w:eastAsia="fr-FR"/>
    </w:rPr>
  </w:style>
  <w:style w:type="paragraph" w:styleId="TM1">
    <w:name w:val="toc 1"/>
    <w:basedOn w:val="Normal"/>
    <w:next w:val="Normal"/>
    <w:autoRedefine/>
    <w:uiPriority w:val="39"/>
    <w:unhideWhenUsed/>
    <w:rsid w:val="004527CF"/>
    <w:pPr>
      <w:spacing w:after="100" w:line="240" w:lineRule="auto"/>
    </w:pPr>
    <w:rPr>
      <w:rFonts w:ascii="Calibri" w:hAnsi="Calibri" w:cs="Times New Roman"/>
      <w:lang w:eastAsia="fr-FR"/>
    </w:rPr>
  </w:style>
  <w:style w:type="paragraph" w:styleId="TM3">
    <w:name w:val="toc 3"/>
    <w:basedOn w:val="Normal"/>
    <w:next w:val="Normal"/>
    <w:autoRedefine/>
    <w:uiPriority w:val="39"/>
    <w:unhideWhenUsed/>
    <w:rsid w:val="004527CF"/>
    <w:pPr>
      <w:tabs>
        <w:tab w:val="left" w:pos="880"/>
        <w:tab w:val="right" w:leader="dot" w:pos="9062"/>
      </w:tabs>
      <w:spacing w:after="100" w:line="240" w:lineRule="auto"/>
      <w:ind w:left="440"/>
    </w:pPr>
    <w:rPr>
      <w:rFonts w:ascii="Calibri" w:hAnsi="Calibri" w:cs="Times New Roman"/>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0759216">
      <w:bodyDiv w:val="1"/>
      <w:marLeft w:val="0"/>
      <w:marRight w:val="0"/>
      <w:marTop w:val="0"/>
      <w:marBottom w:val="0"/>
      <w:divBdr>
        <w:top w:val="none" w:sz="0" w:space="0" w:color="auto"/>
        <w:left w:val="none" w:sz="0" w:space="0" w:color="auto"/>
        <w:bottom w:val="none" w:sz="0" w:space="0" w:color="auto"/>
        <w:right w:val="none" w:sz="0" w:space="0" w:color="auto"/>
      </w:divBdr>
      <w:divsChild>
        <w:div w:id="122895421">
          <w:marLeft w:val="0"/>
          <w:marRight w:val="0"/>
          <w:marTop w:val="0"/>
          <w:marBottom w:val="0"/>
          <w:divBdr>
            <w:top w:val="none" w:sz="0" w:space="0" w:color="auto"/>
            <w:left w:val="none" w:sz="0" w:space="0" w:color="auto"/>
            <w:bottom w:val="none" w:sz="0" w:space="0" w:color="auto"/>
            <w:right w:val="none" w:sz="0" w:space="0" w:color="auto"/>
          </w:divBdr>
        </w:div>
        <w:div w:id="141894381">
          <w:marLeft w:val="0"/>
          <w:marRight w:val="0"/>
          <w:marTop w:val="0"/>
          <w:marBottom w:val="0"/>
          <w:divBdr>
            <w:top w:val="none" w:sz="0" w:space="0" w:color="auto"/>
            <w:left w:val="none" w:sz="0" w:space="0" w:color="auto"/>
            <w:bottom w:val="none" w:sz="0" w:space="0" w:color="auto"/>
            <w:right w:val="none" w:sz="0" w:space="0" w:color="auto"/>
          </w:divBdr>
        </w:div>
        <w:div w:id="166672555">
          <w:marLeft w:val="0"/>
          <w:marRight w:val="0"/>
          <w:marTop w:val="0"/>
          <w:marBottom w:val="0"/>
          <w:divBdr>
            <w:top w:val="none" w:sz="0" w:space="0" w:color="auto"/>
            <w:left w:val="none" w:sz="0" w:space="0" w:color="auto"/>
            <w:bottom w:val="none" w:sz="0" w:space="0" w:color="auto"/>
            <w:right w:val="none" w:sz="0" w:space="0" w:color="auto"/>
          </w:divBdr>
        </w:div>
        <w:div w:id="211044280">
          <w:marLeft w:val="0"/>
          <w:marRight w:val="0"/>
          <w:marTop w:val="0"/>
          <w:marBottom w:val="0"/>
          <w:divBdr>
            <w:top w:val="none" w:sz="0" w:space="0" w:color="auto"/>
            <w:left w:val="none" w:sz="0" w:space="0" w:color="auto"/>
            <w:bottom w:val="none" w:sz="0" w:space="0" w:color="auto"/>
            <w:right w:val="none" w:sz="0" w:space="0" w:color="auto"/>
          </w:divBdr>
        </w:div>
        <w:div w:id="20109101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18" Type="http://schemas.openxmlformats.org/officeDocument/2006/relationships/package" Target="embeddings/Microsoft_PowerPoint_Slide5.sldx"/><Relationship Id="rId26" Type="http://schemas.openxmlformats.org/officeDocument/2006/relationships/image" Target="media/image8.emf"/><Relationship Id="rId39" Type="http://schemas.openxmlformats.org/officeDocument/2006/relationships/chart" Target="charts/chart17.xml"/><Relationship Id="rId3" Type="http://schemas.openxmlformats.org/officeDocument/2006/relationships/styles" Target="styles.xml"/><Relationship Id="rId21" Type="http://schemas.openxmlformats.org/officeDocument/2006/relationships/chart" Target="charts/chart8.xml"/><Relationship Id="rId34" Type="http://schemas.openxmlformats.org/officeDocument/2006/relationships/chart" Target="charts/chart14.xml"/><Relationship Id="rId7" Type="http://schemas.openxmlformats.org/officeDocument/2006/relationships/endnotes" Target="endnotes.xml"/><Relationship Id="rId12" Type="http://schemas.openxmlformats.org/officeDocument/2006/relationships/package" Target="embeddings/Microsoft_PowerPoint_Slide.sldx"/><Relationship Id="rId17" Type="http://schemas.openxmlformats.org/officeDocument/2006/relationships/image" Target="media/image4.emf"/><Relationship Id="rId25" Type="http://schemas.openxmlformats.org/officeDocument/2006/relationships/image" Target="media/image7.emf"/><Relationship Id="rId33" Type="http://schemas.openxmlformats.org/officeDocument/2006/relationships/chart" Target="charts/chart13.xml"/><Relationship Id="rId38" Type="http://schemas.openxmlformats.org/officeDocument/2006/relationships/chart" Target="charts/chart16.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chart" Target="charts/chart7.xml"/><Relationship Id="rId29" Type="http://schemas.openxmlformats.org/officeDocument/2006/relationships/chart" Target="charts/chart10.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package" Target="embeddings/Microsoft_Excel_Worksheet8.xlsx"/><Relationship Id="rId32" Type="http://schemas.openxmlformats.org/officeDocument/2006/relationships/chart" Target="charts/chart12.xml"/><Relationship Id="rId37" Type="http://schemas.openxmlformats.org/officeDocument/2006/relationships/chart" Target="charts/chart15.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image" Target="media/image6.emf"/><Relationship Id="rId28" Type="http://schemas.openxmlformats.org/officeDocument/2006/relationships/chart" Target="charts/chart9.xml"/><Relationship Id="rId36" Type="http://schemas.openxmlformats.org/officeDocument/2006/relationships/image" Target="media/image11.png"/><Relationship Id="rId10" Type="http://schemas.openxmlformats.org/officeDocument/2006/relationships/chart" Target="charts/chart1.xml"/><Relationship Id="rId19" Type="http://schemas.openxmlformats.org/officeDocument/2006/relationships/chart" Target="charts/chart6.xml"/><Relationship Id="rId31"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 Id="rId22" Type="http://schemas.openxmlformats.org/officeDocument/2006/relationships/image" Target="media/image5.emf"/><Relationship Id="rId27" Type="http://schemas.openxmlformats.org/officeDocument/2006/relationships/package" Target="embeddings/Microsoft_Excel_Worksheet9.xlsx"/><Relationship Id="rId30" Type="http://schemas.openxmlformats.org/officeDocument/2006/relationships/image" Target="media/image9.emf"/><Relationship Id="rId35" Type="http://schemas.openxmlformats.org/officeDocument/2006/relationships/image" Target="media/image10.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sfall\Documents\Documents\SITAN\Book1-doctravail.xlsx" TargetMode="Externa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1.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1.xml"/><Relationship Id="rId1" Type="http://schemas.microsoft.com/office/2011/relationships/chartStyle" Target="style1.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prof\Desktop\Priorisation%20SRMNEAN\Extrai.xlsx" TargetMode="External"/><Relationship Id="rId1" Type="http://schemas.openxmlformats.org/officeDocument/2006/relationships/themeOverride" Target="../theme/themeOverride2.xml"/></Relationships>
</file>

<file path=word/charts/_rels/chart10.xml.rels><?xml version="1.0" encoding="UTF-8" standalone="yes"?>
<Relationships xmlns="http://schemas.openxmlformats.org/package/2006/relationships"><Relationship Id="rId2" Type="http://schemas.openxmlformats.org/officeDocument/2006/relationships/oleObject" Target="file:///\\Users\AgatheMOlivetti\Documents\Palladium\HP+\CIPs%20-%20West%20Africa\Burkina%20Faso\Trip%201\PANB\Graphiques%20PANB_BF.xlsx" TargetMode="External"/><Relationship Id="rId1" Type="http://schemas.openxmlformats.org/officeDocument/2006/relationships/themeOverride" Target="../theme/themeOverride3.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MARKC\Desktop\lecture\Outil%20d'analyse%20des%20goulots%20d'etranglement%20et%20plannification%20pour%20l'eTME_National%20vs%20R&#233;gionalMC.xlsm" TargetMode="External"/><Relationship Id="rId1" Type="http://schemas.openxmlformats.org/officeDocument/2006/relationships/themeOverride" Target="../theme/themeOverride4.xml"/></Relationships>
</file>

<file path=word/charts/_rels/chart1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MARKC\Desktop\lecture\Outil%20d'analyse%20des%20goulots%20d'etranglement%20et%20plannification%20pour%20l'eTME_National%20vs%20R&#233;gionalMC.xlsm" TargetMode="External"/><Relationship Id="rId1" Type="http://schemas.openxmlformats.org/officeDocument/2006/relationships/themeOverride" Target="../theme/themeOverride5.xml"/></Relationships>
</file>

<file path=word/charts/_rels/chart1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MARKC\Desktop\lecture\Outil%20d'analyse%20des%20goulots%20d'etranglement%20et%20plannification%20pour%20l'eTME_National%20vs%20R&#233;gionalMC.xlsm" TargetMode="External"/><Relationship Id="rId1" Type="http://schemas.openxmlformats.org/officeDocument/2006/relationships/themeOverride" Target="../theme/themeOverride6.xml"/></Relationships>
</file>

<file path=word/charts/_rels/chart14.xml.rels><?xml version="1.0" encoding="UTF-8" standalone="yes"?>
<Relationships xmlns="http://schemas.openxmlformats.org/package/2006/relationships"><Relationship Id="rId2" Type="http://schemas.openxmlformats.org/officeDocument/2006/relationships/oleObject" Target="Classeur1" TargetMode="External"/><Relationship Id="rId1" Type="http://schemas.openxmlformats.org/officeDocument/2006/relationships/themeOverride" Target="../theme/themeOverride7.xml"/></Relationships>
</file>

<file path=word/charts/_rels/chart15.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embeddings/oleObject1.bin"/><Relationship Id="rId1" Type="http://schemas.openxmlformats.org/officeDocument/2006/relationships/themeOverride" Target="../theme/themeOverride8.xml"/></Relationships>
</file>

<file path=word/charts/_rels/chart16.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Classeur1" TargetMode="External"/></Relationships>
</file>

<file path=word/charts/_rels/chart17.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H:\Graphique%20analyse%20goulo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7268042224648927"/>
          <c:y val="6.5213037797588094E-2"/>
          <c:w val="0.48471866199206898"/>
          <c:h val="0.55164359961612763"/>
        </c:manualLayout>
      </c:layout>
      <c:barChart>
        <c:barDir val="col"/>
        <c:grouping val="clustered"/>
        <c:varyColors val="0"/>
        <c:ser>
          <c:idx val="0"/>
          <c:order val="0"/>
          <c:tx>
            <c:strRef>
              <c:f>Feuil1!$B$1</c:f>
              <c:strCache>
                <c:ptCount val="1"/>
                <c:pt idx="0">
                  <c:v>Taux de mortalite maternelle (/100 000)</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484</c:v>
                </c:pt>
                <c:pt idx="2">
                  <c:v>341</c:v>
                </c:pt>
                <c:pt idx="3">
                  <c:v>330</c:v>
                </c:pt>
              </c:numCache>
            </c:numRef>
          </c:val>
          <c:extLst>
            <c:ext xmlns:c16="http://schemas.microsoft.com/office/drawing/2014/chart" uri="{C3380CC4-5D6E-409C-BE32-E72D297353CC}">
              <c16:uniqueId val="{00000000-E40E-485E-AF06-CCF517EED565}"/>
            </c:ext>
          </c:extLst>
        </c:ser>
        <c:ser>
          <c:idx val="1"/>
          <c:order val="1"/>
          <c:tx>
            <c:strRef>
              <c:f>Feuil1!$C$1</c:f>
              <c:strCache>
                <c:ptCount val="1"/>
                <c:pt idx="0">
                  <c:v>Cible PNDS 2011-20</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177</c:v>
                </c:pt>
              </c:numCache>
            </c:numRef>
          </c:val>
          <c:extLst>
            <c:ext xmlns:c16="http://schemas.microsoft.com/office/drawing/2014/chart" uri="{C3380CC4-5D6E-409C-BE32-E72D297353CC}">
              <c16:uniqueId val="{00000001-E40E-485E-AF06-CCF517EED565}"/>
            </c:ext>
          </c:extLst>
        </c:ser>
        <c:ser>
          <c:idx val="2"/>
          <c:order val="2"/>
          <c:tx>
            <c:strRef>
              <c:f>Feuil1!$D$1</c:f>
              <c:strCache>
                <c:ptCount val="1"/>
                <c:pt idx="0">
                  <c:v>Cible OMD</c:v>
                </c:pt>
              </c:strCache>
            </c:strRef>
          </c:tx>
          <c:invertIfNegative val="0"/>
          <c:dLbls>
            <c:dLbl>
              <c:idx val="3"/>
              <c:layout>
                <c:manualLayout>
                  <c:x val="0"/>
                  <c:y val="5.4931335830212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40E-485E-AF06-CCF517EED565}"/>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Feuil1!$D$2:$D$5</c:f>
              <c:numCache>
                <c:formatCode>General</c:formatCode>
                <c:ptCount val="4"/>
                <c:pt idx="3">
                  <c:v>142</c:v>
                </c:pt>
              </c:numCache>
            </c:numRef>
          </c:val>
          <c:extLst>
            <c:ext xmlns:c16="http://schemas.microsoft.com/office/drawing/2014/chart" uri="{C3380CC4-5D6E-409C-BE32-E72D297353CC}">
              <c16:uniqueId val="{00000003-E40E-485E-AF06-CCF517EED565}"/>
            </c:ext>
          </c:extLst>
        </c:ser>
        <c:ser>
          <c:idx val="3"/>
          <c:order val="3"/>
          <c:tx>
            <c:strRef>
              <c:f>Feuil1!$E$1</c:f>
              <c:strCache>
                <c:ptCount val="1"/>
                <c:pt idx="0">
                  <c:v>Cible SCADD</c:v>
                </c:pt>
              </c:strCache>
            </c:strRef>
          </c:tx>
          <c:invertIfNegative val="0"/>
          <c:dLbls>
            <c:dLbl>
              <c:idx val="3"/>
              <c:layout>
                <c:manualLayout>
                  <c:x val="4.7722666053604673E-2"/>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40E-485E-AF06-CCF517EED565}"/>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Feuil1!$E$2:$E$5</c:f>
              <c:numCache>
                <c:formatCode>General</c:formatCode>
                <c:ptCount val="4"/>
                <c:pt idx="3">
                  <c:v>177</c:v>
                </c:pt>
              </c:numCache>
            </c:numRef>
          </c:val>
          <c:extLst>
            <c:ext xmlns:c16="http://schemas.microsoft.com/office/drawing/2014/chart" uri="{C3380CC4-5D6E-409C-BE32-E72D297353CC}">
              <c16:uniqueId val="{00000005-E40E-485E-AF06-CCF517EED565}"/>
            </c:ext>
          </c:extLst>
        </c:ser>
        <c:dLbls>
          <c:showLegendKey val="0"/>
          <c:showVal val="0"/>
          <c:showCatName val="0"/>
          <c:showSerName val="0"/>
          <c:showPercent val="0"/>
          <c:showBubbleSize val="0"/>
        </c:dLbls>
        <c:gapWidth val="150"/>
        <c:axId val="189184256"/>
        <c:axId val="189227008"/>
      </c:barChart>
      <c:catAx>
        <c:axId val="189184256"/>
        <c:scaling>
          <c:orientation val="minMax"/>
        </c:scaling>
        <c:delete val="0"/>
        <c:axPos val="b"/>
        <c:numFmt formatCode="General" sourceLinked="0"/>
        <c:majorTickMark val="out"/>
        <c:minorTickMark val="none"/>
        <c:tickLblPos val="nextTo"/>
        <c:crossAx val="189227008"/>
        <c:crosses val="autoZero"/>
        <c:auto val="1"/>
        <c:lblAlgn val="ctr"/>
        <c:lblOffset val="100"/>
        <c:noMultiLvlLbl val="0"/>
      </c:catAx>
      <c:valAx>
        <c:axId val="189227008"/>
        <c:scaling>
          <c:orientation val="minMax"/>
        </c:scaling>
        <c:delete val="0"/>
        <c:axPos val="l"/>
        <c:majorGridlines/>
        <c:numFmt formatCode="General" sourceLinked="1"/>
        <c:majorTickMark val="out"/>
        <c:minorTickMark val="none"/>
        <c:tickLblPos val="nextTo"/>
        <c:crossAx val="189184256"/>
        <c:crosses val="autoZero"/>
        <c:crossBetween val="between"/>
      </c:valAx>
    </c:plotArea>
    <c:legend>
      <c:legendPos val="r"/>
      <c:layout>
        <c:manualLayout>
          <c:xMode val="edge"/>
          <c:yMode val="edge"/>
          <c:x val="0.70614058279211445"/>
          <c:y val="7.8039851760103016E-2"/>
          <c:w val="0.27380960591604897"/>
          <c:h val="0.84391990327051891"/>
        </c:manualLayout>
      </c:layout>
      <c:overlay val="0"/>
      <c:txPr>
        <a:bodyPr/>
        <a:lstStyle/>
        <a:p>
          <a:pPr>
            <a:defRPr sz="800"/>
          </a:pPr>
          <a:endParaRPr lang="fr-FR"/>
        </a:p>
      </c:txPr>
    </c:legend>
    <c:plotVisOnly val="1"/>
    <c:dispBlanksAs val="gap"/>
    <c:showDLblsOverMax val="0"/>
  </c:chart>
  <c:spPr>
    <a:solidFill>
      <a:schemeClr val="accent1">
        <a:lumMod val="20000"/>
        <a:lumOff val="8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Feuil1!$B$1</c:f>
              <c:strCache>
                <c:ptCount val="1"/>
                <c:pt idx="0">
                  <c:v>Taux de mortalité néonatale ( /1000) </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41</c:v>
                </c:pt>
                <c:pt idx="1">
                  <c:v>31</c:v>
                </c:pt>
                <c:pt idx="2">
                  <c:v>28</c:v>
                </c:pt>
                <c:pt idx="3">
                  <c:v>23</c:v>
                </c:pt>
              </c:numCache>
            </c:numRef>
          </c:val>
          <c:extLst>
            <c:ext xmlns:c16="http://schemas.microsoft.com/office/drawing/2014/chart" uri="{C3380CC4-5D6E-409C-BE32-E72D297353CC}">
              <c16:uniqueId val="{00000000-C6C2-40AD-B2E0-A9DC445F6CF2}"/>
            </c:ext>
          </c:extLst>
        </c:ser>
        <c:ser>
          <c:idx val="1"/>
          <c:order val="1"/>
          <c:tx>
            <c:strRef>
              <c:f>Feuil1!$C$1</c:f>
              <c:strCache>
                <c:ptCount val="1"/>
                <c:pt idx="0">
                  <c:v>Cible PNDS 2011-20</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14</c:v>
                </c:pt>
              </c:numCache>
            </c:numRef>
          </c:val>
          <c:extLst>
            <c:ext xmlns:c16="http://schemas.microsoft.com/office/drawing/2014/chart" uri="{C3380CC4-5D6E-409C-BE32-E72D297353CC}">
              <c16:uniqueId val="{00000001-C6C2-40AD-B2E0-A9DC445F6CF2}"/>
            </c:ext>
          </c:extLst>
        </c:ser>
        <c:dLbls>
          <c:showLegendKey val="0"/>
          <c:showVal val="0"/>
          <c:showCatName val="0"/>
          <c:showSerName val="0"/>
          <c:showPercent val="0"/>
          <c:showBubbleSize val="0"/>
        </c:dLbls>
        <c:gapWidth val="150"/>
        <c:axId val="187750272"/>
        <c:axId val="187751808"/>
      </c:barChart>
      <c:catAx>
        <c:axId val="187750272"/>
        <c:scaling>
          <c:orientation val="minMax"/>
        </c:scaling>
        <c:delete val="0"/>
        <c:axPos val="b"/>
        <c:numFmt formatCode="General" sourceLinked="0"/>
        <c:majorTickMark val="out"/>
        <c:minorTickMark val="none"/>
        <c:tickLblPos val="nextTo"/>
        <c:crossAx val="187751808"/>
        <c:crosses val="autoZero"/>
        <c:auto val="1"/>
        <c:lblAlgn val="ctr"/>
        <c:lblOffset val="100"/>
        <c:noMultiLvlLbl val="0"/>
      </c:catAx>
      <c:valAx>
        <c:axId val="187751808"/>
        <c:scaling>
          <c:orientation val="minMax"/>
        </c:scaling>
        <c:delete val="0"/>
        <c:axPos val="l"/>
        <c:majorGridlines/>
        <c:numFmt formatCode="General" sourceLinked="1"/>
        <c:majorTickMark val="out"/>
        <c:minorTickMark val="none"/>
        <c:tickLblPos val="nextTo"/>
        <c:crossAx val="187750272"/>
        <c:crosses val="autoZero"/>
        <c:crossBetween val="between"/>
      </c:valAx>
    </c:plotArea>
    <c:legend>
      <c:legendPos val="r"/>
      <c:overlay val="0"/>
    </c:legend>
    <c:plotVisOnly val="1"/>
    <c:dispBlanksAs val="gap"/>
    <c:showDLblsOverMax val="0"/>
  </c:chart>
  <c:spPr>
    <a:solidFill>
      <a:schemeClr val="accent1">
        <a:lumMod val="20000"/>
        <a:lumOff val="80000"/>
      </a:schemeClr>
    </a:soli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948089822105568"/>
          <c:y val="3.9691184943345489E-2"/>
          <c:w val="0.58796521646915489"/>
          <c:h val="0.70218961654183698"/>
        </c:manualLayout>
      </c:layout>
      <c:barChart>
        <c:barDir val="col"/>
        <c:grouping val="clustered"/>
        <c:varyColors val="0"/>
        <c:ser>
          <c:idx val="0"/>
          <c:order val="0"/>
          <c:tx>
            <c:strRef>
              <c:f>Feuil1!$B$1</c:f>
              <c:strCache>
                <c:ptCount val="1"/>
                <c:pt idx="0">
                  <c:v>Taux de mortalité infantile</c:v>
                </c:pt>
              </c:strCache>
            </c:strRef>
          </c:tx>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4E6-454F-AFBB-850E361ACC1D}"/>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4E6-454F-AFBB-850E361ACC1D}"/>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4E6-454F-AFBB-850E361ACC1D}"/>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4E6-454F-AFBB-850E361ACC1D}"/>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105</c:v>
                </c:pt>
                <c:pt idx="1">
                  <c:v>81</c:v>
                </c:pt>
                <c:pt idx="2">
                  <c:v>65</c:v>
                </c:pt>
                <c:pt idx="3">
                  <c:v>43</c:v>
                </c:pt>
              </c:numCache>
            </c:numRef>
          </c:val>
          <c:extLst>
            <c:ext xmlns:c16="http://schemas.microsoft.com/office/drawing/2014/chart" uri="{C3380CC4-5D6E-409C-BE32-E72D297353CC}">
              <c16:uniqueId val="{00000004-B4E6-454F-AFBB-850E361ACC1D}"/>
            </c:ext>
          </c:extLst>
        </c:ser>
        <c:ser>
          <c:idx val="1"/>
          <c:order val="1"/>
          <c:tx>
            <c:strRef>
              <c:f>Feuil1!$C$1</c:f>
              <c:strCache>
                <c:ptCount val="1"/>
                <c:pt idx="0">
                  <c:v>Cible PNDS 2011-20</c:v>
                </c:pt>
              </c:strCache>
            </c:strRef>
          </c:tx>
          <c:invertIfNegative val="0"/>
          <c:dLbls>
            <c:dLbl>
              <c:idx val="3"/>
              <c:layout>
                <c:manualLayout>
                  <c:x val="1.0100744982634739E-2"/>
                  <c:y val="4.55284552845527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4E6-454F-AFBB-850E361ACC1D}"/>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34</c:v>
                </c:pt>
              </c:numCache>
            </c:numRef>
          </c:val>
          <c:extLst>
            <c:ext xmlns:c16="http://schemas.microsoft.com/office/drawing/2014/chart" uri="{C3380CC4-5D6E-409C-BE32-E72D297353CC}">
              <c16:uniqueId val="{00000006-B4E6-454F-AFBB-850E361ACC1D}"/>
            </c:ext>
          </c:extLst>
        </c:ser>
        <c:ser>
          <c:idx val="2"/>
          <c:order val="2"/>
          <c:tx>
            <c:strRef>
              <c:f>Feuil1!$D$1</c:f>
              <c:strCache>
                <c:ptCount val="1"/>
                <c:pt idx="0">
                  <c:v>Cible OMD</c:v>
                </c:pt>
              </c:strCache>
            </c:strRef>
          </c:tx>
          <c:invertIfNegative val="0"/>
          <c:dLbls>
            <c:dLbl>
              <c:idx val="3"/>
              <c:layout>
                <c:manualLayout>
                  <c:x val="1.0101010101010105E-2"/>
                  <c:y val="-1.30081300813008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4E6-454F-AFBB-850E361ACC1D}"/>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Feuil1!$D$2:$D$5</c:f>
              <c:numCache>
                <c:formatCode>General</c:formatCode>
                <c:ptCount val="4"/>
                <c:pt idx="3">
                  <c:v>36</c:v>
                </c:pt>
              </c:numCache>
            </c:numRef>
          </c:val>
          <c:extLst>
            <c:ext xmlns:c16="http://schemas.microsoft.com/office/drawing/2014/chart" uri="{C3380CC4-5D6E-409C-BE32-E72D297353CC}">
              <c16:uniqueId val="{00000008-B4E6-454F-AFBB-850E361ACC1D}"/>
            </c:ext>
          </c:extLst>
        </c:ser>
        <c:ser>
          <c:idx val="3"/>
          <c:order val="3"/>
          <c:tx>
            <c:strRef>
              <c:f>Feuil1!$E$1</c:f>
              <c:strCache>
                <c:ptCount val="1"/>
                <c:pt idx="0">
                  <c:v>Cible SCADD</c:v>
                </c:pt>
              </c:strCache>
            </c:strRef>
          </c:tx>
          <c:invertIfNegative val="0"/>
          <c:dLbls>
            <c:dLbl>
              <c:idx val="3"/>
              <c:layout>
                <c:manualLayout>
                  <c:x val="1.6835016835016835E-2"/>
                  <c:y val="4.552845528455274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B4E6-454F-AFBB-850E361ACC1D}"/>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Feuil1!$E$2:$E$5</c:f>
              <c:numCache>
                <c:formatCode>General</c:formatCode>
                <c:ptCount val="4"/>
                <c:pt idx="3">
                  <c:v>34</c:v>
                </c:pt>
              </c:numCache>
            </c:numRef>
          </c:val>
          <c:extLst>
            <c:ext xmlns:c16="http://schemas.microsoft.com/office/drawing/2014/chart" uri="{C3380CC4-5D6E-409C-BE32-E72D297353CC}">
              <c16:uniqueId val="{0000000A-B4E6-454F-AFBB-850E361ACC1D}"/>
            </c:ext>
          </c:extLst>
        </c:ser>
        <c:dLbls>
          <c:showLegendKey val="0"/>
          <c:showVal val="0"/>
          <c:showCatName val="0"/>
          <c:showSerName val="0"/>
          <c:showPercent val="0"/>
          <c:showBubbleSize val="0"/>
        </c:dLbls>
        <c:gapWidth val="150"/>
        <c:axId val="187716352"/>
        <c:axId val="187717888"/>
      </c:barChart>
      <c:catAx>
        <c:axId val="187716352"/>
        <c:scaling>
          <c:orientation val="minMax"/>
        </c:scaling>
        <c:delete val="0"/>
        <c:axPos val="b"/>
        <c:numFmt formatCode="General" sourceLinked="0"/>
        <c:majorTickMark val="out"/>
        <c:minorTickMark val="none"/>
        <c:tickLblPos val="nextTo"/>
        <c:txPr>
          <a:bodyPr/>
          <a:lstStyle/>
          <a:p>
            <a:pPr>
              <a:defRPr sz="800" b="1"/>
            </a:pPr>
            <a:endParaRPr lang="fr-FR"/>
          </a:p>
        </c:txPr>
        <c:crossAx val="187717888"/>
        <c:crosses val="autoZero"/>
        <c:auto val="1"/>
        <c:lblAlgn val="ctr"/>
        <c:lblOffset val="100"/>
        <c:noMultiLvlLbl val="0"/>
      </c:catAx>
      <c:valAx>
        <c:axId val="187717888"/>
        <c:scaling>
          <c:orientation val="minMax"/>
        </c:scaling>
        <c:delete val="0"/>
        <c:axPos val="l"/>
        <c:majorGridlines/>
        <c:numFmt formatCode="General" sourceLinked="1"/>
        <c:majorTickMark val="out"/>
        <c:minorTickMark val="none"/>
        <c:tickLblPos val="nextTo"/>
        <c:crossAx val="187716352"/>
        <c:crosses val="autoZero"/>
        <c:crossBetween val="between"/>
      </c:valAx>
    </c:plotArea>
    <c:legend>
      <c:legendPos val="r"/>
      <c:layout>
        <c:manualLayout>
          <c:xMode val="edge"/>
          <c:yMode val="edge"/>
          <c:x val="0.78826066096576608"/>
          <c:y val="3.5337046283848809E-3"/>
          <c:w val="0.1949045616609752"/>
          <c:h val="0.92839168180900467"/>
        </c:manualLayout>
      </c:layout>
      <c:overlay val="0"/>
      <c:txPr>
        <a:bodyPr/>
        <a:lstStyle/>
        <a:p>
          <a:pPr>
            <a:defRPr sz="800"/>
          </a:pPr>
          <a:endParaRPr lang="fr-FR"/>
        </a:p>
      </c:txPr>
    </c:legend>
    <c:plotVisOnly val="1"/>
    <c:dispBlanksAs val="gap"/>
    <c:showDLblsOverMax val="0"/>
  </c:chart>
  <c:spPr>
    <a:solidFill>
      <a:schemeClr val="accent1">
        <a:lumMod val="20000"/>
        <a:lumOff val="80000"/>
      </a:schemeClr>
    </a:solidFill>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Feuil1!$B$1</c:f>
              <c:strCache>
                <c:ptCount val="1"/>
                <c:pt idx="0">
                  <c:v>Taux de mortalité juvénile (/1000)</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127</c:v>
                </c:pt>
                <c:pt idx="1">
                  <c:v>111</c:v>
                </c:pt>
                <c:pt idx="2">
                  <c:v>68</c:v>
                </c:pt>
                <c:pt idx="3">
                  <c:v>41</c:v>
                </c:pt>
              </c:numCache>
            </c:numRef>
          </c:val>
          <c:extLst>
            <c:ext xmlns:c16="http://schemas.microsoft.com/office/drawing/2014/chart" uri="{C3380CC4-5D6E-409C-BE32-E72D297353CC}">
              <c16:uniqueId val="{00000000-63B4-406C-B5D5-29D764273944}"/>
            </c:ext>
          </c:extLst>
        </c:ser>
        <c:ser>
          <c:idx val="1"/>
          <c:order val="1"/>
          <c:tx>
            <c:strRef>
              <c:f>Feuil1!$C$1</c:f>
              <c:strCache>
                <c:ptCount val="1"/>
                <c:pt idx="0">
                  <c:v>Cible PNDS 2011-20</c:v>
                </c:pt>
              </c:strCache>
            </c:strRef>
          </c:tx>
          <c:invertIfNegative val="0"/>
          <c:dLbls>
            <c:dLbl>
              <c:idx val="3"/>
              <c:layout>
                <c:manualLayout>
                  <c:x val="1.0230179028133035E-2"/>
                  <c:y val="1.062416998671980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3B4-406C-B5D5-29D764273944}"/>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34</c:v>
                </c:pt>
              </c:numCache>
            </c:numRef>
          </c:val>
          <c:extLst>
            <c:ext xmlns:c16="http://schemas.microsoft.com/office/drawing/2014/chart" uri="{C3380CC4-5D6E-409C-BE32-E72D297353CC}">
              <c16:uniqueId val="{00000002-63B4-406C-B5D5-29D764273944}"/>
            </c:ext>
          </c:extLst>
        </c:ser>
        <c:dLbls>
          <c:showLegendKey val="0"/>
          <c:showVal val="0"/>
          <c:showCatName val="0"/>
          <c:showSerName val="0"/>
          <c:showPercent val="0"/>
          <c:showBubbleSize val="0"/>
        </c:dLbls>
        <c:gapWidth val="150"/>
        <c:axId val="187793792"/>
        <c:axId val="187795328"/>
      </c:barChart>
      <c:catAx>
        <c:axId val="187793792"/>
        <c:scaling>
          <c:orientation val="minMax"/>
        </c:scaling>
        <c:delete val="0"/>
        <c:axPos val="b"/>
        <c:numFmt formatCode="General" sourceLinked="0"/>
        <c:majorTickMark val="out"/>
        <c:minorTickMark val="none"/>
        <c:tickLblPos val="nextTo"/>
        <c:crossAx val="187795328"/>
        <c:crosses val="autoZero"/>
        <c:auto val="1"/>
        <c:lblAlgn val="ctr"/>
        <c:lblOffset val="100"/>
        <c:noMultiLvlLbl val="0"/>
      </c:catAx>
      <c:valAx>
        <c:axId val="187795328"/>
        <c:scaling>
          <c:orientation val="minMax"/>
        </c:scaling>
        <c:delete val="0"/>
        <c:axPos val="l"/>
        <c:majorGridlines/>
        <c:numFmt formatCode="General" sourceLinked="1"/>
        <c:majorTickMark val="out"/>
        <c:minorTickMark val="none"/>
        <c:tickLblPos val="nextTo"/>
        <c:crossAx val="187793792"/>
        <c:crosses val="autoZero"/>
        <c:crossBetween val="between"/>
      </c:valAx>
    </c:plotArea>
    <c:legend>
      <c:legendPos val="r"/>
      <c:overlay val="0"/>
    </c:legend>
    <c:plotVisOnly val="1"/>
    <c:dispBlanksAs val="gap"/>
    <c:showDLblsOverMax val="0"/>
  </c:chart>
  <c:spPr>
    <a:solidFill>
      <a:schemeClr val="accent1">
        <a:lumMod val="20000"/>
        <a:lumOff val="80000"/>
      </a:schemeClr>
    </a:solidFill>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36600755329526"/>
          <c:y val="3.4044740223371762E-2"/>
          <c:w val="0.58563486297380052"/>
          <c:h val="0.77589474955798043"/>
        </c:manualLayout>
      </c:layout>
      <c:barChart>
        <c:barDir val="col"/>
        <c:grouping val="clustered"/>
        <c:varyColors val="0"/>
        <c:ser>
          <c:idx val="0"/>
          <c:order val="0"/>
          <c:tx>
            <c:strRef>
              <c:f>Feuil1!$B$1</c:f>
              <c:strCache>
                <c:ptCount val="1"/>
                <c:pt idx="0">
                  <c:v>Mortalité &lt; 5 ans</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Feuil1!$B$2:$B$5</c:f>
              <c:numCache>
                <c:formatCode>General</c:formatCode>
                <c:ptCount val="4"/>
                <c:pt idx="0">
                  <c:v>219</c:v>
                </c:pt>
                <c:pt idx="1">
                  <c:v>184</c:v>
                </c:pt>
                <c:pt idx="2">
                  <c:v>129</c:v>
                </c:pt>
                <c:pt idx="3">
                  <c:v>82</c:v>
                </c:pt>
              </c:numCache>
            </c:numRef>
          </c:val>
          <c:extLst>
            <c:ext xmlns:c16="http://schemas.microsoft.com/office/drawing/2014/chart" uri="{C3380CC4-5D6E-409C-BE32-E72D297353CC}">
              <c16:uniqueId val="{00000000-71E1-424A-A928-50752F318A3F}"/>
            </c:ext>
          </c:extLst>
        </c:ser>
        <c:ser>
          <c:idx val="1"/>
          <c:order val="1"/>
          <c:tx>
            <c:strRef>
              <c:f>Feuil1!$C$1</c:f>
              <c:strCache>
                <c:ptCount val="1"/>
                <c:pt idx="0">
                  <c:v>Cible PNDS 2011-20</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Feuil1!$C$2:$C$5</c:f>
              <c:numCache>
                <c:formatCode>General</c:formatCode>
                <c:ptCount val="4"/>
                <c:pt idx="3">
                  <c:v>65</c:v>
                </c:pt>
              </c:numCache>
            </c:numRef>
          </c:val>
          <c:extLst>
            <c:ext xmlns:c16="http://schemas.microsoft.com/office/drawing/2014/chart" uri="{C3380CC4-5D6E-409C-BE32-E72D297353CC}">
              <c16:uniqueId val="{00000001-71E1-424A-A928-50752F318A3F}"/>
            </c:ext>
          </c:extLst>
        </c:ser>
        <c:ser>
          <c:idx val="2"/>
          <c:order val="2"/>
          <c:tx>
            <c:strRef>
              <c:f>Feuil1!$D$1</c:f>
              <c:strCache>
                <c:ptCount val="1"/>
                <c:pt idx="0">
                  <c:v>Cible OMD</c:v>
                </c:pt>
              </c:strCache>
            </c:strRef>
          </c:tx>
          <c:invertIfNegative val="0"/>
          <c:dLbls>
            <c:dLbl>
              <c:idx val="3"/>
              <c:layout>
                <c:manualLayout>
                  <c:x val="6.6500415627597734E-3"/>
                  <c:y val="3.3472803347280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1E1-424A-A928-50752F318A3F}"/>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Feuil1!$D$2:$D$5</c:f>
              <c:numCache>
                <c:formatCode>General</c:formatCode>
                <c:ptCount val="4"/>
                <c:pt idx="3">
                  <c:v>62</c:v>
                </c:pt>
              </c:numCache>
            </c:numRef>
          </c:val>
          <c:extLst>
            <c:ext xmlns:c16="http://schemas.microsoft.com/office/drawing/2014/chart" uri="{C3380CC4-5D6E-409C-BE32-E72D297353CC}">
              <c16:uniqueId val="{00000003-71E1-424A-A928-50752F318A3F}"/>
            </c:ext>
          </c:extLst>
        </c:ser>
        <c:ser>
          <c:idx val="3"/>
          <c:order val="3"/>
          <c:tx>
            <c:strRef>
              <c:f>Feuil1!$E$1</c:f>
              <c:strCache>
                <c:ptCount val="1"/>
                <c:pt idx="0">
                  <c:v>Cible SCADD</c:v>
                </c:pt>
              </c:strCache>
            </c:strRef>
          </c:tx>
          <c:invertIfNegative val="0"/>
          <c:dLbls>
            <c:dLbl>
              <c:idx val="3"/>
              <c:layout>
                <c:manualLayout>
                  <c:x val="1.3300083125519559E-2"/>
                  <c:y val="3.3472803347280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1E1-424A-A928-50752F318A3F}"/>
                </c:ext>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Feuil1!$E$2:$E$5</c:f>
              <c:numCache>
                <c:formatCode>General</c:formatCode>
                <c:ptCount val="4"/>
                <c:pt idx="3">
                  <c:v>53</c:v>
                </c:pt>
              </c:numCache>
            </c:numRef>
          </c:val>
          <c:extLst>
            <c:ext xmlns:c16="http://schemas.microsoft.com/office/drawing/2014/chart" uri="{C3380CC4-5D6E-409C-BE32-E72D297353CC}">
              <c16:uniqueId val="{00000005-71E1-424A-A928-50752F318A3F}"/>
            </c:ext>
          </c:extLst>
        </c:ser>
        <c:dLbls>
          <c:showLegendKey val="0"/>
          <c:showVal val="0"/>
          <c:showCatName val="0"/>
          <c:showSerName val="0"/>
          <c:showPercent val="0"/>
          <c:showBubbleSize val="0"/>
        </c:dLbls>
        <c:gapWidth val="150"/>
        <c:axId val="187670528"/>
        <c:axId val="187672064"/>
      </c:barChart>
      <c:catAx>
        <c:axId val="187670528"/>
        <c:scaling>
          <c:orientation val="minMax"/>
        </c:scaling>
        <c:delete val="0"/>
        <c:axPos val="b"/>
        <c:numFmt formatCode="General" sourceLinked="0"/>
        <c:majorTickMark val="out"/>
        <c:minorTickMark val="none"/>
        <c:tickLblPos val="nextTo"/>
        <c:txPr>
          <a:bodyPr/>
          <a:lstStyle/>
          <a:p>
            <a:pPr>
              <a:defRPr sz="800" b="1"/>
            </a:pPr>
            <a:endParaRPr lang="fr-FR"/>
          </a:p>
        </c:txPr>
        <c:crossAx val="187672064"/>
        <c:crosses val="autoZero"/>
        <c:auto val="1"/>
        <c:lblAlgn val="ctr"/>
        <c:lblOffset val="100"/>
        <c:noMultiLvlLbl val="0"/>
      </c:catAx>
      <c:valAx>
        <c:axId val="187672064"/>
        <c:scaling>
          <c:orientation val="minMax"/>
        </c:scaling>
        <c:delete val="0"/>
        <c:axPos val="l"/>
        <c:majorGridlines/>
        <c:numFmt formatCode="General" sourceLinked="1"/>
        <c:majorTickMark val="out"/>
        <c:minorTickMark val="none"/>
        <c:tickLblPos val="nextTo"/>
        <c:txPr>
          <a:bodyPr/>
          <a:lstStyle/>
          <a:p>
            <a:pPr>
              <a:defRPr b="1"/>
            </a:pPr>
            <a:endParaRPr lang="fr-FR"/>
          </a:p>
        </c:txPr>
        <c:crossAx val="187670528"/>
        <c:crosses val="autoZero"/>
        <c:crossBetween val="between"/>
      </c:valAx>
    </c:plotArea>
    <c:legend>
      <c:legendPos val="r"/>
      <c:layout>
        <c:manualLayout>
          <c:xMode val="edge"/>
          <c:yMode val="edge"/>
          <c:x val="0.72424862497283382"/>
          <c:y val="8.0212207516613579E-2"/>
          <c:w val="0.24949295350820017"/>
          <c:h val="0.44227173730943242"/>
        </c:manualLayout>
      </c:layout>
      <c:overlay val="0"/>
      <c:txPr>
        <a:bodyPr/>
        <a:lstStyle/>
        <a:p>
          <a:pPr>
            <a:defRPr b="1"/>
          </a:pPr>
          <a:endParaRPr lang="fr-FR"/>
        </a:p>
      </c:txPr>
    </c:legend>
    <c:plotVisOnly val="1"/>
    <c:dispBlanksAs val="gap"/>
    <c:showDLblsOverMax val="0"/>
  </c:chart>
  <c:spPr>
    <a:solidFill>
      <a:schemeClr val="accent1">
        <a:lumMod val="20000"/>
        <a:lumOff val="80000"/>
      </a:schemeClr>
    </a:solidFill>
    <a:ln w="9525"/>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r>
              <a:rPr lang="en-US" sz="900">
                <a:solidFill>
                  <a:sysClr val="windowText" lastClr="000000"/>
                </a:solidFill>
              </a:rPr>
              <a:t>Disparités</a:t>
            </a:r>
            <a:r>
              <a:rPr lang="en-US" sz="900" baseline="0">
                <a:solidFill>
                  <a:sysClr val="windowText" lastClr="000000"/>
                </a:solidFill>
              </a:rPr>
              <a:t> en matière de mortalité (</a:t>
            </a:r>
            <a:r>
              <a:rPr lang="fr-FR" sz="900" b="1" i="0" u="none" strike="noStrike" baseline="0">
                <a:effectLst/>
              </a:rPr>
              <a:t>‰) </a:t>
            </a:r>
            <a:r>
              <a:rPr lang="en-US" sz="900" baseline="0">
                <a:solidFill>
                  <a:sysClr val="windowText" lastClr="000000"/>
                </a:solidFill>
              </a:rPr>
              <a:t>de enfants de moins de 5 ans (EDS, 2010)</a:t>
            </a:r>
            <a:r>
              <a:rPr lang="en-US" sz="900">
                <a:solidFill>
                  <a:sysClr val="windowText" lastClr="000000"/>
                </a:solidFill>
              </a:rPr>
              <a:t> </a:t>
            </a:r>
          </a:p>
        </c:rich>
      </c:tx>
      <c:overlay val="0"/>
      <c:spPr>
        <a:noFill/>
        <a:ln>
          <a:solidFill>
            <a:schemeClr val="bg1"/>
          </a:solidFill>
        </a:ln>
        <a:effectLst/>
      </c:spPr>
    </c:title>
    <c:autoTitleDeleted val="0"/>
    <c:plotArea>
      <c:layout>
        <c:manualLayout>
          <c:layoutTarget val="inner"/>
          <c:xMode val="edge"/>
          <c:yMode val="edge"/>
          <c:x val="0.36124070777747552"/>
          <c:y val="0.23155844649853558"/>
          <c:w val="0.5822327678993896"/>
          <c:h val="0.64045093673635622"/>
        </c:manualLayout>
      </c:layout>
      <c:barChart>
        <c:barDir val="bar"/>
        <c:grouping val="clustered"/>
        <c:varyColors val="0"/>
        <c:ser>
          <c:idx val="0"/>
          <c:order val="0"/>
          <c:spPr>
            <a:solidFill>
              <a:schemeClr val="accent1">
                <a:alpha val="85000"/>
              </a:schemeClr>
            </a:solidFill>
            <a:ln w="9525" cap="flat" cmpd="sng" algn="ctr">
              <a:solidFill>
                <a:schemeClr val="lt1">
                  <a:alpha val="50000"/>
                </a:schemeClr>
              </a:solidFill>
              <a:round/>
            </a:ln>
            <a:effectLst/>
          </c:spPr>
          <c:invertIfNegative val="0"/>
          <c:dPt>
            <c:idx val="2"/>
            <c:invertIfNegative val="0"/>
            <c:bubble3D val="0"/>
            <c:spPr>
              <a:solidFill>
                <a:schemeClr val="accent2">
                  <a:lumMod val="60000"/>
                  <a:lumOff val="40000"/>
                </a:schemeClr>
              </a:solidFill>
              <a:ln w="9525" cap="flat" cmpd="sng" algn="ctr">
                <a:solidFill>
                  <a:schemeClr val="lt1">
                    <a:alpha val="50000"/>
                  </a:schemeClr>
                </a:solidFill>
                <a:round/>
              </a:ln>
              <a:effectLst/>
            </c:spPr>
            <c:extLst>
              <c:ext xmlns:c16="http://schemas.microsoft.com/office/drawing/2014/chart" uri="{C3380CC4-5D6E-409C-BE32-E72D297353CC}">
                <c16:uniqueId val="{00000001-7309-49AA-A686-B2D4F70686C3}"/>
              </c:ext>
            </c:extLst>
          </c:dPt>
          <c:dPt>
            <c:idx val="4"/>
            <c:invertIfNegative val="0"/>
            <c:bubble3D val="0"/>
            <c:spPr>
              <a:solidFill>
                <a:schemeClr val="accent2">
                  <a:lumMod val="60000"/>
                  <a:lumOff val="40000"/>
                </a:schemeClr>
              </a:solidFill>
              <a:ln w="9525" cap="flat" cmpd="sng" algn="ctr">
                <a:solidFill>
                  <a:schemeClr val="lt1">
                    <a:alpha val="50000"/>
                  </a:schemeClr>
                </a:solidFill>
                <a:round/>
              </a:ln>
              <a:effectLst/>
            </c:spPr>
            <c:extLst>
              <c:ext xmlns:c16="http://schemas.microsoft.com/office/drawing/2014/chart" uri="{C3380CC4-5D6E-409C-BE32-E72D297353CC}">
                <c16:uniqueId val="{00000003-7309-49AA-A686-B2D4F70686C3}"/>
              </c:ext>
            </c:extLst>
          </c:dPt>
          <c:dPt>
            <c:idx val="6"/>
            <c:invertIfNegative val="0"/>
            <c:bubble3D val="0"/>
            <c:spPr>
              <a:solidFill>
                <a:schemeClr val="accent2">
                  <a:lumMod val="60000"/>
                  <a:lumOff val="40000"/>
                </a:schemeClr>
              </a:solidFill>
              <a:ln w="9525" cap="flat" cmpd="sng" algn="ctr">
                <a:solidFill>
                  <a:schemeClr val="lt1">
                    <a:alpha val="50000"/>
                  </a:schemeClr>
                </a:solidFill>
                <a:round/>
              </a:ln>
              <a:effectLst/>
            </c:spPr>
            <c:extLst>
              <c:ext xmlns:c16="http://schemas.microsoft.com/office/drawing/2014/chart" uri="{C3380CC4-5D6E-409C-BE32-E72D297353CC}">
                <c16:uniqueId val="{00000005-7309-49AA-A686-B2D4F70686C3}"/>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mn-lt"/>
                    <a:ea typeface="+mn-ea"/>
                    <a:cs typeface="+mn-cs"/>
                  </a:defRPr>
                </a:pPr>
                <a:endParaRPr lang="fr-F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Sheet1!$A$12:$A$18</c:f>
              <c:strCache>
                <c:ptCount val="7"/>
                <c:pt idx="0">
                  <c:v>Ensemble</c:v>
                </c:pt>
                <c:pt idx="1">
                  <c:v>Urbain</c:v>
                </c:pt>
                <c:pt idx="2">
                  <c:v>Rural</c:v>
                </c:pt>
                <c:pt idx="3">
                  <c:v>Q5</c:v>
                </c:pt>
                <c:pt idx="4">
                  <c:v>Q1</c:v>
                </c:pt>
                <c:pt idx="5">
                  <c:v>&lt;20 ans</c:v>
                </c:pt>
                <c:pt idx="6">
                  <c:v>intervalle intergénésique&lt;24 mois</c:v>
                </c:pt>
              </c:strCache>
            </c:strRef>
          </c:cat>
          <c:val>
            <c:numRef>
              <c:f>Sheet1!$B$12:$B$18</c:f>
              <c:numCache>
                <c:formatCode>General</c:formatCode>
                <c:ptCount val="7"/>
                <c:pt idx="0">
                  <c:v>129</c:v>
                </c:pt>
                <c:pt idx="1">
                  <c:v>104</c:v>
                </c:pt>
                <c:pt idx="2">
                  <c:v>156</c:v>
                </c:pt>
                <c:pt idx="3">
                  <c:v>97</c:v>
                </c:pt>
                <c:pt idx="4">
                  <c:v>175</c:v>
                </c:pt>
                <c:pt idx="5">
                  <c:v>179</c:v>
                </c:pt>
                <c:pt idx="6">
                  <c:v>238</c:v>
                </c:pt>
              </c:numCache>
            </c:numRef>
          </c:val>
          <c:extLst>
            <c:ext xmlns:c16="http://schemas.microsoft.com/office/drawing/2014/chart" uri="{C3380CC4-5D6E-409C-BE32-E72D297353CC}">
              <c16:uniqueId val="{00000006-7309-49AA-A686-B2D4F70686C3}"/>
            </c:ext>
          </c:extLst>
        </c:ser>
        <c:dLbls>
          <c:showLegendKey val="0"/>
          <c:showVal val="1"/>
          <c:showCatName val="0"/>
          <c:showSerName val="0"/>
          <c:showPercent val="0"/>
          <c:showBubbleSize val="0"/>
        </c:dLbls>
        <c:gapWidth val="65"/>
        <c:axId val="171068800"/>
        <c:axId val="171070592"/>
      </c:barChart>
      <c:catAx>
        <c:axId val="17106880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700" b="0" i="0" u="none" strike="noStrike" kern="1200" cap="none" baseline="0">
                <a:solidFill>
                  <a:sysClr val="windowText" lastClr="000000"/>
                </a:solidFill>
                <a:latin typeface="+mn-lt"/>
                <a:ea typeface="+mn-ea"/>
                <a:cs typeface="+mn-cs"/>
              </a:defRPr>
            </a:pPr>
            <a:endParaRPr lang="fr-FR"/>
          </a:p>
        </c:txPr>
        <c:crossAx val="171070592"/>
        <c:crosses val="autoZero"/>
        <c:auto val="1"/>
        <c:lblAlgn val="ctr"/>
        <c:lblOffset val="100"/>
        <c:noMultiLvlLbl val="0"/>
      </c:catAx>
      <c:valAx>
        <c:axId val="171070592"/>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fr-FR"/>
          </a:p>
        </c:txPr>
        <c:crossAx val="171068800"/>
        <c:crosses val="autoZero"/>
        <c:crossBetween val="between"/>
      </c:valAx>
      <c:spPr>
        <a:solidFill>
          <a:schemeClr val="bg1"/>
        </a:solid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fr-F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1" i="0" u="none" strike="noStrike" kern="1200" baseline="0">
                <a:solidFill>
                  <a:sysClr val="windowText" lastClr="000000"/>
                </a:solidFill>
                <a:latin typeface="+mn-lt"/>
                <a:ea typeface="+mn-ea"/>
                <a:cs typeface="+mn-cs"/>
              </a:defRPr>
            </a:pPr>
            <a:r>
              <a:rPr lang="en-US" sz="900">
                <a:solidFill>
                  <a:sysClr val="windowText" lastClr="000000"/>
                </a:solidFill>
              </a:rPr>
              <a:t>Principales raisons (%) de la non-utilisation des services de santé (EMC, 2014)</a:t>
            </a:r>
          </a:p>
        </c:rich>
      </c:tx>
      <c:layout>
        <c:manualLayout>
          <c:xMode val="edge"/>
          <c:yMode val="edge"/>
          <c:x val="0.10199517649638244"/>
          <c:y val="2.4709661477637763E-2"/>
        </c:manualLayout>
      </c:layout>
      <c:overlay val="0"/>
      <c:spPr>
        <a:noFill/>
        <a:ln>
          <a:noFill/>
        </a:ln>
        <a:effectLst/>
      </c:spPr>
    </c:title>
    <c:autoTitleDeleted val="0"/>
    <c:plotArea>
      <c:layout/>
      <c:barChart>
        <c:barDir val="bar"/>
        <c:grouping val="clustered"/>
        <c:varyColors val="0"/>
        <c:ser>
          <c:idx val="0"/>
          <c:order val="0"/>
          <c:tx>
            <c:strRef>
              <c:f>Sheet1!$B$49</c:f>
              <c:strCache>
                <c:ptCount val="1"/>
                <c:pt idx="0">
                  <c:v>Ensemble</c:v>
                </c:pt>
              </c:strCache>
            </c:strRef>
          </c:tx>
          <c:spPr>
            <a:solidFill>
              <a:schemeClr val="accent1">
                <a:alpha val="85000"/>
              </a:schemeClr>
            </a:solidFill>
            <a:ln w="9525" cap="flat" cmpd="sng" algn="ctr">
              <a:solidFill>
                <a:schemeClr val="lt1">
                  <a:alpha val="50000"/>
                </a:schemeClr>
              </a:solidFill>
              <a:round/>
            </a:ln>
            <a:effectLst/>
          </c:spPr>
          <c:invertIfNegative val="0"/>
          <c:dPt>
            <c:idx val="8"/>
            <c:invertIfNegative val="0"/>
            <c:bubble3D val="0"/>
            <c:spPr>
              <a:solidFill>
                <a:srgbClr val="ED7D31">
                  <a:lumMod val="60000"/>
                  <a:lumOff val="40000"/>
                </a:srgbClr>
              </a:solidFill>
              <a:ln w="9525" cap="flat" cmpd="sng" algn="ctr">
                <a:solidFill>
                  <a:schemeClr val="lt1">
                    <a:alpha val="50000"/>
                  </a:schemeClr>
                </a:solidFill>
                <a:round/>
              </a:ln>
              <a:effectLst/>
            </c:spPr>
            <c:extLst>
              <c:ext xmlns:c16="http://schemas.microsoft.com/office/drawing/2014/chart" uri="{C3380CC4-5D6E-409C-BE32-E72D297353CC}">
                <c16:uniqueId val="{00000001-75C5-4FEF-BDDE-2B54FFD34482}"/>
              </c:ext>
            </c:extLst>
          </c:dPt>
          <c:dLbls>
            <c:spPr>
              <a:noFill/>
              <a:ln>
                <a:noFill/>
              </a:ln>
              <a:effectLst/>
            </c:spPr>
            <c:txPr>
              <a:bodyPr rot="0" spcFirstLastPara="1" vertOverflow="ellipsis" vert="horz" wrap="square" lIns="38100" tIns="19050" rIns="38100" bIns="19050" anchor="ctr" anchorCtr="1">
                <a:spAutoFit/>
              </a:bodyPr>
              <a:lstStyle/>
              <a:p>
                <a:pPr>
                  <a:defRPr sz="800" b="1" i="0" u="none" strike="noStrike" kern="1200" baseline="0">
                    <a:solidFill>
                      <a:sysClr val="windowText" lastClr="000000"/>
                    </a:solidFill>
                    <a:latin typeface="+mn-lt"/>
                    <a:ea typeface="+mn-ea"/>
                    <a:cs typeface="+mn-cs"/>
                  </a:defRPr>
                </a:pPr>
                <a:endParaRPr lang="fr-F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Sheet1!$A$50:$A$58</c:f>
              <c:strCache>
                <c:ptCount val="9"/>
                <c:pt idx="0">
                  <c:v>Refus membre famille</c:v>
                </c:pt>
                <c:pt idx="1">
                  <c:v>Peur du résultat</c:v>
                </c:pt>
                <c:pt idx="2">
                  <c:v>Pas de temps/trop occupé</c:v>
                </c:pt>
                <c:pt idx="3">
                  <c:v>Trop cher</c:v>
                </c:pt>
                <c:pt idx="4">
                  <c:v>Trop éloigné</c:v>
                </c:pt>
                <c:pt idx="5">
                  <c:v>Autre</c:v>
                </c:pt>
                <c:pt idx="6">
                  <c:v>Pas nécessaire</c:v>
                </c:pt>
                <c:pt idx="7">
                  <c:v>Manque d’argent</c:v>
                </c:pt>
                <c:pt idx="8">
                  <c:v>Automédication</c:v>
                </c:pt>
              </c:strCache>
            </c:strRef>
          </c:cat>
          <c:val>
            <c:numRef>
              <c:f>Sheet1!$B$50:$B$58</c:f>
              <c:numCache>
                <c:formatCode>0</c:formatCode>
                <c:ptCount val="9"/>
                <c:pt idx="0">
                  <c:v>0</c:v>
                </c:pt>
                <c:pt idx="1">
                  <c:v>0.1</c:v>
                </c:pt>
                <c:pt idx="2">
                  <c:v>0.55000000000000004</c:v>
                </c:pt>
                <c:pt idx="3">
                  <c:v>0.5</c:v>
                </c:pt>
                <c:pt idx="4">
                  <c:v>1</c:v>
                </c:pt>
                <c:pt idx="5">
                  <c:v>2.0499999999999998</c:v>
                </c:pt>
                <c:pt idx="6">
                  <c:v>11.850000000000005</c:v>
                </c:pt>
                <c:pt idx="7">
                  <c:v>8.8000000000000007</c:v>
                </c:pt>
                <c:pt idx="8">
                  <c:v>75.3</c:v>
                </c:pt>
              </c:numCache>
            </c:numRef>
          </c:val>
          <c:extLst>
            <c:ext xmlns:c16="http://schemas.microsoft.com/office/drawing/2014/chart" uri="{C3380CC4-5D6E-409C-BE32-E72D297353CC}">
              <c16:uniqueId val="{00000002-75C5-4FEF-BDDE-2B54FFD34482}"/>
            </c:ext>
          </c:extLst>
        </c:ser>
        <c:dLbls>
          <c:showLegendKey val="0"/>
          <c:showVal val="1"/>
          <c:showCatName val="0"/>
          <c:showSerName val="0"/>
          <c:showPercent val="0"/>
          <c:showBubbleSize val="0"/>
        </c:dLbls>
        <c:gapWidth val="65"/>
        <c:axId val="169485440"/>
        <c:axId val="169486976"/>
      </c:barChart>
      <c:catAx>
        <c:axId val="169485440"/>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800" b="0" i="0" u="none" strike="noStrike" kern="1200" cap="none" baseline="0">
                <a:solidFill>
                  <a:sysClr val="windowText" lastClr="000000"/>
                </a:solidFill>
                <a:latin typeface="+mn-lt"/>
                <a:ea typeface="+mn-ea"/>
                <a:cs typeface="+mn-cs"/>
              </a:defRPr>
            </a:pPr>
            <a:endParaRPr lang="fr-FR"/>
          </a:p>
        </c:txPr>
        <c:crossAx val="169486976"/>
        <c:crosses val="autoZero"/>
        <c:auto val="1"/>
        <c:lblAlgn val="ctr"/>
        <c:lblOffset val="100"/>
        <c:noMultiLvlLbl val="0"/>
      </c:catAx>
      <c:valAx>
        <c:axId val="169486976"/>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fr-FR"/>
          </a:p>
        </c:txPr>
        <c:crossAx val="169485440"/>
        <c:crosses val="autoZero"/>
        <c:crossBetween val="between"/>
      </c:valAx>
      <c:spPr>
        <a:noFill/>
        <a:ln>
          <a:noFill/>
        </a:ln>
        <a:effectLst/>
      </c:spPr>
    </c:plotArea>
    <c:plotVisOnly val="1"/>
    <c:dispBlanksAs val="gap"/>
    <c:showDLblsOverMax val="0"/>
  </c:chart>
  <c:spPr>
    <a:solidFill>
      <a:sysClr val="window" lastClr="FFFFFF"/>
    </a:solidFill>
    <a:ln w="9525" cap="flat" cmpd="sng" algn="ctr">
      <a:solidFill>
        <a:sysClr val="window" lastClr="FFFFFF"/>
      </a:solidFill>
      <a:round/>
    </a:ln>
    <a:effectLst/>
  </c:spPr>
  <c:txPr>
    <a:bodyPr/>
    <a:lstStyle/>
    <a:p>
      <a:pPr>
        <a:defRPr/>
      </a:pPr>
      <a:endParaRPr lang="fr-FR"/>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fr-FR" b="1"/>
              <a:t>Evolution de la malnutrition au</a:t>
            </a:r>
            <a:r>
              <a:rPr lang="fr-FR" b="1" baseline="0"/>
              <a:t> Burkina de 1999 à 2017</a:t>
            </a:r>
            <a:endParaRPr lang="fr-FR" b="1"/>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c:f>
              <c:strCache>
                <c:ptCount val="1"/>
                <c:pt idx="0">
                  <c:v>Malnutrition aigüe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1998-99</c:v>
                </c:pt>
                <c:pt idx="1">
                  <c:v>2003</c:v>
                </c:pt>
                <c:pt idx="2">
                  <c:v>2010</c:v>
                </c:pt>
                <c:pt idx="3">
                  <c:v>2015</c:v>
                </c:pt>
                <c:pt idx="4">
                  <c:v>2017</c:v>
                </c:pt>
              </c:strCache>
            </c:strRef>
          </c:cat>
          <c:val>
            <c:numRef>
              <c:f>Feuil1!$B$2:$B$6</c:f>
              <c:numCache>
                <c:formatCode>General</c:formatCode>
                <c:ptCount val="5"/>
                <c:pt idx="0">
                  <c:v>13</c:v>
                </c:pt>
                <c:pt idx="1">
                  <c:v>19</c:v>
                </c:pt>
                <c:pt idx="2">
                  <c:v>14</c:v>
                </c:pt>
                <c:pt idx="3">
                  <c:v>10</c:v>
                </c:pt>
                <c:pt idx="4">
                  <c:v>9</c:v>
                </c:pt>
              </c:numCache>
            </c:numRef>
          </c:val>
          <c:extLst>
            <c:ext xmlns:c16="http://schemas.microsoft.com/office/drawing/2014/chart" uri="{C3380CC4-5D6E-409C-BE32-E72D297353CC}">
              <c16:uniqueId val="{00000000-2781-4CF6-9581-AA6DE247749C}"/>
            </c:ext>
          </c:extLst>
        </c:ser>
        <c:ser>
          <c:idx val="1"/>
          <c:order val="1"/>
          <c:tx>
            <c:strRef>
              <c:f>Feuil1!$C$1</c:f>
              <c:strCache>
                <c:ptCount val="1"/>
                <c:pt idx="0">
                  <c:v>Malnutrition aigüe sévère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1998-99</c:v>
                </c:pt>
                <c:pt idx="1">
                  <c:v>2003</c:v>
                </c:pt>
                <c:pt idx="2">
                  <c:v>2010</c:v>
                </c:pt>
                <c:pt idx="3">
                  <c:v>2015</c:v>
                </c:pt>
                <c:pt idx="4">
                  <c:v>2017</c:v>
                </c:pt>
              </c:strCache>
            </c:strRef>
          </c:cat>
          <c:val>
            <c:numRef>
              <c:f>Feuil1!$C$2:$C$6</c:f>
              <c:numCache>
                <c:formatCode>General</c:formatCode>
                <c:ptCount val="5"/>
                <c:pt idx="0">
                  <c:v>3</c:v>
                </c:pt>
                <c:pt idx="1">
                  <c:v>5</c:v>
                </c:pt>
                <c:pt idx="2">
                  <c:v>6</c:v>
                </c:pt>
                <c:pt idx="4">
                  <c:v>2</c:v>
                </c:pt>
              </c:numCache>
            </c:numRef>
          </c:val>
          <c:extLst>
            <c:ext xmlns:c16="http://schemas.microsoft.com/office/drawing/2014/chart" uri="{C3380CC4-5D6E-409C-BE32-E72D297353CC}">
              <c16:uniqueId val="{00000001-2781-4CF6-9581-AA6DE247749C}"/>
            </c:ext>
          </c:extLst>
        </c:ser>
        <c:ser>
          <c:idx val="2"/>
          <c:order val="2"/>
          <c:tx>
            <c:strRef>
              <c:f>Feuil1!$D$1</c:f>
              <c:strCache>
                <c:ptCount val="1"/>
                <c:pt idx="0">
                  <c:v>Malnutrition chronique</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1998-99</c:v>
                </c:pt>
                <c:pt idx="1">
                  <c:v>2003</c:v>
                </c:pt>
                <c:pt idx="2">
                  <c:v>2010</c:v>
                </c:pt>
                <c:pt idx="3">
                  <c:v>2015</c:v>
                </c:pt>
                <c:pt idx="4">
                  <c:v>2017</c:v>
                </c:pt>
              </c:strCache>
            </c:strRef>
          </c:cat>
          <c:val>
            <c:numRef>
              <c:f>Feuil1!$D$2:$D$6</c:f>
              <c:numCache>
                <c:formatCode>General</c:formatCode>
                <c:ptCount val="5"/>
                <c:pt idx="0">
                  <c:v>37</c:v>
                </c:pt>
                <c:pt idx="1">
                  <c:v>39</c:v>
                </c:pt>
                <c:pt idx="2">
                  <c:v>35</c:v>
                </c:pt>
                <c:pt idx="3">
                  <c:v>29</c:v>
                </c:pt>
                <c:pt idx="4">
                  <c:v>21</c:v>
                </c:pt>
              </c:numCache>
            </c:numRef>
          </c:val>
          <c:extLst>
            <c:ext xmlns:c16="http://schemas.microsoft.com/office/drawing/2014/chart" uri="{C3380CC4-5D6E-409C-BE32-E72D297353CC}">
              <c16:uniqueId val="{00000002-2781-4CF6-9581-AA6DE247749C}"/>
            </c:ext>
          </c:extLst>
        </c:ser>
        <c:ser>
          <c:idx val="3"/>
          <c:order val="3"/>
          <c:tx>
            <c:strRef>
              <c:f>Feuil1!$E$1</c:f>
              <c:strCache>
                <c:ptCount val="1"/>
                <c:pt idx="0">
                  <c:v>Insufisance Pondérale</c:v>
                </c:pt>
              </c:strCache>
            </c:strRef>
          </c:tx>
          <c:spPr>
            <a:solidFill>
              <a:schemeClr val="accent4"/>
            </a:solidFill>
            <a:ln>
              <a:noFill/>
            </a:ln>
            <a:effectLst/>
          </c:spPr>
          <c:invertIfNegative val="0"/>
          <c:cat>
            <c:strRef>
              <c:f>Feuil1!$A$2:$A$6</c:f>
              <c:strCache>
                <c:ptCount val="5"/>
                <c:pt idx="0">
                  <c:v>1998-99</c:v>
                </c:pt>
                <c:pt idx="1">
                  <c:v>2003</c:v>
                </c:pt>
                <c:pt idx="2">
                  <c:v>2010</c:v>
                </c:pt>
                <c:pt idx="3">
                  <c:v>2015</c:v>
                </c:pt>
                <c:pt idx="4">
                  <c:v>2017</c:v>
                </c:pt>
              </c:strCache>
            </c:strRef>
          </c:cat>
          <c:val>
            <c:numRef>
              <c:f>Feuil1!$E$2:$E$6</c:f>
              <c:numCache>
                <c:formatCode>General</c:formatCode>
                <c:ptCount val="5"/>
                <c:pt idx="0">
                  <c:v>34</c:v>
                </c:pt>
                <c:pt idx="1">
                  <c:v>38</c:v>
                </c:pt>
                <c:pt idx="2">
                  <c:v>30</c:v>
                </c:pt>
                <c:pt idx="3">
                  <c:v>20</c:v>
                </c:pt>
                <c:pt idx="4">
                  <c:v>16</c:v>
                </c:pt>
              </c:numCache>
            </c:numRef>
          </c:val>
          <c:extLst>
            <c:ext xmlns:c16="http://schemas.microsoft.com/office/drawing/2014/chart" uri="{C3380CC4-5D6E-409C-BE32-E72D297353CC}">
              <c16:uniqueId val="{00000000-D12C-42D8-BCCC-63071712C138}"/>
            </c:ext>
          </c:extLst>
        </c:ser>
        <c:dLbls>
          <c:showLegendKey val="0"/>
          <c:showVal val="0"/>
          <c:showCatName val="0"/>
          <c:showSerName val="0"/>
          <c:showPercent val="0"/>
          <c:showBubbleSize val="0"/>
        </c:dLbls>
        <c:gapWidth val="219"/>
        <c:overlap val="-27"/>
        <c:axId val="420122888"/>
        <c:axId val="420123872"/>
      </c:barChart>
      <c:catAx>
        <c:axId val="4201228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20123872"/>
        <c:crosses val="autoZero"/>
        <c:auto val="1"/>
        <c:lblAlgn val="ctr"/>
        <c:lblOffset val="100"/>
        <c:noMultiLvlLbl val="0"/>
      </c:catAx>
      <c:valAx>
        <c:axId val="4201238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4201228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12700" cap="flat" cmpd="sng" algn="ctr">
      <a:solidFill>
        <a:schemeClr val="tx1"/>
      </a:solidFill>
      <a:round/>
    </a:ln>
    <a:effectLst/>
  </c:spPr>
  <c:txPr>
    <a:bodyPr/>
    <a:lstStyle/>
    <a:p>
      <a:pPr>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4779024496937893"/>
          <c:y val="1.2994313210848644E-2"/>
          <c:w val="0.67556386701662297"/>
          <c:h val="0.90275444736074661"/>
        </c:manualLayout>
      </c:layout>
      <c:barChart>
        <c:barDir val="bar"/>
        <c:grouping val="clustered"/>
        <c:varyColors val="0"/>
        <c:ser>
          <c:idx val="0"/>
          <c:order val="0"/>
          <c:spPr>
            <a:solidFill>
              <a:schemeClr val="accent1"/>
            </a:solidFill>
            <a:ln>
              <a:noFill/>
            </a:ln>
            <a:effectLst/>
          </c:spPr>
          <c:invertIfNegative val="0"/>
          <c:dPt>
            <c:idx val="13"/>
            <c:invertIfNegative val="0"/>
            <c:bubble3D val="0"/>
            <c:spPr>
              <a:solidFill>
                <a:schemeClr val="accent2"/>
              </a:solidFill>
              <a:ln>
                <a:noFill/>
              </a:ln>
              <a:effectLst/>
            </c:spPr>
            <c:extLst>
              <c:ext xmlns:c16="http://schemas.microsoft.com/office/drawing/2014/chart" uri="{C3380CC4-5D6E-409C-BE32-E72D297353CC}">
                <c16:uniqueId val="{00000001-8856-4FE2-BF3D-938835B8BCEC}"/>
              </c:ext>
            </c:extLst>
          </c:dPt>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Feuil5!$A$4:$A$17</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Feuil5!$B$4:$B$17</c:f>
              <c:numCache>
                <c:formatCode>_(* #,##0.00_);_(* \(#,##0.00\);_(* "-"??_);_(@_)</c:formatCode>
                <c:ptCount val="14"/>
                <c:pt idx="0">
                  <c:v>69.915744833826139</c:v>
                </c:pt>
                <c:pt idx="1">
                  <c:v>74.456147497802945</c:v>
                </c:pt>
                <c:pt idx="2">
                  <c:v>76.772008914524051</c:v>
                </c:pt>
                <c:pt idx="3">
                  <c:v>78.28601103444197</c:v>
                </c:pt>
                <c:pt idx="4">
                  <c:v>79.627157915787251</c:v>
                </c:pt>
                <c:pt idx="5">
                  <c:v>80.956273784778091</c:v>
                </c:pt>
                <c:pt idx="6">
                  <c:v>82.504688527204593</c:v>
                </c:pt>
                <c:pt idx="7">
                  <c:v>83.544886368121851</c:v>
                </c:pt>
                <c:pt idx="8">
                  <c:v>85.941461378423</c:v>
                </c:pt>
                <c:pt idx="9">
                  <c:v>88.861947170851238</c:v>
                </c:pt>
                <c:pt idx="10">
                  <c:v>90.66721946007118</c:v>
                </c:pt>
                <c:pt idx="11">
                  <c:v>97.749617101570095</c:v>
                </c:pt>
                <c:pt idx="12">
                  <c:v>98.751382941079953</c:v>
                </c:pt>
                <c:pt idx="13">
                  <c:v>83.946240156421155</c:v>
                </c:pt>
              </c:numCache>
            </c:numRef>
          </c:val>
          <c:extLst>
            <c:ext xmlns:c16="http://schemas.microsoft.com/office/drawing/2014/chart" uri="{C3380CC4-5D6E-409C-BE32-E72D297353CC}">
              <c16:uniqueId val="{00000002-8856-4FE2-BF3D-938835B8BCEC}"/>
            </c:ext>
          </c:extLst>
        </c:ser>
        <c:dLbls>
          <c:showLegendKey val="0"/>
          <c:showVal val="0"/>
          <c:showCatName val="0"/>
          <c:showSerName val="0"/>
          <c:showPercent val="0"/>
          <c:showBubbleSize val="0"/>
        </c:dLbls>
        <c:gapWidth val="182"/>
        <c:axId val="164516224"/>
        <c:axId val="164517760"/>
      </c:barChart>
      <c:catAx>
        <c:axId val="16451622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4517760"/>
        <c:crosses val="autoZero"/>
        <c:auto val="1"/>
        <c:lblAlgn val="ctr"/>
        <c:lblOffset val="100"/>
        <c:noMultiLvlLbl val="0"/>
      </c:catAx>
      <c:valAx>
        <c:axId val="164517760"/>
        <c:scaling>
          <c:orientation val="minMax"/>
        </c:scaling>
        <c:delete val="1"/>
        <c:axPos val="b"/>
        <c:numFmt formatCode="_(* #,##0.00_);_(* \(#,##0.00\);_(* &quot;-&quot;??_);_(@_)" sourceLinked="1"/>
        <c:majorTickMark val="none"/>
        <c:minorTickMark val="none"/>
        <c:tickLblPos val="nextTo"/>
        <c:crossAx val="1645162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'Informations sur la PF'!$B$22</c:f>
              <c:strCache>
                <c:ptCount val="1"/>
                <c:pt idx="0">
                  <c:v>Femmes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'Informations sur la PF'!$A$23:$A$26</c:f>
              <c:strCache>
                <c:ptCount val="4"/>
                <c:pt idx="0">
                  <c:v>Radio</c:v>
                </c:pt>
                <c:pt idx="1">
                  <c:v>Télévision</c:v>
                </c:pt>
                <c:pt idx="2">
                  <c:v>Journaux/Magazines</c:v>
                </c:pt>
                <c:pt idx="3">
                  <c:v>Pas d'exposition </c:v>
                </c:pt>
              </c:strCache>
            </c:strRef>
          </c:cat>
          <c:val>
            <c:numRef>
              <c:f>'Informations sur la PF'!$B$23:$B$26</c:f>
              <c:numCache>
                <c:formatCode>General</c:formatCode>
                <c:ptCount val="4"/>
                <c:pt idx="0">
                  <c:v>54.2</c:v>
                </c:pt>
                <c:pt idx="1">
                  <c:v>21</c:v>
                </c:pt>
                <c:pt idx="2">
                  <c:v>6.7</c:v>
                </c:pt>
                <c:pt idx="3">
                  <c:v>41.4</c:v>
                </c:pt>
              </c:numCache>
            </c:numRef>
          </c:val>
          <c:extLst>
            <c:ext xmlns:c16="http://schemas.microsoft.com/office/drawing/2014/chart" uri="{C3380CC4-5D6E-409C-BE32-E72D297353CC}">
              <c16:uniqueId val="{00000000-47DC-4F62-82CB-B956D27287CB}"/>
            </c:ext>
          </c:extLst>
        </c:ser>
        <c:ser>
          <c:idx val="1"/>
          <c:order val="1"/>
          <c:tx>
            <c:strRef>
              <c:f>'Informations sur la PF'!$C$22</c:f>
              <c:strCache>
                <c:ptCount val="1"/>
                <c:pt idx="0">
                  <c:v>Hommes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'Informations sur la PF'!$A$23:$A$26</c:f>
              <c:strCache>
                <c:ptCount val="4"/>
                <c:pt idx="0">
                  <c:v>Radio</c:v>
                </c:pt>
                <c:pt idx="1">
                  <c:v>Télévision</c:v>
                </c:pt>
                <c:pt idx="2">
                  <c:v>Journaux/Magazines</c:v>
                </c:pt>
                <c:pt idx="3">
                  <c:v>Pas d'exposition </c:v>
                </c:pt>
              </c:strCache>
            </c:strRef>
          </c:cat>
          <c:val>
            <c:numRef>
              <c:f>'Informations sur la PF'!$C$23:$C$26</c:f>
              <c:numCache>
                <c:formatCode>General</c:formatCode>
                <c:ptCount val="4"/>
                <c:pt idx="0">
                  <c:v>58.8</c:v>
                </c:pt>
                <c:pt idx="1">
                  <c:v>24.4</c:v>
                </c:pt>
                <c:pt idx="2">
                  <c:v>7</c:v>
                </c:pt>
                <c:pt idx="3">
                  <c:v>37.5</c:v>
                </c:pt>
              </c:numCache>
            </c:numRef>
          </c:val>
          <c:extLst>
            <c:ext xmlns:c16="http://schemas.microsoft.com/office/drawing/2014/chart" uri="{C3380CC4-5D6E-409C-BE32-E72D297353CC}">
              <c16:uniqueId val="{00000001-47DC-4F62-82CB-B956D27287CB}"/>
            </c:ext>
          </c:extLst>
        </c:ser>
        <c:dLbls>
          <c:showLegendKey val="0"/>
          <c:showVal val="1"/>
          <c:showCatName val="0"/>
          <c:showSerName val="0"/>
          <c:showPercent val="0"/>
          <c:showBubbleSize val="0"/>
        </c:dLbls>
        <c:gapWidth val="219"/>
        <c:overlap val="-27"/>
        <c:axId val="164027392"/>
        <c:axId val="164537472"/>
      </c:barChart>
      <c:catAx>
        <c:axId val="1640273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Sources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4537472"/>
        <c:crosses val="autoZero"/>
        <c:auto val="1"/>
        <c:lblAlgn val="ctr"/>
        <c:lblOffset val="100"/>
        <c:noMultiLvlLbl val="0"/>
      </c:catAx>
      <c:valAx>
        <c:axId val="164537472"/>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Pourcentages</a:t>
                </a:r>
                <a:r>
                  <a:rPr lang="en-US" baseline="0"/>
                  <a:t> (%)</a:t>
                </a:r>
                <a:endParaRPr lang="en-US"/>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6402739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31"/>
    </mc:Choice>
    <mc:Fallback>
      <c:style val="3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8.2971399408407254E-2"/>
          <c:y val="2.1693922846771307E-2"/>
          <c:w val="0.91659948756405463"/>
          <c:h val="0.63501418132884069"/>
        </c:manualLayout>
      </c:layout>
      <c:barChart>
        <c:barDir val="col"/>
        <c:grouping val="clustered"/>
        <c:varyColors val="0"/>
        <c:ser>
          <c:idx val="0"/>
          <c:order val="0"/>
          <c:spPr>
            <a:solidFill>
              <a:srgbClr val="FFC000"/>
            </a:solidFill>
          </c:spPr>
          <c:invertIfNegative val="0"/>
          <c:dLbls>
            <c:numFmt formatCode="0%" sourceLinked="0"/>
            <c:spPr>
              <a:noFill/>
              <a:ln>
                <a:noFill/>
              </a:ln>
              <a:effectLst/>
            </c:spPr>
            <c:txPr>
              <a:bodyPr/>
              <a:lstStyle/>
              <a:p>
                <a:pPr>
                  <a:defRPr sz="14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'[Outil d''analyse des goulots d''etranglement et plannification pour l''eTME_National vs RégionalMC.xlsm]Analyse des GE'!$HG$428:$HG$431,'[Outil d''analyse des goulots d''etranglement et plannification pour l''eTME_National vs RégionalMC.xlsm]Analyse des GE'!$HG$433</c:f>
              <c:strCache>
                <c:ptCount val="5"/>
                <c:pt idx="0">
                  <c:v>Intrants: Proportion de structures de santé offrant les services de CPN qui offrent les services de PF  qui n'ont pas eu de rupture de stock en contraceptives pendant les trois derniers mois</c:v>
                </c:pt>
                <c:pt idx="1">
                  <c:v>Ressources humaine: Proportion de structures de santé offrant les services de CPN et de planification familiale ayant le nombre suffisant de prestataires des soins  formés sur la PF</c:v>
                </c:pt>
                <c:pt idx="2">
                  <c:v>Accessibilité: Proportion de structure de santé offrant les services de CPN qui offrent actuellement les services de planification familiale</c:v>
                </c:pt>
                <c:pt idx="3">
                  <c:v>Utilisation: Proportion de femmes actuellement mariées et célibataires sexuellement actives  (âgées de 15-49) qui utilisent actuellement une méthode contraceptive</c:v>
                </c:pt>
                <c:pt idx="4">
                  <c:v>Qualité: Proportion de toutes les femmes actuellement mariées et non mariées et  sexuellement actives (15-49 ans )qui utilisent actuellement une méthode contraceptive moderne</c:v>
                </c:pt>
              </c:strCache>
            </c:strRef>
          </c:cat>
          <c:val>
            <c:numRef>
              <c:f>'[Outil d''analyse des goulots d''etranglement et plannification pour l''eTME_National vs RégionalMC.xlsm]Analyse des GE'!$HH$428:$HH$431,'[Outil d''analyse des goulots d''etranglement et plannification pour l''eTME_National vs RégionalMC.xlsm]Analyse des GE'!$HH$433</c:f>
              <c:numCache>
                <c:formatCode>[$-F800]dddd\,\ mmmm\ dd\,\ yyyy</c:formatCode>
                <c:ptCount val="5"/>
                <c:pt idx="0">
                  <c:v>0.66500000000000503</c:v>
                </c:pt>
                <c:pt idx="1">
                  <c:v>0.94290000000000063</c:v>
                </c:pt>
                <c:pt idx="2">
                  <c:v>0.94290000000000063</c:v>
                </c:pt>
                <c:pt idx="3">
                  <c:v>0.24000000000000021</c:v>
                </c:pt>
                <c:pt idx="4">
                  <c:v>0.22500000000000001</c:v>
                </c:pt>
              </c:numCache>
            </c:numRef>
          </c:val>
          <c:extLst>
            <c:ext xmlns:c16="http://schemas.microsoft.com/office/drawing/2014/chart" uri="{C3380CC4-5D6E-409C-BE32-E72D297353CC}">
              <c16:uniqueId val="{00000000-F4D4-45A6-B997-F451088F5AE9}"/>
            </c:ext>
          </c:extLst>
        </c:ser>
        <c:dLbls>
          <c:showLegendKey val="0"/>
          <c:showVal val="0"/>
          <c:showCatName val="0"/>
          <c:showSerName val="0"/>
          <c:showPercent val="0"/>
          <c:showBubbleSize val="0"/>
        </c:dLbls>
        <c:gapWidth val="150"/>
        <c:axId val="170959616"/>
        <c:axId val="170961152"/>
      </c:barChart>
      <c:catAx>
        <c:axId val="170959616"/>
        <c:scaling>
          <c:orientation val="minMax"/>
        </c:scaling>
        <c:delete val="0"/>
        <c:axPos val="b"/>
        <c:numFmt formatCode="General" sourceLinked="1"/>
        <c:majorTickMark val="out"/>
        <c:minorTickMark val="none"/>
        <c:tickLblPos val="nextTo"/>
        <c:txPr>
          <a:bodyPr/>
          <a:lstStyle/>
          <a:p>
            <a:pPr>
              <a:defRPr lang="en-US" sz="900"/>
            </a:pPr>
            <a:endParaRPr lang="fr-FR"/>
          </a:p>
        </c:txPr>
        <c:crossAx val="170961152"/>
        <c:crosses val="autoZero"/>
        <c:auto val="1"/>
        <c:lblAlgn val="ctr"/>
        <c:lblOffset val="100"/>
        <c:noMultiLvlLbl val="0"/>
      </c:catAx>
      <c:valAx>
        <c:axId val="170961152"/>
        <c:scaling>
          <c:orientation val="minMax"/>
          <c:max val="1"/>
          <c:min val="0"/>
        </c:scaling>
        <c:delete val="0"/>
        <c:axPos val="l"/>
        <c:numFmt formatCode="0%" sourceLinked="0"/>
        <c:majorTickMark val="out"/>
        <c:minorTickMark val="none"/>
        <c:tickLblPos val="nextTo"/>
        <c:txPr>
          <a:bodyPr/>
          <a:lstStyle/>
          <a:p>
            <a:pPr>
              <a:defRPr lang="en-US" sz="800"/>
            </a:pPr>
            <a:endParaRPr lang="fr-FR"/>
          </a:p>
        </c:txPr>
        <c:crossAx val="170959616"/>
        <c:crosses val="autoZero"/>
        <c:crossBetween val="between"/>
      </c:valAx>
      <c:spPr>
        <a:solidFill>
          <a:schemeClr val="lt1"/>
        </a:solidFill>
        <a:ln w="25400" cap="flat" cmpd="sng" algn="ctr">
          <a:noFill/>
          <a:prstDash val="solid"/>
        </a:ln>
        <a:effectLst/>
      </c:spPr>
    </c:plotArea>
    <c:plotVisOnly val="1"/>
    <c:dispBlanksAs val="gap"/>
    <c:showDLblsOverMax val="0"/>
  </c:chart>
  <c:spPr>
    <a:ln w="25400"/>
  </c:spPr>
  <c:externalData r:id="rId2">
    <c:autoUpdate val="0"/>
  </c:externalData>
  <c:userShapes r:id="rId3"/>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31"/>
    </mc:Choice>
    <mc:Fallback>
      <c:style val="3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7427414541599104E-2"/>
          <c:y val="2.0059407003970652E-2"/>
          <c:w val="0.92117899418073113"/>
          <c:h val="0.58044884231616312"/>
        </c:manualLayout>
      </c:layout>
      <c:barChart>
        <c:barDir val="col"/>
        <c:grouping val="clustered"/>
        <c:varyColors val="0"/>
        <c:ser>
          <c:idx val="0"/>
          <c:order val="0"/>
          <c:spPr>
            <a:solidFill>
              <a:schemeClr val="tx2">
                <a:lumMod val="60000"/>
                <a:lumOff val="40000"/>
              </a:schemeClr>
            </a:solidFill>
          </c:spPr>
          <c:invertIfNegative val="0"/>
          <c:dLbls>
            <c:dLbl>
              <c:idx val="0"/>
              <c:numFmt formatCode="0%" sourceLinked="0"/>
              <c:spPr>
                <a:noFill/>
                <a:ln>
                  <a:noFill/>
                </a:ln>
                <a:effectLst/>
              </c:spPr>
              <c:txPr>
                <a:bodyPr/>
                <a:lstStyle/>
                <a:p>
                  <a:pPr>
                    <a:defRPr sz="1100"/>
                  </a:pPr>
                  <a:endParaRPr lang="fr-FR"/>
                </a:p>
              </c:txPr>
              <c:showLegendKey val="0"/>
              <c:showVal val="1"/>
              <c:showCatName val="0"/>
              <c:showSerName val="0"/>
              <c:showPercent val="0"/>
              <c:showBubbleSize val="0"/>
              <c:extLst>
                <c:ext xmlns:c16="http://schemas.microsoft.com/office/drawing/2014/chart" uri="{C3380CC4-5D6E-409C-BE32-E72D297353CC}">
                  <c16:uniqueId val="{00000000-079D-42D1-808E-7A423706E921}"/>
                </c:ext>
              </c:extLst>
            </c:dLbl>
            <c:dLbl>
              <c:idx val="1"/>
              <c:layout>
                <c:manualLayout>
                  <c:x val="0"/>
                  <c:y val="-7.9365079365079395E-3"/>
                </c:manualLayout>
              </c:layout>
              <c:numFmt formatCode="0%" sourceLinked="0"/>
              <c:spPr>
                <a:noFill/>
                <a:ln>
                  <a:noFill/>
                </a:ln>
                <a:effectLst/>
              </c:spPr>
              <c:txPr>
                <a:bodyPr/>
                <a:lstStyle/>
                <a:p>
                  <a:pPr>
                    <a:defRPr sz="1100"/>
                  </a:pPr>
                  <a:endParaRPr lang="fr-FR"/>
                </a:p>
              </c:txPr>
              <c:showLegendKey val="0"/>
              <c:showVal val="1"/>
              <c:showCatName val="0"/>
              <c:showSerName val="0"/>
              <c:showPercent val="0"/>
              <c:showBubbleSize val="0"/>
              <c:extLst>
                <c:ext xmlns:c15="http://schemas.microsoft.com/office/drawing/2012/chart" uri="{CE6537A1-D6FC-4f65-9D91-7224C49458BB}">
                  <c15:layout>
                    <c:manualLayout>
                      <c:w val="5.2054855124172843E-2"/>
                      <c:h val="4.9325396825396828E-2"/>
                    </c:manualLayout>
                  </c15:layout>
                </c:ext>
                <c:ext xmlns:c16="http://schemas.microsoft.com/office/drawing/2014/chart" uri="{C3380CC4-5D6E-409C-BE32-E72D297353CC}">
                  <c16:uniqueId val="{00000001-079D-42D1-808E-7A423706E921}"/>
                </c:ext>
              </c:extLst>
            </c:dLbl>
            <c:dLbl>
              <c:idx val="2"/>
              <c:numFmt formatCode="0%" sourceLinked="0"/>
              <c:spPr>
                <a:noFill/>
                <a:ln>
                  <a:noFill/>
                </a:ln>
                <a:effectLst/>
              </c:spPr>
              <c:txPr>
                <a:bodyPr/>
                <a:lstStyle/>
                <a:p>
                  <a:pPr>
                    <a:defRPr sz="1100"/>
                  </a:pPr>
                  <a:endParaRPr lang="fr-FR"/>
                </a:p>
              </c:txPr>
              <c:showLegendKey val="0"/>
              <c:showVal val="1"/>
              <c:showCatName val="0"/>
              <c:showSerName val="0"/>
              <c:showPercent val="0"/>
              <c:showBubbleSize val="0"/>
              <c:extLst>
                <c:ext xmlns:c16="http://schemas.microsoft.com/office/drawing/2014/chart" uri="{C3380CC4-5D6E-409C-BE32-E72D297353CC}">
                  <c16:uniqueId val="{00000002-079D-42D1-808E-7A423706E921}"/>
                </c:ext>
              </c:extLst>
            </c:dLbl>
            <c:dLbl>
              <c:idx val="3"/>
              <c:numFmt formatCode="0%" sourceLinked="0"/>
              <c:spPr>
                <a:noFill/>
                <a:ln>
                  <a:noFill/>
                </a:ln>
                <a:effectLst/>
              </c:spPr>
              <c:txPr>
                <a:bodyPr/>
                <a:lstStyle/>
                <a:p>
                  <a:pPr>
                    <a:defRPr sz="1100"/>
                  </a:pPr>
                  <a:endParaRPr lang="fr-FR"/>
                </a:p>
              </c:txPr>
              <c:showLegendKey val="0"/>
              <c:showVal val="1"/>
              <c:showCatName val="0"/>
              <c:showSerName val="0"/>
              <c:showPercent val="0"/>
              <c:showBubbleSize val="0"/>
              <c:extLst>
                <c:ext xmlns:c16="http://schemas.microsoft.com/office/drawing/2014/chart" uri="{C3380CC4-5D6E-409C-BE32-E72D297353CC}">
                  <c16:uniqueId val="{00000003-079D-42D1-808E-7A423706E921}"/>
                </c:ext>
              </c:extLst>
            </c:dLbl>
            <c:dLbl>
              <c:idx val="4"/>
              <c:numFmt formatCode="0%" sourceLinked="0"/>
              <c:spPr>
                <a:noFill/>
                <a:ln>
                  <a:noFill/>
                </a:ln>
                <a:effectLst/>
              </c:spPr>
              <c:txPr>
                <a:bodyPr/>
                <a:lstStyle/>
                <a:p>
                  <a:pPr>
                    <a:defRPr sz="1100"/>
                  </a:pPr>
                  <a:endParaRPr lang="fr-FR"/>
                </a:p>
              </c:txPr>
              <c:showLegendKey val="0"/>
              <c:showVal val="1"/>
              <c:showCatName val="0"/>
              <c:showSerName val="0"/>
              <c:showPercent val="0"/>
              <c:showBubbleSize val="0"/>
              <c:extLst>
                <c:ext xmlns:c16="http://schemas.microsoft.com/office/drawing/2014/chart" uri="{C3380CC4-5D6E-409C-BE32-E72D297353CC}">
                  <c16:uniqueId val="{00000004-079D-42D1-808E-7A423706E921}"/>
                </c:ext>
              </c:extLst>
            </c:dLbl>
            <c:dLbl>
              <c:idx val="5"/>
              <c:numFmt formatCode="0%" sourceLinked="0"/>
              <c:spPr>
                <a:noFill/>
                <a:ln>
                  <a:noFill/>
                </a:ln>
                <a:effectLst/>
              </c:spPr>
              <c:txPr>
                <a:bodyPr/>
                <a:lstStyle/>
                <a:p>
                  <a:pPr>
                    <a:defRPr sz="1100"/>
                  </a:pPr>
                  <a:endParaRPr lang="fr-FR"/>
                </a:p>
              </c:txPr>
              <c:showLegendKey val="0"/>
              <c:showVal val="1"/>
              <c:showCatName val="0"/>
              <c:showSerName val="0"/>
              <c:showPercent val="0"/>
              <c:showBubbleSize val="0"/>
              <c:extLst>
                <c:ext xmlns:c16="http://schemas.microsoft.com/office/drawing/2014/chart" uri="{C3380CC4-5D6E-409C-BE32-E72D297353CC}">
                  <c16:uniqueId val="{00000005-079D-42D1-808E-7A423706E921}"/>
                </c:ext>
              </c:extLst>
            </c:dLbl>
            <c:numFmt formatCode="0%" sourceLinked="0"/>
            <c:spPr>
              <a:noFill/>
              <a:ln>
                <a:noFill/>
              </a:ln>
              <a:effectLst/>
            </c:spPr>
            <c:txPr>
              <a:bodyPr/>
              <a:lstStyle/>
              <a:p>
                <a:pPr>
                  <a:defRPr sz="12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'Analyse des GE'!$HG$449:$HG$454</c:f>
              <c:strCache>
                <c:ptCount val="6"/>
                <c:pt idx="0">
                  <c:v>Intrants: Proportion de structures de santé  offrant les services de  PTME qui rapportent ne pas avoir de rupture de stock en ARV pendant les trois derniers mois</c:v>
                </c:pt>
                <c:pt idx="1">
                  <c:v>Ressources humaine: Proportion de structures de santé qui offrent les services de PTME ayant un nombre suffisant du personnel qualifié   formé sur l'initiation et le suivi d'une femmes sous ARV en PTME</c:v>
                </c:pt>
                <c:pt idx="2">
                  <c:v>Accessibilité: Proportion des FOSA avec service de CPN  offrant les services de PTME (ARV) parmi ceux qui sont ciblés pour offrir la PTME</c:v>
                </c:pt>
                <c:pt idx="3">
                  <c:v>Utilisation: Proportion  du nombre estimé defemmes enceintes vivant avec le VIH qui ont été  dépistées VIH + dans la CPN</c:v>
                </c:pt>
                <c:pt idx="4">
                  <c:v>Utilisation continue: Proportion  des femmes enceintes vivant avec le VIH qui ont initié la prophylaxie ARV option B/B+ avant le travail et accouchement</c:v>
                </c:pt>
                <c:pt idx="5">
                  <c:v>Qualité: Proportion des enfants  nés de mère VIH + qui ont reçu la prophylaxie ARV à la naissance </c:v>
                </c:pt>
              </c:strCache>
            </c:strRef>
          </c:cat>
          <c:val>
            <c:numRef>
              <c:f>'Analyse des GE'!$HH$449:$HH$454</c:f>
              <c:numCache>
                <c:formatCode>[$-F800]dddd\,\ mmmm\ dd\,\ yyyy</c:formatCode>
                <c:ptCount val="6"/>
                <c:pt idx="0">
                  <c:v>0.91800000000000004</c:v>
                </c:pt>
                <c:pt idx="1">
                  <c:v>0.98199999999999998</c:v>
                </c:pt>
                <c:pt idx="2">
                  <c:v>0.91800000000000004</c:v>
                </c:pt>
                <c:pt idx="3">
                  <c:v>0.71900000000000064</c:v>
                </c:pt>
                <c:pt idx="4">
                  <c:v>0.54379999999999995</c:v>
                </c:pt>
                <c:pt idx="5">
                  <c:v>0.25610000000000005</c:v>
                </c:pt>
              </c:numCache>
            </c:numRef>
          </c:val>
          <c:extLst>
            <c:ext xmlns:c16="http://schemas.microsoft.com/office/drawing/2014/chart" uri="{C3380CC4-5D6E-409C-BE32-E72D297353CC}">
              <c16:uniqueId val="{00000006-079D-42D1-808E-7A423706E921}"/>
            </c:ext>
          </c:extLst>
        </c:ser>
        <c:dLbls>
          <c:showLegendKey val="0"/>
          <c:showVal val="0"/>
          <c:showCatName val="0"/>
          <c:showSerName val="0"/>
          <c:showPercent val="0"/>
          <c:showBubbleSize val="0"/>
        </c:dLbls>
        <c:gapWidth val="150"/>
        <c:axId val="164750080"/>
        <c:axId val="164751616"/>
      </c:barChart>
      <c:catAx>
        <c:axId val="164750080"/>
        <c:scaling>
          <c:orientation val="minMax"/>
        </c:scaling>
        <c:delete val="0"/>
        <c:axPos val="b"/>
        <c:numFmt formatCode="General" sourceLinked="1"/>
        <c:majorTickMark val="out"/>
        <c:minorTickMark val="none"/>
        <c:tickLblPos val="low"/>
        <c:txPr>
          <a:bodyPr rot="0" vert="horz" anchor="ctr" anchorCtr="1"/>
          <a:lstStyle/>
          <a:p>
            <a:pPr>
              <a:defRPr lang="en-US" sz="700"/>
            </a:pPr>
            <a:endParaRPr lang="fr-FR"/>
          </a:p>
        </c:txPr>
        <c:crossAx val="164751616"/>
        <c:crosses val="autoZero"/>
        <c:auto val="1"/>
        <c:lblAlgn val="ctr"/>
        <c:lblOffset val="100"/>
        <c:noMultiLvlLbl val="0"/>
      </c:catAx>
      <c:valAx>
        <c:axId val="164751616"/>
        <c:scaling>
          <c:orientation val="minMax"/>
          <c:max val="1"/>
          <c:min val="0"/>
        </c:scaling>
        <c:delete val="0"/>
        <c:axPos val="l"/>
        <c:numFmt formatCode="0%" sourceLinked="0"/>
        <c:majorTickMark val="out"/>
        <c:minorTickMark val="none"/>
        <c:tickLblPos val="nextTo"/>
        <c:txPr>
          <a:bodyPr/>
          <a:lstStyle/>
          <a:p>
            <a:pPr>
              <a:defRPr lang="en-US" sz="800"/>
            </a:pPr>
            <a:endParaRPr lang="fr-FR"/>
          </a:p>
        </c:txPr>
        <c:crossAx val="164750080"/>
        <c:crosses val="autoZero"/>
        <c:crossBetween val="between"/>
      </c:valAx>
      <c:spPr>
        <a:solidFill>
          <a:schemeClr val="lt1"/>
        </a:solidFill>
        <a:ln w="25400" cap="flat" cmpd="sng" algn="ctr">
          <a:noFill/>
          <a:prstDash val="solid"/>
        </a:ln>
        <a:effectLst/>
      </c:spPr>
    </c:plotArea>
    <c:plotVisOnly val="1"/>
    <c:dispBlanksAs val="gap"/>
    <c:showDLblsOverMax val="0"/>
  </c:chart>
  <c:spPr>
    <a:ln w="25400"/>
  </c:spPr>
  <c:externalData r:id="rId2">
    <c:autoUpdate val="0"/>
  </c:externalData>
  <c:userShapes r:id="rId3"/>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31"/>
    </mc:Choice>
    <mc:Fallback>
      <c:style val="31"/>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2903691043028204E-2"/>
          <c:y val="2.1079721186418838E-2"/>
          <c:w val="0.92605832861415061"/>
          <c:h val="0.65207988680121964"/>
        </c:manualLayout>
      </c:layout>
      <c:barChart>
        <c:barDir val="col"/>
        <c:grouping val="clustered"/>
        <c:varyColors val="0"/>
        <c:ser>
          <c:idx val="0"/>
          <c:order val="0"/>
          <c:spPr>
            <a:solidFill>
              <a:srgbClr val="FF0000"/>
            </a:solidFill>
          </c:spPr>
          <c:invertIfNegative val="0"/>
          <c:dLbls>
            <c:dLbl>
              <c:idx val="3"/>
              <c:layout>
                <c:manualLayout>
                  <c:x val="0"/>
                  <c:y val="9.04412911273974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C7B-42E9-8CC7-381B66472D73}"/>
                </c:ext>
              </c:extLst>
            </c:dLbl>
            <c:dLbl>
              <c:idx val="4"/>
              <c:layout>
                <c:manualLayout>
                  <c:x val="2.099296735593577E-3"/>
                  <c:y val="9.355995633868713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C7B-42E9-8CC7-381B66472D73}"/>
                </c:ext>
              </c:extLst>
            </c:dLbl>
            <c:numFmt formatCode="0%" sourceLinked="0"/>
            <c:spPr>
              <a:noFill/>
              <a:ln>
                <a:noFill/>
              </a:ln>
              <a:effectLst/>
            </c:spPr>
            <c:txPr>
              <a:bodyPr/>
              <a:lstStyle/>
              <a:p>
                <a:pPr>
                  <a:defRPr sz="1400"/>
                </a:pPr>
                <a:endParaRPr lang="fr-FR"/>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'Analyse des GE'!$HG$470:$HG$475</c:f>
              <c:strCache>
                <c:ptCount val="6"/>
                <c:pt idx="0">
                  <c:v>Intrants: Proportion  de structures de santé offrant les services de dépistage virologique du VIH " PCR" ( sang frais ou à travers le papier buvard) sans rupture de stock de tests ou de papier buvard au cours des trois derniers mois  </c:v>
                </c:pt>
                <c:pt idx="1">
                  <c:v>Human Resources: Proportion de structures de santé offrant les services de diagnostic virologique du VIH (onsite or DBS) avec  un personnel de santé suffisant formé sur la collecte du sang par le papier buveur </c:v>
                </c:pt>
                <c:pt idx="2">
                  <c:v>Accessibilité: Proportion des FOSA offrant les services de dépistage précoce (DBS ou snag frais) parmi ceux celles qui sont ciblé pour offrir ce service </c:v>
                </c:pt>
                <c:pt idx="3">
                  <c:v>Utilisation:  Proportion du nombre attendu des nourrissons exposés au VIH qui ont été testés pour le VIH à l'âge de 12 mois
</c:v>
                </c:pt>
                <c:pt idx="4">
                  <c:v>Utilisation continue: Proportion du nombre attendu de nourrissons exposés au VIH qui ont été testés pour le VIH à l' âge de 12 mois et ont reçu leurs résults</c:v>
                </c:pt>
                <c:pt idx="5">
                  <c:v>Qualité: Proportion du nombre attendu de nourrissons exposés au VIH testés pour le VIH au cours des deux premiers mois de la naissance et ont reçu leurs résultats</c:v>
                </c:pt>
              </c:strCache>
            </c:strRef>
          </c:cat>
          <c:val>
            <c:numRef>
              <c:f>'Analyse des GE'!$HH$470:$HH$475</c:f>
              <c:numCache>
                <c:formatCode>[$-F800]dddd\,\ mmmm\ dd\,\ yyyy</c:formatCode>
                <c:ptCount val="6"/>
                <c:pt idx="0">
                  <c:v>0.91800000000000004</c:v>
                </c:pt>
                <c:pt idx="1">
                  <c:v>0.91800000000000004</c:v>
                </c:pt>
                <c:pt idx="2">
                  <c:v>0.91800000000000004</c:v>
                </c:pt>
                <c:pt idx="3">
                  <c:v>0.52900000000000003</c:v>
                </c:pt>
                <c:pt idx="4">
                  <c:v>0.52900000000000003</c:v>
                </c:pt>
                <c:pt idx="5">
                  <c:v>0.52900000000000003</c:v>
                </c:pt>
              </c:numCache>
            </c:numRef>
          </c:val>
          <c:extLst>
            <c:ext xmlns:c16="http://schemas.microsoft.com/office/drawing/2014/chart" uri="{C3380CC4-5D6E-409C-BE32-E72D297353CC}">
              <c16:uniqueId val="{00000002-5C7B-42E9-8CC7-381B66472D73}"/>
            </c:ext>
          </c:extLst>
        </c:ser>
        <c:dLbls>
          <c:showLegendKey val="0"/>
          <c:showVal val="0"/>
          <c:showCatName val="0"/>
          <c:showSerName val="0"/>
          <c:showPercent val="0"/>
          <c:showBubbleSize val="0"/>
        </c:dLbls>
        <c:gapWidth val="150"/>
        <c:axId val="170956672"/>
        <c:axId val="170987520"/>
      </c:barChart>
      <c:catAx>
        <c:axId val="170956672"/>
        <c:scaling>
          <c:orientation val="minMax"/>
        </c:scaling>
        <c:delete val="0"/>
        <c:axPos val="b"/>
        <c:numFmt formatCode="General" sourceLinked="1"/>
        <c:majorTickMark val="out"/>
        <c:minorTickMark val="none"/>
        <c:tickLblPos val="nextTo"/>
        <c:txPr>
          <a:bodyPr/>
          <a:lstStyle/>
          <a:p>
            <a:pPr>
              <a:defRPr lang="en-US" sz="700"/>
            </a:pPr>
            <a:endParaRPr lang="fr-FR"/>
          </a:p>
        </c:txPr>
        <c:crossAx val="170987520"/>
        <c:crosses val="autoZero"/>
        <c:auto val="1"/>
        <c:lblAlgn val="ctr"/>
        <c:lblOffset val="100"/>
        <c:noMultiLvlLbl val="0"/>
      </c:catAx>
      <c:valAx>
        <c:axId val="170987520"/>
        <c:scaling>
          <c:orientation val="minMax"/>
          <c:max val="1"/>
          <c:min val="0"/>
        </c:scaling>
        <c:delete val="0"/>
        <c:axPos val="l"/>
        <c:numFmt formatCode="0%" sourceLinked="0"/>
        <c:majorTickMark val="out"/>
        <c:minorTickMark val="none"/>
        <c:tickLblPos val="nextTo"/>
        <c:txPr>
          <a:bodyPr/>
          <a:lstStyle/>
          <a:p>
            <a:pPr>
              <a:defRPr lang="en-US" sz="900"/>
            </a:pPr>
            <a:endParaRPr lang="fr-FR"/>
          </a:p>
        </c:txPr>
        <c:crossAx val="170956672"/>
        <c:crosses val="autoZero"/>
        <c:crossBetween val="between"/>
      </c:valAx>
      <c:spPr>
        <a:solidFill>
          <a:schemeClr val="lt1"/>
        </a:solidFill>
        <a:ln w="25400" cap="flat" cmpd="sng" algn="ctr">
          <a:noFill/>
          <a:prstDash val="solid"/>
        </a:ln>
        <a:effectLst/>
      </c:spPr>
    </c:plotArea>
    <c:plotVisOnly val="1"/>
    <c:dispBlanksAs val="gap"/>
    <c:showDLblsOverMax val="0"/>
  </c:chart>
  <c:spPr>
    <a:ln w="25400"/>
  </c:spPr>
  <c:externalData r:id="rId2">
    <c:autoUpdate val="0"/>
  </c:externalData>
  <c:userShapes r:id="rId3"/>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Feuil3!$A$7</c:f>
              <c:strCache>
                <c:ptCount val="1"/>
                <c:pt idx="0">
                  <c:v>CPN1</c:v>
                </c:pt>
              </c:strCache>
            </c:strRef>
          </c:tx>
          <c:spPr>
            <a:solidFill>
              <a:srgbClr val="92D050"/>
            </a:solidFill>
          </c:spPr>
          <c:invertIfNegative val="0"/>
          <c:cat>
            <c:strRef>
              <c:f>Feuil3!$B$4:$L$6</c:f>
              <c:strCache>
                <c:ptCount val="11"/>
                <c:pt idx="0">
                  <c:v>BOUCLE DU MOUHOUN</c:v>
                </c:pt>
                <c:pt idx="1">
                  <c:v>CENTRE</c:v>
                </c:pt>
                <c:pt idx="2">
                  <c:v>CENTRE EST</c:v>
                </c:pt>
                <c:pt idx="3">
                  <c:v>CENTRE NORD</c:v>
                </c:pt>
                <c:pt idx="4">
                  <c:v>CENTRE OUEST</c:v>
                </c:pt>
                <c:pt idx="5">
                  <c:v>CENTRE SUD</c:v>
                </c:pt>
                <c:pt idx="6">
                  <c:v>DRS EST</c:v>
                </c:pt>
                <c:pt idx="7">
                  <c:v>HAUT BASSIN</c:v>
                </c:pt>
                <c:pt idx="8">
                  <c:v>DRS NORD</c:v>
                </c:pt>
                <c:pt idx="9">
                  <c:v>PLATEAU CENTRAL</c:v>
                </c:pt>
                <c:pt idx="10">
                  <c:v>SAHEL</c:v>
                </c:pt>
              </c:strCache>
            </c:strRef>
          </c:cat>
          <c:val>
            <c:numRef>
              <c:f>Feuil3!$B$7:$L$7</c:f>
              <c:numCache>
                <c:formatCode>General</c:formatCode>
                <c:ptCount val="11"/>
                <c:pt idx="0" formatCode="0%">
                  <c:v>0.23</c:v>
                </c:pt>
                <c:pt idx="2" formatCode="0%">
                  <c:v>0.22</c:v>
                </c:pt>
                <c:pt idx="4" formatCode="0%">
                  <c:v>0.27</c:v>
                </c:pt>
                <c:pt idx="5" formatCode="0%">
                  <c:v>0.39000000000000201</c:v>
                </c:pt>
                <c:pt idx="9" formatCode="0%">
                  <c:v>0.28000000000000008</c:v>
                </c:pt>
              </c:numCache>
            </c:numRef>
          </c:val>
          <c:extLst>
            <c:ext xmlns:c16="http://schemas.microsoft.com/office/drawing/2014/chart" uri="{C3380CC4-5D6E-409C-BE32-E72D297353CC}">
              <c16:uniqueId val="{00000000-F53A-43E8-8280-641B665586A5}"/>
            </c:ext>
          </c:extLst>
        </c:ser>
        <c:ser>
          <c:idx val="1"/>
          <c:order val="1"/>
          <c:tx>
            <c:strRef>
              <c:f>Feuil3!$A$8</c:f>
              <c:strCache>
                <c:ptCount val="1"/>
                <c:pt idx="0">
                  <c:v>DEPISTAGE FE</c:v>
                </c:pt>
              </c:strCache>
            </c:strRef>
          </c:tx>
          <c:spPr>
            <a:solidFill>
              <a:srgbClr val="FFFF00"/>
            </a:solidFill>
          </c:spPr>
          <c:invertIfNegative val="0"/>
          <c:cat>
            <c:strRef>
              <c:f>Feuil3!$B$4:$L$6</c:f>
              <c:strCache>
                <c:ptCount val="11"/>
                <c:pt idx="0">
                  <c:v>BOUCLE DU MOUHOUN</c:v>
                </c:pt>
                <c:pt idx="1">
                  <c:v>CENTRE</c:v>
                </c:pt>
                <c:pt idx="2">
                  <c:v>CENTRE EST</c:v>
                </c:pt>
                <c:pt idx="3">
                  <c:v>CENTRE NORD</c:v>
                </c:pt>
                <c:pt idx="4">
                  <c:v>CENTRE OUEST</c:v>
                </c:pt>
                <c:pt idx="5">
                  <c:v>CENTRE SUD</c:v>
                </c:pt>
                <c:pt idx="6">
                  <c:v>DRS EST</c:v>
                </c:pt>
                <c:pt idx="7">
                  <c:v>HAUT BASSIN</c:v>
                </c:pt>
                <c:pt idx="8">
                  <c:v>DRS NORD</c:v>
                </c:pt>
                <c:pt idx="9">
                  <c:v>PLATEAU CENTRAL</c:v>
                </c:pt>
                <c:pt idx="10">
                  <c:v>SAHEL</c:v>
                </c:pt>
              </c:strCache>
            </c:strRef>
          </c:cat>
          <c:val>
            <c:numRef>
              <c:f>Feuil3!$B$8:$L$8</c:f>
              <c:numCache>
                <c:formatCode>0%</c:formatCode>
                <c:ptCount val="11"/>
                <c:pt idx="0">
                  <c:v>0.2</c:v>
                </c:pt>
                <c:pt idx="1">
                  <c:v>0.25</c:v>
                </c:pt>
                <c:pt idx="2">
                  <c:v>0.21000000000000021</c:v>
                </c:pt>
                <c:pt idx="4">
                  <c:v>0.28000000000000008</c:v>
                </c:pt>
                <c:pt idx="5">
                  <c:v>0.35000000000000031</c:v>
                </c:pt>
                <c:pt idx="9">
                  <c:v>0.28000000000000008</c:v>
                </c:pt>
              </c:numCache>
            </c:numRef>
          </c:val>
          <c:extLst>
            <c:ext xmlns:c16="http://schemas.microsoft.com/office/drawing/2014/chart" uri="{C3380CC4-5D6E-409C-BE32-E72D297353CC}">
              <c16:uniqueId val="{00000001-F53A-43E8-8280-641B665586A5}"/>
            </c:ext>
          </c:extLst>
        </c:ser>
        <c:ser>
          <c:idx val="2"/>
          <c:order val="2"/>
          <c:tx>
            <c:strRef>
              <c:f>Feuil3!$A$9</c:f>
              <c:strCache>
                <c:ptCount val="1"/>
                <c:pt idx="0">
                  <c:v>ARV PTME</c:v>
                </c:pt>
              </c:strCache>
            </c:strRef>
          </c:tx>
          <c:spPr>
            <a:solidFill>
              <a:srgbClr val="FF0000"/>
            </a:solidFill>
          </c:spPr>
          <c:invertIfNegative val="0"/>
          <c:cat>
            <c:strRef>
              <c:f>Feuil3!$B$4:$L$6</c:f>
              <c:strCache>
                <c:ptCount val="11"/>
                <c:pt idx="0">
                  <c:v>BOUCLE DU MOUHOUN</c:v>
                </c:pt>
                <c:pt idx="1">
                  <c:v>CENTRE</c:v>
                </c:pt>
                <c:pt idx="2">
                  <c:v>CENTRE EST</c:v>
                </c:pt>
                <c:pt idx="3">
                  <c:v>CENTRE NORD</c:v>
                </c:pt>
                <c:pt idx="4">
                  <c:v>CENTRE OUEST</c:v>
                </c:pt>
                <c:pt idx="5">
                  <c:v>CENTRE SUD</c:v>
                </c:pt>
                <c:pt idx="6">
                  <c:v>DRS EST</c:v>
                </c:pt>
                <c:pt idx="7">
                  <c:v>HAUT BASSIN</c:v>
                </c:pt>
                <c:pt idx="8">
                  <c:v>DRS NORD</c:v>
                </c:pt>
                <c:pt idx="9">
                  <c:v>PLATEAU CENTRAL</c:v>
                </c:pt>
                <c:pt idx="10">
                  <c:v>SAHEL</c:v>
                </c:pt>
              </c:strCache>
            </c:strRef>
          </c:cat>
          <c:val>
            <c:numRef>
              <c:f>Feuil3!$B$9:$L$9</c:f>
              <c:numCache>
                <c:formatCode>0%</c:formatCode>
                <c:ptCount val="11"/>
                <c:pt idx="1">
                  <c:v>0.45</c:v>
                </c:pt>
                <c:pt idx="2">
                  <c:v>0.4</c:v>
                </c:pt>
                <c:pt idx="3">
                  <c:v>0.45</c:v>
                </c:pt>
                <c:pt idx="4">
                  <c:v>0.58000000000000007</c:v>
                </c:pt>
                <c:pt idx="5">
                  <c:v>0.4</c:v>
                </c:pt>
                <c:pt idx="6">
                  <c:v>0.45</c:v>
                </c:pt>
                <c:pt idx="7">
                  <c:v>0.22</c:v>
                </c:pt>
                <c:pt idx="8">
                  <c:v>0.41000000000000031</c:v>
                </c:pt>
                <c:pt idx="10">
                  <c:v>0.21000000000000021</c:v>
                </c:pt>
              </c:numCache>
            </c:numRef>
          </c:val>
          <c:extLst>
            <c:ext xmlns:c16="http://schemas.microsoft.com/office/drawing/2014/chart" uri="{C3380CC4-5D6E-409C-BE32-E72D297353CC}">
              <c16:uniqueId val="{00000002-F53A-43E8-8280-641B665586A5}"/>
            </c:ext>
          </c:extLst>
        </c:ser>
        <c:dLbls>
          <c:showLegendKey val="0"/>
          <c:showVal val="0"/>
          <c:showCatName val="0"/>
          <c:showSerName val="0"/>
          <c:showPercent val="0"/>
          <c:showBubbleSize val="0"/>
        </c:dLbls>
        <c:gapWidth val="150"/>
        <c:axId val="171013248"/>
        <c:axId val="171014784"/>
      </c:barChart>
      <c:catAx>
        <c:axId val="171013248"/>
        <c:scaling>
          <c:orientation val="minMax"/>
        </c:scaling>
        <c:delete val="0"/>
        <c:axPos val="b"/>
        <c:numFmt formatCode="General" sourceLinked="0"/>
        <c:majorTickMark val="out"/>
        <c:minorTickMark val="none"/>
        <c:tickLblPos val="nextTo"/>
        <c:txPr>
          <a:bodyPr/>
          <a:lstStyle/>
          <a:p>
            <a:pPr>
              <a:defRPr sz="800"/>
            </a:pPr>
            <a:endParaRPr lang="fr-FR"/>
          </a:p>
        </c:txPr>
        <c:crossAx val="171014784"/>
        <c:crosses val="autoZero"/>
        <c:auto val="1"/>
        <c:lblAlgn val="ctr"/>
        <c:lblOffset val="100"/>
        <c:noMultiLvlLbl val="0"/>
      </c:catAx>
      <c:valAx>
        <c:axId val="171014784"/>
        <c:scaling>
          <c:orientation val="minMax"/>
        </c:scaling>
        <c:delete val="0"/>
        <c:axPos val="l"/>
        <c:majorGridlines/>
        <c:numFmt formatCode="0%" sourceLinked="1"/>
        <c:majorTickMark val="out"/>
        <c:minorTickMark val="none"/>
        <c:tickLblPos val="nextTo"/>
        <c:txPr>
          <a:bodyPr/>
          <a:lstStyle/>
          <a:p>
            <a:pPr>
              <a:defRPr sz="900"/>
            </a:pPr>
            <a:endParaRPr lang="fr-FR"/>
          </a:p>
        </c:txPr>
        <c:crossAx val="171013248"/>
        <c:crosses val="autoZero"/>
        <c:crossBetween val="between"/>
      </c:valAx>
      <c:spPr>
        <a:scene3d>
          <a:camera prst="orthographicFront"/>
          <a:lightRig rig="threePt" dir="t"/>
        </a:scene3d>
        <a:sp3d>
          <a:bevelT/>
        </a:sp3d>
      </c:spPr>
    </c:plotArea>
    <c:legend>
      <c:legendPos val="r"/>
      <c:overlay val="0"/>
      <c:txPr>
        <a:bodyPr/>
        <a:lstStyle/>
        <a:p>
          <a:pPr>
            <a:defRPr sz="800"/>
          </a:pPr>
          <a:endParaRPr lang="fr-FR"/>
        </a:p>
      </c:txPr>
    </c:legend>
    <c:plotVisOnly val="1"/>
    <c:dispBlanksAs val="gap"/>
    <c:showDLblsOverMax val="0"/>
  </c:chart>
  <c:spPr>
    <a:solidFill>
      <a:schemeClr val="lt1"/>
    </a:solidFill>
    <a:ln w="25400" cap="flat" cmpd="sng" algn="ctr">
      <a:solidFill>
        <a:schemeClr val="dk1"/>
      </a:solidFill>
      <a:prstDash val="solid"/>
    </a:ln>
    <a:effectLst/>
  </c:spPr>
  <c:txPr>
    <a:bodyPr/>
    <a:lstStyle/>
    <a:p>
      <a:pPr>
        <a:defRPr>
          <a:solidFill>
            <a:schemeClr val="dk1"/>
          </a:solidFill>
          <a:latin typeface="+mn-lt"/>
          <a:ea typeface="+mn-ea"/>
          <a:cs typeface="+mn-cs"/>
        </a:defRPr>
      </a:pPr>
      <a:endParaRPr lang="fr-FR"/>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21"/>
    </mc:Choice>
    <mc:Fallback>
      <c:style val="21"/>
    </mc:Fallback>
  </mc:AlternateContent>
  <c:clrMapOvr bg1="lt1" tx1="dk1" bg2="lt2" tx2="dk2" accent1="accent1" accent2="accent2" accent3="accent3" accent4="accent4" accent5="accent5" accent6="accent6" hlink="hlink" folHlink="folHlink"/>
  <c:chart>
    <c:title>
      <c:layout>
        <c:manualLayout>
          <c:xMode val="edge"/>
          <c:yMode val="edge"/>
          <c:x val="0.35791030064070972"/>
          <c:y val="0"/>
        </c:manualLayout>
      </c:layout>
      <c:overlay val="0"/>
      <c:txPr>
        <a:bodyPr/>
        <a:lstStyle/>
        <a:p>
          <a:pPr>
            <a:defRPr sz="1000"/>
          </a:pPr>
          <a:endParaRPr lang="fr-FR"/>
        </a:p>
      </c:txPr>
    </c:title>
    <c:autoTitleDeleted val="0"/>
    <c:plotArea>
      <c:layout/>
      <c:barChart>
        <c:barDir val="bar"/>
        <c:grouping val="clustered"/>
        <c:varyColors val="0"/>
        <c:ser>
          <c:idx val="0"/>
          <c:order val="0"/>
          <c:tx>
            <c:strRef>
              <c:f>Feuil7!$E$7</c:f>
              <c:strCache>
                <c:ptCount val="1"/>
                <c:pt idx="0">
                  <c:v>Nutrition</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Feuil7!$B$8:$B$10</c:f>
              <c:strCache>
                <c:ptCount val="3"/>
                <c:pt idx="0">
                  <c:v>Extrants</c:v>
                </c:pt>
                <c:pt idx="1">
                  <c:v>Prestations</c:v>
                </c:pt>
                <c:pt idx="2">
                  <c:v>Intrants</c:v>
                </c:pt>
              </c:strCache>
            </c:strRef>
          </c:cat>
          <c:val>
            <c:numRef>
              <c:f>Feuil7!$E$8:$E$10</c:f>
              <c:numCache>
                <c:formatCode>General</c:formatCode>
                <c:ptCount val="3"/>
                <c:pt idx="0">
                  <c:v>62.4</c:v>
                </c:pt>
                <c:pt idx="1">
                  <c:v>65.5</c:v>
                </c:pt>
                <c:pt idx="2">
                  <c:v>46.6</c:v>
                </c:pt>
              </c:numCache>
            </c:numRef>
          </c:val>
          <c:extLst>
            <c:ext xmlns:c16="http://schemas.microsoft.com/office/drawing/2014/chart" uri="{C3380CC4-5D6E-409C-BE32-E72D297353CC}">
              <c16:uniqueId val="{00000000-28F0-4BE3-882E-07D7914BAFB9}"/>
            </c:ext>
          </c:extLst>
        </c:ser>
        <c:dLbls>
          <c:showLegendKey val="0"/>
          <c:showVal val="0"/>
          <c:showCatName val="0"/>
          <c:showSerName val="0"/>
          <c:showPercent val="0"/>
          <c:showBubbleSize val="0"/>
        </c:dLbls>
        <c:gapWidth val="150"/>
        <c:axId val="298078960"/>
        <c:axId val="298073520"/>
      </c:barChart>
      <c:catAx>
        <c:axId val="298078960"/>
        <c:scaling>
          <c:orientation val="minMax"/>
        </c:scaling>
        <c:delete val="0"/>
        <c:axPos val="l"/>
        <c:numFmt formatCode="General" sourceLinked="0"/>
        <c:majorTickMark val="out"/>
        <c:minorTickMark val="none"/>
        <c:tickLblPos val="nextTo"/>
        <c:crossAx val="298073520"/>
        <c:crosses val="autoZero"/>
        <c:auto val="1"/>
        <c:lblAlgn val="ctr"/>
        <c:lblOffset val="100"/>
        <c:noMultiLvlLbl val="0"/>
      </c:catAx>
      <c:valAx>
        <c:axId val="298073520"/>
        <c:scaling>
          <c:orientation val="minMax"/>
        </c:scaling>
        <c:delete val="0"/>
        <c:axPos val="b"/>
        <c:majorGridlines/>
        <c:numFmt formatCode="General" sourceLinked="1"/>
        <c:majorTickMark val="out"/>
        <c:minorTickMark val="none"/>
        <c:tickLblPos val="nextTo"/>
        <c:crossAx val="298078960"/>
        <c:crosses val="autoZero"/>
        <c:crossBetween val="between"/>
        <c:majorUnit val="50"/>
        <c:minorUnit val="50"/>
      </c:valAx>
    </c:plotArea>
    <c:plotVisOnly val="1"/>
    <c:dispBlanksAs val="gap"/>
    <c:showDLblsOverMax val="0"/>
  </c:chart>
  <c:txPr>
    <a:bodyPr/>
    <a:lstStyle/>
    <a:p>
      <a:pPr>
        <a:defRPr>
          <a:latin typeface="Arial" pitchFamily="34" charset="0"/>
          <a:cs typeface="Arial" pitchFamily="34" charset="0"/>
        </a:defRPr>
      </a:pPr>
      <a:endParaRPr lang="fr-FR"/>
    </a:p>
  </c:txPr>
  <c:externalData r:id="rId2">
    <c:autoUpdate val="0"/>
  </c:externalData>
  <c:userShapes r:id="rId3"/>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1" i="0" u="none" strike="noStrike" kern="1200" cap="none" spc="0" normalizeH="0" baseline="0">
                <a:solidFill>
                  <a:schemeClr val="dk1">
                    <a:lumMod val="50000"/>
                    <a:lumOff val="50000"/>
                  </a:schemeClr>
                </a:solidFill>
                <a:latin typeface="+mj-lt"/>
                <a:ea typeface="+mj-ea"/>
                <a:cs typeface="+mj-cs"/>
              </a:defRPr>
            </a:pPr>
            <a:r>
              <a:rPr lang="fr-FR" sz="1200"/>
              <a:t>Proportion</a:t>
            </a:r>
            <a:r>
              <a:rPr lang="fr-FR" sz="1200" baseline="0"/>
              <a:t> des enfants mise au sein dans la première heure suivant la naissance par région </a:t>
            </a:r>
            <a:endParaRPr lang="fr-FR" sz="1200"/>
          </a:p>
        </c:rich>
      </c:tx>
      <c:overlay val="0"/>
      <c:spPr>
        <a:noFill/>
        <a:ln>
          <a:noFill/>
        </a:ln>
        <a:effectLst/>
      </c:spPr>
      <c:txPr>
        <a:bodyPr rot="0" spcFirstLastPara="1" vertOverflow="ellipsis" vert="horz" wrap="square" anchor="ctr" anchorCtr="1"/>
        <a:lstStyle/>
        <a:p>
          <a:pPr>
            <a:defRPr sz="1200" b="1" i="0" u="none" strike="noStrike" kern="1200" cap="none" spc="0" normalizeH="0" baseline="0">
              <a:solidFill>
                <a:schemeClr val="dk1">
                  <a:lumMod val="50000"/>
                  <a:lumOff val="50000"/>
                </a:schemeClr>
              </a:solidFill>
              <a:latin typeface="+mj-lt"/>
              <a:ea typeface="+mj-ea"/>
              <a:cs typeface="+mj-cs"/>
            </a:defRPr>
          </a:pPr>
          <a:endParaRPr lang="fr-FR"/>
        </a:p>
      </c:txPr>
    </c:title>
    <c:autoTitleDeleted val="0"/>
    <c:plotArea>
      <c:layout/>
      <c:barChart>
        <c:barDir val="col"/>
        <c:grouping val="clustered"/>
        <c:varyColors val="0"/>
        <c:ser>
          <c:idx val="0"/>
          <c:order val="0"/>
          <c:spPr>
            <a:solidFill>
              <a:schemeClr val="accent1"/>
            </a:solidFill>
            <a:ln>
              <a:noFill/>
            </a:ln>
            <a:effectLst/>
          </c:spPr>
          <c:invertIfNegative val="0"/>
          <c:cat>
            <c:strRef>
              <c:f>Feuil1!$A$1:$A$13</c:f>
              <c:strCache>
                <c:ptCount val="13"/>
                <c:pt idx="0">
                  <c:v>Boucle Mouhoun</c:v>
                </c:pt>
                <c:pt idx="1">
                  <c:v>Cascades</c:v>
                </c:pt>
                <c:pt idx="2">
                  <c:v>Centre </c:v>
                </c:pt>
                <c:pt idx="3">
                  <c:v>Centre Est</c:v>
                </c:pt>
                <c:pt idx="4">
                  <c:v>Centre Nord</c:v>
                </c:pt>
                <c:pt idx="5">
                  <c:v>Centre Ouest</c:v>
                </c:pt>
                <c:pt idx="6">
                  <c:v>Centre Sud</c:v>
                </c:pt>
                <c:pt idx="7">
                  <c:v>Est</c:v>
                </c:pt>
                <c:pt idx="8">
                  <c:v>Hauts Bassins</c:v>
                </c:pt>
                <c:pt idx="9">
                  <c:v>Nord</c:v>
                </c:pt>
                <c:pt idx="10">
                  <c:v>Plateau Central</c:v>
                </c:pt>
                <c:pt idx="11">
                  <c:v>Sahel</c:v>
                </c:pt>
                <c:pt idx="12">
                  <c:v>SudOuset</c:v>
                </c:pt>
              </c:strCache>
            </c:strRef>
          </c:cat>
          <c:val>
            <c:numRef>
              <c:f>Feuil1!$B$1:$B$13</c:f>
              <c:numCache>
                <c:formatCode>General</c:formatCode>
                <c:ptCount val="13"/>
                <c:pt idx="0">
                  <c:v>60</c:v>
                </c:pt>
                <c:pt idx="1">
                  <c:v>66.900000000000006</c:v>
                </c:pt>
                <c:pt idx="2">
                  <c:v>43</c:v>
                </c:pt>
                <c:pt idx="3">
                  <c:v>59.7</c:v>
                </c:pt>
                <c:pt idx="4">
                  <c:v>63.9</c:v>
                </c:pt>
                <c:pt idx="5">
                  <c:v>64.7</c:v>
                </c:pt>
                <c:pt idx="6">
                  <c:v>63.4</c:v>
                </c:pt>
                <c:pt idx="7">
                  <c:v>72.400000000000006</c:v>
                </c:pt>
                <c:pt idx="8">
                  <c:v>44.4</c:v>
                </c:pt>
                <c:pt idx="9">
                  <c:v>65.2</c:v>
                </c:pt>
                <c:pt idx="10">
                  <c:v>70.5</c:v>
                </c:pt>
                <c:pt idx="11">
                  <c:v>56.7</c:v>
                </c:pt>
                <c:pt idx="12">
                  <c:v>41.6</c:v>
                </c:pt>
              </c:numCache>
            </c:numRef>
          </c:val>
          <c:extLst>
            <c:ext xmlns:c16="http://schemas.microsoft.com/office/drawing/2014/chart" uri="{C3380CC4-5D6E-409C-BE32-E72D297353CC}">
              <c16:uniqueId val="{00000000-1390-477E-BD60-120AF9A35850}"/>
            </c:ext>
          </c:extLst>
        </c:ser>
        <c:dLbls>
          <c:showLegendKey val="0"/>
          <c:showVal val="0"/>
          <c:showCatName val="0"/>
          <c:showSerName val="0"/>
          <c:showPercent val="0"/>
          <c:showBubbleSize val="0"/>
        </c:dLbls>
        <c:gapWidth val="267"/>
        <c:axId val="-302005760"/>
        <c:axId val="-301995968"/>
      </c:barChart>
      <c:lineChart>
        <c:grouping val="standard"/>
        <c:varyColors val="0"/>
        <c:ser>
          <c:idx val="1"/>
          <c:order val="1"/>
          <c:spPr>
            <a:ln w="22225" cap="rnd">
              <a:solidFill>
                <a:schemeClr val="accent2"/>
              </a:solidFill>
              <a:round/>
            </a:ln>
            <a:effectLst/>
          </c:spPr>
          <c:marker>
            <c:symbol val="none"/>
          </c:marker>
          <c:cat>
            <c:strRef>
              <c:f>Feuil1!$A$1:$A$13</c:f>
              <c:strCache>
                <c:ptCount val="13"/>
                <c:pt idx="0">
                  <c:v>Boucle Mouhoun</c:v>
                </c:pt>
                <c:pt idx="1">
                  <c:v>Cascades</c:v>
                </c:pt>
                <c:pt idx="2">
                  <c:v>Centre </c:v>
                </c:pt>
                <c:pt idx="3">
                  <c:v>Centre Est</c:v>
                </c:pt>
                <c:pt idx="4">
                  <c:v>Centre Nord</c:v>
                </c:pt>
                <c:pt idx="5">
                  <c:v>Centre Ouest</c:v>
                </c:pt>
                <c:pt idx="6">
                  <c:v>Centre Sud</c:v>
                </c:pt>
                <c:pt idx="7">
                  <c:v>Est</c:v>
                </c:pt>
                <c:pt idx="8">
                  <c:v>Hauts Bassins</c:v>
                </c:pt>
                <c:pt idx="9">
                  <c:v>Nord</c:v>
                </c:pt>
                <c:pt idx="10">
                  <c:v>Plateau Central</c:v>
                </c:pt>
                <c:pt idx="11">
                  <c:v>Sahel</c:v>
                </c:pt>
                <c:pt idx="12">
                  <c:v>SudOuset</c:v>
                </c:pt>
              </c:strCache>
            </c:strRef>
          </c:cat>
          <c:val>
            <c:numRef>
              <c:f>Feuil1!$C$1:$C$13</c:f>
              <c:numCache>
                <c:formatCode>General</c:formatCode>
                <c:ptCount val="13"/>
                <c:pt idx="0">
                  <c:v>55.8</c:v>
                </c:pt>
                <c:pt idx="1">
                  <c:v>55.8</c:v>
                </c:pt>
                <c:pt idx="2">
                  <c:v>55.8</c:v>
                </c:pt>
                <c:pt idx="3">
                  <c:v>55.8</c:v>
                </c:pt>
                <c:pt idx="4">
                  <c:v>55.8</c:v>
                </c:pt>
                <c:pt idx="5">
                  <c:v>55.8</c:v>
                </c:pt>
                <c:pt idx="6">
                  <c:v>55.8</c:v>
                </c:pt>
                <c:pt idx="7">
                  <c:v>55.8</c:v>
                </c:pt>
                <c:pt idx="8">
                  <c:v>55.8</c:v>
                </c:pt>
                <c:pt idx="9">
                  <c:v>55.8</c:v>
                </c:pt>
                <c:pt idx="10">
                  <c:v>55.8</c:v>
                </c:pt>
                <c:pt idx="11">
                  <c:v>55.8</c:v>
                </c:pt>
                <c:pt idx="12">
                  <c:v>55.8</c:v>
                </c:pt>
              </c:numCache>
            </c:numRef>
          </c:val>
          <c:smooth val="0"/>
          <c:extLst>
            <c:ext xmlns:c16="http://schemas.microsoft.com/office/drawing/2014/chart" uri="{C3380CC4-5D6E-409C-BE32-E72D297353CC}">
              <c16:uniqueId val="{00000001-1390-477E-BD60-120AF9A35850}"/>
            </c:ext>
          </c:extLst>
        </c:ser>
        <c:dLbls>
          <c:showLegendKey val="0"/>
          <c:showVal val="0"/>
          <c:showCatName val="0"/>
          <c:showSerName val="0"/>
          <c:showPercent val="0"/>
          <c:showBubbleSize val="0"/>
        </c:dLbls>
        <c:marker val="1"/>
        <c:smooth val="0"/>
        <c:axId val="-302005760"/>
        <c:axId val="-301995968"/>
      </c:lineChart>
      <c:catAx>
        <c:axId val="-302005760"/>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fr-FR"/>
          </a:p>
        </c:txPr>
        <c:crossAx val="-301995968"/>
        <c:crosses val="autoZero"/>
        <c:auto val="1"/>
        <c:lblAlgn val="ctr"/>
        <c:lblOffset val="100"/>
        <c:noMultiLvlLbl val="0"/>
      </c:catAx>
      <c:valAx>
        <c:axId val="-301995968"/>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crossAx val="-302005760"/>
        <c:crosses val="autoZero"/>
        <c:crossBetween val="between"/>
      </c:valAx>
      <c:spPr>
        <a:pattFill prst="ltDnDiag">
          <a:fgClr>
            <a:schemeClr val="dk1">
              <a:lumMod val="15000"/>
              <a:lumOff val="85000"/>
            </a:schemeClr>
          </a:fgClr>
          <a:bgClr>
            <a:schemeClr val="lt1"/>
          </a:bgClr>
        </a:pattFill>
        <a:ln>
          <a:noFill/>
        </a:ln>
        <a:effectLst/>
      </c:spPr>
    </c:plotArea>
    <c:plotVisOnly val="1"/>
    <c:dispBlanksAs val="gap"/>
    <c:showDLblsOverMax val="0"/>
  </c:chart>
  <c:spPr>
    <a:solidFill>
      <a:schemeClr val="lt1"/>
    </a:solidFill>
    <a:ln w="9525" cap="flat" cmpd="sng" algn="ctr">
      <a:solidFill>
        <a:schemeClr val="dk1">
          <a:lumMod val="15000"/>
          <a:lumOff val="85000"/>
        </a:schemeClr>
      </a:solidFill>
      <a:round/>
    </a:ln>
    <a:effectLst/>
  </c:spPr>
  <c:txPr>
    <a:bodyPr/>
    <a:lstStyle/>
    <a:p>
      <a:pPr>
        <a:defRPr/>
      </a:pPr>
      <a:endParaRPr lang="fr-FR"/>
    </a:p>
  </c:txPr>
  <c:externalData r:id="rId4">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spPr>
            <a:solidFill>
              <a:schemeClr val="accent1"/>
            </a:solidFill>
            <a:ln>
              <a:noFill/>
            </a:ln>
            <a:effectLst/>
          </c:spPr>
          <c:invertIfNegative val="0"/>
          <c:cat>
            <c:strRef>
              <c:f>Allaitement!$A$2:$A$14</c:f>
              <c:strCache>
                <c:ptCount val="13"/>
                <c:pt idx="0">
                  <c:v>Centre Nord </c:v>
                </c:pt>
                <c:pt idx="1">
                  <c:v>Centre Ouest </c:v>
                </c:pt>
                <c:pt idx="2">
                  <c:v>Centre Sud </c:v>
                </c:pt>
                <c:pt idx="3">
                  <c:v>Est </c:v>
                </c:pt>
                <c:pt idx="4">
                  <c:v>Nord </c:v>
                </c:pt>
                <c:pt idx="5">
                  <c:v>Plateau Central </c:v>
                </c:pt>
                <c:pt idx="6">
                  <c:v>Centre Est </c:v>
                </c:pt>
                <c:pt idx="7">
                  <c:v>Sahel </c:v>
                </c:pt>
                <c:pt idx="8">
                  <c:v>Sud-Ouest </c:v>
                </c:pt>
                <c:pt idx="9">
                  <c:v>Hauts Bassins </c:v>
                </c:pt>
                <c:pt idx="10">
                  <c:v>Cascades </c:v>
                </c:pt>
                <c:pt idx="11">
                  <c:v>B Mouhoun </c:v>
                </c:pt>
                <c:pt idx="12">
                  <c:v>Centre </c:v>
                </c:pt>
              </c:strCache>
            </c:strRef>
          </c:cat>
          <c:val>
            <c:numRef>
              <c:f>Allaitement!$B$2:$B$14</c:f>
              <c:numCache>
                <c:formatCode>General</c:formatCode>
                <c:ptCount val="13"/>
                <c:pt idx="0">
                  <c:v>69.599999999999994</c:v>
                </c:pt>
                <c:pt idx="1">
                  <c:v>67.5</c:v>
                </c:pt>
                <c:pt idx="2">
                  <c:v>66.400000000000006</c:v>
                </c:pt>
                <c:pt idx="3">
                  <c:v>60.5</c:v>
                </c:pt>
                <c:pt idx="4">
                  <c:v>57.9</c:v>
                </c:pt>
                <c:pt idx="5">
                  <c:v>57</c:v>
                </c:pt>
                <c:pt idx="6">
                  <c:v>47.6</c:v>
                </c:pt>
                <c:pt idx="7">
                  <c:v>46.7</c:v>
                </c:pt>
                <c:pt idx="8">
                  <c:v>46.3</c:v>
                </c:pt>
                <c:pt idx="9">
                  <c:v>43.8</c:v>
                </c:pt>
                <c:pt idx="10">
                  <c:v>43.7</c:v>
                </c:pt>
                <c:pt idx="11">
                  <c:v>39.299999999999997</c:v>
                </c:pt>
                <c:pt idx="12">
                  <c:v>26.9</c:v>
                </c:pt>
              </c:numCache>
            </c:numRef>
          </c:val>
          <c:extLst>
            <c:ext xmlns:c16="http://schemas.microsoft.com/office/drawing/2014/chart" uri="{C3380CC4-5D6E-409C-BE32-E72D297353CC}">
              <c16:uniqueId val="{00000000-484E-43BB-A145-EAB27A2D5E2E}"/>
            </c:ext>
          </c:extLst>
        </c:ser>
        <c:dLbls>
          <c:showLegendKey val="0"/>
          <c:showVal val="0"/>
          <c:showCatName val="0"/>
          <c:showSerName val="0"/>
          <c:showPercent val="0"/>
          <c:showBubbleSize val="0"/>
        </c:dLbls>
        <c:gapWidth val="150"/>
        <c:axId val="-1759546416"/>
        <c:axId val="-1759544240"/>
      </c:barChart>
      <c:lineChart>
        <c:grouping val="standard"/>
        <c:varyColors val="0"/>
        <c:ser>
          <c:idx val="1"/>
          <c:order val="1"/>
          <c:spPr>
            <a:ln w="28575" cap="rnd">
              <a:solidFill>
                <a:schemeClr val="accent2"/>
              </a:solidFill>
              <a:round/>
            </a:ln>
            <a:effectLst/>
          </c:spPr>
          <c:marker>
            <c:symbol val="none"/>
          </c:marker>
          <c:cat>
            <c:strRef>
              <c:f>Allaitement!$A$2:$A$14</c:f>
              <c:strCache>
                <c:ptCount val="13"/>
                <c:pt idx="0">
                  <c:v>Centre Nord </c:v>
                </c:pt>
                <c:pt idx="1">
                  <c:v>Centre Ouest </c:v>
                </c:pt>
                <c:pt idx="2">
                  <c:v>Centre Sud </c:v>
                </c:pt>
                <c:pt idx="3">
                  <c:v>Est </c:v>
                </c:pt>
                <c:pt idx="4">
                  <c:v>Nord </c:v>
                </c:pt>
                <c:pt idx="5">
                  <c:v>Plateau Central </c:v>
                </c:pt>
                <c:pt idx="6">
                  <c:v>Centre Est </c:v>
                </c:pt>
                <c:pt idx="7">
                  <c:v>Sahel </c:v>
                </c:pt>
                <c:pt idx="8">
                  <c:v>Sud-Ouest </c:v>
                </c:pt>
                <c:pt idx="9">
                  <c:v>Hauts Bassins </c:v>
                </c:pt>
                <c:pt idx="10">
                  <c:v>Cascades </c:v>
                </c:pt>
                <c:pt idx="11">
                  <c:v>B Mouhoun </c:v>
                </c:pt>
                <c:pt idx="12">
                  <c:v>Centre </c:v>
                </c:pt>
              </c:strCache>
            </c:strRef>
          </c:cat>
          <c:val>
            <c:numRef>
              <c:f>Allaitement!$C$2:$C$14</c:f>
              <c:numCache>
                <c:formatCode>General</c:formatCode>
                <c:ptCount val="13"/>
                <c:pt idx="0">
                  <c:v>47.8</c:v>
                </c:pt>
                <c:pt idx="1">
                  <c:v>47.8</c:v>
                </c:pt>
                <c:pt idx="2">
                  <c:v>47.8</c:v>
                </c:pt>
                <c:pt idx="3">
                  <c:v>47.8</c:v>
                </c:pt>
                <c:pt idx="4">
                  <c:v>47.8</c:v>
                </c:pt>
                <c:pt idx="5">
                  <c:v>47.8</c:v>
                </c:pt>
                <c:pt idx="6">
                  <c:v>47.8</c:v>
                </c:pt>
                <c:pt idx="7">
                  <c:v>47.8</c:v>
                </c:pt>
                <c:pt idx="8">
                  <c:v>47.8</c:v>
                </c:pt>
                <c:pt idx="9">
                  <c:v>47.8</c:v>
                </c:pt>
                <c:pt idx="10">
                  <c:v>47.8</c:v>
                </c:pt>
                <c:pt idx="11">
                  <c:v>47.8</c:v>
                </c:pt>
                <c:pt idx="12">
                  <c:v>47.8</c:v>
                </c:pt>
              </c:numCache>
            </c:numRef>
          </c:val>
          <c:smooth val="0"/>
          <c:extLst>
            <c:ext xmlns:c16="http://schemas.microsoft.com/office/drawing/2014/chart" uri="{C3380CC4-5D6E-409C-BE32-E72D297353CC}">
              <c16:uniqueId val="{00000001-484E-43BB-A145-EAB27A2D5E2E}"/>
            </c:ext>
          </c:extLst>
        </c:ser>
        <c:dLbls>
          <c:showLegendKey val="0"/>
          <c:showVal val="0"/>
          <c:showCatName val="0"/>
          <c:showSerName val="0"/>
          <c:showPercent val="0"/>
          <c:showBubbleSize val="0"/>
        </c:dLbls>
        <c:marker val="1"/>
        <c:smooth val="0"/>
        <c:axId val="-1759546416"/>
        <c:axId val="-1759544240"/>
      </c:lineChart>
      <c:catAx>
        <c:axId val="-175954641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759544240"/>
        <c:crosses val="autoZero"/>
        <c:auto val="1"/>
        <c:lblAlgn val="ctr"/>
        <c:lblOffset val="100"/>
        <c:noMultiLvlLbl val="0"/>
      </c:catAx>
      <c:valAx>
        <c:axId val="-17595442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7595464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charts/style3.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0.71001</cdr:x>
      <cdr:y>0.01432</cdr:y>
    </cdr:from>
    <cdr:to>
      <cdr:x>0.72817</cdr:x>
      <cdr:y>0.39857</cdr:y>
    </cdr:to>
    <cdr:sp macro="" textlink="">
      <cdr:nvSpPr>
        <cdr:cNvPr id="2" name="Flèche vers le bas 1"/>
        <cdr:cNvSpPr/>
      </cdr:nvSpPr>
      <cdr:spPr>
        <a:xfrm xmlns:a="http://schemas.openxmlformats.org/drawingml/2006/main" flipH="1">
          <a:off x="4272766" y="49867"/>
          <a:ext cx="109285" cy="1338089"/>
        </a:xfrm>
        <a:prstGeom xmlns:a="http://schemas.openxmlformats.org/drawingml/2006/main" prst="downArrow">
          <a:avLst/>
        </a:prstGeom>
        <a:solidFill xmlns:a="http://schemas.openxmlformats.org/drawingml/2006/main">
          <a:srgbClr val="C0504D"/>
        </a:solidFill>
        <a:ln xmlns:a="http://schemas.openxmlformats.org/drawingml/2006/main" w="25400" cap="flat" cmpd="sng" algn="ctr">
          <a:solidFill>
            <a:srgbClr val="4F81BD">
              <a:shade val="50000"/>
            </a:srgbClr>
          </a:solidFill>
          <a:prstDash val="solid"/>
        </a:ln>
        <a:effectLst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ysClr val="window" lastClr="FFFFFF"/>
              </a:solidFill>
              <a:latin typeface="Calibri"/>
            </a:defRPr>
          </a:lvl1pPr>
          <a:lvl2pPr marL="457200" indent="0">
            <a:defRPr sz="1100">
              <a:solidFill>
                <a:sysClr val="window" lastClr="FFFFFF"/>
              </a:solidFill>
              <a:latin typeface="Calibri"/>
            </a:defRPr>
          </a:lvl2pPr>
          <a:lvl3pPr marL="914400" indent="0">
            <a:defRPr sz="1100">
              <a:solidFill>
                <a:sysClr val="window" lastClr="FFFFFF"/>
              </a:solidFill>
              <a:latin typeface="Calibri"/>
            </a:defRPr>
          </a:lvl3pPr>
          <a:lvl4pPr marL="1371600" indent="0">
            <a:defRPr sz="1100">
              <a:solidFill>
                <a:sysClr val="window" lastClr="FFFFFF"/>
              </a:solidFill>
              <a:latin typeface="Calibri"/>
            </a:defRPr>
          </a:lvl4pPr>
          <a:lvl5pPr marL="1828800" indent="0">
            <a:defRPr sz="1100">
              <a:solidFill>
                <a:sysClr val="window" lastClr="FFFFFF"/>
              </a:solidFill>
              <a:latin typeface="Calibri"/>
            </a:defRPr>
          </a:lvl5pPr>
          <a:lvl6pPr marL="2286000" indent="0">
            <a:defRPr sz="1100">
              <a:solidFill>
                <a:sysClr val="window" lastClr="FFFFFF"/>
              </a:solidFill>
              <a:latin typeface="Calibri"/>
            </a:defRPr>
          </a:lvl6pPr>
          <a:lvl7pPr marL="2743200" indent="0">
            <a:defRPr sz="1100">
              <a:solidFill>
                <a:sysClr val="window" lastClr="FFFFFF"/>
              </a:solidFill>
              <a:latin typeface="Calibri"/>
            </a:defRPr>
          </a:lvl7pPr>
          <a:lvl8pPr marL="3200400" indent="0">
            <a:defRPr sz="1100">
              <a:solidFill>
                <a:sysClr val="window" lastClr="FFFFFF"/>
              </a:solidFill>
              <a:latin typeface="Calibri"/>
            </a:defRPr>
          </a:lvl8pPr>
          <a:lvl9pPr marL="3657600" indent="0">
            <a:defRPr sz="1100">
              <a:solidFill>
                <a:sysClr val="window" lastClr="FFFFFF"/>
              </a:solidFill>
              <a:latin typeface="Calibri"/>
            </a:defRPr>
          </a:lvl9pPr>
        </a:lstStyle>
        <a:p xmlns:a="http://schemas.openxmlformats.org/drawingml/2006/main">
          <a:endParaRPr lang="fr-FR"/>
        </a:p>
      </cdr:txBody>
    </cdr:sp>
  </cdr:relSizeAnchor>
  <cdr:relSizeAnchor xmlns:cdr="http://schemas.openxmlformats.org/drawingml/2006/chartDrawing">
    <cdr:from>
      <cdr:x>0.13852</cdr:x>
      <cdr:y>0.02162</cdr:y>
    </cdr:from>
    <cdr:to>
      <cdr:x>0.16064</cdr:x>
      <cdr:y>0.15889</cdr:y>
    </cdr:to>
    <cdr:sp macro="" textlink="">
      <cdr:nvSpPr>
        <cdr:cNvPr id="3" name="Flèche vers le bas 2"/>
        <cdr:cNvSpPr/>
      </cdr:nvSpPr>
      <cdr:spPr>
        <a:xfrm xmlns:a="http://schemas.openxmlformats.org/drawingml/2006/main" flipH="1">
          <a:off x="833619" y="85061"/>
          <a:ext cx="133116" cy="540000"/>
        </a:xfrm>
        <a:prstGeom xmlns:a="http://schemas.openxmlformats.org/drawingml/2006/main" prst="downArrow">
          <a:avLst/>
        </a:prstGeom>
        <a:solidFill xmlns:a="http://schemas.openxmlformats.org/drawingml/2006/main">
          <a:srgbClr val="C0504D"/>
        </a:solidFill>
        <a:ln xmlns:a="http://schemas.openxmlformats.org/drawingml/2006/main" w="25400" cap="flat" cmpd="sng" algn="ctr">
          <a:solidFill>
            <a:srgbClr val="4F81BD">
              <a:shade val="50000"/>
            </a:srgbClr>
          </a:solidFill>
          <a:prstDash val="solid"/>
        </a:ln>
        <a:effectLst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ysClr val="window" lastClr="FFFFFF"/>
              </a:solidFill>
              <a:latin typeface="Calibri"/>
            </a:defRPr>
          </a:lvl1pPr>
          <a:lvl2pPr marL="457200" indent="0">
            <a:defRPr sz="1100">
              <a:solidFill>
                <a:sysClr val="window" lastClr="FFFFFF"/>
              </a:solidFill>
              <a:latin typeface="Calibri"/>
            </a:defRPr>
          </a:lvl2pPr>
          <a:lvl3pPr marL="914400" indent="0">
            <a:defRPr sz="1100">
              <a:solidFill>
                <a:sysClr val="window" lastClr="FFFFFF"/>
              </a:solidFill>
              <a:latin typeface="Calibri"/>
            </a:defRPr>
          </a:lvl3pPr>
          <a:lvl4pPr marL="1371600" indent="0">
            <a:defRPr sz="1100">
              <a:solidFill>
                <a:sysClr val="window" lastClr="FFFFFF"/>
              </a:solidFill>
              <a:latin typeface="Calibri"/>
            </a:defRPr>
          </a:lvl4pPr>
          <a:lvl5pPr marL="1828800" indent="0">
            <a:defRPr sz="1100">
              <a:solidFill>
                <a:sysClr val="window" lastClr="FFFFFF"/>
              </a:solidFill>
              <a:latin typeface="Calibri"/>
            </a:defRPr>
          </a:lvl5pPr>
          <a:lvl6pPr marL="2286000" indent="0">
            <a:defRPr sz="1100">
              <a:solidFill>
                <a:sysClr val="window" lastClr="FFFFFF"/>
              </a:solidFill>
              <a:latin typeface="Calibri"/>
            </a:defRPr>
          </a:lvl6pPr>
          <a:lvl7pPr marL="2743200" indent="0">
            <a:defRPr sz="1100">
              <a:solidFill>
                <a:sysClr val="window" lastClr="FFFFFF"/>
              </a:solidFill>
              <a:latin typeface="Calibri"/>
            </a:defRPr>
          </a:lvl7pPr>
          <a:lvl8pPr marL="3200400" indent="0">
            <a:defRPr sz="1100">
              <a:solidFill>
                <a:sysClr val="window" lastClr="FFFFFF"/>
              </a:solidFill>
              <a:latin typeface="Calibri"/>
            </a:defRPr>
          </a:lvl8pPr>
          <a:lvl9pPr marL="3657600" indent="0">
            <a:defRPr sz="1100">
              <a:solidFill>
                <a:sysClr val="window" lastClr="FFFFFF"/>
              </a:solidFill>
              <a:latin typeface="Calibri"/>
            </a:defRPr>
          </a:lvl9pPr>
        </a:lstStyle>
        <a:p xmlns:a="http://schemas.openxmlformats.org/drawingml/2006/main">
          <a:endParaRPr lang="fr-FR"/>
        </a:p>
      </cdr:txBody>
    </cdr:sp>
  </cdr:relSizeAnchor>
</c:userShapes>
</file>

<file path=word/drawings/drawing2.xml><?xml version="1.0" encoding="utf-8"?>
<c:userShapes xmlns:c="http://schemas.openxmlformats.org/drawingml/2006/chart">
  <cdr:relSizeAnchor xmlns:cdr="http://schemas.openxmlformats.org/drawingml/2006/chartDrawing">
    <cdr:from>
      <cdr:x>0.59466</cdr:x>
      <cdr:y>0</cdr:y>
    </cdr:from>
    <cdr:to>
      <cdr:x>0.61479</cdr:x>
      <cdr:y>0.11609</cdr:y>
    </cdr:to>
    <cdr:sp macro="" textlink="">
      <cdr:nvSpPr>
        <cdr:cNvPr id="2" name="Flèche vers le bas 1"/>
        <cdr:cNvSpPr/>
      </cdr:nvSpPr>
      <cdr:spPr>
        <a:xfrm xmlns:a="http://schemas.openxmlformats.org/drawingml/2006/main" flipH="1">
          <a:off x="3629201" y="0"/>
          <a:ext cx="122853" cy="432000"/>
        </a:xfrm>
        <a:prstGeom xmlns:a="http://schemas.openxmlformats.org/drawingml/2006/main" prst="downArrow">
          <a:avLst/>
        </a:prstGeom>
        <a:solidFill xmlns:a="http://schemas.openxmlformats.org/drawingml/2006/main">
          <a:srgbClr val="C0504D"/>
        </a:solidFill>
        <a:ln xmlns:a="http://schemas.openxmlformats.org/drawingml/2006/main" w="25400" cap="flat" cmpd="sng" algn="ctr">
          <a:solidFill>
            <a:srgbClr val="4F81BD">
              <a:shade val="50000"/>
            </a:srgbClr>
          </a:solidFill>
          <a:prstDash val="solid"/>
        </a:ln>
        <a:effectLst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ysClr val="window" lastClr="FFFFFF"/>
              </a:solidFill>
              <a:latin typeface="Calibri"/>
            </a:defRPr>
          </a:lvl1pPr>
          <a:lvl2pPr marL="457200" indent="0">
            <a:defRPr sz="1100">
              <a:solidFill>
                <a:sysClr val="window" lastClr="FFFFFF"/>
              </a:solidFill>
              <a:latin typeface="Calibri"/>
            </a:defRPr>
          </a:lvl2pPr>
          <a:lvl3pPr marL="914400" indent="0">
            <a:defRPr sz="1100">
              <a:solidFill>
                <a:sysClr val="window" lastClr="FFFFFF"/>
              </a:solidFill>
              <a:latin typeface="Calibri"/>
            </a:defRPr>
          </a:lvl3pPr>
          <a:lvl4pPr marL="1371600" indent="0">
            <a:defRPr sz="1100">
              <a:solidFill>
                <a:sysClr val="window" lastClr="FFFFFF"/>
              </a:solidFill>
              <a:latin typeface="Calibri"/>
            </a:defRPr>
          </a:lvl4pPr>
          <a:lvl5pPr marL="1828800" indent="0">
            <a:defRPr sz="1100">
              <a:solidFill>
                <a:sysClr val="window" lastClr="FFFFFF"/>
              </a:solidFill>
              <a:latin typeface="Calibri"/>
            </a:defRPr>
          </a:lvl5pPr>
          <a:lvl6pPr marL="2286000" indent="0">
            <a:defRPr sz="1100">
              <a:solidFill>
                <a:sysClr val="window" lastClr="FFFFFF"/>
              </a:solidFill>
              <a:latin typeface="Calibri"/>
            </a:defRPr>
          </a:lvl6pPr>
          <a:lvl7pPr marL="2743200" indent="0">
            <a:defRPr sz="1100">
              <a:solidFill>
                <a:sysClr val="window" lastClr="FFFFFF"/>
              </a:solidFill>
              <a:latin typeface="Calibri"/>
            </a:defRPr>
          </a:lvl7pPr>
          <a:lvl8pPr marL="3200400" indent="0">
            <a:defRPr sz="1100">
              <a:solidFill>
                <a:sysClr val="window" lastClr="FFFFFF"/>
              </a:solidFill>
              <a:latin typeface="Calibri"/>
            </a:defRPr>
          </a:lvl8pPr>
          <a:lvl9pPr marL="3657600" indent="0">
            <a:defRPr sz="1100">
              <a:solidFill>
                <a:sysClr val="window" lastClr="FFFFFF"/>
              </a:solidFill>
              <a:latin typeface="Calibri"/>
            </a:defRPr>
          </a:lvl9pPr>
        </a:lstStyle>
        <a:p xmlns:a="http://schemas.openxmlformats.org/drawingml/2006/main">
          <a:endParaRPr lang="fr-FR"/>
        </a:p>
      </cdr:txBody>
    </cdr:sp>
  </cdr:relSizeAnchor>
  <cdr:relSizeAnchor xmlns:cdr="http://schemas.openxmlformats.org/drawingml/2006/chartDrawing">
    <cdr:from>
      <cdr:x>0.75214</cdr:x>
      <cdr:y>0</cdr:y>
    </cdr:from>
    <cdr:to>
      <cdr:x>0.76984</cdr:x>
      <cdr:y>0.22251</cdr:y>
    </cdr:to>
    <cdr:sp macro="" textlink="">
      <cdr:nvSpPr>
        <cdr:cNvPr id="3" name="Flèche vers le bas 2"/>
        <cdr:cNvSpPr/>
      </cdr:nvSpPr>
      <cdr:spPr>
        <a:xfrm xmlns:a="http://schemas.openxmlformats.org/drawingml/2006/main" flipH="1">
          <a:off x="4590299" y="0"/>
          <a:ext cx="108000" cy="828000"/>
        </a:xfrm>
        <a:prstGeom xmlns:a="http://schemas.openxmlformats.org/drawingml/2006/main" prst="downArrow">
          <a:avLst/>
        </a:prstGeom>
        <a:solidFill xmlns:a="http://schemas.openxmlformats.org/drawingml/2006/main">
          <a:srgbClr val="C0504D"/>
        </a:solidFill>
        <a:ln xmlns:a="http://schemas.openxmlformats.org/drawingml/2006/main" w="25400" cap="flat" cmpd="sng" algn="ctr">
          <a:solidFill>
            <a:srgbClr val="4F81BD">
              <a:shade val="50000"/>
            </a:srgbClr>
          </a:solidFill>
          <a:prstDash val="solid"/>
        </a:ln>
        <a:effectLst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ysClr val="window" lastClr="FFFFFF"/>
              </a:solidFill>
              <a:latin typeface="Calibri"/>
            </a:defRPr>
          </a:lvl1pPr>
          <a:lvl2pPr marL="457200" indent="0">
            <a:defRPr sz="1100">
              <a:solidFill>
                <a:sysClr val="window" lastClr="FFFFFF"/>
              </a:solidFill>
              <a:latin typeface="Calibri"/>
            </a:defRPr>
          </a:lvl2pPr>
          <a:lvl3pPr marL="914400" indent="0">
            <a:defRPr sz="1100">
              <a:solidFill>
                <a:sysClr val="window" lastClr="FFFFFF"/>
              </a:solidFill>
              <a:latin typeface="Calibri"/>
            </a:defRPr>
          </a:lvl3pPr>
          <a:lvl4pPr marL="1371600" indent="0">
            <a:defRPr sz="1100">
              <a:solidFill>
                <a:sysClr val="window" lastClr="FFFFFF"/>
              </a:solidFill>
              <a:latin typeface="Calibri"/>
            </a:defRPr>
          </a:lvl4pPr>
          <a:lvl5pPr marL="1828800" indent="0">
            <a:defRPr sz="1100">
              <a:solidFill>
                <a:sysClr val="window" lastClr="FFFFFF"/>
              </a:solidFill>
              <a:latin typeface="Calibri"/>
            </a:defRPr>
          </a:lvl5pPr>
          <a:lvl6pPr marL="2286000" indent="0">
            <a:defRPr sz="1100">
              <a:solidFill>
                <a:sysClr val="window" lastClr="FFFFFF"/>
              </a:solidFill>
              <a:latin typeface="Calibri"/>
            </a:defRPr>
          </a:lvl6pPr>
          <a:lvl7pPr marL="2743200" indent="0">
            <a:defRPr sz="1100">
              <a:solidFill>
                <a:sysClr val="window" lastClr="FFFFFF"/>
              </a:solidFill>
              <a:latin typeface="Calibri"/>
            </a:defRPr>
          </a:lvl7pPr>
          <a:lvl8pPr marL="3200400" indent="0">
            <a:defRPr sz="1100">
              <a:solidFill>
                <a:sysClr val="window" lastClr="FFFFFF"/>
              </a:solidFill>
              <a:latin typeface="Calibri"/>
            </a:defRPr>
          </a:lvl8pPr>
          <a:lvl9pPr marL="3657600" indent="0">
            <a:defRPr sz="1100">
              <a:solidFill>
                <a:sysClr val="window" lastClr="FFFFFF"/>
              </a:solidFill>
              <a:latin typeface="Calibri"/>
            </a:defRPr>
          </a:lvl9pPr>
        </a:lstStyle>
        <a:p xmlns:a="http://schemas.openxmlformats.org/drawingml/2006/main">
          <a:endParaRPr lang="fr-FR"/>
        </a:p>
      </cdr:txBody>
    </cdr:sp>
  </cdr:relSizeAnchor>
</c:userShapes>
</file>

<file path=word/drawings/drawing3.xml><?xml version="1.0" encoding="utf-8"?>
<c:userShapes xmlns:c="http://schemas.openxmlformats.org/drawingml/2006/chart">
  <cdr:relSizeAnchor xmlns:cdr="http://schemas.openxmlformats.org/drawingml/2006/chartDrawing">
    <cdr:from>
      <cdr:x>0.58852</cdr:x>
      <cdr:y>0.00702</cdr:y>
    </cdr:from>
    <cdr:to>
      <cdr:x>0.61217</cdr:x>
      <cdr:y>0.29093</cdr:y>
    </cdr:to>
    <cdr:sp macro="" textlink="">
      <cdr:nvSpPr>
        <cdr:cNvPr id="2" name="Flèche vers le bas 1"/>
        <cdr:cNvSpPr/>
      </cdr:nvSpPr>
      <cdr:spPr>
        <a:xfrm xmlns:a="http://schemas.openxmlformats.org/drawingml/2006/main" flipH="1">
          <a:off x="3630968" y="28586"/>
          <a:ext cx="145902" cy="1156157"/>
        </a:xfrm>
        <a:prstGeom xmlns:a="http://schemas.openxmlformats.org/drawingml/2006/main" prst="downArrow">
          <a:avLst/>
        </a:prstGeom>
        <a:solidFill xmlns:a="http://schemas.openxmlformats.org/drawingml/2006/main">
          <a:srgbClr val="C0504D"/>
        </a:solidFill>
        <a:ln xmlns:a="http://schemas.openxmlformats.org/drawingml/2006/main" w="25400" cap="flat" cmpd="sng" algn="ctr">
          <a:solidFill>
            <a:srgbClr val="4F81BD">
              <a:shade val="50000"/>
            </a:srgbClr>
          </a:solidFill>
          <a:prstDash val="solid"/>
        </a:ln>
        <a:effectLst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ysClr val="window" lastClr="FFFFFF"/>
              </a:solidFill>
              <a:latin typeface="Calibri"/>
            </a:defRPr>
          </a:lvl1pPr>
          <a:lvl2pPr marL="457200" indent="0">
            <a:defRPr sz="1100">
              <a:solidFill>
                <a:sysClr val="window" lastClr="FFFFFF"/>
              </a:solidFill>
              <a:latin typeface="Calibri"/>
            </a:defRPr>
          </a:lvl2pPr>
          <a:lvl3pPr marL="914400" indent="0">
            <a:defRPr sz="1100">
              <a:solidFill>
                <a:sysClr val="window" lastClr="FFFFFF"/>
              </a:solidFill>
              <a:latin typeface="Calibri"/>
            </a:defRPr>
          </a:lvl3pPr>
          <a:lvl4pPr marL="1371600" indent="0">
            <a:defRPr sz="1100">
              <a:solidFill>
                <a:sysClr val="window" lastClr="FFFFFF"/>
              </a:solidFill>
              <a:latin typeface="Calibri"/>
            </a:defRPr>
          </a:lvl4pPr>
          <a:lvl5pPr marL="1828800" indent="0">
            <a:defRPr sz="1100">
              <a:solidFill>
                <a:sysClr val="window" lastClr="FFFFFF"/>
              </a:solidFill>
              <a:latin typeface="Calibri"/>
            </a:defRPr>
          </a:lvl5pPr>
          <a:lvl6pPr marL="2286000" indent="0">
            <a:defRPr sz="1100">
              <a:solidFill>
                <a:sysClr val="window" lastClr="FFFFFF"/>
              </a:solidFill>
              <a:latin typeface="Calibri"/>
            </a:defRPr>
          </a:lvl6pPr>
          <a:lvl7pPr marL="2743200" indent="0">
            <a:defRPr sz="1100">
              <a:solidFill>
                <a:sysClr val="window" lastClr="FFFFFF"/>
              </a:solidFill>
              <a:latin typeface="Calibri"/>
            </a:defRPr>
          </a:lvl7pPr>
          <a:lvl8pPr marL="3200400" indent="0">
            <a:defRPr sz="1100">
              <a:solidFill>
                <a:sysClr val="window" lastClr="FFFFFF"/>
              </a:solidFill>
              <a:latin typeface="Calibri"/>
            </a:defRPr>
          </a:lvl8pPr>
          <a:lvl9pPr marL="3657600" indent="0">
            <a:defRPr sz="1100">
              <a:solidFill>
                <a:sysClr val="window" lastClr="FFFFFF"/>
              </a:solidFill>
              <a:latin typeface="Calibri"/>
            </a:defRPr>
          </a:lvl9pPr>
        </a:lstStyle>
        <a:p xmlns:a="http://schemas.openxmlformats.org/drawingml/2006/main">
          <a:endParaRPr lang="fr-FR"/>
        </a:p>
      </cdr:txBody>
    </cdr:sp>
  </cdr:relSizeAnchor>
  <cdr:relSizeAnchor xmlns:cdr="http://schemas.openxmlformats.org/drawingml/2006/chartDrawing">
    <cdr:from>
      <cdr:x>0.74605</cdr:x>
      <cdr:y>0</cdr:y>
    </cdr:from>
    <cdr:to>
      <cdr:x>0.77069</cdr:x>
      <cdr:y>0.31046</cdr:y>
    </cdr:to>
    <cdr:sp macro="" textlink="">
      <cdr:nvSpPr>
        <cdr:cNvPr id="3" name="Flèche vers le bas 2"/>
        <cdr:cNvSpPr/>
      </cdr:nvSpPr>
      <cdr:spPr>
        <a:xfrm xmlns:a="http://schemas.openxmlformats.org/drawingml/2006/main" flipH="1">
          <a:off x="4602874" y="0"/>
          <a:ext cx="152005" cy="1264257"/>
        </a:xfrm>
        <a:prstGeom xmlns:a="http://schemas.openxmlformats.org/drawingml/2006/main" prst="downArrow">
          <a:avLst/>
        </a:prstGeom>
        <a:solidFill xmlns:a="http://schemas.openxmlformats.org/drawingml/2006/main">
          <a:srgbClr val="C0504D"/>
        </a:solidFill>
        <a:ln xmlns:a="http://schemas.openxmlformats.org/drawingml/2006/main" w="25400" cap="flat" cmpd="sng" algn="ctr">
          <a:solidFill>
            <a:srgbClr val="4F81BD">
              <a:shade val="50000"/>
            </a:srgbClr>
          </a:solidFill>
          <a:prstDash val="solid"/>
        </a:ln>
        <a:effectLst xmlns:a="http://schemas.openxmlformats.org/drawingml/2006/mai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ysClr val="window" lastClr="FFFFFF"/>
              </a:solidFill>
              <a:latin typeface="Calibri"/>
            </a:defRPr>
          </a:lvl1pPr>
          <a:lvl2pPr marL="457200" indent="0">
            <a:defRPr sz="1100">
              <a:solidFill>
                <a:sysClr val="window" lastClr="FFFFFF"/>
              </a:solidFill>
              <a:latin typeface="Calibri"/>
            </a:defRPr>
          </a:lvl2pPr>
          <a:lvl3pPr marL="914400" indent="0">
            <a:defRPr sz="1100">
              <a:solidFill>
                <a:sysClr val="window" lastClr="FFFFFF"/>
              </a:solidFill>
              <a:latin typeface="Calibri"/>
            </a:defRPr>
          </a:lvl3pPr>
          <a:lvl4pPr marL="1371600" indent="0">
            <a:defRPr sz="1100">
              <a:solidFill>
                <a:sysClr val="window" lastClr="FFFFFF"/>
              </a:solidFill>
              <a:latin typeface="Calibri"/>
            </a:defRPr>
          </a:lvl4pPr>
          <a:lvl5pPr marL="1828800" indent="0">
            <a:defRPr sz="1100">
              <a:solidFill>
                <a:sysClr val="window" lastClr="FFFFFF"/>
              </a:solidFill>
              <a:latin typeface="Calibri"/>
            </a:defRPr>
          </a:lvl5pPr>
          <a:lvl6pPr marL="2286000" indent="0">
            <a:defRPr sz="1100">
              <a:solidFill>
                <a:sysClr val="window" lastClr="FFFFFF"/>
              </a:solidFill>
              <a:latin typeface="Calibri"/>
            </a:defRPr>
          </a:lvl6pPr>
          <a:lvl7pPr marL="2743200" indent="0">
            <a:defRPr sz="1100">
              <a:solidFill>
                <a:sysClr val="window" lastClr="FFFFFF"/>
              </a:solidFill>
              <a:latin typeface="Calibri"/>
            </a:defRPr>
          </a:lvl7pPr>
          <a:lvl8pPr marL="3200400" indent="0">
            <a:defRPr sz="1100">
              <a:solidFill>
                <a:sysClr val="window" lastClr="FFFFFF"/>
              </a:solidFill>
              <a:latin typeface="Calibri"/>
            </a:defRPr>
          </a:lvl8pPr>
          <a:lvl9pPr marL="3657600" indent="0">
            <a:defRPr sz="1100">
              <a:solidFill>
                <a:sysClr val="window" lastClr="FFFFFF"/>
              </a:solidFill>
              <a:latin typeface="Calibri"/>
            </a:defRPr>
          </a:lvl9pPr>
        </a:lstStyle>
        <a:p xmlns:a="http://schemas.openxmlformats.org/drawingml/2006/main">
          <a:endParaRPr lang="fr-FR"/>
        </a:p>
      </cdr:txBody>
    </cdr:sp>
  </cdr:relSizeAnchor>
</c:userShapes>
</file>

<file path=word/drawings/drawing4.xml><?xml version="1.0" encoding="utf-8"?>
<c:userShapes xmlns:c="http://schemas.openxmlformats.org/drawingml/2006/chart">
  <cdr:relSizeAnchor xmlns:cdr="http://schemas.openxmlformats.org/drawingml/2006/chartDrawing">
    <cdr:from>
      <cdr:x>0.64399</cdr:x>
      <cdr:y>0.22747</cdr:y>
    </cdr:from>
    <cdr:to>
      <cdr:x>0.87528</cdr:x>
      <cdr:y>0.31674</cdr:y>
    </cdr:to>
    <cdr:sp macro="" textlink="">
      <cdr:nvSpPr>
        <cdr:cNvPr id="3" name="Flèche gauche 2"/>
        <cdr:cNvSpPr/>
      </cdr:nvSpPr>
      <cdr:spPr>
        <a:xfrm xmlns:a="http://schemas.openxmlformats.org/drawingml/2006/main">
          <a:off x="2705100" y="504825"/>
          <a:ext cx="971550" cy="198119"/>
        </a:xfrm>
        <a:prstGeom xmlns:a="http://schemas.openxmlformats.org/drawingml/2006/main" prst="leftArrow">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fr-F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647B8-7BCA-4668-AFBC-B1BEEDED1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10899</Words>
  <Characters>59948</Characters>
  <Application>Microsoft Office Word</Application>
  <DocSecurity>0</DocSecurity>
  <Lines>499</Lines>
  <Paragraphs>141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Léodegal Bazira</dc:creator>
  <cp:keywords/>
  <dc:description/>
  <cp:lastModifiedBy>Lenovo</cp:lastModifiedBy>
  <cp:revision>2</cp:revision>
  <cp:lastPrinted>2018-09-20T10:55:00Z</cp:lastPrinted>
  <dcterms:created xsi:type="dcterms:W3CDTF">2018-09-26T06:50:00Z</dcterms:created>
  <dcterms:modified xsi:type="dcterms:W3CDTF">2018-09-26T06:50:00Z</dcterms:modified>
</cp:coreProperties>
</file>