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26D5" w:rsidRPr="008D45CE" w:rsidRDefault="007526D5" w:rsidP="00B07CD8">
      <w:pPr>
        <w:jc w:val="center"/>
        <w:rPr>
          <w:rFonts w:ascii="Agency FB" w:hAnsi="Agency FB"/>
          <w:b/>
          <w:color w:val="000000" w:themeColor="text1"/>
          <w:sz w:val="36"/>
          <w:szCs w:val="36"/>
        </w:rPr>
      </w:pPr>
      <w:bookmarkStart w:id="0" w:name="_Toc413755808"/>
      <w:bookmarkStart w:id="1" w:name="_Toc414274630"/>
      <w:bookmarkStart w:id="2" w:name="_Toc465265919"/>
      <w:bookmarkStart w:id="3" w:name="_Toc394415865"/>
      <w:bookmarkStart w:id="4" w:name="_GoBack"/>
      <w:bookmarkEnd w:id="4"/>
      <w:r w:rsidRPr="008D45CE">
        <w:rPr>
          <w:rFonts w:ascii="Agency FB" w:hAnsi="Agency FB"/>
          <w:b/>
          <w:noProof/>
          <w:color w:val="000000" w:themeColor="text1"/>
          <w:sz w:val="36"/>
          <w:szCs w:val="36"/>
          <w:lang w:eastAsia="fr-FR" w:bidi="ar-SA"/>
        </w:rPr>
        <w:drawing>
          <wp:anchor distT="0" distB="0" distL="114300" distR="114300" simplePos="0" relativeHeight="251674624" behindDoc="0" locked="0" layoutInCell="1" allowOverlap="1">
            <wp:simplePos x="0" y="0"/>
            <wp:positionH relativeFrom="margin">
              <wp:posOffset>4859655</wp:posOffset>
            </wp:positionH>
            <wp:positionV relativeFrom="margin">
              <wp:posOffset>-198120</wp:posOffset>
            </wp:positionV>
            <wp:extent cx="901065" cy="1017270"/>
            <wp:effectExtent l="19050" t="0" r="0" b="0"/>
            <wp:wrapSquare wrapText="bothSides"/>
            <wp:docPr id="18"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 cstate="print"/>
                    <a:srcRect/>
                    <a:stretch>
                      <a:fillRect/>
                    </a:stretch>
                  </pic:blipFill>
                  <pic:spPr bwMode="auto">
                    <a:xfrm>
                      <a:off x="0" y="0"/>
                      <a:ext cx="901065" cy="1017270"/>
                    </a:xfrm>
                    <a:prstGeom prst="rect">
                      <a:avLst/>
                    </a:prstGeom>
                    <a:noFill/>
                  </pic:spPr>
                </pic:pic>
              </a:graphicData>
            </a:graphic>
          </wp:anchor>
        </w:drawing>
      </w:r>
      <w:r w:rsidRPr="008D45CE">
        <w:rPr>
          <w:noProof/>
          <w:color w:val="000000" w:themeColor="text1"/>
          <w:lang w:eastAsia="fr-FR" w:bidi="ar-SA"/>
        </w:rPr>
        <w:drawing>
          <wp:anchor distT="0" distB="0" distL="114300" distR="114300" simplePos="0" relativeHeight="251675648" behindDoc="0" locked="0" layoutInCell="1" allowOverlap="1">
            <wp:simplePos x="0" y="0"/>
            <wp:positionH relativeFrom="margin">
              <wp:align>left</wp:align>
            </wp:positionH>
            <wp:positionV relativeFrom="margin">
              <wp:align>top</wp:align>
            </wp:positionV>
            <wp:extent cx="947420" cy="819150"/>
            <wp:effectExtent l="19050" t="0" r="5080" b="0"/>
            <wp:wrapSquare wrapText="bothSides"/>
            <wp:docPr id="1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9" cstate="print"/>
                    <a:srcRect/>
                    <a:stretch>
                      <a:fillRect/>
                    </a:stretch>
                  </pic:blipFill>
                  <pic:spPr bwMode="auto">
                    <a:xfrm>
                      <a:off x="0" y="0"/>
                      <a:ext cx="947420" cy="819150"/>
                    </a:xfrm>
                    <a:prstGeom prst="rect">
                      <a:avLst/>
                    </a:prstGeom>
                    <a:noFill/>
                  </pic:spPr>
                </pic:pic>
              </a:graphicData>
            </a:graphic>
          </wp:anchor>
        </w:drawing>
      </w:r>
      <w:r w:rsidRPr="008D45CE">
        <w:rPr>
          <w:rFonts w:ascii="Agency FB" w:hAnsi="Agency FB"/>
          <w:b/>
          <w:color w:val="000000" w:themeColor="text1"/>
          <w:sz w:val="36"/>
          <w:szCs w:val="36"/>
        </w:rPr>
        <w:t>République du Congo</w:t>
      </w:r>
    </w:p>
    <w:p w:rsidR="007526D5" w:rsidRPr="008D45CE" w:rsidRDefault="007526D5" w:rsidP="00B07CD8">
      <w:pPr>
        <w:jc w:val="center"/>
        <w:rPr>
          <w:rFonts w:ascii="Agency FB" w:hAnsi="Agency FB"/>
          <w:b/>
          <w:color w:val="000000" w:themeColor="text1"/>
          <w:sz w:val="36"/>
          <w:szCs w:val="36"/>
        </w:rPr>
      </w:pPr>
      <w:r w:rsidRPr="008D45CE">
        <w:rPr>
          <w:rFonts w:ascii="Agency FB" w:hAnsi="Agency FB"/>
          <w:b/>
          <w:color w:val="000000" w:themeColor="text1"/>
          <w:sz w:val="36"/>
          <w:szCs w:val="36"/>
        </w:rPr>
        <w:t>Ministère de la santé et de la population</w:t>
      </w:r>
    </w:p>
    <w:p w:rsidR="007526D5" w:rsidRPr="008D45CE" w:rsidRDefault="007526D5" w:rsidP="007526D5">
      <w:pPr>
        <w:jc w:val="center"/>
        <w:rPr>
          <w:color w:val="000000" w:themeColor="text1"/>
        </w:rPr>
      </w:pPr>
    </w:p>
    <w:p w:rsidR="007526D5" w:rsidRPr="008D45CE" w:rsidRDefault="007526D5" w:rsidP="007526D5">
      <w:pPr>
        <w:jc w:val="center"/>
        <w:rPr>
          <w:color w:val="000000" w:themeColor="text1"/>
        </w:rPr>
      </w:pPr>
    </w:p>
    <w:p w:rsidR="007526D5" w:rsidRPr="008D45CE" w:rsidRDefault="007526D5" w:rsidP="007526D5">
      <w:pPr>
        <w:jc w:val="center"/>
        <w:rPr>
          <w:color w:val="000000" w:themeColor="text1"/>
        </w:rPr>
      </w:pPr>
    </w:p>
    <w:p w:rsidR="007526D5" w:rsidRPr="008D45CE" w:rsidRDefault="007526D5" w:rsidP="007526D5">
      <w:pPr>
        <w:jc w:val="center"/>
        <w:rPr>
          <w:color w:val="000000" w:themeColor="text1"/>
        </w:rPr>
      </w:pPr>
    </w:p>
    <w:p w:rsidR="007526D5" w:rsidRPr="008D45CE" w:rsidRDefault="007526D5" w:rsidP="007526D5">
      <w:pPr>
        <w:jc w:val="center"/>
        <w:rPr>
          <w:color w:val="000000" w:themeColor="text1"/>
        </w:rPr>
      </w:pPr>
    </w:p>
    <w:p w:rsidR="007526D5" w:rsidRPr="008D45CE" w:rsidRDefault="007526D5" w:rsidP="007526D5">
      <w:pPr>
        <w:jc w:val="center"/>
        <w:rPr>
          <w:color w:val="000000" w:themeColor="text1"/>
        </w:rPr>
      </w:pPr>
    </w:p>
    <w:p w:rsidR="007526D5" w:rsidRPr="008D45CE" w:rsidRDefault="007526D5" w:rsidP="007526D5">
      <w:pPr>
        <w:jc w:val="center"/>
        <w:rPr>
          <w:color w:val="000000" w:themeColor="text1"/>
        </w:rPr>
      </w:pPr>
    </w:p>
    <w:p w:rsidR="007526D5" w:rsidRPr="008D45CE" w:rsidRDefault="007526D5" w:rsidP="007526D5">
      <w:pPr>
        <w:jc w:val="center"/>
        <w:rPr>
          <w:color w:val="000000" w:themeColor="text1"/>
        </w:rPr>
      </w:pPr>
    </w:p>
    <w:p w:rsidR="007526D5" w:rsidRPr="008D45CE" w:rsidRDefault="007526D5" w:rsidP="007526D5">
      <w:pPr>
        <w:jc w:val="center"/>
        <w:rPr>
          <w:color w:val="000000" w:themeColor="text1"/>
        </w:rPr>
      </w:pPr>
    </w:p>
    <w:p w:rsidR="007526D5" w:rsidRPr="008D45CE" w:rsidRDefault="007526D5" w:rsidP="007526D5">
      <w:pPr>
        <w:jc w:val="center"/>
        <w:rPr>
          <w:color w:val="000000" w:themeColor="text1"/>
        </w:rPr>
      </w:pPr>
    </w:p>
    <w:p w:rsidR="007526D5" w:rsidRPr="008D45CE" w:rsidRDefault="007526D5" w:rsidP="007526D5">
      <w:pPr>
        <w:jc w:val="center"/>
        <w:rPr>
          <w:color w:val="000000" w:themeColor="text1"/>
        </w:rPr>
      </w:pPr>
    </w:p>
    <w:p w:rsidR="007526D5" w:rsidRPr="008D45CE" w:rsidRDefault="007526D5" w:rsidP="007526D5">
      <w:pPr>
        <w:jc w:val="center"/>
        <w:rPr>
          <w:color w:val="000000" w:themeColor="text1"/>
        </w:rPr>
      </w:pPr>
    </w:p>
    <w:p w:rsidR="007526D5" w:rsidRPr="008D45CE" w:rsidRDefault="007526D5" w:rsidP="007526D5">
      <w:pPr>
        <w:jc w:val="center"/>
        <w:rPr>
          <w:color w:val="000000" w:themeColor="text1"/>
        </w:rPr>
      </w:pPr>
    </w:p>
    <w:p w:rsidR="007526D5" w:rsidRPr="008D45CE" w:rsidRDefault="007526D5" w:rsidP="007526D5">
      <w:pPr>
        <w:jc w:val="center"/>
        <w:rPr>
          <w:color w:val="000000" w:themeColor="text1"/>
        </w:rPr>
      </w:pPr>
    </w:p>
    <w:p w:rsidR="007526D5" w:rsidRPr="008D45CE" w:rsidRDefault="007526D5" w:rsidP="007526D5">
      <w:pPr>
        <w:jc w:val="center"/>
        <w:rPr>
          <w:color w:val="000000" w:themeColor="text1"/>
        </w:rPr>
      </w:pPr>
    </w:p>
    <w:p w:rsidR="007526D5" w:rsidRPr="008D45CE" w:rsidRDefault="007526D5" w:rsidP="007526D5">
      <w:pPr>
        <w:jc w:val="center"/>
        <w:rPr>
          <w:color w:val="000000" w:themeColor="text1"/>
        </w:rPr>
      </w:pPr>
    </w:p>
    <w:p w:rsidR="007526D5" w:rsidRPr="008D45CE" w:rsidRDefault="007526D5" w:rsidP="007526D5">
      <w:pPr>
        <w:jc w:val="center"/>
        <w:rPr>
          <w:color w:val="000000" w:themeColor="text1"/>
        </w:rPr>
      </w:pPr>
    </w:p>
    <w:p w:rsidR="007526D5" w:rsidRPr="008D45CE" w:rsidRDefault="007526D5" w:rsidP="007526D5">
      <w:pPr>
        <w:jc w:val="center"/>
        <w:rPr>
          <w:color w:val="000000" w:themeColor="text1"/>
        </w:rPr>
      </w:pPr>
    </w:p>
    <w:p w:rsidR="007526D5" w:rsidRPr="008D45CE" w:rsidRDefault="007526D5" w:rsidP="007526D5">
      <w:pPr>
        <w:jc w:val="center"/>
        <w:rPr>
          <w:rFonts w:ascii="Agency FB" w:hAnsi="Agency FB"/>
          <w:b/>
          <w:color w:val="000000" w:themeColor="text1"/>
          <w:sz w:val="52"/>
          <w:szCs w:val="52"/>
        </w:rPr>
      </w:pPr>
      <w:r w:rsidRPr="008D45CE">
        <w:rPr>
          <w:rFonts w:ascii="Agency FB" w:hAnsi="Agency FB"/>
          <w:b/>
          <w:color w:val="000000" w:themeColor="text1"/>
          <w:sz w:val="52"/>
          <w:szCs w:val="52"/>
        </w:rPr>
        <w:t xml:space="preserve">COMPTES NATIONAUX DE LA SANTE </w:t>
      </w:r>
    </w:p>
    <w:p w:rsidR="007526D5" w:rsidRPr="008D45CE" w:rsidRDefault="007526D5" w:rsidP="007526D5">
      <w:pPr>
        <w:jc w:val="center"/>
        <w:rPr>
          <w:rFonts w:ascii="Agency FB" w:hAnsi="Agency FB"/>
          <w:b/>
          <w:color w:val="000000" w:themeColor="text1"/>
          <w:sz w:val="40"/>
          <w:szCs w:val="40"/>
        </w:rPr>
      </w:pPr>
      <w:r w:rsidRPr="008D45CE">
        <w:rPr>
          <w:rFonts w:ascii="Agency FB" w:hAnsi="Agency FB"/>
          <w:b/>
          <w:color w:val="000000" w:themeColor="text1"/>
          <w:sz w:val="40"/>
          <w:szCs w:val="40"/>
        </w:rPr>
        <w:t>Période 2011-2015</w:t>
      </w:r>
    </w:p>
    <w:p w:rsidR="007526D5" w:rsidRPr="008D45CE" w:rsidRDefault="007526D5" w:rsidP="007526D5">
      <w:pPr>
        <w:jc w:val="center"/>
        <w:rPr>
          <w:rFonts w:ascii="Agency FB" w:hAnsi="Agency FB"/>
          <w:b/>
          <w:color w:val="000000" w:themeColor="text1"/>
          <w:sz w:val="44"/>
          <w:szCs w:val="44"/>
        </w:rPr>
      </w:pPr>
    </w:p>
    <w:p w:rsidR="007526D5" w:rsidRPr="008D45CE" w:rsidRDefault="007526D5" w:rsidP="007526D5">
      <w:pPr>
        <w:jc w:val="center"/>
        <w:rPr>
          <w:rFonts w:ascii="Agency FB" w:hAnsi="Agency FB"/>
          <w:b/>
          <w:color w:val="000000" w:themeColor="text1"/>
          <w:sz w:val="44"/>
          <w:szCs w:val="44"/>
        </w:rPr>
      </w:pPr>
      <w:r w:rsidRPr="008D45CE">
        <w:rPr>
          <w:rFonts w:ascii="Agency FB" w:hAnsi="Agency FB"/>
          <w:b/>
          <w:color w:val="000000" w:themeColor="text1"/>
          <w:sz w:val="44"/>
          <w:szCs w:val="44"/>
        </w:rPr>
        <w:t>Rapport provisoire</w:t>
      </w:r>
    </w:p>
    <w:p w:rsidR="007526D5" w:rsidRPr="008D45CE" w:rsidRDefault="007526D5" w:rsidP="007526D5">
      <w:pPr>
        <w:jc w:val="center"/>
        <w:rPr>
          <w:color w:val="000000" w:themeColor="text1"/>
        </w:rPr>
      </w:pPr>
    </w:p>
    <w:p w:rsidR="007526D5" w:rsidRPr="008D45CE" w:rsidRDefault="007526D5" w:rsidP="007526D5">
      <w:pPr>
        <w:jc w:val="center"/>
        <w:rPr>
          <w:color w:val="000000" w:themeColor="text1"/>
        </w:rPr>
      </w:pPr>
    </w:p>
    <w:p w:rsidR="007526D5" w:rsidRPr="008D45CE" w:rsidRDefault="007526D5" w:rsidP="007526D5">
      <w:pPr>
        <w:jc w:val="center"/>
        <w:rPr>
          <w:color w:val="000000" w:themeColor="text1"/>
        </w:rPr>
      </w:pPr>
    </w:p>
    <w:p w:rsidR="007526D5" w:rsidRPr="008D45CE" w:rsidRDefault="007526D5" w:rsidP="007526D5">
      <w:pPr>
        <w:jc w:val="center"/>
        <w:rPr>
          <w:color w:val="000000" w:themeColor="text1"/>
        </w:rPr>
      </w:pPr>
    </w:p>
    <w:p w:rsidR="007526D5" w:rsidRPr="008D45CE" w:rsidRDefault="007526D5" w:rsidP="007526D5">
      <w:pPr>
        <w:jc w:val="center"/>
        <w:rPr>
          <w:color w:val="000000" w:themeColor="text1"/>
        </w:rPr>
      </w:pPr>
    </w:p>
    <w:p w:rsidR="007526D5" w:rsidRPr="008D45CE" w:rsidRDefault="007526D5" w:rsidP="007526D5">
      <w:pPr>
        <w:jc w:val="center"/>
        <w:rPr>
          <w:color w:val="000000" w:themeColor="text1"/>
        </w:rPr>
      </w:pPr>
    </w:p>
    <w:p w:rsidR="007526D5" w:rsidRPr="008D45CE" w:rsidRDefault="007526D5" w:rsidP="007526D5">
      <w:pPr>
        <w:jc w:val="center"/>
        <w:rPr>
          <w:color w:val="000000" w:themeColor="text1"/>
        </w:rPr>
      </w:pPr>
    </w:p>
    <w:p w:rsidR="007526D5" w:rsidRPr="008D45CE" w:rsidRDefault="007526D5" w:rsidP="007526D5">
      <w:pPr>
        <w:jc w:val="center"/>
        <w:rPr>
          <w:color w:val="000000" w:themeColor="text1"/>
        </w:rPr>
      </w:pPr>
    </w:p>
    <w:p w:rsidR="007526D5" w:rsidRPr="008D45CE" w:rsidRDefault="007526D5" w:rsidP="007526D5">
      <w:pPr>
        <w:jc w:val="center"/>
        <w:rPr>
          <w:color w:val="000000" w:themeColor="text1"/>
        </w:rPr>
      </w:pPr>
    </w:p>
    <w:p w:rsidR="007526D5" w:rsidRPr="008D45CE" w:rsidRDefault="007526D5" w:rsidP="007526D5">
      <w:pPr>
        <w:jc w:val="center"/>
        <w:rPr>
          <w:rFonts w:ascii="Agency FB" w:hAnsi="Agency FB"/>
          <w:b/>
          <w:color w:val="000000" w:themeColor="text1"/>
          <w:sz w:val="36"/>
          <w:szCs w:val="36"/>
        </w:rPr>
      </w:pPr>
      <w:r w:rsidRPr="008D45CE">
        <w:rPr>
          <w:rFonts w:ascii="Agency FB" w:hAnsi="Agency FB"/>
          <w:b/>
          <w:color w:val="000000" w:themeColor="text1"/>
          <w:sz w:val="36"/>
          <w:szCs w:val="36"/>
        </w:rPr>
        <w:t>Brazzaville, Septembre 2017</w:t>
      </w:r>
    </w:p>
    <w:p w:rsidR="007526D5" w:rsidRPr="008D45CE" w:rsidRDefault="007526D5" w:rsidP="007526D5">
      <w:pPr>
        <w:jc w:val="center"/>
        <w:rPr>
          <w:rFonts w:ascii="Agency FB" w:hAnsi="Agency FB"/>
          <w:b/>
          <w:color w:val="000000" w:themeColor="text1"/>
          <w:sz w:val="36"/>
          <w:szCs w:val="36"/>
        </w:rPr>
      </w:pPr>
    </w:p>
    <w:p w:rsidR="007526D5" w:rsidRPr="008D45CE" w:rsidRDefault="007526D5" w:rsidP="007526D5">
      <w:pPr>
        <w:jc w:val="center"/>
        <w:rPr>
          <w:rFonts w:ascii="Agency FB" w:hAnsi="Agency FB"/>
          <w:b/>
          <w:color w:val="000000" w:themeColor="text1"/>
          <w:sz w:val="36"/>
          <w:szCs w:val="36"/>
        </w:rPr>
      </w:pPr>
    </w:p>
    <w:p w:rsidR="007526D5" w:rsidRPr="008D45CE" w:rsidRDefault="007526D5" w:rsidP="007526D5">
      <w:pPr>
        <w:jc w:val="center"/>
        <w:rPr>
          <w:rFonts w:ascii="Agency FB" w:hAnsi="Agency FB"/>
          <w:b/>
          <w:color w:val="000000" w:themeColor="text1"/>
          <w:sz w:val="36"/>
          <w:szCs w:val="36"/>
        </w:rPr>
      </w:pPr>
    </w:p>
    <w:p w:rsidR="007526D5" w:rsidRPr="008D45CE" w:rsidRDefault="007526D5" w:rsidP="007526D5">
      <w:pPr>
        <w:jc w:val="center"/>
        <w:rPr>
          <w:rFonts w:ascii="Agency FB" w:hAnsi="Agency FB"/>
          <w:b/>
          <w:color w:val="000000" w:themeColor="text1"/>
          <w:sz w:val="36"/>
          <w:szCs w:val="36"/>
        </w:rPr>
      </w:pPr>
      <w:r w:rsidRPr="008D45CE">
        <w:rPr>
          <w:rFonts w:ascii="Agency FB" w:hAnsi="Agency FB"/>
          <w:b/>
          <w:noProof/>
          <w:color w:val="000000" w:themeColor="text1"/>
          <w:sz w:val="36"/>
          <w:szCs w:val="36"/>
          <w:lang w:eastAsia="fr-FR" w:bidi="ar-SA"/>
        </w:rPr>
        <w:drawing>
          <wp:inline distT="0" distB="0" distL="0" distR="0">
            <wp:extent cx="838200" cy="855843"/>
            <wp:effectExtent l="0" t="0" r="0" b="0"/>
            <wp:docPr id="14"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pic:cNvPicPr>
                      <a:picLocks noChangeAspect="1" noChangeArrowheads="1"/>
                    </pic:cNvPicPr>
                  </pic:nvPicPr>
                  <pic:blipFill>
                    <a:blip r:embed="rId10" cstate="print"/>
                    <a:srcRect/>
                    <a:stretch>
                      <a:fillRect/>
                    </a:stretch>
                  </pic:blipFill>
                  <pic:spPr bwMode="auto">
                    <a:xfrm>
                      <a:off x="0" y="0"/>
                      <a:ext cx="840822" cy="858520"/>
                    </a:xfrm>
                    <a:prstGeom prst="rect">
                      <a:avLst/>
                    </a:prstGeom>
                    <a:noFill/>
                    <a:ln w="9525">
                      <a:noFill/>
                      <a:miter lim="800000"/>
                      <a:headEnd/>
                      <a:tailEnd/>
                    </a:ln>
                  </pic:spPr>
                </pic:pic>
              </a:graphicData>
            </a:graphic>
          </wp:inline>
        </w:drawing>
      </w:r>
      <w:r w:rsidRPr="00B07CD8">
        <w:rPr>
          <w:rFonts w:ascii="Agency FB" w:hAnsi="Agency FB"/>
          <w:b/>
          <w:noProof/>
          <w:color w:val="000000" w:themeColor="text1"/>
          <w:sz w:val="52"/>
          <w:szCs w:val="36"/>
          <w:lang w:eastAsia="fr-FR" w:bidi="ar-SA"/>
        </w:rPr>
        <w:drawing>
          <wp:inline distT="0" distB="0" distL="0" distR="0">
            <wp:extent cx="1644650" cy="926720"/>
            <wp:effectExtent l="0" t="0" r="0" b="0"/>
            <wp:docPr id="1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11" cstate="print"/>
                    <a:srcRect/>
                    <a:stretch>
                      <a:fillRect/>
                    </a:stretch>
                  </pic:blipFill>
                  <pic:spPr bwMode="auto">
                    <a:xfrm>
                      <a:off x="0" y="0"/>
                      <a:ext cx="1644650" cy="926720"/>
                    </a:xfrm>
                    <a:prstGeom prst="rect">
                      <a:avLst/>
                    </a:prstGeom>
                    <a:noFill/>
                    <a:ln w="9525">
                      <a:noFill/>
                      <a:miter lim="800000"/>
                      <a:headEnd/>
                      <a:tailEnd/>
                    </a:ln>
                  </pic:spPr>
                </pic:pic>
              </a:graphicData>
            </a:graphic>
          </wp:inline>
        </w:drawing>
      </w:r>
      <w:r w:rsidRPr="008D45CE">
        <w:rPr>
          <w:rFonts w:ascii="Agency FB" w:hAnsi="Agency FB"/>
          <w:b/>
          <w:noProof/>
          <w:color w:val="000000" w:themeColor="text1"/>
          <w:sz w:val="36"/>
          <w:szCs w:val="36"/>
          <w:lang w:eastAsia="fr-FR" w:bidi="ar-SA"/>
        </w:rPr>
        <w:drawing>
          <wp:inline distT="0" distB="0" distL="0" distR="0">
            <wp:extent cx="785771" cy="792000"/>
            <wp:effectExtent l="0" t="0" r="0" b="0"/>
            <wp:docPr id="12"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
                    <pic:cNvPicPr>
                      <a:picLocks noChangeAspect="1" noChangeArrowheads="1"/>
                    </pic:cNvPicPr>
                  </pic:nvPicPr>
                  <pic:blipFill>
                    <a:blip r:embed="rId12" cstate="print"/>
                    <a:srcRect/>
                    <a:stretch>
                      <a:fillRect/>
                    </a:stretch>
                  </pic:blipFill>
                  <pic:spPr bwMode="auto">
                    <a:xfrm>
                      <a:off x="0" y="0"/>
                      <a:ext cx="785771" cy="792000"/>
                    </a:xfrm>
                    <a:prstGeom prst="rect">
                      <a:avLst/>
                    </a:prstGeom>
                    <a:noFill/>
                    <a:ln w="9525">
                      <a:noFill/>
                      <a:miter lim="800000"/>
                      <a:headEnd/>
                      <a:tailEnd/>
                    </a:ln>
                  </pic:spPr>
                </pic:pic>
              </a:graphicData>
            </a:graphic>
          </wp:inline>
        </w:drawing>
      </w:r>
    </w:p>
    <w:p w:rsidR="00AB4855" w:rsidRDefault="00AB4855">
      <w:pPr>
        <w:spacing w:after="200" w:line="20" w:lineRule="atLeast"/>
        <w:rPr>
          <w:b/>
          <w:bCs/>
          <w:color w:val="000000" w:themeColor="text1"/>
          <w:kern w:val="32"/>
          <w:szCs w:val="32"/>
        </w:rPr>
      </w:pPr>
      <w:bookmarkStart w:id="5" w:name="_Toc483474579"/>
      <w:r>
        <w:rPr>
          <w:color w:val="000000" w:themeColor="text1"/>
        </w:rPr>
        <w:br w:type="page"/>
      </w:r>
    </w:p>
    <w:p w:rsidR="00AB4855" w:rsidRPr="00B65916" w:rsidRDefault="00AB4855" w:rsidP="00AB4855">
      <w:pPr>
        <w:rPr>
          <w:b/>
        </w:rPr>
      </w:pPr>
      <w:r>
        <w:lastRenderedPageBreak/>
        <w:t>Les comptes nationaux de la santé (CNS) 2011-2015 ont été élaborés sous la coordination générale du Ministre de la Santé et de la Population,</w:t>
      </w:r>
      <w:r w:rsidRPr="00B65916">
        <w:rPr>
          <w:b/>
        </w:rPr>
        <w:t xml:space="preserve"> Madame Jacqueline Lydia MIKOLO.  </w:t>
      </w:r>
    </w:p>
    <w:tbl>
      <w:tblPr>
        <w:tblStyle w:val="Grilledutableau"/>
        <w:tblW w:w="10031" w:type="dxa"/>
        <w:tblLook w:val="04A0" w:firstRow="1" w:lastRow="0" w:firstColumn="1" w:lastColumn="0" w:noHBand="0" w:noVBand="1"/>
      </w:tblPr>
      <w:tblGrid>
        <w:gridCol w:w="1570"/>
        <w:gridCol w:w="8461"/>
      </w:tblGrid>
      <w:tr w:rsidR="00AB4855" w:rsidTr="00AB4855">
        <w:tc>
          <w:tcPr>
            <w:tcW w:w="1526" w:type="dxa"/>
          </w:tcPr>
          <w:p w:rsidR="00AB4855" w:rsidRDefault="00AB4855" w:rsidP="00AB4855">
            <w:r>
              <w:t>Supervision :</w:t>
            </w:r>
          </w:p>
          <w:p w:rsidR="00AB4855" w:rsidRDefault="00AB4855" w:rsidP="00AB4855"/>
        </w:tc>
        <w:tc>
          <w:tcPr>
            <w:tcW w:w="8505" w:type="dxa"/>
          </w:tcPr>
          <w:p w:rsidR="00AB4855" w:rsidRDefault="00AB4855" w:rsidP="00AB4855">
            <w:pPr>
              <w:pStyle w:val="Paragraphedeliste"/>
              <w:numPr>
                <w:ilvl w:val="0"/>
                <w:numId w:val="30"/>
              </w:numPr>
            </w:pPr>
            <w:r>
              <w:t>Pr agrégé Donatien MOUKASSA et Mr Florent BALANDAMIO Directeurs de cabinet ;</w:t>
            </w:r>
          </w:p>
          <w:p w:rsidR="00AB4855" w:rsidRDefault="00AB4855" w:rsidP="00AB4855">
            <w:pPr>
              <w:pStyle w:val="Paragraphedeliste"/>
              <w:numPr>
                <w:ilvl w:val="0"/>
                <w:numId w:val="30"/>
              </w:numPr>
            </w:pPr>
            <w:r>
              <w:t xml:space="preserve"> Mr Emeriand Dieu-Merci KIBANGOU, Directeur des Etudes et de la Planification </w:t>
            </w:r>
          </w:p>
          <w:p w:rsidR="00AB4855" w:rsidRDefault="00AB4855" w:rsidP="00AB4855"/>
        </w:tc>
      </w:tr>
      <w:tr w:rsidR="00AB4855" w:rsidTr="00AB4855">
        <w:tc>
          <w:tcPr>
            <w:tcW w:w="1526" w:type="dxa"/>
          </w:tcPr>
          <w:p w:rsidR="00AB4855" w:rsidRDefault="00AB4855" w:rsidP="00AB4855">
            <w:r>
              <w:t xml:space="preserve">Consultation : </w:t>
            </w:r>
          </w:p>
          <w:p w:rsidR="00AB4855" w:rsidRDefault="00AB4855" w:rsidP="00AB4855"/>
        </w:tc>
        <w:tc>
          <w:tcPr>
            <w:tcW w:w="8505" w:type="dxa"/>
          </w:tcPr>
          <w:p w:rsidR="00AB4855" w:rsidRDefault="00AB4855" w:rsidP="00AB4855">
            <w:pPr>
              <w:pStyle w:val="Paragraphedeliste"/>
              <w:numPr>
                <w:ilvl w:val="0"/>
                <w:numId w:val="31"/>
              </w:numPr>
            </w:pPr>
            <w:r>
              <w:t>Mr Eddy Morgan MONGANI, consultant international (OMS) ;</w:t>
            </w:r>
          </w:p>
          <w:p w:rsidR="00AB4855" w:rsidRDefault="00AB4855" w:rsidP="00AB4855">
            <w:pPr>
              <w:pStyle w:val="Paragraphedeliste"/>
              <w:numPr>
                <w:ilvl w:val="0"/>
                <w:numId w:val="31"/>
              </w:numPr>
            </w:pPr>
            <w:r>
              <w:t>Mr Jean Chrios MOUKALA, consultant national</w:t>
            </w:r>
          </w:p>
        </w:tc>
      </w:tr>
      <w:tr w:rsidR="00AB4855" w:rsidTr="00AB48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526" w:type="dxa"/>
          </w:tcPr>
          <w:p w:rsidR="00AB4855" w:rsidRDefault="00AB4855" w:rsidP="00AB4855">
            <w:r>
              <w:t>Rédaction :</w:t>
            </w:r>
          </w:p>
        </w:tc>
        <w:tc>
          <w:tcPr>
            <w:tcW w:w="8505" w:type="dxa"/>
          </w:tcPr>
          <w:p w:rsidR="00AB4855" w:rsidRDefault="00AB4855" w:rsidP="00AB4855">
            <w:pPr>
              <w:pStyle w:val="Paragraphedeliste"/>
              <w:numPr>
                <w:ilvl w:val="0"/>
                <w:numId w:val="31"/>
              </w:numPr>
            </w:pPr>
            <w:r>
              <w:t>Mr Jérémie MOUYOKANI ; Directeur pi du CHU B ;</w:t>
            </w:r>
          </w:p>
          <w:p w:rsidR="00AB4855" w:rsidRDefault="00AB4855" w:rsidP="00AB4855">
            <w:pPr>
              <w:pStyle w:val="Paragraphedeliste"/>
              <w:numPr>
                <w:ilvl w:val="0"/>
                <w:numId w:val="31"/>
              </w:numPr>
            </w:pPr>
            <w:r>
              <w:t>Dr Antoine LOUSSAMBOU, Directeur de l’Hôpital de base de MAKELEKELE ;</w:t>
            </w:r>
          </w:p>
          <w:p w:rsidR="00AB4855" w:rsidRDefault="00AB4855" w:rsidP="00AB4855">
            <w:pPr>
              <w:pStyle w:val="Paragraphedeliste"/>
              <w:numPr>
                <w:ilvl w:val="0"/>
                <w:numId w:val="31"/>
              </w:numPr>
            </w:pPr>
            <w:r>
              <w:t>Mr Vivien-Hilaire NYANGA, Chef de service des études, point focal CNS ;</w:t>
            </w:r>
          </w:p>
          <w:p w:rsidR="00AB4855" w:rsidRDefault="00AB4855" w:rsidP="00AB4855">
            <w:pPr>
              <w:pStyle w:val="Paragraphedeliste"/>
              <w:numPr>
                <w:ilvl w:val="0"/>
                <w:numId w:val="31"/>
              </w:numPr>
            </w:pPr>
            <w:r>
              <w:t>Mr Gatien Expedit  SITA, Chef de bureau à la Direction de l’informatique ;</w:t>
            </w:r>
          </w:p>
          <w:p w:rsidR="00AB4855" w:rsidRDefault="00AB4855" w:rsidP="00AB4855">
            <w:pPr>
              <w:pStyle w:val="Paragraphedeliste"/>
              <w:numPr>
                <w:ilvl w:val="0"/>
                <w:numId w:val="31"/>
              </w:numPr>
            </w:pPr>
            <w:r>
              <w:t>Mr Arsène ODZO-DIMI, Chef de service statistique à la DEP ;</w:t>
            </w:r>
          </w:p>
          <w:p w:rsidR="00AB4855" w:rsidRDefault="00AB4855" w:rsidP="00AB4855">
            <w:pPr>
              <w:pStyle w:val="Paragraphedeliste"/>
              <w:numPr>
                <w:ilvl w:val="0"/>
                <w:numId w:val="31"/>
              </w:numPr>
            </w:pPr>
            <w:r>
              <w:t>Mr Karen MBOUKOU-BANDIA, Statisticien à l’INS.</w:t>
            </w:r>
          </w:p>
          <w:p w:rsidR="00AB4855" w:rsidRDefault="00AB4855" w:rsidP="00AB4855">
            <w:pPr>
              <w:pStyle w:val="Paragraphedeliste"/>
              <w:ind w:left="360"/>
            </w:pPr>
          </w:p>
        </w:tc>
      </w:tr>
      <w:tr w:rsidR="00AB4855" w:rsidRPr="00AB4855" w:rsidTr="00AB48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526" w:type="dxa"/>
          </w:tcPr>
          <w:p w:rsidR="00AB4855" w:rsidRDefault="00AB4855" w:rsidP="00AB4855">
            <w:r>
              <w:t>Experts ayant participés</w:t>
            </w:r>
          </w:p>
        </w:tc>
        <w:tc>
          <w:tcPr>
            <w:tcW w:w="8505" w:type="dxa"/>
          </w:tcPr>
          <w:p w:rsidR="00AB4855" w:rsidRDefault="00AB4855" w:rsidP="00AB4855">
            <w:pPr>
              <w:pStyle w:val="Paragraphedeliste"/>
              <w:numPr>
                <w:ilvl w:val="0"/>
                <w:numId w:val="31"/>
              </w:numPr>
            </w:pPr>
            <w:r>
              <w:t>Dr Judicaël Ulrich BIEZ, Directeur général des hôpitaux et de l’organisation des soins ;</w:t>
            </w:r>
          </w:p>
          <w:p w:rsidR="00AB4855" w:rsidRDefault="00AB4855" w:rsidP="00AB4855">
            <w:pPr>
              <w:pStyle w:val="Paragraphedeliste"/>
              <w:numPr>
                <w:ilvl w:val="0"/>
                <w:numId w:val="31"/>
              </w:numPr>
            </w:pPr>
            <w:r>
              <w:t>Dr Lambert KITEMBO, Directeur général de l’épidémiologie et de lutte contre la maladie ;</w:t>
            </w:r>
          </w:p>
          <w:p w:rsidR="00AB4855" w:rsidRDefault="00AB4855" w:rsidP="00AB4855">
            <w:pPr>
              <w:pStyle w:val="Paragraphedeliste"/>
              <w:numPr>
                <w:ilvl w:val="0"/>
                <w:numId w:val="31"/>
              </w:numPr>
            </w:pPr>
            <w:r>
              <w:t>Dr Paul OYERE-MOKE, Directeur général de la population ;</w:t>
            </w:r>
          </w:p>
          <w:p w:rsidR="00AB4855" w:rsidRDefault="00AB4855" w:rsidP="00AB4855">
            <w:pPr>
              <w:pStyle w:val="Paragraphedeliste"/>
              <w:numPr>
                <w:ilvl w:val="0"/>
                <w:numId w:val="31"/>
              </w:numPr>
            </w:pPr>
            <w:r>
              <w:t>Mr Bernard KABIKISSA, Statisticien à l’INS ;</w:t>
            </w:r>
          </w:p>
          <w:p w:rsidR="00AB4855" w:rsidRDefault="00AB4855" w:rsidP="00AB4855">
            <w:pPr>
              <w:pStyle w:val="Paragraphedeliste"/>
              <w:numPr>
                <w:ilvl w:val="0"/>
                <w:numId w:val="31"/>
              </w:numPr>
            </w:pPr>
            <w:r>
              <w:t>Mr Philippe SAMBA, Directeur du système d’information sanitaire ;</w:t>
            </w:r>
          </w:p>
          <w:p w:rsidR="00AB4855" w:rsidRDefault="00AB4855" w:rsidP="00AB4855">
            <w:pPr>
              <w:pStyle w:val="Paragraphedeliste"/>
              <w:numPr>
                <w:ilvl w:val="0"/>
                <w:numId w:val="31"/>
              </w:numPr>
            </w:pPr>
            <w:r>
              <w:t>Mr Thibault BOMEKOUNDOU, Chef de service au ministère des finances ;</w:t>
            </w:r>
          </w:p>
          <w:p w:rsidR="00AB4855" w:rsidRDefault="00AB4855" w:rsidP="00AB4855">
            <w:pPr>
              <w:pStyle w:val="Paragraphedeliste"/>
              <w:numPr>
                <w:ilvl w:val="0"/>
                <w:numId w:val="31"/>
              </w:numPr>
            </w:pPr>
            <w:r>
              <w:t>Mr Ghislain PANDI, Chef de service à la direction de l’économie ;</w:t>
            </w:r>
          </w:p>
          <w:p w:rsidR="00AB4855" w:rsidRDefault="00AB4855" w:rsidP="00AB4855">
            <w:pPr>
              <w:pStyle w:val="Paragraphedeliste"/>
              <w:numPr>
                <w:ilvl w:val="0"/>
                <w:numId w:val="31"/>
              </w:numPr>
            </w:pPr>
            <w:r>
              <w:t>Mr Lucien Emmanuel F. IBATA, Chef de service planification DEP ;</w:t>
            </w:r>
          </w:p>
          <w:p w:rsidR="00AB4855" w:rsidRPr="00AB4855" w:rsidRDefault="00AB4855" w:rsidP="00AB4855">
            <w:pPr>
              <w:pStyle w:val="Paragraphedeliste"/>
              <w:numPr>
                <w:ilvl w:val="0"/>
                <w:numId w:val="31"/>
              </w:numPr>
              <w:rPr>
                <w:lang w:val="en-US"/>
              </w:rPr>
            </w:pPr>
            <w:r w:rsidRPr="00AB4855">
              <w:rPr>
                <w:lang w:val="en-US"/>
              </w:rPr>
              <w:t>Mr Juguel OLENGOBA-NGANONGO,  PEV central.</w:t>
            </w:r>
          </w:p>
        </w:tc>
      </w:tr>
      <w:tr w:rsidR="00AB4855" w:rsidTr="00AB48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526" w:type="dxa"/>
          </w:tcPr>
          <w:p w:rsidR="00AB4855" w:rsidRDefault="00AB4855" w:rsidP="00AB4855">
            <w:r>
              <w:t xml:space="preserve">Appui technique </w:t>
            </w:r>
          </w:p>
        </w:tc>
        <w:tc>
          <w:tcPr>
            <w:tcW w:w="8505" w:type="dxa"/>
          </w:tcPr>
          <w:p w:rsidR="00AB4855" w:rsidRDefault="00AB4855" w:rsidP="00AB4855">
            <w:pPr>
              <w:pStyle w:val="Paragraphedeliste"/>
              <w:numPr>
                <w:ilvl w:val="0"/>
                <w:numId w:val="31"/>
              </w:numPr>
            </w:pPr>
            <w:r>
              <w:t>Dr Dieudonné BAKALA, MPN OMS-Congo ;</w:t>
            </w:r>
          </w:p>
          <w:p w:rsidR="00AB4855" w:rsidRDefault="00AB4855" w:rsidP="00AB4855">
            <w:pPr>
              <w:pStyle w:val="Paragraphedeliste"/>
              <w:numPr>
                <w:ilvl w:val="0"/>
                <w:numId w:val="31"/>
              </w:numPr>
            </w:pPr>
            <w:r>
              <w:t>Dr Cédric NDIZEYE, Spécialiste en santé ;</w:t>
            </w:r>
          </w:p>
          <w:p w:rsidR="00AB4855" w:rsidRDefault="00AB4855" w:rsidP="00AB4855">
            <w:pPr>
              <w:pStyle w:val="Paragraphedeliste"/>
              <w:numPr>
                <w:ilvl w:val="0"/>
                <w:numId w:val="31"/>
              </w:numPr>
            </w:pPr>
            <w:r>
              <w:t>Mr Aubain LEPASSA-LITEDI, consultant PDSS-II/BM</w:t>
            </w:r>
          </w:p>
        </w:tc>
      </w:tr>
    </w:tbl>
    <w:p w:rsidR="00AB4855" w:rsidRDefault="00AB4855" w:rsidP="00AB4855"/>
    <w:p w:rsidR="00AB4855" w:rsidRDefault="00AB4855" w:rsidP="00AB4855">
      <w:pPr>
        <w:pStyle w:val="Titre1"/>
        <w:jc w:val="center"/>
        <w:rPr>
          <w:color w:val="000000" w:themeColor="text1"/>
        </w:rPr>
      </w:pPr>
    </w:p>
    <w:p w:rsidR="00AB4855" w:rsidRDefault="00AB4855" w:rsidP="00AB4855">
      <w:pPr>
        <w:pStyle w:val="Titre1"/>
        <w:jc w:val="center"/>
        <w:rPr>
          <w:color w:val="000000" w:themeColor="text1"/>
        </w:rPr>
      </w:pPr>
    </w:p>
    <w:p w:rsidR="00AB4855" w:rsidRDefault="00AB4855" w:rsidP="00AB4855">
      <w:pPr>
        <w:pStyle w:val="Titre1"/>
        <w:jc w:val="center"/>
        <w:rPr>
          <w:color w:val="000000" w:themeColor="text1"/>
        </w:rPr>
      </w:pPr>
    </w:p>
    <w:p w:rsidR="00AB4855" w:rsidRDefault="00AB4855" w:rsidP="00AB4855">
      <w:pPr>
        <w:pStyle w:val="Titre1"/>
        <w:jc w:val="center"/>
        <w:rPr>
          <w:color w:val="000000" w:themeColor="text1"/>
        </w:rPr>
      </w:pPr>
    </w:p>
    <w:p w:rsidR="00AB4855" w:rsidRDefault="00AB4855">
      <w:pPr>
        <w:spacing w:after="200" w:line="20" w:lineRule="atLeast"/>
        <w:rPr>
          <w:b/>
          <w:bCs/>
          <w:color w:val="000000" w:themeColor="text1"/>
          <w:kern w:val="32"/>
          <w:szCs w:val="32"/>
        </w:rPr>
      </w:pPr>
    </w:p>
    <w:p w:rsidR="00AB4855" w:rsidRDefault="00AB4855">
      <w:pPr>
        <w:spacing w:after="200" w:line="20" w:lineRule="atLeast"/>
        <w:rPr>
          <w:b/>
          <w:bCs/>
          <w:color w:val="000000" w:themeColor="text1"/>
          <w:kern w:val="32"/>
          <w:szCs w:val="32"/>
        </w:rPr>
      </w:pPr>
    </w:p>
    <w:p w:rsidR="00AB4855" w:rsidRDefault="00AB4855">
      <w:pPr>
        <w:spacing w:after="200" w:line="20" w:lineRule="atLeast"/>
        <w:rPr>
          <w:b/>
          <w:bCs/>
          <w:color w:val="000000" w:themeColor="text1"/>
          <w:kern w:val="32"/>
          <w:szCs w:val="32"/>
        </w:rPr>
      </w:pPr>
      <w:r>
        <w:rPr>
          <w:color w:val="000000" w:themeColor="text1"/>
        </w:rPr>
        <w:br w:type="page"/>
      </w:r>
    </w:p>
    <w:p w:rsidR="00A10E04" w:rsidRPr="008D45CE" w:rsidRDefault="00A10E04" w:rsidP="00A401E9">
      <w:pPr>
        <w:pStyle w:val="Titre1"/>
        <w:jc w:val="center"/>
        <w:rPr>
          <w:color w:val="000000" w:themeColor="text1"/>
        </w:rPr>
      </w:pPr>
      <w:r w:rsidRPr="008D45CE">
        <w:rPr>
          <w:color w:val="000000" w:themeColor="text1"/>
        </w:rPr>
        <w:lastRenderedPageBreak/>
        <w:t>PREFACE</w:t>
      </w:r>
      <w:bookmarkEnd w:id="0"/>
      <w:bookmarkEnd w:id="1"/>
      <w:bookmarkEnd w:id="2"/>
      <w:bookmarkEnd w:id="5"/>
    </w:p>
    <w:p w:rsidR="00A10E04" w:rsidRPr="008D45CE" w:rsidRDefault="00A10E04" w:rsidP="00A401E9">
      <w:pPr>
        <w:rPr>
          <w:color w:val="000000" w:themeColor="text1"/>
        </w:rPr>
      </w:pPr>
    </w:p>
    <w:p w:rsidR="007526D5" w:rsidRPr="008D45CE" w:rsidRDefault="007526D5" w:rsidP="007526D5">
      <w:pPr>
        <w:pStyle w:val="Paragraphedeliste"/>
        <w:ind w:left="0"/>
        <w:jc w:val="both"/>
        <w:textAlignment w:val="baseline"/>
        <w:rPr>
          <w:rFonts w:ascii="Times New Roman" w:hAnsi="Times New Roman"/>
          <w:color w:val="000000" w:themeColor="text1"/>
          <w:lang w:eastAsia="fr-FR"/>
        </w:rPr>
      </w:pPr>
      <w:bookmarkStart w:id="6" w:name="_Toc413755809"/>
      <w:bookmarkStart w:id="7" w:name="_Toc414274631"/>
      <w:bookmarkStart w:id="8" w:name="_Toc465265920"/>
      <w:bookmarkStart w:id="9" w:name="_Toc483474580"/>
      <w:r w:rsidRPr="008D45CE">
        <w:rPr>
          <w:rFonts w:ascii="Times New Roman" w:hAnsi="Times New Roman"/>
          <w:color w:val="000000" w:themeColor="text1"/>
        </w:rPr>
        <w:t>L’amélioration de l’état de santé de la population étant une préoccupation permanente du Gouvernement de la République du Congo, l</w:t>
      </w:r>
      <w:r w:rsidR="00AB4855">
        <w:rPr>
          <w:rFonts w:ascii="Times New Roman" w:hAnsi="Times New Roman"/>
          <w:bCs/>
          <w:color w:val="000000" w:themeColor="text1"/>
        </w:rPr>
        <w:t>a production des</w:t>
      </w:r>
      <w:r w:rsidRPr="008D45CE">
        <w:rPr>
          <w:rFonts w:ascii="Times New Roman" w:hAnsi="Times New Roman"/>
          <w:bCs/>
          <w:color w:val="000000" w:themeColor="text1"/>
        </w:rPr>
        <w:t xml:space="preserve"> Comptes nationaux de la Santé </w:t>
      </w:r>
      <w:r w:rsidRPr="008D45CE">
        <w:rPr>
          <w:rFonts w:ascii="Times New Roman" w:hAnsi="Times New Roman"/>
          <w:color w:val="000000" w:themeColor="text1"/>
        </w:rPr>
        <w:t>pour la période 2011-2015 témoigne de notre volonté de disposer désormais d’</w:t>
      </w:r>
      <w:r w:rsidRPr="008D45CE">
        <w:rPr>
          <w:rFonts w:ascii="Times New Roman" w:hAnsi="Times New Roman"/>
          <w:color w:val="000000" w:themeColor="text1"/>
          <w:kern w:val="24"/>
          <w:lang w:eastAsia="fr-FR"/>
        </w:rPr>
        <w:t xml:space="preserve">un outil pertinent d’aide à la décision et d’appréciation des flux de financement de notre système de santé, en vue d’une amélioration de sa gouvernance. </w:t>
      </w:r>
    </w:p>
    <w:p w:rsidR="007526D5" w:rsidRPr="008D45CE" w:rsidRDefault="007526D5" w:rsidP="00AB4855">
      <w:pPr>
        <w:pStyle w:val="Paragraphedeliste"/>
        <w:shd w:val="clear" w:color="auto" w:fill="FFFFFF" w:themeFill="background1"/>
        <w:ind w:left="0"/>
        <w:jc w:val="both"/>
        <w:textAlignment w:val="baseline"/>
        <w:rPr>
          <w:rFonts w:ascii="Times New Roman" w:hAnsi="Times New Roman"/>
          <w:color w:val="000000" w:themeColor="text1"/>
        </w:rPr>
      </w:pPr>
      <w:r w:rsidRPr="00AB4855">
        <w:rPr>
          <w:rFonts w:ascii="Times New Roman" w:hAnsi="Times New Roman"/>
          <w:color w:val="000000" w:themeColor="text1"/>
          <w:lang w:eastAsia="fr-FR"/>
        </w:rPr>
        <w:t xml:space="preserve">Il ressort du présent rapport que l’Etat congolais a maintenu, à travers la croissance continue de ses dépenses de santé, sa volonté constante de </w:t>
      </w:r>
      <w:r w:rsidRPr="00AB4855">
        <w:rPr>
          <w:rFonts w:ascii="Times New Roman" w:hAnsi="Times New Roman"/>
          <w:color w:val="000000" w:themeColor="text1"/>
        </w:rPr>
        <w:t>répondre aux défis liés à l’état de santé de la population congolaise, aussi bien en termes de morbidité que de mortalité.</w:t>
      </w:r>
    </w:p>
    <w:p w:rsidR="00AB4855" w:rsidRDefault="00AB4855" w:rsidP="007526D5">
      <w:pPr>
        <w:pStyle w:val="Paragraphedeliste"/>
        <w:ind w:left="0"/>
        <w:jc w:val="both"/>
        <w:textAlignment w:val="baseline"/>
        <w:rPr>
          <w:rFonts w:ascii="Times New Roman" w:hAnsi="Times New Roman"/>
          <w:color w:val="000000" w:themeColor="text1"/>
        </w:rPr>
      </w:pPr>
    </w:p>
    <w:p w:rsidR="007526D5" w:rsidRPr="008D45CE" w:rsidRDefault="007526D5" w:rsidP="007526D5">
      <w:pPr>
        <w:pStyle w:val="Paragraphedeliste"/>
        <w:ind w:left="0"/>
        <w:jc w:val="both"/>
        <w:textAlignment w:val="baseline"/>
        <w:rPr>
          <w:rFonts w:ascii="Times New Roman" w:hAnsi="Times New Roman"/>
          <w:color w:val="000000" w:themeColor="text1"/>
        </w:rPr>
      </w:pPr>
      <w:r w:rsidRPr="008D45CE">
        <w:rPr>
          <w:rFonts w:ascii="Times New Roman" w:hAnsi="Times New Roman"/>
          <w:color w:val="000000" w:themeColor="text1"/>
        </w:rPr>
        <w:t>Les données financières recueillies tant auprès des ménages, des bailleurs, des entreprises, des sociétés d’assurances que des organisations non gouvernementales internationales et nationales témoignent, si besoin il en était, des efforts fournis aussi par ses différe</w:t>
      </w:r>
      <w:r w:rsidR="00AB4855">
        <w:rPr>
          <w:rFonts w:ascii="Times New Roman" w:hAnsi="Times New Roman"/>
          <w:color w:val="000000" w:themeColor="text1"/>
        </w:rPr>
        <w:t>ntes parties prenantes du système de santé congolais.</w:t>
      </w:r>
    </w:p>
    <w:p w:rsidR="007526D5" w:rsidRPr="008D45CE" w:rsidRDefault="007526D5" w:rsidP="007526D5">
      <w:pPr>
        <w:pStyle w:val="NormalWeb"/>
        <w:spacing w:before="2" w:after="2"/>
        <w:jc w:val="both"/>
        <w:rPr>
          <w:color w:val="000000" w:themeColor="text1"/>
        </w:rPr>
      </w:pPr>
      <w:r w:rsidRPr="00AB4855">
        <w:rPr>
          <w:color w:val="000000" w:themeColor="text1"/>
          <w:shd w:val="clear" w:color="auto" w:fill="FFFFFF" w:themeFill="background1"/>
        </w:rPr>
        <w:t xml:space="preserve">Il sied d’ailleurs de relever </w:t>
      </w:r>
      <w:r w:rsidRPr="00AB4855">
        <w:rPr>
          <w:rFonts w:eastAsia="Calibri"/>
          <w:color w:val="000000" w:themeColor="text1"/>
          <w:shd w:val="clear" w:color="auto" w:fill="FFFFFF" w:themeFill="background1"/>
          <w:lang w:eastAsia="en-US"/>
        </w:rPr>
        <w:t>que la nature pour le moins contre-intuitive de la faible part des dépenses de santé des ménages, pour un pays à faible revenu comme le Congo, est la conséquence, à n’en point douter, d’une sous-évaluation de ces dépenses.</w:t>
      </w:r>
      <w:r w:rsidRPr="008D45CE">
        <w:rPr>
          <w:rFonts w:eastAsia="Calibri"/>
          <w:color w:val="000000" w:themeColor="text1"/>
          <w:lang w:eastAsia="en-US"/>
        </w:rPr>
        <w:t xml:space="preserve"> D’où la nécessité d’une meilleure évaluation à l’avenir de ces dépenses, au besoin à travers la m</w:t>
      </w:r>
      <w:r w:rsidR="00DC3FA0">
        <w:rPr>
          <w:rFonts w:eastAsia="Calibri"/>
          <w:color w:val="000000" w:themeColor="text1"/>
          <w:lang w:eastAsia="en-US"/>
        </w:rPr>
        <w:t xml:space="preserve">ise en place des mécanismes </w:t>
      </w:r>
      <w:r w:rsidR="00AB4855">
        <w:rPr>
          <w:rFonts w:eastAsia="Calibri"/>
          <w:color w:val="000000" w:themeColor="text1"/>
          <w:lang w:eastAsia="en-US"/>
        </w:rPr>
        <w:t xml:space="preserve">ad </w:t>
      </w:r>
      <w:r w:rsidR="00AB4855" w:rsidRPr="008D45CE">
        <w:rPr>
          <w:rFonts w:eastAsia="Calibri"/>
          <w:color w:val="000000" w:themeColor="text1"/>
          <w:lang w:eastAsia="en-US"/>
        </w:rPr>
        <w:t>'hoc</w:t>
      </w:r>
      <w:r w:rsidRPr="008D45CE">
        <w:rPr>
          <w:rFonts w:eastAsia="Calibri"/>
          <w:color w:val="000000" w:themeColor="text1"/>
          <w:lang w:eastAsia="en-US"/>
        </w:rPr>
        <w:t xml:space="preserve"> de collecte de données primaires y relatives.</w:t>
      </w:r>
    </w:p>
    <w:p w:rsidR="007526D5" w:rsidRPr="008D45CE" w:rsidRDefault="007526D5" w:rsidP="007526D5">
      <w:pPr>
        <w:pStyle w:val="Style2"/>
        <w:spacing w:line="240" w:lineRule="atLeast"/>
        <w:rPr>
          <w:color w:val="000000" w:themeColor="text1"/>
        </w:rPr>
      </w:pPr>
      <w:r w:rsidRPr="008D45CE">
        <w:rPr>
          <w:color w:val="000000" w:themeColor="text1"/>
        </w:rPr>
        <w:t>Ce rapport est rédigé selon la méthodologie du Système des Comptes de la Santé (SHA 2011). L’intérêt de cette m</w:t>
      </w:r>
      <w:r w:rsidR="00DC3FA0">
        <w:rPr>
          <w:color w:val="000000" w:themeColor="text1"/>
        </w:rPr>
        <w:t xml:space="preserve">éthode étant de rendre possible </w:t>
      </w:r>
      <w:r w:rsidRPr="008D45CE">
        <w:rPr>
          <w:color w:val="000000" w:themeColor="text1"/>
        </w:rPr>
        <w:t>les comparaisons internationales en matière de suivi de l’évolution des indicateurs du financement.</w:t>
      </w:r>
    </w:p>
    <w:p w:rsidR="007526D5" w:rsidRPr="008D45CE" w:rsidRDefault="007526D5" w:rsidP="007526D5">
      <w:pPr>
        <w:pStyle w:val="Style2"/>
        <w:spacing w:line="240" w:lineRule="atLeast"/>
        <w:rPr>
          <w:color w:val="000000" w:themeColor="text1"/>
        </w:rPr>
      </w:pPr>
      <w:r w:rsidRPr="008D45CE">
        <w:rPr>
          <w:color w:val="000000" w:themeColor="text1"/>
        </w:rPr>
        <w:t xml:space="preserve">  </w:t>
      </w:r>
    </w:p>
    <w:p w:rsidR="007526D5" w:rsidRPr="008D45CE" w:rsidRDefault="007526D5" w:rsidP="007526D5">
      <w:pPr>
        <w:pStyle w:val="Style2"/>
        <w:spacing w:line="240" w:lineRule="atLeast"/>
        <w:rPr>
          <w:color w:val="000000" w:themeColor="text1"/>
        </w:rPr>
      </w:pPr>
      <w:r w:rsidRPr="008D45CE">
        <w:rPr>
          <w:color w:val="000000" w:themeColor="text1"/>
        </w:rPr>
        <w:t>Pour conclure, nous formons le vœu, que ce rapport fasse l’objet d’une véritable appropriation par toutes</w:t>
      </w:r>
      <w:r w:rsidR="00AB4855">
        <w:rPr>
          <w:color w:val="000000" w:themeColor="text1"/>
        </w:rPr>
        <w:t xml:space="preserve"> les parties prenantes du </w:t>
      </w:r>
      <w:r w:rsidRPr="008D45CE">
        <w:rPr>
          <w:color w:val="000000" w:themeColor="text1"/>
        </w:rPr>
        <w:t xml:space="preserve">système de santé </w:t>
      </w:r>
      <w:r w:rsidR="00AB4855">
        <w:rPr>
          <w:color w:val="000000" w:themeColor="text1"/>
        </w:rPr>
        <w:t xml:space="preserve">du Congo </w:t>
      </w:r>
      <w:r w:rsidRPr="008D45CE">
        <w:rPr>
          <w:color w:val="000000" w:themeColor="text1"/>
        </w:rPr>
        <w:t xml:space="preserve">et surtout que l’aboutissement heureux de cette seconde tentative d’élaboration des comptes nationaux de la santé </w:t>
      </w:r>
      <w:r w:rsidR="00AB4855">
        <w:rPr>
          <w:color w:val="000000" w:themeColor="text1"/>
        </w:rPr>
        <w:t xml:space="preserve">au Congo </w:t>
      </w:r>
      <w:r w:rsidRPr="008D45CE">
        <w:rPr>
          <w:color w:val="000000" w:themeColor="text1"/>
        </w:rPr>
        <w:t>ouvre désormais définitivement la voie à l’institutionnalisation de ce processus,  à l’instar de bon nombre de pays africains aujourd’hui.</w:t>
      </w:r>
    </w:p>
    <w:p w:rsidR="007526D5" w:rsidRPr="008D45CE" w:rsidRDefault="007526D5" w:rsidP="007526D5">
      <w:pPr>
        <w:jc w:val="center"/>
        <w:rPr>
          <w:b/>
          <w:color w:val="000000" w:themeColor="text1"/>
          <w:u w:val="single"/>
        </w:rPr>
      </w:pPr>
    </w:p>
    <w:p w:rsidR="007526D5" w:rsidRPr="008D45CE" w:rsidRDefault="007526D5" w:rsidP="007526D5">
      <w:pPr>
        <w:jc w:val="center"/>
        <w:rPr>
          <w:b/>
          <w:color w:val="000000" w:themeColor="text1"/>
          <w:u w:val="single"/>
        </w:rPr>
      </w:pPr>
    </w:p>
    <w:p w:rsidR="007526D5" w:rsidRPr="008D45CE" w:rsidRDefault="007526D5" w:rsidP="007526D5">
      <w:pPr>
        <w:jc w:val="center"/>
        <w:rPr>
          <w:b/>
          <w:color w:val="000000" w:themeColor="text1"/>
        </w:rPr>
      </w:pPr>
      <w:r w:rsidRPr="008D45CE">
        <w:rPr>
          <w:b/>
          <w:color w:val="000000" w:themeColor="text1"/>
        </w:rPr>
        <w:t>Mme Jacqueline Lydia MIKOLO</w:t>
      </w:r>
    </w:p>
    <w:p w:rsidR="007526D5" w:rsidRPr="008D45CE" w:rsidRDefault="007526D5" w:rsidP="007526D5">
      <w:pPr>
        <w:jc w:val="center"/>
        <w:rPr>
          <w:b/>
          <w:color w:val="000000" w:themeColor="text1"/>
        </w:rPr>
      </w:pPr>
      <w:r w:rsidRPr="008D45CE">
        <w:rPr>
          <w:b/>
          <w:color w:val="000000" w:themeColor="text1"/>
        </w:rPr>
        <w:t>Ministre de la santé et de la population</w:t>
      </w:r>
    </w:p>
    <w:p w:rsidR="007526D5" w:rsidRPr="008D45CE" w:rsidRDefault="007526D5" w:rsidP="007526D5">
      <w:pPr>
        <w:jc w:val="center"/>
        <w:rPr>
          <w:b/>
          <w:color w:val="000000" w:themeColor="text1"/>
        </w:rPr>
      </w:pPr>
    </w:p>
    <w:p w:rsidR="007526D5" w:rsidRPr="008D45CE" w:rsidRDefault="007526D5" w:rsidP="007526D5">
      <w:pPr>
        <w:jc w:val="center"/>
        <w:rPr>
          <w:b/>
          <w:color w:val="000000" w:themeColor="text1"/>
        </w:rPr>
      </w:pPr>
    </w:p>
    <w:p w:rsidR="007526D5" w:rsidRPr="008D45CE" w:rsidRDefault="007526D5" w:rsidP="007526D5">
      <w:pPr>
        <w:jc w:val="center"/>
        <w:rPr>
          <w:b/>
          <w:color w:val="000000" w:themeColor="text1"/>
        </w:rPr>
      </w:pPr>
    </w:p>
    <w:p w:rsidR="00A10E04" w:rsidRPr="00AB4855" w:rsidRDefault="008D45CE" w:rsidP="00AB4855">
      <w:pPr>
        <w:spacing w:after="200" w:line="20" w:lineRule="atLeast"/>
        <w:jc w:val="center"/>
        <w:rPr>
          <w:b/>
          <w:bCs/>
          <w:color w:val="000000" w:themeColor="text1"/>
          <w:kern w:val="32"/>
          <w:szCs w:val="32"/>
        </w:rPr>
      </w:pPr>
      <w:r>
        <w:rPr>
          <w:color w:val="000000" w:themeColor="text1"/>
        </w:rPr>
        <w:br w:type="page"/>
      </w:r>
      <w:r w:rsidR="00A10E04" w:rsidRPr="008D45CE">
        <w:rPr>
          <w:color w:val="000000" w:themeColor="text1"/>
        </w:rPr>
        <w:lastRenderedPageBreak/>
        <w:t>REMERCIEMENTS</w:t>
      </w:r>
      <w:bookmarkEnd w:id="3"/>
      <w:bookmarkEnd w:id="6"/>
      <w:bookmarkEnd w:id="7"/>
      <w:bookmarkEnd w:id="8"/>
      <w:bookmarkEnd w:id="9"/>
    </w:p>
    <w:p w:rsidR="007526D5" w:rsidRPr="008D45CE" w:rsidRDefault="007526D5" w:rsidP="007526D5">
      <w:pPr>
        <w:rPr>
          <w:color w:val="000000" w:themeColor="text1"/>
        </w:rPr>
      </w:pPr>
    </w:p>
    <w:p w:rsidR="007526D5" w:rsidRPr="008D45CE" w:rsidRDefault="007526D5" w:rsidP="007526D5">
      <w:pPr>
        <w:jc w:val="both"/>
        <w:rPr>
          <w:color w:val="000000" w:themeColor="text1"/>
        </w:rPr>
      </w:pPr>
      <w:bookmarkStart w:id="10" w:name="_Toc413755810"/>
      <w:bookmarkStart w:id="11" w:name="_Toc414274632"/>
      <w:bookmarkStart w:id="12" w:name="_Toc465265921"/>
      <w:bookmarkStart w:id="13" w:name="_Toc483474581"/>
      <w:r w:rsidRPr="008D45CE">
        <w:rPr>
          <w:color w:val="000000" w:themeColor="text1"/>
        </w:rPr>
        <w:t>Ce rapport a été élab</w:t>
      </w:r>
      <w:r w:rsidR="00DC3FA0">
        <w:rPr>
          <w:color w:val="000000" w:themeColor="text1"/>
        </w:rPr>
        <w:t>oré sous le haut patronage de Madam</w:t>
      </w:r>
      <w:r w:rsidRPr="008D45CE">
        <w:rPr>
          <w:color w:val="000000" w:themeColor="text1"/>
        </w:rPr>
        <w:t xml:space="preserve">e la Ministre </w:t>
      </w:r>
      <w:r w:rsidRPr="008D45CE">
        <w:rPr>
          <w:b/>
          <w:color w:val="000000" w:themeColor="text1"/>
        </w:rPr>
        <w:t>Jacqueline Lydia MIKOLO</w:t>
      </w:r>
      <w:r w:rsidRPr="008D45CE">
        <w:rPr>
          <w:color w:val="000000" w:themeColor="text1"/>
        </w:rPr>
        <w:t>. Les données ayant permis l’élaboration des principaux comptes de santé ici présentés ont été collectées d’une part auprès du Gouvernement tant au niveau c</w:t>
      </w:r>
      <w:r w:rsidR="00AB4855">
        <w:rPr>
          <w:color w:val="000000" w:themeColor="text1"/>
        </w:rPr>
        <w:t>entral qu’au niveau départemental</w:t>
      </w:r>
      <w:r w:rsidRPr="008D45CE">
        <w:rPr>
          <w:color w:val="000000" w:themeColor="text1"/>
        </w:rPr>
        <w:t>.</w:t>
      </w:r>
    </w:p>
    <w:p w:rsidR="00DC3FA0" w:rsidRDefault="007526D5" w:rsidP="007526D5">
      <w:pPr>
        <w:jc w:val="both"/>
        <w:rPr>
          <w:color w:val="000000" w:themeColor="text1"/>
        </w:rPr>
      </w:pPr>
      <w:r w:rsidRPr="008D45CE">
        <w:rPr>
          <w:color w:val="000000" w:themeColor="text1"/>
        </w:rPr>
        <w:t xml:space="preserve">Au niveau central, la collecte des données a concerné : (i) Le Ministère de la santé et de la population, (ii) Le Ministère des finances, du budget et du portefeuille public, (iii) le Ministère de la défense, (iv) le Ministère des affaires sociales, de l’action humanitaire et de la solidarité, le Parlement et enfin (v) le Conseil départemental de Brazzaville. </w:t>
      </w:r>
    </w:p>
    <w:p w:rsidR="007526D5" w:rsidRPr="008D45CE" w:rsidRDefault="007526D5" w:rsidP="007526D5">
      <w:pPr>
        <w:jc w:val="both"/>
        <w:rPr>
          <w:color w:val="000000" w:themeColor="text1"/>
        </w:rPr>
      </w:pPr>
      <w:r w:rsidRPr="008D45CE">
        <w:rPr>
          <w:color w:val="000000" w:themeColor="text1"/>
        </w:rPr>
        <w:t xml:space="preserve">Concernant le niveau </w:t>
      </w:r>
      <w:r w:rsidR="00DB2DD3">
        <w:rPr>
          <w:color w:val="000000" w:themeColor="text1"/>
        </w:rPr>
        <w:t>départemental</w:t>
      </w:r>
      <w:r w:rsidRPr="008D45CE">
        <w:rPr>
          <w:color w:val="000000" w:themeColor="text1"/>
        </w:rPr>
        <w:t>, les données ont été collectées au niveau des collectivités locales, soit dans les douze (12) Départements que compte le Congo.</w:t>
      </w:r>
    </w:p>
    <w:p w:rsidR="007526D5" w:rsidRPr="008D45CE" w:rsidRDefault="007526D5" w:rsidP="007526D5">
      <w:pPr>
        <w:spacing w:line="280" w:lineRule="atLeast"/>
        <w:jc w:val="both"/>
        <w:rPr>
          <w:color w:val="000000" w:themeColor="text1"/>
        </w:rPr>
      </w:pPr>
      <w:r w:rsidRPr="008D45CE">
        <w:rPr>
          <w:color w:val="000000" w:themeColor="text1"/>
        </w:rPr>
        <w:t xml:space="preserve">Hormis, ces deux niveaux de collecte relatifs au Gouvernement, la collecte des données a aussi concerné les Bailleurs de fonds bi et multilatéraux, les ménages, les entreprises, les </w:t>
      </w:r>
      <w:r w:rsidR="00DC3FA0">
        <w:rPr>
          <w:color w:val="000000" w:themeColor="text1"/>
        </w:rPr>
        <w:t>sociétés d’</w:t>
      </w:r>
      <w:r w:rsidRPr="008D45CE">
        <w:rPr>
          <w:color w:val="000000" w:themeColor="text1"/>
        </w:rPr>
        <w:t xml:space="preserve">assurances, les Organisations Non Gouvernementales (ONG) et Fondations Nationales et Internationales. </w:t>
      </w:r>
    </w:p>
    <w:p w:rsidR="007526D5" w:rsidRPr="008D45CE" w:rsidRDefault="007526D5" w:rsidP="007526D5">
      <w:pPr>
        <w:spacing w:line="280" w:lineRule="atLeast"/>
        <w:jc w:val="both"/>
        <w:rPr>
          <w:color w:val="000000" w:themeColor="text1"/>
        </w:rPr>
      </w:pPr>
    </w:p>
    <w:p w:rsidR="007526D5" w:rsidRPr="008D45CE" w:rsidRDefault="007526D5" w:rsidP="007526D5">
      <w:pPr>
        <w:spacing w:line="280" w:lineRule="atLeast"/>
        <w:jc w:val="both"/>
        <w:rPr>
          <w:color w:val="000000" w:themeColor="text1"/>
        </w:rPr>
      </w:pPr>
      <w:r w:rsidRPr="008D45CE">
        <w:rPr>
          <w:color w:val="000000" w:themeColor="text1"/>
        </w:rPr>
        <w:t>Que toutes ces structures trouvent ici l’expression de notre profonde gratitude.</w:t>
      </w:r>
    </w:p>
    <w:p w:rsidR="007526D5" w:rsidRPr="008D45CE" w:rsidRDefault="007526D5" w:rsidP="007526D5">
      <w:pPr>
        <w:spacing w:line="280" w:lineRule="atLeast"/>
        <w:jc w:val="both"/>
        <w:rPr>
          <w:color w:val="000000" w:themeColor="text1"/>
        </w:rPr>
      </w:pPr>
    </w:p>
    <w:p w:rsidR="007526D5" w:rsidRPr="008D45CE" w:rsidRDefault="007526D5" w:rsidP="007526D5">
      <w:pPr>
        <w:spacing w:line="280" w:lineRule="atLeast"/>
        <w:jc w:val="both"/>
        <w:rPr>
          <w:color w:val="000000" w:themeColor="text1"/>
        </w:rPr>
      </w:pPr>
      <w:r w:rsidRPr="008D45CE">
        <w:rPr>
          <w:color w:val="000000" w:themeColor="text1"/>
        </w:rPr>
        <w:t>Le présent rapport a bénéficié du financement de l’Etat congolais et de la Banque mondiale, à travers le PDSS</w:t>
      </w:r>
      <w:r w:rsidR="000B5134">
        <w:rPr>
          <w:color w:val="000000" w:themeColor="text1"/>
        </w:rPr>
        <w:t>-II</w:t>
      </w:r>
      <w:r w:rsidR="00DB2DD3">
        <w:rPr>
          <w:color w:val="000000" w:themeColor="text1"/>
        </w:rPr>
        <w:t xml:space="preserve"> et de l'OMS</w:t>
      </w:r>
      <w:r w:rsidRPr="008D45CE">
        <w:rPr>
          <w:color w:val="000000" w:themeColor="text1"/>
        </w:rPr>
        <w:t xml:space="preserve">. </w:t>
      </w:r>
    </w:p>
    <w:p w:rsidR="00DB2DD3" w:rsidRDefault="00DB2DD3" w:rsidP="007526D5">
      <w:pPr>
        <w:spacing w:line="280" w:lineRule="atLeast"/>
        <w:jc w:val="both"/>
        <w:rPr>
          <w:color w:val="000000" w:themeColor="text1"/>
        </w:rPr>
      </w:pPr>
    </w:p>
    <w:p w:rsidR="007526D5" w:rsidRPr="008D45CE" w:rsidRDefault="007526D5" w:rsidP="007526D5">
      <w:pPr>
        <w:spacing w:line="280" w:lineRule="atLeast"/>
        <w:jc w:val="both"/>
        <w:rPr>
          <w:color w:val="000000" w:themeColor="text1"/>
        </w:rPr>
      </w:pPr>
      <w:r w:rsidRPr="008D45CE">
        <w:rPr>
          <w:color w:val="000000" w:themeColor="text1"/>
        </w:rPr>
        <w:t xml:space="preserve">Que ces </w:t>
      </w:r>
      <w:r w:rsidR="00DB2DD3">
        <w:rPr>
          <w:color w:val="000000" w:themeColor="text1"/>
        </w:rPr>
        <w:t xml:space="preserve">partenaires </w:t>
      </w:r>
      <w:r w:rsidRPr="008D45CE">
        <w:rPr>
          <w:color w:val="000000" w:themeColor="text1"/>
        </w:rPr>
        <w:t xml:space="preserve"> trouvent ici l’expression de notre reconnaissance.</w:t>
      </w:r>
    </w:p>
    <w:p w:rsidR="007526D5" w:rsidRPr="008D45CE" w:rsidRDefault="007526D5" w:rsidP="007526D5">
      <w:pPr>
        <w:spacing w:line="280" w:lineRule="atLeast"/>
        <w:jc w:val="both"/>
        <w:rPr>
          <w:color w:val="000000" w:themeColor="text1"/>
        </w:rPr>
      </w:pPr>
    </w:p>
    <w:p w:rsidR="007526D5" w:rsidRPr="008D45CE" w:rsidRDefault="007526D5" w:rsidP="007526D5">
      <w:pPr>
        <w:spacing w:line="280" w:lineRule="atLeast"/>
        <w:jc w:val="both"/>
        <w:rPr>
          <w:color w:val="000000" w:themeColor="text1"/>
        </w:rPr>
      </w:pPr>
      <w:r w:rsidRPr="008D45CE">
        <w:rPr>
          <w:color w:val="000000" w:themeColor="text1"/>
        </w:rPr>
        <w:t>Le Ministère de la santé et de la populat</w:t>
      </w:r>
      <w:r w:rsidR="008A6946">
        <w:rPr>
          <w:color w:val="000000" w:themeColor="text1"/>
        </w:rPr>
        <w:t>ion remercie particulièrement Monsieur</w:t>
      </w:r>
      <w:r w:rsidRPr="008D45CE">
        <w:rPr>
          <w:color w:val="000000" w:themeColor="text1"/>
        </w:rPr>
        <w:t xml:space="preserve"> </w:t>
      </w:r>
      <w:r w:rsidRPr="008A6946">
        <w:rPr>
          <w:b/>
          <w:color w:val="000000" w:themeColor="text1"/>
        </w:rPr>
        <w:t>Eddy M</w:t>
      </w:r>
      <w:r w:rsidR="008A6946" w:rsidRPr="008A6946">
        <w:rPr>
          <w:b/>
          <w:color w:val="000000" w:themeColor="text1"/>
        </w:rPr>
        <w:t>ONGANI</w:t>
      </w:r>
      <w:r w:rsidR="002F1C6E">
        <w:rPr>
          <w:color w:val="000000" w:themeColor="text1"/>
        </w:rPr>
        <w:t xml:space="preserve"> </w:t>
      </w:r>
      <w:r w:rsidRPr="008D45CE">
        <w:rPr>
          <w:color w:val="000000" w:themeColor="text1"/>
        </w:rPr>
        <w:t>C</w:t>
      </w:r>
      <w:r w:rsidR="00DB2DD3">
        <w:rPr>
          <w:color w:val="000000" w:themeColor="text1"/>
        </w:rPr>
        <w:t>onsultant International</w:t>
      </w:r>
      <w:r w:rsidR="002F1C6E">
        <w:rPr>
          <w:color w:val="000000" w:themeColor="text1"/>
        </w:rPr>
        <w:t>/OMS des Comptes de la Santé</w:t>
      </w:r>
      <w:r w:rsidRPr="008D45CE">
        <w:rPr>
          <w:color w:val="000000" w:themeColor="text1"/>
        </w:rPr>
        <w:t xml:space="preserve"> et M</w:t>
      </w:r>
      <w:r w:rsidR="008A6946">
        <w:rPr>
          <w:color w:val="000000" w:themeColor="text1"/>
        </w:rPr>
        <w:t>onsieur</w:t>
      </w:r>
      <w:r w:rsidRPr="008D45CE">
        <w:rPr>
          <w:color w:val="000000" w:themeColor="text1"/>
        </w:rPr>
        <w:t xml:space="preserve"> </w:t>
      </w:r>
      <w:r w:rsidRPr="008A6946">
        <w:rPr>
          <w:b/>
          <w:color w:val="000000" w:themeColor="text1"/>
        </w:rPr>
        <w:t>Jean-Chrios M</w:t>
      </w:r>
      <w:r w:rsidR="008A6946" w:rsidRPr="008A6946">
        <w:rPr>
          <w:b/>
          <w:color w:val="000000" w:themeColor="text1"/>
        </w:rPr>
        <w:t>OUKALA</w:t>
      </w:r>
      <w:r w:rsidRPr="008D45CE">
        <w:rPr>
          <w:color w:val="000000" w:themeColor="text1"/>
        </w:rPr>
        <w:t xml:space="preserve">, Consultant national CNS, qui ont apporté toutes leurs expertises à l’équipe technique multidisciplinaire et interministérielle de production </w:t>
      </w:r>
      <w:r w:rsidR="00DB2DD3">
        <w:rPr>
          <w:color w:val="000000" w:themeColor="text1"/>
        </w:rPr>
        <w:t>des comptes de la santé pour la production des présents comptes de la santé exercices 2011, 2012, 2013, 2014 et 2015.</w:t>
      </w:r>
    </w:p>
    <w:p w:rsidR="007526D5" w:rsidRPr="008D45CE" w:rsidRDefault="007526D5" w:rsidP="007526D5">
      <w:pPr>
        <w:jc w:val="center"/>
        <w:rPr>
          <w:b/>
          <w:color w:val="000000" w:themeColor="text1"/>
        </w:rPr>
      </w:pPr>
    </w:p>
    <w:p w:rsidR="007526D5" w:rsidRPr="008D45CE" w:rsidRDefault="007526D5" w:rsidP="007526D5">
      <w:pPr>
        <w:jc w:val="center"/>
        <w:rPr>
          <w:b/>
          <w:color w:val="000000" w:themeColor="text1"/>
          <w:u w:val="single"/>
        </w:rPr>
      </w:pPr>
    </w:p>
    <w:p w:rsidR="007526D5" w:rsidRPr="008D45CE" w:rsidRDefault="007526D5" w:rsidP="007526D5">
      <w:pPr>
        <w:jc w:val="center"/>
        <w:rPr>
          <w:b/>
          <w:color w:val="000000" w:themeColor="text1"/>
        </w:rPr>
      </w:pPr>
      <w:r w:rsidRPr="008D45CE">
        <w:rPr>
          <w:b/>
          <w:color w:val="000000" w:themeColor="text1"/>
        </w:rPr>
        <w:t>Florent BALANDAMIO</w:t>
      </w:r>
    </w:p>
    <w:p w:rsidR="007526D5" w:rsidRPr="008D45CE" w:rsidRDefault="007526D5" w:rsidP="007526D5">
      <w:pPr>
        <w:jc w:val="center"/>
        <w:rPr>
          <w:b/>
          <w:color w:val="000000" w:themeColor="text1"/>
        </w:rPr>
      </w:pPr>
    </w:p>
    <w:p w:rsidR="007526D5" w:rsidRPr="008D45CE" w:rsidRDefault="007526D5" w:rsidP="007526D5">
      <w:pPr>
        <w:jc w:val="center"/>
        <w:rPr>
          <w:b/>
          <w:color w:val="000000" w:themeColor="text1"/>
        </w:rPr>
      </w:pPr>
      <w:r w:rsidRPr="008D45CE">
        <w:rPr>
          <w:b/>
          <w:color w:val="000000" w:themeColor="text1"/>
        </w:rPr>
        <w:t>Directeur de Cabinet</w:t>
      </w:r>
    </w:p>
    <w:p w:rsidR="007526D5" w:rsidRPr="008D45CE" w:rsidRDefault="007526D5" w:rsidP="007526D5">
      <w:pPr>
        <w:jc w:val="center"/>
        <w:rPr>
          <w:b/>
          <w:color w:val="000000" w:themeColor="text1"/>
        </w:rPr>
      </w:pPr>
    </w:p>
    <w:p w:rsidR="007526D5" w:rsidRPr="008D45CE" w:rsidRDefault="007526D5" w:rsidP="007526D5">
      <w:pPr>
        <w:jc w:val="center"/>
        <w:rPr>
          <w:b/>
          <w:color w:val="000000" w:themeColor="text1"/>
        </w:rPr>
      </w:pPr>
    </w:p>
    <w:p w:rsidR="007526D5" w:rsidRPr="008D45CE" w:rsidRDefault="007526D5" w:rsidP="007526D5">
      <w:pPr>
        <w:jc w:val="center"/>
        <w:rPr>
          <w:b/>
          <w:color w:val="000000" w:themeColor="text1"/>
        </w:rPr>
      </w:pPr>
    </w:p>
    <w:p w:rsidR="007526D5" w:rsidRPr="008D45CE" w:rsidRDefault="007526D5" w:rsidP="007526D5">
      <w:pPr>
        <w:jc w:val="center"/>
        <w:rPr>
          <w:b/>
          <w:color w:val="000000" w:themeColor="text1"/>
        </w:rPr>
      </w:pPr>
    </w:p>
    <w:p w:rsidR="007526D5" w:rsidRPr="008D45CE" w:rsidRDefault="007526D5" w:rsidP="007526D5">
      <w:pPr>
        <w:jc w:val="center"/>
        <w:rPr>
          <w:b/>
          <w:color w:val="000000" w:themeColor="text1"/>
        </w:rPr>
      </w:pPr>
    </w:p>
    <w:p w:rsidR="007526D5" w:rsidRPr="008D45CE" w:rsidRDefault="007526D5" w:rsidP="007526D5">
      <w:pPr>
        <w:jc w:val="center"/>
        <w:rPr>
          <w:b/>
          <w:color w:val="000000" w:themeColor="text1"/>
        </w:rPr>
      </w:pPr>
    </w:p>
    <w:p w:rsidR="007526D5" w:rsidRPr="008D45CE" w:rsidRDefault="007526D5" w:rsidP="007526D5">
      <w:pPr>
        <w:jc w:val="center"/>
        <w:rPr>
          <w:b/>
          <w:color w:val="000000" w:themeColor="text1"/>
        </w:rPr>
      </w:pPr>
    </w:p>
    <w:p w:rsidR="007526D5" w:rsidRPr="008D45CE" w:rsidRDefault="007526D5" w:rsidP="007526D5">
      <w:pPr>
        <w:jc w:val="center"/>
        <w:rPr>
          <w:b/>
          <w:color w:val="000000" w:themeColor="text1"/>
        </w:rPr>
      </w:pPr>
    </w:p>
    <w:p w:rsidR="007526D5" w:rsidRPr="008D45CE" w:rsidRDefault="007526D5" w:rsidP="007526D5">
      <w:pPr>
        <w:jc w:val="center"/>
        <w:rPr>
          <w:b/>
          <w:color w:val="000000" w:themeColor="text1"/>
        </w:rPr>
      </w:pPr>
    </w:p>
    <w:p w:rsidR="008D45CE" w:rsidRDefault="008D45CE">
      <w:pPr>
        <w:spacing w:after="200" w:line="20" w:lineRule="atLeast"/>
        <w:rPr>
          <w:b/>
          <w:bCs/>
          <w:color w:val="000000" w:themeColor="text1"/>
          <w:kern w:val="32"/>
          <w:szCs w:val="32"/>
        </w:rPr>
      </w:pPr>
      <w:r>
        <w:rPr>
          <w:color w:val="000000" w:themeColor="text1"/>
        </w:rPr>
        <w:br w:type="page"/>
      </w:r>
    </w:p>
    <w:p w:rsidR="00A10E04" w:rsidRPr="008D45CE" w:rsidRDefault="00A10E04" w:rsidP="00A401E9">
      <w:pPr>
        <w:pStyle w:val="Titre1"/>
        <w:jc w:val="center"/>
        <w:rPr>
          <w:color w:val="000000" w:themeColor="text1"/>
        </w:rPr>
      </w:pPr>
      <w:r w:rsidRPr="008D45CE">
        <w:rPr>
          <w:color w:val="000000" w:themeColor="text1"/>
        </w:rPr>
        <w:lastRenderedPageBreak/>
        <w:t>AVANT-PROPOS</w:t>
      </w:r>
      <w:bookmarkEnd w:id="10"/>
      <w:bookmarkEnd w:id="11"/>
      <w:bookmarkEnd w:id="12"/>
      <w:bookmarkEnd w:id="13"/>
    </w:p>
    <w:p w:rsidR="007526D5" w:rsidRPr="008D45CE" w:rsidRDefault="007526D5" w:rsidP="007526D5">
      <w:pPr>
        <w:spacing w:line="340" w:lineRule="atLeast"/>
        <w:jc w:val="both"/>
        <w:rPr>
          <w:iCs/>
          <w:color w:val="000000" w:themeColor="text1"/>
        </w:rPr>
      </w:pPr>
      <w:r w:rsidRPr="008D45CE">
        <w:rPr>
          <w:iCs/>
          <w:color w:val="000000" w:themeColor="text1"/>
        </w:rPr>
        <w:t xml:space="preserve">A l’instar d’autres pays en développement, le financement de la santé en République du Congo relève de </w:t>
      </w:r>
      <w:r w:rsidR="00027A4B">
        <w:rPr>
          <w:iCs/>
          <w:color w:val="000000" w:themeColor="text1"/>
        </w:rPr>
        <w:t>six</w:t>
      </w:r>
      <w:r w:rsidRPr="008D45CE">
        <w:rPr>
          <w:iCs/>
          <w:color w:val="000000" w:themeColor="text1"/>
        </w:rPr>
        <w:t xml:space="preserve"> principales sources de financement. Il s’agit : (i) du Gouvernement et des structures déconcentrées et décentralisées de l’Etat (Préfectures et Départements) qui consacrent annuellement une partie conséquente de leurs budgets au financement des dépenses de santé, (ii) des Bailleurs de fonds bi et multilatéraux qui apportent un soutien financier substantiel dans le financement de la santé, (iii) des Ménages qui, à travers la consommation des services et soins de santé, (iv) des Entreprises à travers la prise en charge des dépe</w:t>
      </w:r>
      <w:r w:rsidR="00B202D5" w:rsidRPr="008D45CE">
        <w:rPr>
          <w:iCs/>
          <w:color w:val="000000" w:themeColor="text1"/>
        </w:rPr>
        <w:t xml:space="preserve">nses de santé de leurs salariés, </w:t>
      </w:r>
      <w:r w:rsidR="008A6946">
        <w:rPr>
          <w:iCs/>
          <w:color w:val="000000" w:themeColor="text1"/>
        </w:rPr>
        <w:t>(v</w:t>
      </w:r>
      <w:r w:rsidRPr="008D45CE">
        <w:rPr>
          <w:iCs/>
          <w:color w:val="000000" w:themeColor="text1"/>
        </w:rPr>
        <w:t>) des Assurances qui prennent en charge les dépenses de santé</w:t>
      </w:r>
      <w:r w:rsidR="00027A4B">
        <w:rPr>
          <w:iCs/>
          <w:color w:val="000000" w:themeColor="text1"/>
        </w:rPr>
        <w:t xml:space="preserve"> de leurs assurés, et enfin (vi</w:t>
      </w:r>
      <w:r w:rsidRPr="008D45CE">
        <w:rPr>
          <w:iCs/>
          <w:color w:val="000000" w:themeColor="text1"/>
        </w:rPr>
        <w:t xml:space="preserve">) des ONG et fondations nationales </w:t>
      </w:r>
      <w:r w:rsidR="00DB2DD3">
        <w:rPr>
          <w:iCs/>
          <w:color w:val="000000" w:themeColor="text1"/>
        </w:rPr>
        <w:t>et</w:t>
      </w:r>
      <w:r w:rsidRPr="008D45CE">
        <w:rPr>
          <w:iCs/>
          <w:color w:val="000000" w:themeColor="text1"/>
        </w:rPr>
        <w:t xml:space="preserve"> internationales</w:t>
      </w:r>
      <w:r w:rsidR="00DB2DD3">
        <w:rPr>
          <w:iCs/>
          <w:color w:val="000000" w:themeColor="text1"/>
        </w:rPr>
        <w:t>.</w:t>
      </w:r>
      <w:r w:rsidRPr="008D45CE">
        <w:rPr>
          <w:iCs/>
          <w:color w:val="000000" w:themeColor="text1"/>
        </w:rPr>
        <w:t xml:space="preserve"> </w:t>
      </w:r>
    </w:p>
    <w:p w:rsidR="00B202D5" w:rsidRPr="008D45CE" w:rsidRDefault="00B202D5" w:rsidP="007526D5">
      <w:pPr>
        <w:spacing w:line="340" w:lineRule="atLeast"/>
        <w:jc w:val="both"/>
        <w:rPr>
          <w:color w:val="000000" w:themeColor="text1"/>
        </w:rPr>
      </w:pPr>
    </w:p>
    <w:p w:rsidR="007526D5" w:rsidRPr="008D45CE" w:rsidRDefault="007526D5" w:rsidP="007526D5">
      <w:pPr>
        <w:spacing w:line="340" w:lineRule="atLeast"/>
        <w:jc w:val="both"/>
        <w:rPr>
          <w:iCs/>
          <w:color w:val="000000" w:themeColor="text1"/>
        </w:rPr>
      </w:pPr>
      <w:r w:rsidRPr="008D45CE">
        <w:rPr>
          <w:iCs/>
          <w:color w:val="000000" w:themeColor="text1"/>
        </w:rPr>
        <w:t>Les comptes nationaux de la santé pour la période 2011-2015 ici présentés ont été élaborés selon</w:t>
      </w:r>
      <w:r w:rsidRPr="008D45CE">
        <w:rPr>
          <w:rFonts w:eastAsia="+mn-ea"/>
          <w:bCs/>
          <w:color w:val="000000" w:themeColor="text1"/>
          <w:kern w:val="24"/>
        </w:rPr>
        <w:t xml:space="preserve"> la méthodologie proposée par le  Guide publié par L’Organisation mondiale de la Santé (OMS), la Banque mondiale (BM), l’Agence des Etats-Unis pour le développement international (USAID), </w:t>
      </w:r>
      <w:r w:rsidRPr="008D45CE">
        <w:rPr>
          <w:iCs/>
          <w:color w:val="000000" w:themeColor="text1"/>
        </w:rPr>
        <w:t>qui a l’avantage d’être en conformité avec les exigences de la nouvelle classification internationale de la dépense de santé, conformément à la nomenclature de la méthodologie du « Système des Comptes de la Santé 2011 ». Les résultats ont été d’abord produits à l’aide du logiciel HAPT version 4.0.0.3</w:t>
      </w:r>
      <w:r w:rsidR="00B202D5" w:rsidRPr="008D45CE">
        <w:rPr>
          <w:iCs/>
          <w:color w:val="000000" w:themeColor="text1"/>
        </w:rPr>
        <w:t xml:space="preserve"> </w:t>
      </w:r>
      <w:r w:rsidRPr="008D45CE">
        <w:rPr>
          <w:iCs/>
          <w:color w:val="000000" w:themeColor="text1"/>
        </w:rPr>
        <w:t xml:space="preserve">et, ensuite analysés </w:t>
      </w:r>
      <w:r w:rsidR="00B202D5" w:rsidRPr="008D45CE">
        <w:rPr>
          <w:iCs/>
          <w:color w:val="000000" w:themeColor="text1"/>
        </w:rPr>
        <w:t>à l’aide</w:t>
      </w:r>
      <w:r w:rsidRPr="008D45CE">
        <w:rPr>
          <w:iCs/>
          <w:color w:val="000000" w:themeColor="text1"/>
        </w:rPr>
        <w:t xml:space="preserve"> le logiciel HAAT, version 3.0.0.0.</w:t>
      </w:r>
    </w:p>
    <w:p w:rsidR="00B202D5" w:rsidRPr="008D45CE" w:rsidRDefault="00B202D5" w:rsidP="007526D5">
      <w:pPr>
        <w:jc w:val="both"/>
        <w:rPr>
          <w:iCs/>
          <w:color w:val="000000" w:themeColor="text1"/>
        </w:rPr>
      </w:pPr>
    </w:p>
    <w:p w:rsidR="007526D5" w:rsidRPr="008D45CE" w:rsidRDefault="007526D5" w:rsidP="007526D5">
      <w:pPr>
        <w:jc w:val="both"/>
        <w:rPr>
          <w:iCs/>
          <w:color w:val="000000" w:themeColor="text1"/>
        </w:rPr>
      </w:pPr>
      <w:r w:rsidRPr="008D45CE">
        <w:rPr>
          <w:iCs/>
          <w:color w:val="000000" w:themeColor="text1"/>
        </w:rPr>
        <w:t xml:space="preserve">Les dépenses de santé réalisées au Congo au cours de la période sous revue ont été déclinées à travers trois rubriques, à savoir : la dépense totale de santé (DTS), </w:t>
      </w:r>
      <w:r w:rsidR="00DB2DD3" w:rsidRPr="008D45CE">
        <w:rPr>
          <w:iCs/>
          <w:color w:val="000000" w:themeColor="text1"/>
        </w:rPr>
        <w:t>les dépenses courantes de santé (DCS</w:t>
      </w:r>
      <w:r w:rsidR="00DB2DD3">
        <w:rPr>
          <w:iCs/>
          <w:color w:val="000000" w:themeColor="text1"/>
        </w:rPr>
        <w:t>)</w:t>
      </w:r>
      <w:r w:rsidRPr="008D45CE">
        <w:rPr>
          <w:iCs/>
          <w:color w:val="000000" w:themeColor="text1"/>
        </w:rPr>
        <w:t xml:space="preserve"> et enfin </w:t>
      </w:r>
      <w:r w:rsidR="00DB2DD3" w:rsidRPr="008D45CE">
        <w:rPr>
          <w:iCs/>
          <w:color w:val="000000" w:themeColor="text1"/>
        </w:rPr>
        <w:t>les dépenses d’investissement en santé</w:t>
      </w:r>
      <w:r w:rsidR="00DB2DD3">
        <w:rPr>
          <w:iCs/>
          <w:color w:val="000000" w:themeColor="text1"/>
        </w:rPr>
        <w:t>.</w:t>
      </w:r>
    </w:p>
    <w:p w:rsidR="007526D5" w:rsidRPr="008D45CE" w:rsidRDefault="007526D5" w:rsidP="007526D5">
      <w:pPr>
        <w:pStyle w:val="texteespapres"/>
        <w:spacing w:after="0"/>
        <w:jc w:val="both"/>
        <w:rPr>
          <w:iCs/>
          <w:color w:val="000000" w:themeColor="text1"/>
          <w:sz w:val="24"/>
          <w:szCs w:val="24"/>
          <w:lang w:eastAsia="en-US" w:bidi="en-US"/>
        </w:rPr>
      </w:pPr>
      <w:bookmarkStart w:id="14" w:name="depense"/>
      <w:bookmarkEnd w:id="14"/>
      <w:r w:rsidRPr="008D45CE">
        <w:rPr>
          <w:iCs/>
          <w:color w:val="000000" w:themeColor="text1"/>
          <w:sz w:val="24"/>
          <w:szCs w:val="24"/>
          <w:lang w:eastAsia="en-US" w:bidi="en-US"/>
        </w:rPr>
        <w:t xml:space="preserve">La DTS est évaluée en sommant les dépenses de santé courantes avec les dépenses d’investissement en santé. La Dépense courante de santé (DCS) </w:t>
      </w:r>
      <w:r w:rsidR="00DB2DD3">
        <w:rPr>
          <w:iCs/>
          <w:color w:val="000000" w:themeColor="text1"/>
          <w:sz w:val="24"/>
          <w:szCs w:val="24"/>
          <w:lang w:eastAsia="en-US" w:bidi="en-US"/>
        </w:rPr>
        <w:t xml:space="preserve">se </w:t>
      </w:r>
      <w:r w:rsidR="00DB2DD3" w:rsidRPr="008D45CE">
        <w:rPr>
          <w:rFonts w:eastAsia="Calibri"/>
          <w:color w:val="000000" w:themeColor="text1"/>
          <w:sz w:val="23"/>
          <w:szCs w:val="23"/>
        </w:rPr>
        <w:t xml:space="preserve">préoccupe principalement des biens et services de santé consommés par les unités résidentes uniquement, quel que soit le lieu où la consommation a lieu dans le territoire économique ou dans le reste du monde. </w:t>
      </w:r>
      <w:r w:rsidRPr="008D45CE">
        <w:rPr>
          <w:iCs/>
          <w:color w:val="000000" w:themeColor="text1"/>
          <w:sz w:val="24"/>
          <w:szCs w:val="24"/>
          <w:lang w:eastAsia="en-US" w:bidi="en-US"/>
        </w:rPr>
        <w:t xml:space="preserve">Elle regroupe l'ensemble des paiements intervenus au cours d'une année au titre des soins médicaux, des biens médicaux, des services de médecine préventive individuelle et des transports, des soins de longue durée, des indemnités journalières, des dépenses de prévention collective, des subventions reçues par le système de santé, de la recherche médicale, de la formation et enfin de l'administration sanitaire. </w:t>
      </w:r>
    </w:p>
    <w:p w:rsidR="007526D5" w:rsidRPr="008D45CE" w:rsidRDefault="007526D5" w:rsidP="007526D5">
      <w:pPr>
        <w:spacing w:line="340" w:lineRule="atLeast"/>
        <w:jc w:val="both"/>
        <w:rPr>
          <w:iCs/>
          <w:color w:val="000000" w:themeColor="text1"/>
        </w:rPr>
      </w:pPr>
      <w:r w:rsidRPr="008D45CE">
        <w:rPr>
          <w:iCs/>
          <w:color w:val="000000" w:themeColor="text1"/>
        </w:rPr>
        <w:t>Les dépenses d’investissement en santé ont trait aux ressources consacrées pour le développement du système de santé. Les différents comptes nationaux de la santé du Congo pour la période 2011-2015 ici présentés  rendent en définitive compte de l’évolution de ces trois principaux agrégats de la dépense de santé.</w:t>
      </w:r>
    </w:p>
    <w:p w:rsidR="007526D5" w:rsidRPr="008D45CE" w:rsidRDefault="007526D5" w:rsidP="007526D5">
      <w:pPr>
        <w:spacing w:line="340" w:lineRule="atLeast"/>
        <w:jc w:val="both"/>
        <w:rPr>
          <w:color w:val="000000" w:themeColor="text1"/>
        </w:rPr>
      </w:pPr>
    </w:p>
    <w:p w:rsidR="007526D5" w:rsidRPr="008D45CE" w:rsidRDefault="007526D5" w:rsidP="007526D5">
      <w:pPr>
        <w:jc w:val="center"/>
        <w:rPr>
          <w:b/>
          <w:color w:val="000000" w:themeColor="text1"/>
        </w:rPr>
      </w:pPr>
      <w:r w:rsidRPr="008D45CE">
        <w:rPr>
          <w:b/>
          <w:color w:val="000000" w:themeColor="text1"/>
        </w:rPr>
        <w:t>Dieu Merci Emériand KIBANGOU</w:t>
      </w:r>
    </w:p>
    <w:p w:rsidR="007526D5" w:rsidRPr="008D45CE" w:rsidRDefault="007526D5" w:rsidP="007526D5">
      <w:pPr>
        <w:jc w:val="center"/>
        <w:rPr>
          <w:b/>
          <w:color w:val="000000" w:themeColor="text1"/>
        </w:rPr>
      </w:pPr>
      <w:r w:rsidRPr="008D45CE">
        <w:rPr>
          <w:b/>
          <w:color w:val="000000" w:themeColor="text1"/>
        </w:rPr>
        <w:t>Directeur des études et de la planification</w:t>
      </w:r>
    </w:p>
    <w:p w:rsidR="00A10E04" w:rsidRDefault="00A10E04" w:rsidP="00A401E9">
      <w:pPr>
        <w:pStyle w:val="Sansinterligne"/>
        <w:spacing w:line="360" w:lineRule="auto"/>
        <w:rPr>
          <w:rFonts w:ascii="Times New Roman" w:hAnsi="Times New Roman"/>
          <w:b/>
          <w:color w:val="000000" w:themeColor="text1"/>
          <w:sz w:val="24"/>
          <w:szCs w:val="24"/>
          <w:lang w:val="fr-FR"/>
        </w:rPr>
      </w:pPr>
    </w:p>
    <w:p w:rsidR="00BA593A" w:rsidRPr="008D45CE" w:rsidRDefault="00BA593A" w:rsidP="00A401E9">
      <w:pPr>
        <w:pStyle w:val="Sansinterligne"/>
        <w:spacing w:line="360" w:lineRule="auto"/>
        <w:rPr>
          <w:rFonts w:ascii="Times New Roman" w:hAnsi="Times New Roman"/>
          <w:b/>
          <w:color w:val="000000" w:themeColor="text1"/>
          <w:sz w:val="24"/>
          <w:szCs w:val="24"/>
          <w:lang w:val="fr-FR"/>
        </w:rPr>
      </w:pPr>
    </w:p>
    <w:p w:rsidR="00A10E04" w:rsidRPr="008D45CE" w:rsidRDefault="00A10E04" w:rsidP="00A401E9">
      <w:pPr>
        <w:pStyle w:val="Titre1"/>
        <w:jc w:val="center"/>
        <w:rPr>
          <w:color w:val="000000" w:themeColor="text1"/>
        </w:rPr>
      </w:pPr>
      <w:bookmarkStart w:id="15" w:name="_Toc465265922"/>
      <w:bookmarkStart w:id="16" w:name="_Toc483474582"/>
      <w:r w:rsidRPr="008D45CE">
        <w:rPr>
          <w:color w:val="000000" w:themeColor="text1"/>
        </w:rPr>
        <w:lastRenderedPageBreak/>
        <w:t>TABLE DES MATIERES</w:t>
      </w:r>
      <w:bookmarkEnd w:id="15"/>
      <w:bookmarkEnd w:id="16"/>
    </w:p>
    <w:p w:rsidR="00E77604" w:rsidRPr="008D45CE" w:rsidRDefault="005B4D4B">
      <w:pPr>
        <w:pStyle w:val="TM1"/>
        <w:rPr>
          <w:rFonts w:eastAsiaTheme="minorEastAsia"/>
          <w:noProof/>
          <w:color w:val="000000" w:themeColor="text1"/>
          <w:sz w:val="22"/>
          <w:szCs w:val="22"/>
          <w:lang w:eastAsia="fr-FR" w:bidi="ar-SA"/>
        </w:rPr>
      </w:pPr>
      <w:r w:rsidRPr="008D45CE">
        <w:rPr>
          <w:color w:val="000000" w:themeColor="text1"/>
        </w:rPr>
        <w:fldChar w:fldCharType="begin"/>
      </w:r>
      <w:r w:rsidR="00A10E04" w:rsidRPr="008D45CE">
        <w:rPr>
          <w:color w:val="000000" w:themeColor="text1"/>
        </w:rPr>
        <w:instrText xml:space="preserve"> TOC \o "1-4" \h \z \u </w:instrText>
      </w:r>
      <w:r w:rsidRPr="008D45CE">
        <w:rPr>
          <w:color w:val="000000" w:themeColor="text1"/>
        </w:rPr>
        <w:fldChar w:fldCharType="separate"/>
      </w:r>
      <w:hyperlink w:anchor="_Toc483474579" w:history="1">
        <w:r w:rsidR="00E77604" w:rsidRPr="008D45CE">
          <w:rPr>
            <w:rStyle w:val="Lienhypertexte"/>
            <w:noProof/>
            <w:color w:val="000000" w:themeColor="text1"/>
          </w:rPr>
          <w:t>PREFACE</w:t>
        </w:r>
        <w:r w:rsidR="00E77604" w:rsidRPr="008D45CE">
          <w:rPr>
            <w:noProof/>
            <w:webHidden/>
            <w:color w:val="000000" w:themeColor="text1"/>
          </w:rPr>
          <w:tab/>
        </w:r>
        <w:r w:rsidR="00E77604" w:rsidRPr="008D45CE">
          <w:rPr>
            <w:noProof/>
            <w:webHidden/>
            <w:color w:val="000000" w:themeColor="text1"/>
          </w:rPr>
          <w:tab/>
        </w:r>
        <w:r w:rsidRPr="008D45CE">
          <w:rPr>
            <w:noProof/>
            <w:webHidden/>
            <w:color w:val="000000" w:themeColor="text1"/>
          </w:rPr>
          <w:fldChar w:fldCharType="begin"/>
        </w:r>
        <w:r w:rsidR="00E77604" w:rsidRPr="008D45CE">
          <w:rPr>
            <w:noProof/>
            <w:webHidden/>
            <w:color w:val="000000" w:themeColor="text1"/>
          </w:rPr>
          <w:instrText xml:space="preserve"> PAGEREF _Toc483474579 \h </w:instrText>
        </w:r>
        <w:r w:rsidRPr="008D45CE">
          <w:rPr>
            <w:noProof/>
            <w:webHidden/>
            <w:color w:val="000000" w:themeColor="text1"/>
          </w:rPr>
        </w:r>
        <w:r w:rsidRPr="008D45CE">
          <w:rPr>
            <w:noProof/>
            <w:webHidden/>
            <w:color w:val="000000" w:themeColor="text1"/>
          </w:rPr>
          <w:fldChar w:fldCharType="separate"/>
        </w:r>
        <w:r w:rsidR="00AD4876" w:rsidRPr="008D45CE">
          <w:rPr>
            <w:noProof/>
            <w:webHidden/>
            <w:color w:val="000000" w:themeColor="text1"/>
          </w:rPr>
          <w:t>2</w:t>
        </w:r>
        <w:r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580" w:history="1">
        <w:r w:rsidR="00E77604" w:rsidRPr="008D45CE">
          <w:rPr>
            <w:rStyle w:val="Lienhypertexte"/>
            <w:noProof/>
            <w:color w:val="000000" w:themeColor="text1"/>
          </w:rPr>
          <w:t>REMERCIEMENTS</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_Toc483474580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3</w:t>
        </w:r>
        <w:r w:rsidR="005B4D4B"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581" w:history="1">
        <w:r w:rsidR="00E77604" w:rsidRPr="008D45CE">
          <w:rPr>
            <w:rStyle w:val="Lienhypertexte"/>
            <w:noProof/>
            <w:color w:val="000000" w:themeColor="text1"/>
          </w:rPr>
          <w:t>AVANT-PROPOS</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_Toc483474581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4</w:t>
        </w:r>
        <w:r w:rsidR="005B4D4B"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582" w:history="1">
        <w:r w:rsidR="00E77604" w:rsidRPr="008D45CE">
          <w:rPr>
            <w:rStyle w:val="Lienhypertexte"/>
            <w:noProof/>
            <w:color w:val="000000" w:themeColor="text1"/>
          </w:rPr>
          <w:t>TABLE DES MATIERES</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_Toc483474582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5</w:t>
        </w:r>
        <w:r w:rsidR="005B4D4B"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583" w:history="1">
        <w:r w:rsidR="00E77604" w:rsidRPr="008D45CE">
          <w:rPr>
            <w:rStyle w:val="Lienhypertexte"/>
            <w:noProof/>
            <w:color w:val="000000" w:themeColor="text1"/>
          </w:rPr>
          <w:t>LISTE DES TABLEAUX</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_Toc483474583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7</w:t>
        </w:r>
        <w:r w:rsidR="005B4D4B"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584" w:history="1">
        <w:r w:rsidR="00E77604" w:rsidRPr="008D45CE">
          <w:rPr>
            <w:rStyle w:val="Lienhypertexte"/>
            <w:noProof/>
            <w:color w:val="000000" w:themeColor="text1"/>
          </w:rPr>
          <w:t>LISTE DES FIGURES</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_Toc483474584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8</w:t>
        </w:r>
        <w:r w:rsidR="005B4D4B"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585" w:history="1">
        <w:r w:rsidR="00E77604" w:rsidRPr="008D45CE">
          <w:rPr>
            <w:rStyle w:val="Lienhypertexte"/>
            <w:noProof/>
            <w:color w:val="000000" w:themeColor="text1"/>
          </w:rPr>
          <w:t>RESUME ANALYTIQUE</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_Toc483474585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11</w:t>
        </w:r>
        <w:r w:rsidR="005B4D4B"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586" w:history="1">
        <w:r w:rsidR="00E77604" w:rsidRPr="008D45CE">
          <w:rPr>
            <w:rStyle w:val="Lienhypertexte"/>
            <w:noProof/>
            <w:color w:val="000000" w:themeColor="text1"/>
          </w:rPr>
          <w:t>INTRODUCTION</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_Toc483474586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16</w:t>
        </w:r>
        <w:r w:rsidR="005B4D4B"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587" w:history="1">
        <w:r w:rsidR="00E77604" w:rsidRPr="008D45CE">
          <w:rPr>
            <w:rStyle w:val="Lienhypertexte"/>
            <w:noProof/>
            <w:color w:val="000000" w:themeColor="text1"/>
          </w:rPr>
          <w:t>I.</w:t>
        </w:r>
        <w:r w:rsidR="00E77604" w:rsidRPr="008D45CE">
          <w:rPr>
            <w:rFonts w:eastAsiaTheme="minorEastAsia"/>
            <w:noProof/>
            <w:color w:val="000000" w:themeColor="text1"/>
            <w:sz w:val="22"/>
            <w:szCs w:val="22"/>
            <w:lang w:eastAsia="fr-FR" w:bidi="ar-SA"/>
          </w:rPr>
          <w:tab/>
        </w:r>
        <w:r w:rsidR="00E77604" w:rsidRPr="008D45CE">
          <w:rPr>
            <w:rStyle w:val="Lienhypertexte"/>
            <w:noProof/>
            <w:color w:val="000000" w:themeColor="text1"/>
          </w:rPr>
          <w:t>METHODOLOGIE</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_Toc483474587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18</w:t>
        </w:r>
        <w:r w:rsidR="005B4D4B" w:rsidRPr="008D45CE">
          <w:rPr>
            <w:noProof/>
            <w:webHidden/>
            <w:color w:val="000000" w:themeColor="text1"/>
          </w:rPr>
          <w:fldChar w:fldCharType="end"/>
        </w:r>
      </w:hyperlink>
    </w:p>
    <w:p w:rsidR="00E77604" w:rsidRPr="008D45CE" w:rsidRDefault="008231F2">
      <w:pPr>
        <w:pStyle w:val="TM2"/>
        <w:rPr>
          <w:rFonts w:eastAsiaTheme="minorEastAsia"/>
          <w:noProof/>
          <w:color w:val="000000" w:themeColor="text1"/>
          <w:szCs w:val="22"/>
          <w:lang w:eastAsia="fr-FR" w:bidi="ar-SA"/>
        </w:rPr>
      </w:pPr>
      <w:hyperlink w:anchor="_Toc483474588" w:history="1">
        <w:r w:rsidR="00E77604" w:rsidRPr="008D45CE">
          <w:rPr>
            <w:rStyle w:val="Lienhypertexte"/>
            <w:noProof/>
            <w:color w:val="000000" w:themeColor="text1"/>
            <w:lang w:val="fr-CD"/>
          </w:rPr>
          <w:t>1.1. TYPE D’ÉTUDE</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_Toc483474588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18</w:t>
        </w:r>
        <w:r w:rsidR="005B4D4B" w:rsidRPr="008D45CE">
          <w:rPr>
            <w:noProof/>
            <w:webHidden/>
            <w:color w:val="000000" w:themeColor="text1"/>
          </w:rPr>
          <w:fldChar w:fldCharType="end"/>
        </w:r>
      </w:hyperlink>
    </w:p>
    <w:p w:rsidR="00E77604" w:rsidRPr="008D45CE" w:rsidRDefault="008231F2">
      <w:pPr>
        <w:pStyle w:val="TM2"/>
        <w:rPr>
          <w:rFonts w:eastAsiaTheme="minorEastAsia"/>
          <w:noProof/>
          <w:color w:val="000000" w:themeColor="text1"/>
          <w:szCs w:val="22"/>
          <w:lang w:eastAsia="fr-FR" w:bidi="ar-SA"/>
        </w:rPr>
      </w:pPr>
      <w:hyperlink w:anchor="_Toc483474589" w:history="1">
        <w:r w:rsidR="00E77604" w:rsidRPr="008D45CE">
          <w:rPr>
            <w:rStyle w:val="Lienhypertexte"/>
            <w:noProof/>
            <w:color w:val="000000" w:themeColor="text1"/>
            <w:lang w:val="fr-CD"/>
          </w:rPr>
          <w:t>1.2. ECHANTILLON</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_Toc483474589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18</w:t>
        </w:r>
        <w:r w:rsidR="005B4D4B" w:rsidRPr="008D45CE">
          <w:rPr>
            <w:noProof/>
            <w:webHidden/>
            <w:color w:val="000000" w:themeColor="text1"/>
          </w:rPr>
          <w:fldChar w:fldCharType="end"/>
        </w:r>
      </w:hyperlink>
    </w:p>
    <w:p w:rsidR="00E77604" w:rsidRPr="008D45CE" w:rsidRDefault="008231F2">
      <w:pPr>
        <w:pStyle w:val="TM2"/>
        <w:rPr>
          <w:rFonts w:eastAsiaTheme="minorEastAsia"/>
          <w:noProof/>
          <w:color w:val="000000" w:themeColor="text1"/>
          <w:szCs w:val="22"/>
          <w:lang w:eastAsia="fr-FR" w:bidi="ar-SA"/>
        </w:rPr>
      </w:pPr>
      <w:hyperlink w:anchor="_Toc483474590" w:history="1">
        <w:r w:rsidR="00E77604" w:rsidRPr="008D45CE">
          <w:rPr>
            <w:rStyle w:val="Lienhypertexte"/>
            <w:noProof/>
            <w:color w:val="000000" w:themeColor="text1"/>
            <w:lang w:val="fr-CD"/>
          </w:rPr>
          <w:t>1.3. VARIABLES D’ÉTUDE</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_Toc483474590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18</w:t>
        </w:r>
        <w:r w:rsidR="005B4D4B" w:rsidRPr="008D45CE">
          <w:rPr>
            <w:noProof/>
            <w:webHidden/>
            <w:color w:val="000000" w:themeColor="text1"/>
          </w:rPr>
          <w:fldChar w:fldCharType="end"/>
        </w:r>
      </w:hyperlink>
    </w:p>
    <w:p w:rsidR="00E77604" w:rsidRPr="008D45CE" w:rsidRDefault="008231F2">
      <w:pPr>
        <w:pStyle w:val="TM2"/>
        <w:rPr>
          <w:rFonts w:eastAsiaTheme="minorEastAsia"/>
          <w:noProof/>
          <w:color w:val="000000" w:themeColor="text1"/>
          <w:szCs w:val="22"/>
          <w:lang w:eastAsia="fr-FR" w:bidi="ar-SA"/>
        </w:rPr>
      </w:pPr>
      <w:hyperlink w:anchor="_Toc483474591" w:history="1">
        <w:r w:rsidR="00E77604" w:rsidRPr="008D45CE">
          <w:rPr>
            <w:rStyle w:val="Lienhypertexte"/>
            <w:noProof/>
            <w:color w:val="000000" w:themeColor="text1"/>
            <w:lang w:val="fr-CD"/>
          </w:rPr>
          <w:t>1.4. PÉRIODE D’ÉTUDE</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_Toc483474591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19</w:t>
        </w:r>
        <w:r w:rsidR="005B4D4B" w:rsidRPr="008D45CE">
          <w:rPr>
            <w:noProof/>
            <w:webHidden/>
            <w:color w:val="000000" w:themeColor="text1"/>
          </w:rPr>
          <w:fldChar w:fldCharType="end"/>
        </w:r>
      </w:hyperlink>
    </w:p>
    <w:p w:rsidR="00E77604" w:rsidRPr="008D45CE" w:rsidRDefault="008231F2">
      <w:pPr>
        <w:pStyle w:val="TM2"/>
        <w:rPr>
          <w:rFonts w:eastAsiaTheme="minorEastAsia"/>
          <w:noProof/>
          <w:color w:val="000000" w:themeColor="text1"/>
          <w:szCs w:val="22"/>
          <w:lang w:eastAsia="fr-FR" w:bidi="ar-SA"/>
        </w:rPr>
      </w:pPr>
      <w:hyperlink w:anchor="_Toc483474592" w:history="1">
        <w:r w:rsidR="00E77604" w:rsidRPr="008D45CE">
          <w:rPr>
            <w:rStyle w:val="Lienhypertexte"/>
            <w:noProof/>
            <w:color w:val="000000" w:themeColor="text1"/>
            <w:lang w:val="fr-CD"/>
          </w:rPr>
          <w:t>1.5. MÉTHODE ET TECHNIQUE DE COLLECTE DES DONNÉES</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_Toc483474592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19</w:t>
        </w:r>
        <w:r w:rsidR="005B4D4B" w:rsidRPr="008D45CE">
          <w:rPr>
            <w:noProof/>
            <w:webHidden/>
            <w:color w:val="000000" w:themeColor="text1"/>
          </w:rPr>
          <w:fldChar w:fldCharType="end"/>
        </w:r>
      </w:hyperlink>
    </w:p>
    <w:p w:rsidR="00E77604" w:rsidRPr="008D45CE" w:rsidRDefault="008231F2">
      <w:pPr>
        <w:pStyle w:val="TM2"/>
        <w:rPr>
          <w:rFonts w:eastAsiaTheme="minorEastAsia"/>
          <w:noProof/>
          <w:color w:val="000000" w:themeColor="text1"/>
          <w:szCs w:val="22"/>
          <w:lang w:eastAsia="fr-FR" w:bidi="ar-SA"/>
        </w:rPr>
      </w:pPr>
      <w:hyperlink w:anchor="_Toc483474593" w:history="1">
        <w:r w:rsidR="00E77604" w:rsidRPr="008D45CE">
          <w:rPr>
            <w:rStyle w:val="Lienhypertexte"/>
            <w:noProof/>
            <w:color w:val="000000" w:themeColor="text1"/>
            <w:lang w:val="fr-CD"/>
          </w:rPr>
          <w:t>1.6. INSTRUMENT DE COLLECTE DES DONNÉES</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_Toc483474593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19</w:t>
        </w:r>
        <w:r w:rsidR="005B4D4B" w:rsidRPr="008D45CE">
          <w:rPr>
            <w:noProof/>
            <w:webHidden/>
            <w:color w:val="000000" w:themeColor="text1"/>
          </w:rPr>
          <w:fldChar w:fldCharType="end"/>
        </w:r>
      </w:hyperlink>
    </w:p>
    <w:p w:rsidR="00E77604" w:rsidRPr="008D45CE" w:rsidRDefault="008231F2">
      <w:pPr>
        <w:pStyle w:val="TM2"/>
        <w:rPr>
          <w:rFonts w:eastAsiaTheme="minorEastAsia"/>
          <w:noProof/>
          <w:color w:val="000000" w:themeColor="text1"/>
          <w:szCs w:val="22"/>
          <w:lang w:eastAsia="fr-FR" w:bidi="ar-SA"/>
        </w:rPr>
      </w:pPr>
      <w:hyperlink w:anchor="_Toc483474594" w:history="1">
        <w:r w:rsidR="00E77604" w:rsidRPr="008D45CE">
          <w:rPr>
            <w:rStyle w:val="Lienhypertexte"/>
            <w:noProof/>
            <w:color w:val="000000" w:themeColor="text1"/>
            <w:lang w:val="fr-CD"/>
          </w:rPr>
          <w:t xml:space="preserve">1.7. </w:t>
        </w:r>
        <w:r w:rsidR="00F87F95">
          <w:rPr>
            <w:rStyle w:val="Lienhypertexte"/>
            <w:noProof/>
            <w:color w:val="000000" w:themeColor="text1"/>
            <w:lang w:val="fr-CD"/>
          </w:rPr>
          <w:t>LIMITE DE L'ETUDE</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_Toc483474594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19</w:t>
        </w:r>
        <w:r w:rsidR="005B4D4B" w:rsidRPr="008D45CE">
          <w:rPr>
            <w:noProof/>
            <w:webHidden/>
            <w:color w:val="000000" w:themeColor="text1"/>
          </w:rPr>
          <w:fldChar w:fldCharType="end"/>
        </w:r>
      </w:hyperlink>
    </w:p>
    <w:p w:rsidR="00E77604" w:rsidRPr="008D45CE" w:rsidRDefault="008231F2">
      <w:pPr>
        <w:pStyle w:val="TM2"/>
        <w:rPr>
          <w:rFonts w:eastAsiaTheme="minorEastAsia"/>
          <w:noProof/>
          <w:color w:val="000000" w:themeColor="text1"/>
          <w:szCs w:val="22"/>
          <w:lang w:eastAsia="fr-FR" w:bidi="ar-SA"/>
        </w:rPr>
      </w:pPr>
      <w:hyperlink w:anchor="_Toc483474595" w:history="1">
        <w:r w:rsidR="00E77604" w:rsidRPr="008D45CE">
          <w:rPr>
            <w:rStyle w:val="Lienhypertexte"/>
            <w:noProof/>
            <w:color w:val="000000" w:themeColor="text1"/>
            <w:lang w:val="fr-CD"/>
          </w:rPr>
          <w:t>1.8. TRAITEMENT DES DONNÉES</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_Toc483474595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19</w:t>
        </w:r>
        <w:r w:rsidR="005B4D4B" w:rsidRPr="008D45CE">
          <w:rPr>
            <w:noProof/>
            <w:webHidden/>
            <w:color w:val="000000" w:themeColor="text1"/>
          </w:rPr>
          <w:fldChar w:fldCharType="end"/>
        </w:r>
      </w:hyperlink>
    </w:p>
    <w:p w:rsidR="00E77604" w:rsidRPr="008D45CE" w:rsidRDefault="000020D6">
      <w:pPr>
        <w:pStyle w:val="TM2"/>
        <w:rPr>
          <w:rFonts w:eastAsiaTheme="minorEastAsia"/>
          <w:noProof/>
          <w:color w:val="000000" w:themeColor="text1"/>
          <w:szCs w:val="22"/>
          <w:lang w:eastAsia="fr-FR" w:bidi="ar-SA"/>
        </w:rPr>
      </w:pPr>
      <w:r>
        <w:rPr>
          <w:rFonts w:eastAsiaTheme="minorEastAsia"/>
          <w:noProof/>
          <w:color w:val="000000" w:themeColor="text1"/>
          <w:szCs w:val="22"/>
          <w:lang w:eastAsia="fr-FR" w:bidi="ar-SA"/>
        </w:rPr>
        <w:t>D</w:t>
      </w:r>
    </w:p>
    <w:p w:rsidR="00E77604" w:rsidRPr="008D45CE" w:rsidRDefault="008231F2">
      <w:pPr>
        <w:pStyle w:val="TM1"/>
        <w:rPr>
          <w:rFonts w:eastAsiaTheme="minorEastAsia"/>
          <w:noProof/>
          <w:color w:val="000000" w:themeColor="text1"/>
          <w:sz w:val="22"/>
          <w:szCs w:val="22"/>
          <w:lang w:eastAsia="fr-FR" w:bidi="ar-SA"/>
        </w:rPr>
      </w:pPr>
      <w:hyperlink w:anchor="_Toc483474597" w:history="1">
        <w:r w:rsidR="00E77604" w:rsidRPr="008D45CE">
          <w:rPr>
            <w:rStyle w:val="Lienhypertexte"/>
            <w:noProof/>
            <w:color w:val="000000" w:themeColor="text1"/>
            <w:lang w:eastAsia="fr-FR"/>
          </w:rPr>
          <w:t>II.</w:t>
        </w:r>
        <w:r w:rsidR="00E77604" w:rsidRPr="008D45CE">
          <w:rPr>
            <w:rFonts w:eastAsiaTheme="minorEastAsia"/>
            <w:noProof/>
            <w:color w:val="000000" w:themeColor="text1"/>
            <w:sz w:val="22"/>
            <w:szCs w:val="22"/>
            <w:lang w:eastAsia="fr-FR" w:bidi="ar-SA"/>
          </w:rPr>
          <w:tab/>
        </w:r>
        <w:r w:rsidR="00E77604" w:rsidRPr="008D45CE">
          <w:rPr>
            <w:rStyle w:val="Lienhypertexte"/>
            <w:noProof/>
            <w:color w:val="000000" w:themeColor="text1"/>
            <w:lang w:eastAsia="fr-FR"/>
          </w:rPr>
          <w:t>AGREGATS GENERAUX DES COMPTES DE LA SANTE</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_Toc483474597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21</w:t>
        </w:r>
        <w:r w:rsidR="005B4D4B" w:rsidRPr="008D45CE">
          <w:rPr>
            <w:noProof/>
            <w:webHidden/>
            <w:color w:val="000000" w:themeColor="text1"/>
          </w:rPr>
          <w:fldChar w:fldCharType="end"/>
        </w:r>
      </w:hyperlink>
    </w:p>
    <w:p w:rsidR="00E77604" w:rsidRPr="008D45CE" w:rsidRDefault="008231F2">
      <w:pPr>
        <w:pStyle w:val="TM2"/>
        <w:rPr>
          <w:rFonts w:eastAsiaTheme="minorEastAsia"/>
          <w:noProof/>
          <w:color w:val="000000" w:themeColor="text1"/>
          <w:szCs w:val="22"/>
          <w:lang w:eastAsia="fr-FR" w:bidi="ar-SA"/>
        </w:rPr>
      </w:pPr>
      <w:hyperlink w:anchor="_Toc483474598" w:history="1">
        <w:r w:rsidR="00E77604" w:rsidRPr="008D45CE">
          <w:rPr>
            <w:rStyle w:val="Lienhypertexte"/>
            <w:rFonts w:eastAsia="Calibri"/>
            <w:noProof/>
            <w:color w:val="000000" w:themeColor="text1"/>
            <w:lang w:val="fr-CD"/>
          </w:rPr>
          <w:t>2.1. DÉPENSES COURANTES EN SANTÉ</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_Toc483474598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21</w:t>
        </w:r>
        <w:r w:rsidR="005B4D4B" w:rsidRPr="008D45CE">
          <w:rPr>
            <w:noProof/>
            <w:webHidden/>
            <w:color w:val="000000" w:themeColor="text1"/>
          </w:rPr>
          <w:fldChar w:fldCharType="end"/>
        </w:r>
      </w:hyperlink>
    </w:p>
    <w:p w:rsidR="00E77604" w:rsidRPr="008D45CE" w:rsidRDefault="008231F2">
      <w:pPr>
        <w:pStyle w:val="TM2"/>
        <w:rPr>
          <w:rFonts w:eastAsiaTheme="minorEastAsia"/>
          <w:noProof/>
          <w:color w:val="000000" w:themeColor="text1"/>
          <w:szCs w:val="22"/>
          <w:lang w:eastAsia="fr-FR" w:bidi="ar-SA"/>
        </w:rPr>
      </w:pPr>
      <w:hyperlink w:anchor="_Toc483474599" w:history="1">
        <w:r w:rsidR="00E77604" w:rsidRPr="008D45CE">
          <w:rPr>
            <w:rStyle w:val="Lienhypertexte"/>
            <w:rFonts w:eastAsia="Calibri"/>
            <w:noProof/>
            <w:color w:val="000000" w:themeColor="text1"/>
            <w:lang w:val="fr-CD"/>
          </w:rPr>
          <w:t>2.2. DÉPENSES D’INVESTISSEMENT EN SANTÉ</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_Toc483474599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21</w:t>
        </w:r>
        <w:r w:rsidR="005B4D4B" w:rsidRPr="008D45CE">
          <w:rPr>
            <w:noProof/>
            <w:webHidden/>
            <w:color w:val="000000" w:themeColor="text1"/>
          </w:rPr>
          <w:fldChar w:fldCharType="end"/>
        </w:r>
      </w:hyperlink>
    </w:p>
    <w:p w:rsidR="00E77604" w:rsidRPr="008D45CE" w:rsidRDefault="008231F2">
      <w:pPr>
        <w:pStyle w:val="TM2"/>
        <w:rPr>
          <w:rFonts w:eastAsiaTheme="minorEastAsia"/>
          <w:noProof/>
          <w:color w:val="000000" w:themeColor="text1"/>
          <w:szCs w:val="22"/>
          <w:lang w:eastAsia="fr-FR" w:bidi="ar-SA"/>
        </w:rPr>
      </w:pPr>
      <w:hyperlink w:anchor="_Toc483474600" w:history="1">
        <w:r w:rsidR="00E77604" w:rsidRPr="008D45CE">
          <w:rPr>
            <w:rStyle w:val="Lienhypertexte"/>
            <w:rFonts w:eastAsia="Calibri"/>
            <w:noProof/>
            <w:color w:val="000000" w:themeColor="text1"/>
            <w:lang w:val="fr-CD"/>
          </w:rPr>
          <w:t>2.3. DÉPENSES TOTALES DE SANTÉ (SCS 2011)</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_Toc483474600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21</w:t>
        </w:r>
        <w:r w:rsidR="005B4D4B"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601" w:history="1">
        <w:r w:rsidR="00E77604" w:rsidRPr="008D45CE">
          <w:rPr>
            <w:rStyle w:val="Lienhypertexte"/>
            <w:rFonts w:eastAsia="Calibri"/>
            <w:noProof/>
            <w:color w:val="000000" w:themeColor="text1"/>
          </w:rPr>
          <w:t>III.</w:t>
        </w:r>
        <w:r w:rsidR="00E77604" w:rsidRPr="008D45CE">
          <w:rPr>
            <w:rFonts w:eastAsiaTheme="minorEastAsia"/>
            <w:noProof/>
            <w:color w:val="000000" w:themeColor="text1"/>
            <w:sz w:val="22"/>
            <w:szCs w:val="22"/>
            <w:lang w:eastAsia="fr-FR" w:bidi="ar-SA"/>
          </w:rPr>
          <w:tab/>
        </w:r>
        <w:r w:rsidR="00E77604" w:rsidRPr="008D45CE">
          <w:rPr>
            <w:rStyle w:val="Lienhypertexte"/>
            <w:rFonts w:eastAsia="Calibri"/>
            <w:noProof/>
            <w:color w:val="000000" w:themeColor="text1"/>
          </w:rPr>
          <w:t>DIMENSIONS ANALYTIQUES DES COMPTES DE LA SANTE</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_Toc483474601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22</w:t>
        </w:r>
        <w:r w:rsidR="005B4D4B" w:rsidRPr="008D45CE">
          <w:rPr>
            <w:noProof/>
            <w:webHidden/>
            <w:color w:val="000000" w:themeColor="text1"/>
          </w:rPr>
          <w:fldChar w:fldCharType="end"/>
        </w:r>
      </w:hyperlink>
    </w:p>
    <w:p w:rsidR="00E77604" w:rsidRPr="008D45CE" w:rsidRDefault="008231F2">
      <w:pPr>
        <w:pStyle w:val="TM2"/>
        <w:tabs>
          <w:tab w:val="left" w:pos="1134"/>
        </w:tabs>
        <w:rPr>
          <w:rFonts w:eastAsiaTheme="minorEastAsia"/>
          <w:noProof/>
          <w:color w:val="000000" w:themeColor="text1"/>
          <w:szCs w:val="22"/>
          <w:lang w:eastAsia="fr-FR" w:bidi="ar-SA"/>
        </w:rPr>
      </w:pPr>
      <w:hyperlink w:anchor="_Toc483474602" w:history="1">
        <w:r w:rsidR="00E77604" w:rsidRPr="008D45CE">
          <w:rPr>
            <w:rStyle w:val="Lienhypertexte"/>
            <w:rFonts w:eastAsia="Calibri"/>
            <w:noProof/>
            <w:color w:val="000000" w:themeColor="text1"/>
          </w:rPr>
          <w:t>3.7.</w:t>
        </w:r>
        <w:r w:rsidR="00E77604" w:rsidRPr="008D45CE">
          <w:rPr>
            <w:rFonts w:eastAsiaTheme="minorEastAsia"/>
            <w:noProof/>
            <w:color w:val="000000" w:themeColor="text1"/>
            <w:szCs w:val="22"/>
            <w:lang w:eastAsia="fr-FR" w:bidi="ar-SA"/>
          </w:rPr>
          <w:tab/>
        </w:r>
        <w:r w:rsidR="00E77604" w:rsidRPr="008D45CE">
          <w:rPr>
            <w:rStyle w:val="Lienhypertexte"/>
            <w:rFonts w:eastAsia="Calibri"/>
            <w:noProof/>
            <w:color w:val="000000" w:themeColor="text1"/>
          </w:rPr>
          <w:t>CADRE DE FINANCEMENT DU SYSTEME DES COMPTES DE LA SANTE (SHA 2011)</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_Toc483474602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23</w:t>
        </w:r>
        <w:r w:rsidR="005B4D4B"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603" w:history="1">
        <w:r w:rsidR="00E77604" w:rsidRPr="008D45CE">
          <w:rPr>
            <w:rStyle w:val="Lienhypertexte"/>
            <w:noProof/>
            <w:color w:val="000000" w:themeColor="text1"/>
          </w:rPr>
          <w:t>IV.</w:t>
        </w:r>
        <w:r w:rsidR="00E77604" w:rsidRPr="008D45CE">
          <w:rPr>
            <w:rFonts w:eastAsiaTheme="minorEastAsia"/>
            <w:noProof/>
            <w:color w:val="000000" w:themeColor="text1"/>
            <w:sz w:val="22"/>
            <w:szCs w:val="22"/>
            <w:lang w:eastAsia="fr-FR" w:bidi="ar-SA"/>
          </w:rPr>
          <w:tab/>
        </w:r>
        <w:r w:rsidR="00E77604" w:rsidRPr="008D45CE">
          <w:rPr>
            <w:rStyle w:val="Lienhypertexte"/>
            <w:noProof/>
            <w:color w:val="000000" w:themeColor="text1"/>
          </w:rPr>
          <w:t>PRESENTATION ET DISCUSSIONS DES RESULTATS</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_Toc483474603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25</w:t>
        </w:r>
        <w:r w:rsidR="005B4D4B" w:rsidRPr="008D45CE">
          <w:rPr>
            <w:noProof/>
            <w:webHidden/>
            <w:color w:val="000000" w:themeColor="text1"/>
          </w:rPr>
          <w:fldChar w:fldCharType="end"/>
        </w:r>
      </w:hyperlink>
    </w:p>
    <w:p w:rsidR="00E77604" w:rsidRPr="008D45CE" w:rsidRDefault="008231F2">
      <w:pPr>
        <w:pStyle w:val="TM2"/>
        <w:rPr>
          <w:rFonts w:eastAsiaTheme="minorEastAsia"/>
          <w:noProof/>
          <w:color w:val="000000" w:themeColor="text1"/>
          <w:szCs w:val="22"/>
          <w:lang w:eastAsia="fr-FR" w:bidi="ar-SA"/>
        </w:rPr>
      </w:pPr>
      <w:hyperlink w:anchor="_Toc483474604" w:history="1">
        <w:r w:rsidR="00E77604" w:rsidRPr="008D45CE">
          <w:rPr>
            <w:rStyle w:val="Lienhypertexte"/>
            <w:noProof/>
            <w:color w:val="000000" w:themeColor="text1"/>
            <w:lang w:val="fr-CD" w:eastAsia="fr-FR"/>
          </w:rPr>
          <w:t>4.1. MOBILISATION DES RESSOURCES DE LA SANTÉ</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_Toc483474604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25</w:t>
        </w:r>
        <w:r w:rsidR="005B4D4B" w:rsidRPr="008D45CE">
          <w:rPr>
            <w:noProof/>
            <w:webHidden/>
            <w:color w:val="000000" w:themeColor="text1"/>
          </w:rPr>
          <w:fldChar w:fldCharType="end"/>
        </w:r>
      </w:hyperlink>
    </w:p>
    <w:p w:rsidR="00E77604" w:rsidRPr="008D45CE" w:rsidRDefault="008231F2">
      <w:pPr>
        <w:pStyle w:val="TM3"/>
        <w:rPr>
          <w:rFonts w:eastAsiaTheme="minorEastAsia"/>
          <w:noProof/>
          <w:color w:val="000000" w:themeColor="text1"/>
          <w:szCs w:val="22"/>
          <w:lang w:eastAsia="fr-FR" w:bidi="ar-SA"/>
        </w:rPr>
      </w:pPr>
      <w:hyperlink w:anchor="_Toc483474605" w:history="1">
        <w:r w:rsidR="00E77604" w:rsidRPr="008D45CE">
          <w:rPr>
            <w:rStyle w:val="Lienhypertexte"/>
            <w:noProof/>
            <w:color w:val="000000" w:themeColor="text1"/>
            <w:lang w:eastAsia="fr-FR"/>
          </w:rPr>
          <w:t>4.1.1. Budget de l’Etat alloué au secteur de la santé</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_Toc483474605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25</w:t>
        </w:r>
        <w:r w:rsidR="005B4D4B" w:rsidRPr="008D45CE">
          <w:rPr>
            <w:noProof/>
            <w:webHidden/>
            <w:color w:val="000000" w:themeColor="text1"/>
          </w:rPr>
          <w:fldChar w:fldCharType="end"/>
        </w:r>
      </w:hyperlink>
    </w:p>
    <w:p w:rsidR="00E77604" w:rsidRPr="008D45CE" w:rsidRDefault="008231F2">
      <w:pPr>
        <w:pStyle w:val="TM3"/>
        <w:rPr>
          <w:rFonts w:eastAsiaTheme="minorEastAsia"/>
          <w:noProof/>
          <w:color w:val="000000" w:themeColor="text1"/>
          <w:szCs w:val="22"/>
          <w:lang w:eastAsia="fr-FR" w:bidi="ar-SA"/>
        </w:rPr>
      </w:pPr>
      <w:hyperlink w:anchor="_Toc483474606" w:history="1">
        <w:r w:rsidR="00E77604" w:rsidRPr="008D45CE">
          <w:rPr>
            <w:rStyle w:val="Lienhypertexte"/>
            <w:noProof/>
            <w:color w:val="000000" w:themeColor="text1"/>
            <w:lang w:eastAsia="fr-FR"/>
          </w:rPr>
          <w:t xml:space="preserve">4.1.2. Evolution de la part du financement de la santé par source de 2011 à 2015 en </w:t>
        </w:r>
        <w:r w:rsidR="00F94EA5" w:rsidRPr="008D45CE">
          <w:rPr>
            <w:rStyle w:val="Lienhypertexte"/>
            <w:noProof/>
            <w:color w:val="000000" w:themeColor="text1"/>
            <w:lang w:eastAsia="fr-FR"/>
          </w:rPr>
          <w:t>COG</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_Toc483474606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27</w:t>
        </w:r>
        <w:r w:rsidR="005B4D4B" w:rsidRPr="008D45CE">
          <w:rPr>
            <w:noProof/>
            <w:webHidden/>
            <w:color w:val="000000" w:themeColor="text1"/>
          </w:rPr>
          <w:fldChar w:fldCharType="end"/>
        </w:r>
      </w:hyperlink>
    </w:p>
    <w:p w:rsidR="00E77604" w:rsidRPr="008D45CE" w:rsidRDefault="008231F2">
      <w:pPr>
        <w:pStyle w:val="TM3"/>
        <w:rPr>
          <w:rFonts w:eastAsiaTheme="minorEastAsia"/>
          <w:noProof/>
          <w:color w:val="000000" w:themeColor="text1"/>
          <w:szCs w:val="22"/>
          <w:lang w:eastAsia="fr-FR" w:bidi="ar-SA"/>
        </w:rPr>
      </w:pPr>
      <w:hyperlink w:anchor="_Toc483474607" w:history="1">
        <w:r w:rsidR="00E77604" w:rsidRPr="008D45CE">
          <w:rPr>
            <w:rStyle w:val="Lienhypertexte"/>
            <w:noProof/>
            <w:color w:val="000000" w:themeColor="text1"/>
            <w:lang w:eastAsia="fr-FR"/>
          </w:rPr>
          <w:t>4.1.3. Evolution des principaux agrégats des comptes de la santé de 2011 à 2015</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_Toc483474607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27</w:t>
        </w:r>
        <w:r w:rsidR="005B4D4B" w:rsidRPr="008D45CE">
          <w:rPr>
            <w:noProof/>
            <w:webHidden/>
            <w:color w:val="000000" w:themeColor="text1"/>
          </w:rPr>
          <w:fldChar w:fldCharType="end"/>
        </w:r>
      </w:hyperlink>
    </w:p>
    <w:p w:rsidR="00E77604" w:rsidRPr="008D45CE" w:rsidRDefault="008231F2">
      <w:pPr>
        <w:pStyle w:val="TM3"/>
        <w:rPr>
          <w:rFonts w:eastAsiaTheme="minorEastAsia"/>
          <w:noProof/>
          <w:color w:val="000000" w:themeColor="text1"/>
          <w:szCs w:val="22"/>
          <w:lang w:eastAsia="fr-FR" w:bidi="ar-SA"/>
        </w:rPr>
      </w:pPr>
      <w:hyperlink w:anchor="_Toc483474608" w:history="1">
        <w:r w:rsidR="00E77604" w:rsidRPr="008D45CE">
          <w:rPr>
            <w:rStyle w:val="Lienhypertexte"/>
            <w:noProof/>
            <w:color w:val="000000" w:themeColor="text1"/>
            <w:lang w:eastAsia="fr-FR"/>
          </w:rPr>
          <w:t>4.1.5. Analyse de la Dépense Courante par Source de Financement en 2015</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_Toc483474608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30</w:t>
        </w:r>
        <w:r w:rsidR="005B4D4B" w:rsidRPr="008D45CE">
          <w:rPr>
            <w:noProof/>
            <w:webHidden/>
            <w:color w:val="000000" w:themeColor="text1"/>
          </w:rPr>
          <w:fldChar w:fldCharType="end"/>
        </w:r>
      </w:hyperlink>
    </w:p>
    <w:p w:rsidR="00E77604" w:rsidRPr="008D45CE" w:rsidRDefault="008231F2">
      <w:pPr>
        <w:pStyle w:val="TM4"/>
        <w:tabs>
          <w:tab w:val="right" w:leader="dot" w:pos="9062"/>
        </w:tabs>
        <w:rPr>
          <w:rFonts w:eastAsiaTheme="minorEastAsia"/>
          <w:noProof/>
          <w:color w:val="000000" w:themeColor="text1"/>
          <w:sz w:val="22"/>
          <w:szCs w:val="22"/>
          <w:lang w:eastAsia="fr-FR" w:bidi="ar-SA"/>
        </w:rPr>
      </w:pPr>
      <w:hyperlink w:anchor="_Toc483474609" w:history="1">
        <w:r w:rsidR="00E77604" w:rsidRPr="008D45CE">
          <w:rPr>
            <w:rStyle w:val="Lienhypertexte"/>
            <w:noProof/>
            <w:color w:val="000000" w:themeColor="text1"/>
          </w:rPr>
          <w:t>4.1.5.1. Fonds Publics</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_Toc483474609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31</w:t>
        </w:r>
        <w:r w:rsidR="005B4D4B" w:rsidRPr="008D45CE">
          <w:rPr>
            <w:noProof/>
            <w:webHidden/>
            <w:color w:val="000000" w:themeColor="text1"/>
          </w:rPr>
          <w:fldChar w:fldCharType="end"/>
        </w:r>
      </w:hyperlink>
    </w:p>
    <w:p w:rsidR="00E77604" w:rsidRPr="008D45CE" w:rsidRDefault="008231F2">
      <w:pPr>
        <w:pStyle w:val="TM4"/>
        <w:tabs>
          <w:tab w:val="right" w:leader="dot" w:pos="9062"/>
        </w:tabs>
        <w:rPr>
          <w:rFonts w:eastAsiaTheme="minorEastAsia"/>
          <w:noProof/>
          <w:color w:val="000000" w:themeColor="text1"/>
          <w:sz w:val="22"/>
          <w:szCs w:val="22"/>
          <w:lang w:eastAsia="fr-FR" w:bidi="ar-SA"/>
        </w:rPr>
      </w:pPr>
      <w:hyperlink w:anchor="_Toc483474610" w:history="1">
        <w:r w:rsidR="00E77604" w:rsidRPr="008D45CE">
          <w:rPr>
            <w:rStyle w:val="Lienhypertexte"/>
            <w:noProof/>
            <w:color w:val="000000" w:themeColor="text1"/>
          </w:rPr>
          <w:t>4.1.5.2. Fonds du Reste du Monde</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_Toc483474610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32</w:t>
        </w:r>
        <w:r w:rsidR="005B4D4B" w:rsidRPr="008D45CE">
          <w:rPr>
            <w:noProof/>
            <w:webHidden/>
            <w:color w:val="000000" w:themeColor="text1"/>
          </w:rPr>
          <w:fldChar w:fldCharType="end"/>
        </w:r>
      </w:hyperlink>
    </w:p>
    <w:p w:rsidR="00E77604" w:rsidRPr="008D45CE" w:rsidRDefault="008231F2">
      <w:pPr>
        <w:pStyle w:val="TM4"/>
        <w:tabs>
          <w:tab w:val="right" w:leader="dot" w:pos="9062"/>
        </w:tabs>
        <w:rPr>
          <w:rFonts w:eastAsiaTheme="minorEastAsia"/>
          <w:noProof/>
          <w:color w:val="000000" w:themeColor="text1"/>
          <w:sz w:val="22"/>
          <w:szCs w:val="22"/>
          <w:lang w:eastAsia="fr-FR" w:bidi="ar-SA"/>
        </w:rPr>
      </w:pPr>
      <w:hyperlink w:anchor="_Toc483474611" w:history="1">
        <w:r w:rsidR="00E77604" w:rsidRPr="008D45CE">
          <w:rPr>
            <w:rStyle w:val="Lienhypertexte"/>
            <w:noProof/>
            <w:color w:val="000000" w:themeColor="text1"/>
          </w:rPr>
          <w:t>4.1.5.3. Fonds des Ménages</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_Toc483474611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33</w:t>
        </w:r>
        <w:r w:rsidR="005B4D4B" w:rsidRPr="008D45CE">
          <w:rPr>
            <w:noProof/>
            <w:webHidden/>
            <w:color w:val="000000" w:themeColor="text1"/>
          </w:rPr>
          <w:fldChar w:fldCharType="end"/>
        </w:r>
      </w:hyperlink>
    </w:p>
    <w:p w:rsidR="00E77604" w:rsidRPr="008D45CE" w:rsidRDefault="008231F2">
      <w:pPr>
        <w:pStyle w:val="TM4"/>
        <w:tabs>
          <w:tab w:val="right" w:leader="dot" w:pos="9062"/>
        </w:tabs>
        <w:rPr>
          <w:rFonts w:eastAsiaTheme="minorEastAsia"/>
          <w:noProof/>
          <w:color w:val="000000" w:themeColor="text1"/>
          <w:sz w:val="22"/>
          <w:szCs w:val="22"/>
          <w:lang w:eastAsia="fr-FR" w:bidi="ar-SA"/>
        </w:rPr>
      </w:pPr>
      <w:hyperlink w:anchor="_Toc483474612" w:history="1">
        <w:r w:rsidR="00E77604" w:rsidRPr="008D45CE">
          <w:rPr>
            <w:rStyle w:val="Lienhypertexte"/>
            <w:noProof/>
            <w:color w:val="000000" w:themeColor="text1"/>
          </w:rPr>
          <w:t>4.1.5.4. Fonds des Entreprises de 2011 à 2015</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_Toc483474612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34</w:t>
        </w:r>
        <w:r w:rsidR="005B4D4B" w:rsidRPr="008D45CE">
          <w:rPr>
            <w:noProof/>
            <w:webHidden/>
            <w:color w:val="000000" w:themeColor="text1"/>
          </w:rPr>
          <w:fldChar w:fldCharType="end"/>
        </w:r>
      </w:hyperlink>
    </w:p>
    <w:p w:rsidR="00E77604" w:rsidRPr="008D45CE" w:rsidRDefault="008231F2">
      <w:pPr>
        <w:pStyle w:val="TM2"/>
        <w:rPr>
          <w:rFonts w:eastAsiaTheme="minorEastAsia"/>
          <w:noProof/>
          <w:color w:val="000000" w:themeColor="text1"/>
          <w:szCs w:val="22"/>
          <w:lang w:eastAsia="fr-FR" w:bidi="ar-SA"/>
        </w:rPr>
      </w:pPr>
      <w:hyperlink w:anchor="_Toc483474614" w:history="1">
        <w:r w:rsidR="00E77604" w:rsidRPr="008D45CE">
          <w:rPr>
            <w:rStyle w:val="Lienhypertexte"/>
            <w:noProof/>
            <w:color w:val="000000" w:themeColor="text1"/>
            <w:lang w:val="fr-CD"/>
          </w:rPr>
          <w:t>4.2. AFFECTATION DES RESSOURCES</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_Toc483474614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35</w:t>
        </w:r>
        <w:r w:rsidR="005B4D4B" w:rsidRPr="008D45CE">
          <w:rPr>
            <w:noProof/>
            <w:webHidden/>
            <w:color w:val="000000" w:themeColor="text1"/>
          </w:rPr>
          <w:fldChar w:fldCharType="end"/>
        </w:r>
      </w:hyperlink>
    </w:p>
    <w:p w:rsidR="00E77604" w:rsidRPr="008D45CE" w:rsidRDefault="008231F2">
      <w:pPr>
        <w:pStyle w:val="TM3"/>
        <w:rPr>
          <w:rFonts w:eastAsiaTheme="minorEastAsia"/>
          <w:noProof/>
          <w:color w:val="000000" w:themeColor="text1"/>
          <w:szCs w:val="22"/>
          <w:lang w:eastAsia="fr-FR" w:bidi="ar-SA"/>
        </w:rPr>
      </w:pPr>
      <w:hyperlink w:anchor="_Toc483474615" w:history="1">
        <w:r w:rsidR="00E77604" w:rsidRPr="008D45CE">
          <w:rPr>
            <w:rStyle w:val="Lienhypertexte"/>
            <w:noProof/>
            <w:color w:val="000000" w:themeColor="text1"/>
          </w:rPr>
          <w:t xml:space="preserve">4.2.1. Affectation des ressources par niveau de la pyramide sanitaire en </w:t>
        </w:r>
        <w:r w:rsidR="00F94EA5" w:rsidRPr="008D45CE">
          <w:rPr>
            <w:rStyle w:val="Lienhypertexte"/>
            <w:noProof/>
            <w:color w:val="000000" w:themeColor="text1"/>
          </w:rPr>
          <w:t>COG</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_Toc483474615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35</w:t>
        </w:r>
        <w:r w:rsidR="005B4D4B" w:rsidRPr="008D45CE">
          <w:rPr>
            <w:noProof/>
            <w:webHidden/>
            <w:color w:val="000000" w:themeColor="text1"/>
          </w:rPr>
          <w:fldChar w:fldCharType="end"/>
        </w:r>
      </w:hyperlink>
    </w:p>
    <w:p w:rsidR="00E77604" w:rsidRPr="008D45CE" w:rsidRDefault="008231F2">
      <w:pPr>
        <w:pStyle w:val="TM3"/>
        <w:rPr>
          <w:rFonts w:eastAsiaTheme="minorEastAsia"/>
          <w:noProof/>
          <w:color w:val="000000" w:themeColor="text1"/>
          <w:szCs w:val="22"/>
          <w:lang w:eastAsia="fr-FR" w:bidi="ar-SA"/>
        </w:rPr>
      </w:pPr>
      <w:hyperlink w:anchor="_Toc483474616" w:history="1">
        <w:r w:rsidR="00E77604" w:rsidRPr="008D45CE">
          <w:rPr>
            <w:rStyle w:val="Lienhypertexte"/>
            <w:noProof/>
            <w:color w:val="000000" w:themeColor="text1"/>
          </w:rPr>
          <w:t>4.2.2. Analyse de</w:t>
        </w:r>
        <w:r w:rsidR="00803DFA" w:rsidRPr="008D45CE">
          <w:rPr>
            <w:rStyle w:val="Lienhypertexte"/>
            <w:noProof/>
            <w:color w:val="000000" w:themeColor="text1"/>
          </w:rPr>
          <w:t>s Dépenses Courantes par régime</w:t>
        </w:r>
        <w:r w:rsidR="00E77604" w:rsidRPr="008D45CE">
          <w:rPr>
            <w:rStyle w:val="Lienhypertexte"/>
            <w:noProof/>
            <w:color w:val="000000" w:themeColor="text1"/>
          </w:rPr>
          <w:t xml:space="preserve"> de financement</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_Toc483474616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36</w:t>
        </w:r>
        <w:r w:rsidR="005B4D4B" w:rsidRPr="008D45CE">
          <w:rPr>
            <w:noProof/>
            <w:webHidden/>
            <w:color w:val="000000" w:themeColor="text1"/>
          </w:rPr>
          <w:fldChar w:fldCharType="end"/>
        </w:r>
      </w:hyperlink>
    </w:p>
    <w:p w:rsidR="00E77604" w:rsidRPr="008D45CE" w:rsidRDefault="008231F2">
      <w:pPr>
        <w:pStyle w:val="TM3"/>
        <w:rPr>
          <w:rFonts w:eastAsiaTheme="minorEastAsia"/>
          <w:noProof/>
          <w:color w:val="000000" w:themeColor="text1"/>
          <w:szCs w:val="22"/>
          <w:lang w:eastAsia="fr-FR" w:bidi="ar-SA"/>
        </w:rPr>
      </w:pPr>
      <w:hyperlink w:anchor="_Toc483474617" w:history="1">
        <w:r w:rsidR="00E77604" w:rsidRPr="008D45CE">
          <w:rPr>
            <w:rStyle w:val="Lienhypertexte"/>
            <w:noProof/>
            <w:color w:val="000000" w:themeColor="text1"/>
          </w:rPr>
          <w:t>4.2.3. Evolution de la dépense courante de santé par Agent de Régimes de financement</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_Toc483474617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38</w:t>
        </w:r>
        <w:r w:rsidR="005B4D4B" w:rsidRPr="008D45CE">
          <w:rPr>
            <w:noProof/>
            <w:webHidden/>
            <w:color w:val="000000" w:themeColor="text1"/>
          </w:rPr>
          <w:fldChar w:fldCharType="end"/>
        </w:r>
      </w:hyperlink>
    </w:p>
    <w:p w:rsidR="00E77604" w:rsidRPr="008D45CE" w:rsidRDefault="008231F2">
      <w:pPr>
        <w:pStyle w:val="TM3"/>
        <w:rPr>
          <w:rFonts w:eastAsiaTheme="minorEastAsia"/>
          <w:noProof/>
          <w:color w:val="000000" w:themeColor="text1"/>
          <w:szCs w:val="22"/>
          <w:lang w:eastAsia="fr-FR" w:bidi="ar-SA"/>
        </w:rPr>
      </w:pPr>
      <w:hyperlink w:anchor="_Toc483474618" w:history="1">
        <w:r w:rsidR="00E77604" w:rsidRPr="008D45CE">
          <w:rPr>
            <w:rStyle w:val="Lienhypertexte"/>
            <w:noProof/>
            <w:color w:val="000000" w:themeColor="text1"/>
          </w:rPr>
          <w:t>4.2.4. Analyse de la D</w:t>
        </w:r>
        <w:r w:rsidR="00803DFA" w:rsidRPr="008D45CE">
          <w:rPr>
            <w:rStyle w:val="Lienhypertexte"/>
            <w:noProof/>
            <w:color w:val="000000" w:themeColor="text1"/>
          </w:rPr>
          <w:t>épense Courante par Prestataire</w:t>
        </w:r>
        <w:r w:rsidR="00E77604" w:rsidRPr="008D45CE">
          <w:rPr>
            <w:rStyle w:val="Lienhypertexte"/>
            <w:noProof/>
            <w:color w:val="000000" w:themeColor="text1"/>
          </w:rPr>
          <w:t xml:space="preserve"> en 2015</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_Toc483474618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40</w:t>
        </w:r>
        <w:r w:rsidR="005B4D4B" w:rsidRPr="008D45CE">
          <w:rPr>
            <w:noProof/>
            <w:webHidden/>
            <w:color w:val="000000" w:themeColor="text1"/>
          </w:rPr>
          <w:fldChar w:fldCharType="end"/>
        </w:r>
      </w:hyperlink>
    </w:p>
    <w:p w:rsidR="00E77604" w:rsidRPr="008D45CE" w:rsidRDefault="008231F2">
      <w:pPr>
        <w:pStyle w:val="TM2"/>
        <w:rPr>
          <w:rFonts w:eastAsiaTheme="minorEastAsia"/>
          <w:noProof/>
          <w:color w:val="000000" w:themeColor="text1"/>
          <w:szCs w:val="22"/>
          <w:lang w:eastAsia="fr-FR" w:bidi="ar-SA"/>
        </w:rPr>
      </w:pPr>
      <w:hyperlink w:anchor="_Toc483474619" w:history="1">
        <w:r w:rsidR="00E77604" w:rsidRPr="008D45CE">
          <w:rPr>
            <w:rStyle w:val="Lienhypertexte"/>
            <w:noProof/>
            <w:color w:val="000000" w:themeColor="text1"/>
          </w:rPr>
          <w:t>4.3. UTILISATION DES RESSOURCES EN 2015</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_Toc483474619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40</w:t>
        </w:r>
        <w:r w:rsidR="005B4D4B" w:rsidRPr="008D45CE">
          <w:rPr>
            <w:noProof/>
            <w:webHidden/>
            <w:color w:val="000000" w:themeColor="text1"/>
          </w:rPr>
          <w:fldChar w:fldCharType="end"/>
        </w:r>
      </w:hyperlink>
    </w:p>
    <w:p w:rsidR="00E77604" w:rsidRPr="008D45CE" w:rsidRDefault="008231F2">
      <w:pPr>
        <w:pStyle w:val="TM3"/>
        <w:tabs>
          <w:tab w:val="left" w:pos="1320"/>
        </w:tabs>
        <w:rPr>
          <w:rFonts w:eastAsiaTheme="minorEastAsia"/>
          <w:noProof/>
          <w:color w:val="000000" w:themeColor="text1"/>
          <w:szCs w:val="22"/>
          <w:lang w:eastAsia="fr-FR" w:bidi="ar-SA"/>
        </w:rPr>
      </w:pPr>
      <w:hyperlink w:anchor="_Toc483474620" w:history="1">
        <w:r w:rsidR="00E77604" w:rsidRPr="008D45CE">
          <w:rPr>
            <w:rStyle w:val="Lienhypertexte"/>
            <w:noProof/>
            <w:color w:val="000000" w:themeColor="text1"/>
          </w:rPr>
          <w:t>4.3.1.</w:t>
        </w:r>
        <w:r w:rsidR="00E77604" w:rsidRPr="008D45CE">
          <w:rPr>
            <w:rFonts w:eastAsiaTheme="minorEastAsia"/>
            <w:noProof/>
            <w:color w:val="000000" w:themeColor="text1"/>
            <w:szCs w:val="22"/>
            <w:lang w:eastAsia="fr-FR" w:bidi="ar-SA"/>
          </w:rPr>
          <w:tab/>
        </w:r>
        <w:r w:rsidR="00E77604" w:rsidRPr="008D45CE">
          <w:rPr>
            <w:rStyle w:val="Lienhypertexte"/>
            <w:noProof/>
            <w:color w:val="000000" w:themeColor="text1"/>
          </w:rPr>
          <w:t>Fonctions de santé</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_Toc483474620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40</w:t>
        </w:r>
        <w:r w:rsidR="005B4D4B" w:rsidRPr="008D45CE">
          <w:rPr>
            <w:noProof/>
            <w:webHidden/>
            <w:color w:val="000000" w:themeColor="text1"/>
          </w:rPr>
          <w:fldChar w:fldCharType="end"/>
        </w:r>
      </w:hyperlink>
    </w:p>
    <w:p w:rsidR="00E77604" w:rsidRPr="008D45CE" w:rsidRDefault="008231F2">
      <w:pPr>
        <w:pStyle w:val="TM3"/>
        <w:rPr>
          <w:rFonts w:eastAsiaTheme="minorEastAsia"/>
          <w:noProof/>
          <w:color w:val="000000" w:themeColor="text1"/>
          <w:szCs w:val="22"/>
          <w:lang w:eastAsia="fr-FR" w:bidi="ar-SA"/>
        </w:rPr>
      </w:pPr>
      <w:hyperlink w:anchor="_Toc483474621" w:history="1">
        <w:r w:rsidR="00E77604" w:rsidRPr="008D45CE">
          <w:rPr>
            <w:rStyle w:val="Lienhypertexte"/>
            <w:noProof/>
            <w:color w:val="000000" w:themeColor="text1"/>
          </w:rPr>
          <w:t xml:space="preserve">4.3.2. </w:t>
        </w:r>
        <w:r w:rsidR="00803DFA" w:rsidRPr="008D45CE">
          <w:rPr>
            <w:rStyle w:val="Lienhypertexte"/>
            <w:noProof/>
            <w:color w:val="000000" w:themeColor="text1"/>
          </w:rPr>
          <w:t xml:space="preserve">    </w:t>
        </w:r>
        <w:r w:rsidR="00E77604" w:rsidRPr="008D45CE">
          <w:rPr>
            <w:rStyle w:val="Lienhypertexte"/>
            <w:noProof/>
            <w:color w:val="000000" w:themeColor="text1"/>
          </w:rPr>
          <w:t>Facteurs de prestation</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_Toc483474621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41</w:t>
        </w:r>
        <w:r w:rsidR="005B4D4B" w:rsidRPr="008D45CE">
          <w:rPr>
            <w:noProof/>
            <w:webHidden/>
            <w:color w:val="000000" w:themeColor="text1"/>
          </w:rPr>
          <w:fldChar w:fldCharType="end"/>
        </w:r>
      </w:hyperlink>
    </w:p>
    <w:p w:rsidR="00E77604" w:rsidRPr="008D45CE" w:rsidRDefault="008231F2">
      <w:pPr>
        <w:pStyle w:val="TM3"/>
        <w:rPr>
          <w:rFonts w:eastAsiaTheme="minorEastAsia"/>
          <w:noProof/>
          <w:color w:val="000000" w:themeColor="text1"/>
          <w:szCs w:val="22"/>
          <w:lang w:eastAsia="fr-FR" w:bidi="ar-SA"/>
        </w:rPr>
      </w:pPr>
      <w:hyperlink w:anchor="_Toc483474622" w:history="1">
        <w:r w:rsidR="00E77604" w:rsidRPr="008D45CE">
          <w:rPr>
            <w:rStyle w:val="Lienhypertexte"/>
            <w:noProof/>
            <w:color w:val="000000" w:themeColor="text1"/>
          </w:rPr>
          <w:t xml:space="preserve">4.3.3. </w:t>
        </w:r>
        <w:r w:rsidR="00803DFA" w:rsidRPr="008D45CE">
          <w:rPr>
            <w:rStyle w:val="Lienhypertexte"/>
            <w:noProof/>
            <w:color w:val="000000" w:themeColor="text1"/>
          </w:rPr>
          <w:t xml:space="preserve">    </w:t>
        </w:r>
        <w:r w:rsidR="00E77604" w:rsidRPr="008D45CE">
          <w:rPr>
            <w:rStyle w:val="Lienhypertexte"/>
            <w:noProof/>
            <w:color w:val="000000" w:themeColor="text1"/>
          </w:rPr>
          <w:t>Dépenses d’investissement</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_Toc483474622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42</w:t>
        </w:r>
        <w:r w:rsidR="005B4D4B" w:rsidRPr="008D45CE">
          <w:rPr>
            <w:noProof/>
            <w:webHidden/>
            <w:color w:val="000000" w:themeColor="text1"/>
          </w:rPr>
          <w:fldChar w:fldCharType="end"/>
        </w:r>
      </w:hyperlink>
    </w:p>
    <w:p w:rsidR="00E77604" w:rsidRPr="008D45CE" w:rsidRDefault="008231F2">
      <w:pPr>
        <w:pStyle w:val="TM2"/>
        <w:rPr>
          <w:rFonts w:eastAsiaTheme="minorEastAsia"/>
          <w:noProof/>
          <w:color w:val="000000" w:themeColor="text1"/>
          <w:szCs w:val="22"/>
          <w:lang w:eastAsia="fr-FR" w:bidi="ar-SA"/>
        </w:rPr>
      </w:pPr>
      <w:hyperlink w:anchor="_Toc483474623" w:history="1">
        <w:r w:rsidR="00E77604" w:rsidRPr="008D45CE">
          <w:rPr>
            <w:rStyle w:val="Lienhypertexte"/>
            <w:noProof/>
            <w:color w:val="000000" w:themeColor="text1"/>
            <w:lang w:val="fr-CD"/>
          </w:rPr>
          <w:t>4..4. DISTRIBUTION DE LA DÉPENSE COURANTE DE SANTÉ PAR MALADIE SELON LA CLASSIFICATION INTERNATIONALE DES MALADIES (CIM 10) ET PAR SOURCE DE FINANCEMENT</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_Toc483474623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43</w:t>
        </w:r>
        <w:r w:rsidR="005B4D4B" w:rsidRPr="008D45CE">
          <w:rPr>
            <w:noProof/>
            <w:webHidden/>
            <w:color w:val="000000" w:themeColor="text1"/>
          </w:rPr>
          <w:fldChar w:fldCharType="end"/>
        </w:r>
      </w:hyperlink>
    </w:p>
    <w:p w:rsidR="00E77604" w:rsidRPr="008D45CE" w:rsidRDefault="008231F2">
      <w:pPr>
        <w:pStyle w:val="TM3"/>
        <w:rPr>
          <w:rFonts w:eastAsiaTheme="minorEastAsia"/>
          <w:noProof/>
          <w:color w:val="000000" w:themeColor="text1"/>
          <w:szCs w:val="22"/>
          <w:lang w:eastAsia="fr-FR" w:bidi="ar-SA"/>
        </w:rPr>
      </w:pPr>
      <w:hyperlink w:anchor="_Toc483474624" w:history="1">
        <w:r w:rsidR="00E77604" w:rsidRPr="008D45CE">
          <w:rPr>
            <w:rStyle w:val="Lienhypertexte"/>
            <w:noProof/>
            <w:color w:val="000000" w:themeColor="text1"/>
          </w:rPr>
          <w:t>4.4.1. Maladies infectieuses et parasitaires</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_Toc483474624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45</w:t>
        </w:r>
        <w:r w:rsidR="005B4D4B" w:rsidRPr="008D45CE">
          <w:rPr>
            <w:noProof/>
            <w:webHidden/>
            <w:color w:val="000000" w:themeColor="text1"/>
          </w:rPr>
          <w:fldChar w:fldCharType="end"/>
        </w:r>
      </w:hyperlink>
    </w:p>
    <w:p w:rsidR="00E77604" w:rsidRPr="008D45CE" w:rsidRDefault="008231F2">
      <w:pPr>
        <w:pStyle w:val="TM3"/>
        <w:rPr>
          <w:rFonts w:eastAsiaTheme="minorEastAsia"/>
          <w:noProof/>
          <w:color w:val="000000" w:themeColor="text1"/>
          <w:szCs w:val="22"/>
          <w:lang w:eastAsia="fr-FR" w:bidi="ar-SA"/>
        </w:rPr>
      </w:pPr>
      <w:hyperlink w:anchor="_Toc483474625" w:history="1">
        <w:r w:rsidR="00E77604" w:rsidRPr="008D45CE">
          <w:rPr>
            <w:rStyle w:val="Lienhypertexte"/>
            <w:noProof/>
            <w:color w:val="000000" w:themeColor="text1"/>
          </w:rPr>
          <w:t>4.4.2. Santé de la Reproduction</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_Toc483474625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45</w:t>
        </w:r>
        <w:r w:rsidR="005B4D4B" w:rsidRPr="008D45CE">
          <w:rPr>
            <w:noProof/>
            <w:webHidden/>
            <w:color w:val="000000" w:themeColor="text1"/>
          </w:rPr>
          <w:fldChar w:fldCharType="end"/>
        </w:r>
      </w:hyperlink>
    </w:p>
    <w:p w:rsidR="00E77604" w:rsidRPr="008D45CE" w:rsidRDefault="008231F2">
      <w:pPr>
        <w:pStyle w:val="TM2"/>
        <w:rPr>
          <w:rFonts w:eastAsiaTheme="minorEastAsia"/>
          <w:noProof/>
          <w:color w:val="000000" w:themeColor="text1"/>
          <w:szCs w:val="22"/>
          <w:lang w:eastAsia="fr-FR" w:bidi="ar-SA"/>
        </w:rPr>
      </w:pPr>
      <w:hyperlink w:anchor="_Toc483474626" w:history="1">
        <w:r w:rsidR="00E77604" w:rsidRPr="008D45CE">
          <w:rPr>
            <w:rStyle w:val="Lienhypertexte"/>
            <w:noProof/>
            <w:color w:val="000000" w:themeColor="text1"/>
          </w:rPr>
          <w:t xml:space="preserve">4.4.3. </w:t>
        </w:r>
        <w:r w:rsidR="00E77604" w:rsidRPr="008D45CE">
          <w:rPr>
            <w:rStyle w:val="Lienhypertexte"/>
            <w:noProof/>
            <w:color w:val="000000" w:themeColor="text1"/>
            <w:lang w:val="fr-CD"/>
          </w:rPr>
          <w:t xml:space="preserve">Santé de la mère, de l’enfant, </w:t>
        </w:r>
        <w:r w:rsidR="000020D6">
          <w:rPr>
            <w:rStyle w:val="Lienhypertexte"/>
            <w:noProof/>
            <w:color w:val="000000" w:themeColor="text1"/>
            <w:lang w:val="fr-CD"/>
          </w:rPr>
          <w:t>du nouveau</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_Toc483474626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46</w:t>
        </w:r>
        <w:r w:rsidR="005B4D4B"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629" w:history="1">
        <w:r w:rsidR="00E77604" w:rsidRPr="008D45CE">
          <w:rPr>
            <w:rStyle w:val="Lienhypertexte"/>
            <w:noProof/>
            <w:color w:val="000000" w:themeColor="text1"/>
          </w:rPr>
          <w:t>CONCLUSION</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_Toc483474629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53</w:t>
        </w:r>
        <w:r w:rsidR="005B4D4B"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630" w:history="1">
        <w:r w:rsidR="00E77604" w:rsidRPr="008D45CE">
          <w:rPr>
            <w:rStyle w:val="Lienhypertexte"/>
            <w:noProof/>
            <w:color w:val="000000" w:themeColor="text1"/>
          </w:rPr>
          <w:t>RECOMMANDATIONS</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_Toc483474630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55</w:t>
        </w:r>
        <w:r w:rsidR="005B4D4B"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631" w:history="1">
        <w:r w:rsidR="00E77604" w:rsidRPr="008D45CE">
          <w:rPr>
            <w:rStyle w:val="Lienhypertexte"/>
            <w:noProof/>
            <w:color w:val="000000" w:themeColor="text1"/>
          </w:rPr>
          <w:t>RÉFÉRENCES BIBLIOGRAPHIQUES</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_Toc483474631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56</w:t>
        </w:r>
        <w:r w:rsidR="005B4D4B"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632" w:history="1">
        <w:r w:rsidR="00E77604" w:rsidRPr="008D45CE">
          <w:rPr>
            <w:rStyle w:val="Lienhypertexte"/>
            <w:noProof/>
            <w:color w:val="000000" w:themeColor="text1"/>
          </w:rPr>
          <w:t>ANNEXES</w:t>
        </w:r>
        <w:r w:rsidR="00E77604" w:rsidRPr="008D45CE">
          <w:rPr>
            <w:noProof/>
            <w:webHidden/>
            <w:color w:val="000000" w:themeColor="text1"/>
          </w:rPr>
          <w:tab/>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_Toc483474632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58</w:t>
        </w:r>
        <w:r w:rsidR="005B4D4B"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633" w:history="1">
        <w:r w:rsidR="00E77604" w:rsidRPr="008D45CE">
          <w:rPr>
            <w:rStyle w:val="Lienhypertexte"/>
            <w:noProof/>
            <w:color w:val="000000" w:themeColor="text1"/>
          </w:rPr>
          <w:t>EXPERTS AYANT CONTRIBUE A LA REALISATION DE CETTE ETUDE</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_Toc483474633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64</w:t>
        </w:r>
        <w:r w:rsidR="005B4D4B" w:rsidRPr="008D45CE">
          <w:rPr>
            <w:noProof/>
            <w:webHidden/>
            <w:color w:val="000000" w:themeColor="text1"/>
          </w:rPr>
          <w:fldChar w:fldCharType="end"/>
        </w:r>
      </w:hyperlink>
    </w:p>
    <w:p w:rsidR="00A10E04" w:rsidRPr="008D45CE" w:rsidRDefault="005B4D4B" w:rsidP="00A401E9">
      <w:pPr>
        <w:pStyle w:val="Sansinterligne"/>
        <w:spacing w:line="360" w:lineRule="auto"/>
        <w:ind w:left="720"/>
        <w:rPr>
          <w:rFonts w:ascii="Times New Roman" w:hAnsi="Times New Roman"/>
          <w:color w:val="000000" w:themeColor="text1"/>
          <w:sz w:val="24"/>
          <w:szCs w:val="24"/>
          <w:lang w:val="fr-FR"/>
        </w:rPr>
      </w:pPr>
      <w:r w:rsidRPr="008D45CE">
        <w:rPr>
          <w:rFonts w:ascii="Times New Roman" w:eastAsia="Times New Roman" w:hAnsi="Times New Roman"/>
          <w:color w:val="000000" w:themeColor="text1"/>
          <w:lang w:val="fr-FR"/>
        </w:rPr>
        <w:fldChar w:fldCharType="end"/>
      </w:r>
    </w:p>
    <w:p w:rsidR="00A10E04" w:rsidRPr="008D45CE" w:rsidRDefault="00A10E04" w:rsidP="00A401E9">
      <w:pPr>
        <w:pStyle w:val="Sansinterligne"/>
        <w:spacing w:line="360" w:lineRule="auto"/>
        <w:ind w:left="720"/>
        <w:rPr>
          <w:rFonts w:ascii="Times New Roman" w:hAnsi="Times New Roman"/>
          <w:color w:val="000000" w:themeColor="text1"/>
          <w:sz w:val="24"/>
          <w:szCs w:val="24"/>
          <w:lang w:val="fr-FR"/>
        </w:rPr>
      </w:pPr>
    </w:p>
    <w:p w:rsidR="00A10E04" w:rsidRPr="008D45CE" w:rsidRDefault="00A10E04" w:rsidP="00A401E9">
      <w:pPr>
        <w:pStyle w:val="Sansinterligne"/>
        <w:spacing w:line="360" w:lineRule="auto"/>
        <w:ind w:left="720"/>
        <w:rPr>
          <w:rFonts w:ascii="Times New Roman" w:hAnsi="Times New Roman"/>
          <w:color w:val="000000" w:themeColor="text1"/>
          <w:sz w:val="24"/>
          <w:szCs w:val="24"/>
          <w:lang w:val="fr-FR"/>
        </w:rPr>
      </w:pPr>
    </w:p>
    <w:p w:rsidR="00A10E04" w:rsidRPr="008D45CE" w:rsidRDefault="00A10E04" w:rsidP="00A401E9">
      <w:pPr>
        <w:pStyle w:val="Titre1"/>
        <w:jc w:val="center"/>
        <w:rPr>
          <w:color w:val="000000" w:themeColor="text1"/>
        </w:rPr>
      </w:pPr>
      <w:r w:rsidRPr="008D45CE">
        <w:rPr>
          <w:color w:val="000000" w:themeColor="text1"/>
          <w:szCs w:val="24"/>
        </w:rPr>
        <w:br w:type="page"/>
      </w:r>
      <w:bookmarkStart w:id="17" w:name="_Toc465265923"/>
      <w:bookmarkStart w:id="18" w:name="_Toc483474583"/>
      <w:r w:rsidRPr="008D45CE">
        <w:rPr>
          <w:color w:val="000000" w:themeColor="text1"/>
        </w:rPr>
        <w:lastRenderedPageBreak/>
        <w:t>LISTE DES TABLEAUX</w:t>
      </w:r>
      <w:bookmarkEnd w:id="17"/>
      <w:bookmarkEnd w:id="18"/>
    </w:p>
    <w:p w:rsidR="00E77604" w:rsidRPr="008D45CE" w:rsidRDefault="005B4D4B">
      <w:pPr>
        <w:pStyle w:val="TM1"/>
        <w:rPr>
          <w:rFonts w:eastAsiaTheme="minorEastAsia"/>
          <w:noProof/>
          <w:color w:val="000000" w:themeColor="text1"/>
          <w:sz w:val="23"/>
          <w:szCs w:val="23"/>
          <w:lang w:eastAsia="fr-FR" w:bidi="ar-SA"/>
        </w:rPr>
      </w:pPr>
      <w:r w:rsidRPr="008D45CE">
        <w:rPr>
          <w:color w:val="000000" w:themeColor="text1"/>
          <w:sz w:val="22"/>
          <w:szCs w:val="22"/>
        </w:rPr>
        <w:fldChar w:fldCharType="begin"/>
      </w:r>
      <w:r w:rsidR="00A10E04" w:rsidRPr="008D45CE">
        <w:rPr>
          <w:color w:val="000000" w:themeColor="text1"/>
          <w:sz w:val="22"/>
          <w:szCs w:val="22"/>
        </w:rPr>
        <w:instrText xml:space="preserve"> TOC \h \z \u \t "Titre 6;1" </w:instrText>
      </w:r>
      <w:r w:rsidRPr="008D45CE">
        <w:rPr>
          <w:color w:val="000000" w:themeColor="text1"/>
          <w:sz w:val="22"/>
          <w:szCs w:val="22"/>
        </w:rPr>
        <w:fldChar w:fldCharType="separate"/>
      </w:r>
      <w:hyperlink w:anchor="_Toc483474501" w:history="1">
        <w:r w:rsidR="00E77604" w:rsidRPr="008D45CE">
          <w:rPr>
            <w:rStyle w:val="Lienhypertexte"/>
            <w:noProof/>
            <w:color w:val="000000" w:themeColor="text1"/>
            <w:sz w:val="23"/>
            <w:szCs w:val="23"/>
          </w:rPr>
          <w:t>Tableau 1 : Les indicateurs essentiels de comparaison internationale du financement de la santé de 2008 à 2015 en dollar américain</w:t>
        </w:r>
        <w:r w:rsidR="00E77604" w:rsidRPr="008D45CE">
          <w:rPr>
            <w:noProof/>
            <w:webHidden/>
            <w:color w:val="000000" w:themeColor="text1"/>
            <w:sz w:val="23"/>
            <w:szCs w:val="23"/>
          </w:rPr>
          <w:tab/>
        </w:r>
        <w:r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_Toc483474501 \h </w:instrText>
        </w:r>
        <w:r w:rsidRPr="008D45CE">
          <w:rPr>
            <w:noProof/>
            <w:webHidden/>
            <w:color w:val="000000" w:themeColor="text1"/>
            <w:sz w:val="23"/>
            <w:szCs w:val="23"/>
          </w:rPr>
        </w:r>
        <w:r w:rsidRPr="008D45CE">
          <w:rPr>
            <w:noProof/>
            <w:webHidden/>
            <w:color w:val="000000" w:themeColor="text1"/>
            <w:sz w:val="23"/>
            <w:szCs w:val="23"/>
          </w:rPr>
          <w:fldChar w:fldCharType="separate"/>
        </w:r>
        <w:r w:rsidR="00AD4876" w:rsidRPr="008D45CE">
          <w:rPr>
            <w:noProof/>
            <w:webHidden/>
            <w:color w:val="000000" w:themeColor="text1"/>
            <w:sz w:val="23"/>
            <w:szCs w:val="23"/>
          </w:rPr>
          <w:t>15</w:t>
        </w:r>
        <w:r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02" w:history="1">
        <w:r w:rsidR="00E77604" w:rsidRPr="008D45CE">
          <w:rPr>
            <w:rStyle w:val="Lienhypertexte"/>
            <w:noProof/>
            <w:color w:val="000000" w:themeColor="text1"/>
            <w:sz w:val="23"/>
            <w:szCs w:val="23"/>
            <w:lang w:val="fr-CD"/>
          </w:rPr>
          <w:t>Tableau 2</w:t>
        </w:r>
        <w:r w:rsidR="00E77604" w:rsidRPr="008D45CE">
          <w:rPr>
            <w:rStyle w:val="Lienhypertexte"/>
            <w:noProof/>
            <w:color w:val="000000" w:themeColor="text1"/>
            <w:sz w:val="23"/>
            <w:szCs w:val="23"/>
            <w:lang w:val="fr-CD" w:eastAsia="fr-FR"/>
          </w:rPr>
          <w:t xml:space="preserve"> : Evolution des principaux agrégats des comptes de la santé de 2011 à 2015 en </w:t>
        </w:r>
        <w:r w:rsidR="00B2646F" w:rsidRPr="008D45CE">
          <w:rPr>
            <w:rStyle w:val="Lienhypertexte"/>
            <w:noProof/>
            <w:color w:val="000000" w:themeColor="text1"/>
            <w:sz w:val="23"/>
            <w:szCs w:val="23"/>
            <w:lang w:val="fr-CD" w:eastAsia="fr-FR"/>
          </w:rPr>
          <w:t>FCFA</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_Toc483474502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28</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03" w:history="1">
        <w:r w:rsidR="00E77604" w:rsidRPr="008D45CE">
          <w:rPr>
            <w:rStyle w:val="Lienhypertexte"/>
            <w:noProof/>
            <w:color w:val="000000" w:themeColor="text1"/>
            <w:sz w:val="23"/>
            <w:szCs w:val="23"/>
          </w:rPr>
          <w:t xml:space="preserve">Tableau 3 </w:t>
        </w:r>
        <w:r w:rsidR="00E77604" w:rsidRPr="008D45CE">
          <w:rPr>
            <w:rStyle w:val="Lienhypertexte"/>
            <w:noProof/>
            <w:color w:val="000000" w:themeColor="text1"/>
            <w:sz w:val="23"/>
            <w:szCs w:val="23"/>
            <w:lang w:val="fr-BE"/>
          </w:rPr>
          <w:t>:</w:t>
        </w:r>
        <w:r w:rsidR="00686ADE" w:rsidRPr="008D45CE">
          <w:rPr>
            <w:rStyle w:val="Lienhypertexte"/>
            <w:noProof/>
            <w:color w:val="000000" w:themeColor="text1"/>
            <w:sz w:val="23"/>
            <w:szCs w:val="23"/>
            <w:lang w:val="fr-BE"/>
          </w:rPr>
          <w:t xml:space="preserve"> </w:t>
        </w:r>
        <w:r w:rsidR="00E77604" w:rsidRPr="008D45CE">
          <w:rPr>
            <w:rStyle w:val="Lienhypertexte"/>
            <w:noProof/>
            <w:color w:val="000000" w:themeColor="text1"/>
            <w:sz w:val="23"/>
            <w:szCs w:val="23"/>
            <w:lang w:eastAsia="fr-FR"/>
          </w:rPr>
          <w:t xml:space="preserve">Evolution de la dépense courante  de santé et dépense d’investissement de 2011 à 2015 en </w:t>
        </w:r>
        <w:r w:rsidR="00B2646F" w:rsidRPr="008D45CE">
          <w:rPr>
            <w:rStyle w:val="Lienhypertexte"/>
            <w:noProof/>
            <w:color w:val="000000" w:themeColor="text1"/>
            <w:sz w:val="23"/>
            <w:szCs w:val="23"/>
            <w:lang w:eastAsia="fr-FR"/>
          </w:rPr>
          <w:t>FCFA</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_Toc483474503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28</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04" w:history="1">
        <w:r w:rsidR="00E77604" w:rsidRPr="008D45CE">
          <w:rPr>
            <w:rStyle w:val="Lienhypertexte"/>
            <w:noProof/>
            <w:color w:val="000000" w:themeColor="text1"/>
            <w:sz w:val="23"/>
            <w:szCs w:val="23"/>
          </w:rPr>
          <w:t xml:space="preserve">Tableau 4 </w:t>
        </w:r>
        <w:r w:rsidR="00E77604" w:rsidRPr="008D45CE">
          <w:rPr>
            <w:rStyle w:val="Lienhypertexte"/>
            <w:noProof/>
            <w:color w:val="000000" w:themeColor="text1"/>
            <w:sz w:val="23"/>
            <w:szCs w:val="23"/>
            <w:lang w:val="fr-BE"/>
          </w:rPr>
          <w:t>:</w:t>
        </w:r>
        <w:r w:rsidR="00E77604" w:rsidRPr="008D45CE">
          <w:rPr>
            <w:rStyle w:val="Lienhypertexte"/>
            <w:noProof/>
            <w:color w:val="000000" w:themeColor="text1"/>
            <w:sz w:val="23"/>
            <w:szCs w:val="23"/>
          </w:rPr>
          <w:t xml:space="preserve"> Dépense de la santé per capita de 2011 à 2015 en </w:t>
        </w:r>
        <w:r w:rsidR="00F94EA5" w:rsidRPr="008D45CE">
          <w:rPr>
            <w:rStyle w:val="Lienhypertexte"/>
            <w:noProof/>
            <w:color w:val="000000" w:themeColor="text1"/>
            <w:sz w:val="23"/>
            <w:szCs w:val="23"/>
          </w:rPr>
          <w:t>COG</w:t>
        </w:r>
        <w:r w:rsidR="00E77604" w:rsidRPr="008D45CE">
          <w:rPr>
            <w:rStyle w:val="Lienhypertexte"/>
            <w:noProof/>
            <w:color w:val="000000" w:themeColor="text1"/>
            <w:sz w:val="23"/>
            <w:szCs w:val="23"/>
          </w:rPr>
          <w:t xml:space="preserve"> ( </w:t>
        </w:r>
        <w:r w:rsidR="00B2646F" w:rsidRPr="008D45CE">
          <w:rPr>
            <w:rStyle w:val="Lienhypertexte"/>
            <w:noProof/>
            <w:color w:val="000000" w:themeColor="text1"/>
            <w:sz w:val="23"/>
            <w:szCs w:val="23"/>
          </w:rPr>
          <w:t>FCFA</w:t>
        </w:r>
        <w:r w:rsidR="00E77604" w:rsidRPr="008D45CE">
          <w:rPr>
            <w:rStyle w:val="Lienhypertexte"/>
            <w:noProof/>
            <w:color w:val="000000" w:themeColor="text1"/>
            <w:sz w:val="23"/>
            <w:szCs w:val="23"/>
          </w:rPr>
          <w:t>)</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_Toc483474504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29</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05" w:history="1">
        <w:r w:rsidR="00E77604" w:rsidRPr="008D45CE">
          <w:rPr>
            <w:rStyle w:val="Lienhypertexte"/>
            <w:noProof/>
            <w:color w:val="000000" w:themeColor="text1"/>
            <w:sz w:val="23"/>
            <w:szCs w:val="23"/>
          </w:rPr>
          <w:t xml:space="preserve">Tableau 5 </w:t>
        </w:r>
        <w:r w:rsidR="00E77604" w:rsidRPr="008D45CE">
          <w:rPr>
            <w:rStyle w:val="Lienhypertexte"/>
            <w:noProof/>
            <w:color w:val="000000" w:themeColor="text1"/>
            <w:sz w:val="23"/>
            <w:szCs w:val="23"/>
            <w:lang w:val="fr-BE"/>
          </w:rPr>
          <w:t>:</w:t>
        </w:r>
        <w:r w:rsidR="00E77604" w:rsidRPr="008D45CE">
          <w:rPr>
            <w:rStyle w:val="Lienhypertexte"/>
            <w:noProof/>
            <w:color w:val="000000" w:themeColor="text1"/>
            <w:sz w:val="23"/>
            <w:szCs w:val="23"/>
          </w:rPr>
          <w:t xml:space="preserve"> Dépenses Publiques de santé en 2015 en </w:t>
        </w:r>
        <w:r w:rsidR="00B2646F" w:rsidRPr="008D45CE">
          <w:rPr>
            <w:rStyle w:val="Lienhypertexte"/>
            <w:noProof/>
            <w:color w:val="000000" w:themeColor="text1"/>
            <w:sz w:val="23"/>
            <w:szCs w:val="23"/>
          </w:rPr>
          <w:t>FCFA</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_Toc483474505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31</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06" w:history="1">
        <w:r w:rsidR="00E77604" w:rsidRPr="008D45CE">
          <w:rPr>
            <w:rStyle w:val="Lienhypertexte"/>
            <w:noProof/>
            <w:color w:val="000000" w:themeColor="text1"/>
            <w:sz w:val="23"/>
            <w:szCs w:val="23"/>
          </w:rPr>
          <w:t>Tableau 6</w:t>
        </w:r>
        <w:r w:rsidR="00E77604" w:rsidRPr="008D45CE">
          <w:rPr>
            <w:rStyle w:val="Lienhypertexte"/>
            <w:noProof/>
            <w:color w:val="000000" w:themeColor="text1"/>
            <w:sz w:val="23"/>
            <w:szCs w:val="23"/>
            <w:lang w:val="fr-BE"/>
          </w:rPr>
          <w:t xml:space="preserve"> :</w:t>
        </w:r>
        <w:r w:rsidR="00E77604" w:rsidRPr="008D45CE">
          <w:rPr>
            <w:rStyle w:val="Lienhypertexte"/>
            <w:noProof/>
            <w:color w:val="000000" w:themeColor="text1"/>
            <w:sz w:val="23"/>
            <w:szCs w:val="23"/>
          </w:rPr>
          <w:t xml:space="preserve"> Paiement direct des ménages et leur prépaiement volontaire</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_Toc483474506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33</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07" w:history="1">
        <w:r w:rsidR="00E77604" w:rsidRPr="008D45CE">
          <w:rPr>
            <w:rStyle w:val="Lienhypertexte"/>
            <w:noProof/>
            <w:color w:val="000000" w:themeColor="text1"/>
            <w:sz w:val="23"/>
            <w:szCs w:val="23"/>
          </w:rPr>
          <w:t xml:space="preserve">Tableau 7 : Evolution de l’affectation des ressources par niveau de la pyramide sanitaire de 2011 à 2015 en </w:t>
        </w:r>
        <w:r w:rsidR="00B2646F" w:rsidRPr="008D45CE">
          <w:rPr>
            <w:rStyle w:val="Lienhypertexte"/>
            <w:noProof/>
            <w:color w:val="000000" w:themeColor="text1"/>
            <w:sz w:val="23"/>
            <w:szCs w:val="23"/>
          </w:rPr>
          <w:t>FCFA</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_Toc483474507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35</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08" w:history="1">
        <w:r w:rsidR="00E77604" w:rsidRPr="008D45CE">
          <w:rPr>
            <w:rStyle w:val="Lienhypertexte"/>
            <w:noProof/>
            <w:color w:val="000000" w:themeColor="text1"/>
            <w:sz w:val="23"/>
            <w:szCs w:val="23"/>
            <w:lang w:val="fr-CD"/>
          </w:rPr>
          <w:t xml:space="preserve">Tableau </w:t>
        </w:r>
        <w:r w:rsidR="00E77604" w:rsidRPr="008D45CE">
          <w:rPr>
            <w:rStyle w:val="Lienhypertexte"/>
            <w:noProof/>
            <w:color w:val="000000" w:themeColor="text1"/>
            <w:sz w:val="23"/>
            <w:szCs w:val="23"/>
          </w:rPr>
          <w:t>8</w:t>
        </w:r>
        <w:r w:rsidR="00E77604" w:rsidRPr="008D45CE">
          <w:rPr>
            <w:rStyle w:val="Lienhypertexte"/>
            <w:noProof/>
            <w:color w:val="000000" w:themeColor="text1"/>
            <w:sz w:val="23"/>
            <w:szCs w:val="23"/>
            <w:lang w:val="fr-CD"/>
          </w:rPr>
          <w:t xml:space="preserve"> : Dépenses courantes de santé par Régime de financement de 2011 à 2015 en </w:t>
        </w:r>
        <w:r w:rsidR="00B2646F" w:rsidRPr="008D45CE">
          <w:rPr>
            <w:rStyle w:val="Lienhypertexte"/>
            <w:noProof/>
            <w:color w:val="000000" w:themeColor="text1"/>
            <w:sz w:val="23"/>
            <w:szCs w:val="23"/>
            <w:lang w:val="fr-CD"/>
          </w:rPr>
          <w:t>FCFA</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_Toc483474508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37</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09" w:history="1">
        <w:r w:rsidR="00E77604" w:rsidRPr="008D45CE">
          <w:rPr>
            <w:rStyle w:val="Lienhypertexte"/>
            <w:noProof/>
            <w:color w:val="000000" w:themeColor="text1"/>
            <w:sz w:val="23"/>
            <w:szCs w:val="23"/>
          </w:rPr>
          <w:t xml:space="preserve">Tableau 9 : Evolution de la dépense courante de santé par Agent des régimes de financement de 2011 à 2015 en </w:t>
        </w:r>
        <w:r w:rsidR="00B2646F" w:rsidRPr="008D45CE">
          <w:rPr>
            <w:rStyle w:val="Lienhypertexte"/>
            <w:noProof/>
            <w:color w:val="000000" w:themeColor="text1"/>
            <w:sz w:val="23"/>
            <w:szCs w:val="23"/>
          </w:rPr>
          <w:t>FCFA</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_Toc483474509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38</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10" w:history="1">
        <w:r w:rsidR="00E77604" w:rsidRPr="008D45CE">
          <w:rPr>
            <w:rStyle w:val="Lienhypertexte"/>
            <w:noProof/>
            <w:color w:val="000000" w:themeColor="text1"/>
            <w:sz w:val="23"/>
            <w:szCs w:val="23"/>
          </w:rPr>
          <w:t xml:space="preserve">Tableau 10 </w:t>
        </w:r>
        <w:r w:rsidR="00E77604" w:rsidRPr="008D45CE">
          <w:rPr>
            <w:rStyle w:val="Lienhypertexte"/>
            <w:noProof/>
            <w:color w:val="000000" w:themeColor="text1"/>
            <w:sz w:val="23"/>
            <w:szCs w:val="23"/>
            <w:lang w:val="fr-BE"/>
          </w:rPr>
          <w:t>:</w:t>
        </w:r>
        <w:r w:rsidR="00E77604" w:rsidRPr="008D45CE">
          <w:rPr>
            <w:rStyle w:val="Lienhypertexte"/>
            <w:noProof/>
            <w:color w:val="000000" w:themeColor="text1"/>
            <w:sz w:val="23"/>
            <w:szCs w:val="23"/>
          </w:rPr>
          <w:t xml:space="preserve"> Fonds gérés par les Administrations Publiques en 2015</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_Toc483474510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39</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11" w:history="1">
        <w:r w:rsidR="00E77604" w:rsidRPr="008D45CE">
          <w:rPr>
            <w:rStyle w:val="Lienhypertexte"/>
            <w:noProof/>
            <w:color w:val="000000" w:themeColor="text1"/>
            <w:sz w:val="23"/>
            <w:szCs w:val="23"/>
          </w:rPr>
          <w:t xml:space="preserve">Tableau 11 </w:t>
        </w:r>
        <w:r w:rsidR="00E77604" w:rsidRPr="008D45CE">
          <w:rPr>
            <w:rStyle w:val="Lienhypertexte"/>
            <w:noProof/>
            <w:color w:val="000000" w:themeColor="text1"/>
            <w:sz w:val="23"/>
            <w:szCs w:val="23"/>
            <w:lang w:val="fr-BE"/>
          </w:rPr>
          <w:t>:</w:t>
        </w:r>
        <w:r w:rsidR="00E77604" w:rsidRPr="008D45CE">
          <w:rPr>
            <w:rStyle w:val="Lienhypertexte"/>
            <w:noProof/>
            <w:color w:val="000000" w:themeColor="text1"/>
            <w:sz w:val="23"/>
            <w:szCs w:val="23"/>
          </w:rPr>
          <w:t xml:space="preserve"> Fonds gérés par les mutuelles de santé en 2015 en </w:t>
        </w:r>
        <w:r w:rsidR="00B2646F" w:rsidRPr="008D45CE">
          <w:rPr>
            <w:rStyle w:val="Lienhypertexte"/>
            <w:noProof/>
            <w:color w:val="000000" w:themeColor="text1"/>
            <w:sz w:val="23"/>
            <w:szCs w:val="23"/>
          </w:rPr>
          <w:t>FCFA</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_Toc483474511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39</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12" w:history="1">
        <w:r w:rsidR="00E77604" w:rsidRPr="008D45CE">
          <w:rPr>
            <w:rStyle w:val="Lienhypertexte"/>
            <w:noProof/>
            <w:color w:val="000000" w:themeColor="text1"/>
            <w:sz w:val="23"/>
            <w:szCs w:val="23"/>
          </w:rPr>
          <w:t xml:space="preserve">Tableau 12 : </w:t>
        </w:r>
        <w:r w:rsidR="00E77604" w:rsidRPr="008D45CE">
          <w:rPr>
            <w:rStyle w:val="Lienhypertexte"/>
            <w:noProof/>
            <w:color w:val="000000" w:themeColor="text1"/>
            <w:sz w:val="23"/>
            <w:szCs w:val="23"/>
            <w:lang w:val="fr-CD"/>
          </w:rPr>
          <w:t>Répartition de la dépense courante de santé par prestataire en 2015</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_Toc483474512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40</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13" w:history="1">
        <w:r w:rsidR="00E77604" w:rsidRPr="008D45CE">
          <w:rPr>
            <w:rStyle w:val="Lienhypertexte"/>
            <w:noProof/>
            <w:color w:val="000000" w:themeColor="text1"/>
            <w:sz w:val="23"/>
            <w:szCs w:val="23"/>
          </w:rPr>
          <w:t xml:space="preserve">Tableau </w:t>
        </w:r>
        <w:r w:rsidR="00E77604" w:rsidRPr="008D45CE">
          <w:rPr>
            <w:rStyle w:val="Lienhypertexte"/>
            <w:noProof/>
            <w:color w:val="000000" w:themeColor="text1"/>
            <w:sz w:val="23"/>
            <w:szCs w:val="23"/>
            <w:lang w:val="fr-BE"/>
          </w:rPr>
          <w:t>13 :</w:t>
        </w:r>
        <w:r w:rsidR="00E77604" w:rsidRPr="008D45CE">
          <w:rPr>
            <w:rStyle w:val="Lienhypertexte"/>
            <w:noProof/>
            <w:color w:val="000000" w:themeColor="text1"/>
            <w:sz w:val="23"/>
            <w:szCs w:val="23"/>
          </w:rPr>
          <w:t xml:space="preserve"> Fonctions de santé par source de financement en 2015</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_Toc483474513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41</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14" w:history="1">
        <w:r w:rsidR="00E77604" w:rsidRPr="008D45CE">
          <w:rPr>
            <w:rStyle w:val="Lienhypertexte"/>
            <w:noProof/>
            <w:color w:val="000000" w:themeColor="text1"/>
            <w:sz w:val="23"/>
            <w:szCs w:val="23"/>
          </w:rPr>
          <w:t>Tableau 1</w:t>
        </w:r>
        <w:r w:rsidR="00E77604" w:rsidRPr="008D45CE">
          <w:rPr>
            <w:rStyle w:val="Lienhypertexte"/>
            <w:noProof/>
            <w:color w:val="000000" w:themeColor="text1"/>
            <w:sz w:val="23"/>
            <w:szCs w:val="23"/>
            <w:lang w:val="fr-BE"/>
          </w:rPr>
          <w:t>4 :</w:t>
        </w:r>
        <w:r w:rsidR="00E77604" w:rsidRPr="008D45CE">
          <w:rPr>
            <w:rStyle w:val="Lienhypertexte"/>
            <w:noProof/>
            <w:color w:val="000000" w:themeColor="text1"/>
            <w:sz w:val="23"/>
            <w:szCs w:val="23"/>
          </w:rPr>
          <w:t xml:space="preserve"> Dépenses d’investissement par source de financement en 2015</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_Toc483474514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42</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15" w:history="1">
        <w:r w:rsidR="00E77604" w:rsidRPr="008D45CE">
          <w:rPr>
            <w:rStyle w:val="Lienhypertexte"/>
            <w:noProof/>
            <w:color w:val="000000" w:themeColor="text1"/>
            <w:sz w:val="23"/>
            <w:szCs w:val="23"/>
          </w:rPr>
          <w:t>Tableau 15 : Sources de financement de la lutte contre la maladie en 2015</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_Toc483474515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44</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16" w:history="1">
        <w:r w:rsidR="00E77604" w:rsidRPr="008D45CE">
          <w:rPr>
            <w:rStyle w:val="Lienhypertexte"/>
            <w:noProof/>
            <w:color w:val="000000" w:themeColor="text1"/>
            <w:sz w:val="23"/>
            <w:szCs w:val="23"/>
          </w:rPr>
          <w:t>Tableau 16 : Dépenses courantes de santé des maladies infectieuses et parasitaires en 2015</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_Toc483474516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45</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17" w:history="1">
        <w:r w:rsidR="00E77604" w:rsidRPr="008D45CE">
          <w:rPr>
            <w:rStyle w:val="Lienhypertexte"/>
            <w:noProof/>
            <w:color w:val="000000" w:themeColor="text1"/>
            <w:sz w:val="23"/>
            <w:szCs w:val="23"/>
          </w:rPr>
          <w:t>Tableau 17</w:t>
        </w:r>
        <w:r w:rsidR="00E77604" w:rsidRPr="008D45CE">
          <w:rPr>
            <w:rStyle w:val="Lienhypertexte"/>
            <w:noProof/>
            <w:color w:val="000000" w:themeColor="text1"/>
            <w:sz w:val="23"/>
            <w:szCs w:val="23"/>
            <w:lang w:val="fr-BE"/>
          </w:rPr>
          <w:t xml:space="preserve"> :</w:t>
        </w:r>
        <w:r w:rsidR="00E77604" w:rsidRPr="008D45CE">
          <w:rPr>
            <w:rStyle w:val="Lienhypertexte"/>
            <w:noProof/>
            <w:color w:val="000000" w:themeColor="text1"/>
            <w:sz w:val="23"/>
            <w:szCs w:val="23"/>
          </w:rPr>
          <w:t xml:space="preserve"> Indicateurs de suivi des dépenses de santé de la mère, de l'enfant, du nouveau-né et de l’adolescent</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_Toc483474517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47</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18" w:history="1">
        <w:r w:rsidR="00E77604" w:rsidRPr="008D45CE">
          <w:rPr>
            <w:rStyle w:val="Lienhypertexte"/>
            <w:noProof/>
            <w:color w:val="000000" w:themeColor="text1"/>
            <w:sz w:val="23"/>
            <w:szCs w:val="23"/>
          </w:rPr>
          <w:t>Tableau 1</w:t>
        </w:r>
        <w:r w:rsidR="00E77604" w:rsidRPr="008D45CE">
          <w:rPr>
            <w:rStyle w:val="Lienhypertexte"/>
            <w:noProof/>
            <w:color w:val="000000" w:themeColor="text1"/>
            <w:sz w:val="23"/>
            <w:szCs w:val="23"/>
            <w:lang w:val="fr-BE"/>
          </w:rPr>
          <w:t>8 :</w:t>
        </w:r>
        <w:r w:rsidR="00E77604" w:rsidRPr="008D45CE">
          <w:rPr>
            <w:rStyle w:val="Lienhypertexte"/>
            <w:noProof/>
            <w:color w:val="000000" w:themeColor="text1"/>
            <w:sz w:val="23"/>
            <w:szCs w:val="23"/>
          </w:rPr>
          <w:t xml:space="preserve"> Financement de la lutte contre le Paludisme en 2015</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_Toc483474518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48</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19" w:history="1">
        <w:r w:rsidR="00E77604" w:rsidRPr="008D45CE">
          <w:rPr>
            <w:rStyle w:val="Lienhypertexte"/>
            <w:noProof/>
            <w:color w:val="000000" w:themeColor="text1"/>
            <w:sz w:val="23"/>
            <w:szCs w:val="23"/>
          </w:rPr>
          <w:t xml:space="preserve">Tableau </w:t>
        </w:r>
        <w:r w:rsidR="00E77604" w:rsidRPr="008D45CE">
          <w:rPr>
            <w:rStyle w:val="Lienhypertexte"/>
            <w:noProof/>
            <w:color w:val="000000" w:themeColor="text1"/>
            <w:sz w:val="23"/>
            <w:szCs w:val="23"/>
            <w:lang w:val="fr-BE"/>
          </w:rPr>
          <w:t>19 : Financement de la</w:t>
        </w:r>
        <w:r w:rsidR="00E77604" w:rsidRPr="008D45CE">
          <w:rPr>
            <w:rStyle w:val="Lienhypertexte"/>
            <w:noProof/>
            <w:color w:val="000000" w:themeColor="text1"/>
            <w:sz w:val="23"/>
            <w:szCs w:val="23"/>
          </w:rPr>
          <w:t xml:space="preserve"> lutte contre la Tuberculose en 2015</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_Toc483474519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49</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20" w:history="1">
        <w:r w:rsidR="00E77604" w:rsidRPr="008D45CE">
          <w:rPr>
            <w:rStyle w:val="Lienhypertexte"/>
            <w:noProof/>
            <w:color w:val="000000" w:themeColor="text1"/>
            <w:sz w:val="23"/>
            <w:szCs w:val="23"/>
          </w:rPr>
          <w:t>Tableau 20</w:t>
        </w:r>
        <w:r w:rsidR="00E77604" w:rsidRPr="008D45CE">
          <w:rPr>
            <w:rStyle w:val="Lienhypertexte"/>
            <w:noProof/>
            <w:color w:val="000000" w:themeColor="text1"/>
            <w:sz w:val="23"/>
            <w:szCs w:val="23"/>
            <w:lang w:val="fr-BE"/>
          </w:rPr>
          <w:t xml:space="preserve"> :</w:t>
        </w:r>
        <w:r w:rsidR="00E77604" w:rsidRPr="008D45CE">
          <w:rPr>
            <w:rStyle w:val="Lienhypertexte"/>
            <w:noProof/>
            <w:color w:val="000000" w:themeColor="text1"/>
            <w:sz w:val="23"/>
            <w:szCs w:val="23"/>
          </w:rPr>
          <w:t xml:space="preserve"> Financement de la contrepartie du Gouvernement dans la lutte contre le VIH/SIDA et les MST, en 2015</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_Toc483474520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49</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21" w:history="1">
        <w:r w:rsidR="00E77604" w:rsidRPr="008D45CE">
          <w:rPr>
            <w:rStyle w:val="Lienhypertexte"/>
            <w:rFonts w:eastAsia="Calibri"/>
            <w:noProof/>
            <w:color w:val="000000" w:themeColor="text1"/>
            <w:sz w:val="23"/>
            <w:szCs w:val="23"/>
          </w:rPr>
          <w:t>Tableau 21. Evolution de la DCS par Province et source de financement de la santé de 2011 à 2015</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_Toc483474521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51</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22" w:history="1">
        <w:r w:rsidR="00E77604" w:rsidRPr="008D45CE">
          <w:rPr>
            <w:rStyle w:val="Lienhypertexte"/>
            <w:noProof/>
            <w:color w:val="000000" w:themeColor="text1"/>
            <w:sz w:val="23"/>
            <w:szCs w:val="23"/>
          </w:rPr>
          <w:t xml:space="preserve">Tableau </w:t>
        </w:r>
        <w:r w:rsidR="00E77604" w:rsidRPr="008D45CE">
          <w:rPr>
            <w:rStyle w:val="Lienhypertexte"/>
            <w:noProof/>
            <w:color w:val="000000" w:themeColor="text1"/>
            <w:sz w:val="23"/>
            <w:szCs w:val="23"/>
            <w:lang w:val="fr-CD"/>
          </w:rPr>
          <w:t xml:space="preserve">22 </w:t>
        </w:r>
        <w:r w:rsidR="00E77604" w:rsidRPr="008D45CE">
          <w:rPr>
            <w:rStyle w:val="Lienhypertexte"/>
            <w:noProof/>
            <w:color w:val="000000" w:themeColor="text1"/>
            <w:sz w:val="23"/>
            <w:szCs w:val="23"/>
            <w:lang w:val="fr-BE"/>
          </w:rPr>
          <w:t>:</w:t>
        </w:r>
        <w:r w:rsidR="00E77604" w:rsidRPr="008D45CE">
          <w:rPr>
            <w:rStyle w:val="Lienhypertexte"/>
            <w:noProof/>
            <w:color w:val="000000" w:themeColor="text1"/>
            <w:sz w:val="23"/>
            <w:szCs w:val="23"/>
          </w:rPr>
          <w:t xml:space="preserve"> Evolution du budget global et du budget alloué au secteur de la santé en </w:t>
        </w:r>
        <w:r w:rsidR="00F94EA5" w:rsidRPr="008D45CE">
          <w:rPr>
            <w:rStyle w:val="Lienhypertexte"/>
            <w:noProof/>
            <w:color w:val="000000" w:themeColor="text1"/>
            <w:sz w:val="23"/>
            <w:szCs w:val="23"/>
          </w:rPr>
          <w:t>COG</w:t>
        </w:r>
        <w:r w:rsidR="00E77604" w:rsidRPr="008D45CE">
          <w:rPr>
            <w:rStyle w:val="Lienhypertexte"/>
            <w:noProof/>
            <w:color w:val="000000" w:themeColor="text1"/>
            <w:sz w:val="23"/>
            <w:szCs w:val="23"/>
          </w:rPr>
          <w:t xml:space="preserve">  de 2003 à 2015 en CDF</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_Toc483474522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58</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23" w:history="1">
        <w:r w:rsidR="00E77604" w:rsidRPr="008D45CE">
          <w:rPr>
            <w:rStyle w:val="Lienhypertexte"/>
            <w:noProof/>
            <w:color w:val="000000" w:themeColor="text1"/>
            <w:sz w:val="23"/>
            <w:szCs w:val="23"/>
          </w:rPr>
          <w:t xml:space="preserve">Tableau </w:t>
        </w:r>
        <w:r w:rsidR="00E77604" w:rsidRPr="008D45CE">
          <w:rPr>
            <w:rStyle w:val="Lienhypertexte"/>
            <w:noProof/>
            <w:color w:val="000000" w:themeColor="text1"/>
            <w:sz w:val="23"/>
            <w:szCs w:val="23"/>
            <w:lang w:val="fr-CD"/>
          </w:rPr>
          <w:t>23 :</w:t>
        </w:r>
        <w:r w:rsidR="00E77604" w:rsidRPr="008D45CE">
          <w:rPr>
            <w:rStyle w:val="Lienhypertexte"/>
            <w:noProof/>
            <w:color w:val="000000" w:themeColor="text1"/>
            <w:sz w:val="23"/>
            <w:szCs w:val="23"/>
          </w:rPr>
          <w:t xml:space="preserve"> Sources de financement par régimes de financement en 2015 en </w:t>
        </w:r>
        <w:r w:rsidR="00B2646F" w:rsidRPr="008D45CE">
          <w:rPr>
            <w:rStyle w:val="Lienhypertexte"/>
            <w:noProof/>
            <w:color w:val="000000" w:themeColor="text1"/>
            <w:sz w:val="23"/>
            <w:szCs w:val="23"/>
          </w:rPr>
          <w:t>FCFA</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_Toc483474523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59</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24" w:history="1">
        <w:r w:rsidR="00E77604" w:rsidRPr="008D45CE">
          <w:rPr>
            <w:rStyle w:val="Lienhypertexte"/>
            <w:noProof/>
            <w:color w:val="000000" w:themeColor="text1"/>
            <w:sz w:val="23"/>
            <w:szCs w:val="23"/>
          </w:rPr>
          <w:t xml:space="preserve">Tableau </w:t>
        </w:r>
        <w:r w:rsidR="00E77604" w:rsidRPr="008D45CE">
          <w:rPr>
            <w:rStyle w:val="Lienhypertexte"/>
            <w:noProof/>
            <w:color w:val="000000" w:themeColor="text1"/>
            <w:sz w:val="23"/>
            <w:szCs w:val="23"/>
            <w:lang w:val="fr-CD"/>
          </w:rPr>
          <w:t xml:space="preserve">24 </w:t>
        </w:r>
        <w:r w:rsidR="00E77604" w:rsidRPr="008D45CE">
          <w:rPr>
            <w:rStyle w:val="Lienhypertexte"/>
            <w:noProof/>
            <w:color w:val="000000" w:themeColor="text1"/>
            <w:sz w:val="23"/>
            <w:szCs w:val="23"/>
            <w:lang w:val="fr-BE"/>
          </w:rPr>
          <w:t>:</w:t>
        </w:r>
        <w:r w:rsidR="00E77604" w:rsidRPr="008D45CE">
          <w:rPr>
            <w:rStyle w:val="Lienhypertexte"/>
            <w:noProof/>
            <w:color w:val="000000" w:themeColor="text1"/>
            <w:sz w:val="23"/>
            <w:szCs w:val="23"/>
          </w:rPr>
          <w:t xml:space="preserve"> Recettes des régimes de financement par agent de financement en 2015 (</w:t>
        </w:r>
        <w:r w:rsidR="00B2646F" w:rsidRPr="008D45CE">
          <w:rPr>
            <w:rStyle w:val="Lienhypertexte"/>
            <w:noProof/>
            <w:color w:val="000000" w:themeColor="text1"/>
            <w:sz w:val="23"/>
            <w:szCs w:val="23"/>
          </w:rPr>
          <w:t>FCFA</w:t>
        </w:r>
        <w:r w:rsidR="00E77604" w:rsidRPr="008D45CE">
          <w:rPr>
            <w:rStyle w:val="Lienhypertexte"/>
            <w:noProof/>
            <w:color w:val="000000" w:themeColor="text1"/>
            <w:sz w:val="23"/>
            <w:szCs w:val="23"/>
          </w:rPr>
          <w:t>)</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_Toc483474524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59</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25" w:history="1">
        <w:r w:rsidR="00E77604" w:rsidRPr="008D45CE">
          <w:rPr>
            <w:rStyle w:val="Lienhypertexte"/>
            <w:noProof/>
            <w:color w:val="000000" w:themeColor="text1"/>
            <w:sz w:val="23"/>
            <w:szCs w:val="23"/>
          </w:rPr>
          <w:t xml:space="preserve">Tableau </w:t>
        </w:r>
        <w:r w:rsidR="00E77604" w:rsidRPr="008D45CE">
          <w:rPr>
            <w:rStyle w:val="Lienhypertexte"/>
            <w:noProof/>
            <w:color w:val="000000" w:themeColor="text1"/>
            <w:sz w:val="23"/>
            <w:szCs w:val="23"/>
            <w:lang w:val="fr-CD"/>
          </w:rPr>
          <w:t>25 :</w:t>
        </w:r>
        <w:r w:rsidR="00E77604" w:rsidRPr="008D45CE">
          <w:rPr>
            <w:rStyle w:val="Lienhypertexte"/>
            <w:noProof/>
            <w:color w:val="000000" w:themeColor="text1"/>
            <w:sz w:val="23"/>
            <w:szCs w:val="23"/>
          </w:rPr>
          <w:t xml:space="preserve"> Agents de financement par régime de financement 2015 (</w:t>
        </w:r>
        <w:r w:rsidR="00B2646F" w:rsidRPr="008D45CE">
          <w:rPr>
            <w:rStyle w:val="Lienhypertexte"/>
            <w:noProof/>
            <w:color w:val="000000" w:themeColor="text1"/>
            <w:sz w:val="23"/>
            <w:szCs w:val="23"/>
          </w:rPr>
          <w:t>FCFA</w:t>
        </w:r>
        <w:r w:rsidR="00E77604" w:rsidRPr="008D45CE">
          <w:rPr>
            <w:rStyle w:val="Lienhypertexte"/>
            <w:noProof/>
            <w:color w:val="000000" w:themeColor="text1"/>
            <w:sz w:val="23"/>
            <w:szCs w:val="23"/>
          </w:rPr>
          <w:t>)</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_Toc483474525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60</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26" w:history="1">
        <w:r w:rsidR="00E77604" w:rsidRPr="008D45CE">
          <w:rPr>
            <w:rStyle w:val="Lienhypertexte"/>
            <w:noProof/>
            <w:color w:val="000000" w:themeColor="text1"/>
            <w:sz w:val="23"/>
            <w:szCs w:val="23"/>
          </w:rPr>
          <w:t xml:space="preserve">Tableau </w:t>
        </w:r>
        <w:r w:rsidR="00E77604" w:rsidRPr="008D45CE">
          <w:rPr>
            <w:rStyle w:val="Lienhypertexte"/>
            <w:noProof/>
            <w:color w:val="000000" w:themeColor="text1"/>
            <w:sz w:val="23"/>
            <w:szCs w:val="23"/>
            <w:lang w:val="fr-CD"/>
          </w:rPr>
          <w:t xml:space="preserve">26 </w:t>
        </w:r>
        <w:r w:rsidR="00E77604" w:rsidRPr="008D45CE">
          <w:rPr>
            <w:rStyle w:val="Lienhypertexte"/>
            <w:noProof/>
            <w:color w:val="000000" w:themeColor="text1"/>
            <w:sz w:val="23"/>
            <w:szCs w:val="23"/>
            <w:lang w:val="fr-BE"/>
          </w:rPr>
          <w:t>:</w:t>
        </w:r>
        <w:r w:rsidR="00E77604" w:rsidRPr="008D45CE">
          <w:rPr>
            <w:rStyle w:val="Lienhypertexte"/>
            <w:noProof/>
            <w:color w:val="000000" w:themeColor="text1"/>
            <w:sz w:val="23"/>
            <w:szCs w:val="23"/>
          </w:rPr>
          <w:t xml:space="preserve"> Agents de financement par prestataire de soins de santé en 2015 (</w:t>
        </w:r>
        <w:r w:rsidR="00B2646F" w:rsidRPr="008D45CE">
          <w:rPr>
            <w:rStyle w:val="Lienhypertexte"/>
            <w:noProof/>
            <w:color w:val="000000" w:themeColor="text1"/>
            <w:sz w:val="23"/>
            <w:szCs w:val="23"/>
          </w:rPr>
          <w:t>FCFA</w:t>
        </w:r>
        <w:r w:rsidR="00E77604" w:rsidRPr="008D45CE">
          <w:rPr>
            <w:rStyle w:val="Lienhypertexte"/>
            <w:noProof/>
            <w:color w:val="000000" w:themeColor="text1"/>
            <w:sz w:val="23"/>
            <w:szCs w:val="23"/>
          </w:rPr>
          <w:t>)</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_Toc483474526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60</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27" w:history="1">
        <w:r w:rsidR="00E77604" w:rsidRPr="008D45CE">
          <w:rPr>
            <w:rStyle w:val="Lienhypertexte"/>
            <w:noProof/>
            <w:color w:val="000000" w:themeColor="text1"/>
            <w:sz w:val="23"/>
            <w:szCs w:val="23"/>
          </w:rPr>
          <w:t xml:space="preserve">Tableau </w:t>
        </w:r>
        <w:r w:rsidR="00E77604" w:rsidRPr="008D45CE">
          <w:rPr>
            <w:rStyle w:val="Lienhypertexte"/>
            <w:noProof/>
            <w:color w:val="000000" w:themeColor="text1"/>
            <w:sz w:val="23"/>
            <w:szCs w:val="23"/>
            <w:lang w:val="fr-CD"/>
          </w:rPr>
          <w:t xml:space="preserve">27 </w:t>
        </w:r>
        <w:r w:rsidR="00E77604" w:rsidRPr="008D45CE">
          <w:rPr>
            <w:rStyle w:val="Lienhypertexte"/>
            <w:noProof/>
            <w:color w:val="000000" w:themeColor="text1"/>
            <w:sz w:val="23"/>
            <w:szCs w:val="23"/>
            <w:lang w:val="fr-BE"/>
          </w:rPr>
          <w:t>:</w:t>
        </w:r>
        <w:r w:rsidR="00E77604" w:rsidRPr="008D45CE">
          <w:rPr>
            <w:rStyle w:val="Lienhypertexte"/>
            <w:noProof/>
            <w:color w:val="000000" w:themeColor="text1"/>
            <w:sz w:val="23"/>
            <w:szCs w:val="23"/>
          </w:rPr>
          <w:t xml:space="preserve"> Prestataires</w:t>
        </w:r>
        <w:r w:rsidR="00686ADE" w:rsidRPr="008D45CE">
          <w:rPr>
            <w:rStyle w:val="Lienhypertexte"/>
            <w:noProof/>
            <w:color w:val="000000" w:themeColor="text1"/>
            <w:sz w:val="23"/>
            <w:szCs w:val="23"/>
          </w:rPr>
          <w:t xml:space="preserve"> de soins de santé par activité</w:t>
        </w:r>
        <w:r w:rsidR="00E77604" w:rsidRPr="008D45CE">
          <w:rPr>
            <w:rStyle w:val="Lienhypertexte"/>
            <w:noProof/>
            <w:color w:val="000000" w:themeColor="text1"/>
            <w:sz w:val="23"/>
            <w:szCs w:val="23"/>
          </w:rPr>
          <w:t xml:space="preserve"> en 2015 (</w:t>
        </w:r>
        <w:r w:rsidR="00B2646F" w:rsidRPr="008D45CE">
          <w:rPr>
            <w:rStyle w:val="Lienhypertexte"/>
            <w:noProof/>
            <w:color w:val="000000" w:themeColor="text1"/>
            <w:sz w:val="23"/>
            <w:szCs w:val="23"/>
          </w:rPr>
          <w:t>FCFA</w:t>
        </w:r>
        <w:r w:rsidR="00E77604" w:rsidRPr="008D45CE">
          <w:rPr>
            <w:rStyle w:val="Lienhypertexte"/>
            <w:noProof/>
            <w:color w:val="000000" w:themeColor="text1"/>
            <w:sz w:val="23"/>
            <w:szCs w:val="23"/>
          </w:rPr>
          <w:t>)</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_Toc483474527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61</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3"/>
          <w:szCs w:val="23"/>
          <w:lang w:eastAsia="fr-FR" w:bidi="ar-SA"/>
        </w:rPr>
      </w:pPr>
      <w:hyperlink w:anchor="_Toc483474528" w:history="1">
        <w:r w:rsidR="00E77604" w:rsidRPr="008D45CE">
          <w:rPr>
            <w:rStyle w:val="Lienhypertexte"/>
            <w:noProof/>
            <w:color w:val="000000" w:themeColor="text1"/>
            <w:sz w:val="23"/>
            <w:szCs w:val="23"/>
            <w:lang w:val="fr-CD"/>
          </w:rPr>
          <w:t>Tableau 28 : Distribution de la DCS par facteurs de prestation et par source de financement en 2015</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_Toc483474528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62</w:t>
        </w:r>
        <w:r w:rsidR="005B4D4B" w:rsidRPr="008D45CE">
          <w:rPr>
            <w:noProof/>
            <w:webHidden/>
            <w:color w:val="000000" w:themeColor="text1"/>
            <w:sz w:val="23"/>
            <w:szCs w:val="23"/>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529" w:history="1">
        <w:r w:rsidR="00E77604" w:rsidRPr="008D45CE">
          <w:rPr>
            <w:rStyle w:val="Lienhypertexte"/>
            <w:noProof/>
            <w:color w:val="000000" w:themeColor="text1"/>
            <w:sz w:val="23"/>
            <w:szCs w:val="23"/>
          </w:rPr>
          <w:t xml:space="preserve">Tableau </w:t>
        </w:r>
        <w:r w:rsidR="00E77604" w:rsidRPr="008D45CE">
          <w:rPr>
            <w:rStyle w:val="Lienhypertexte"/>
            <w:noProof/>
            <w:color w:val="000000" w:themeColor="text1"/>
            <w:sz w:val="23"/>
            <w:szCs w:val="23"/>
            <w:lang w:val="fr-BE"/>
          </w:rPr>
          <w:t>29 :</w:t>
        </w:r>
        <w:r w:rsidR="00E77604" w:rsidRPr="008D45CE">
          <w:rPr>
            <w:rStyle w:val="Lienhypertexte"/>
            <w:noProof/>
            <w:color w:val="000000" w:themeColor="text1"/>
            <w:sz w:val="23"/>
            <w:szCs w:val="23"/>
          </w:rPr>
          <w:t xml:space="preserve"> Répartition de la DCS par province de 2011 à 2015</w:t>
        </w:r>
        <w:r w:rsidR="00E77604" w:rsidRPr="008D45CE">
          <w:rPr>
            <w:noProof/>
            <w:webHidden/>
            <w:color w:val="000000" w:themeColor="text1"/>
            <w:sz w:val="23"/>
            <w:szCs w:val="23"/>
          </w:rPr>
          <w:tab/>
        </w:r>
        <w:r w:rsidR="005B4D4B" w:rsidRPr="008D45CE">
          <w:rPr>
            <w:noProof/>
            <w:webHidden/>
            <w:color w:val="000000" w:themeColor="text1"/>
            <w:sz w:val="23"/>
            <w:szCs w:val="23"/>
          </w:rPr>
          <w:fldChar w:fldCharType="begin"/>
        </w:r>
        <w:r w:rsidR="00E77604" w:rsidRPr="008D45CE">
          <w:rPr>
            <w:noProof/>
            <w:webHidden/>
            <w:color w:val="000000" w:themeColor="text1"/>
            <w:sz w:val="23"/>
            <w:szCs w:val="23"/>
          </w:rPr>
          <w:instrText xml:space="preserve"> PAGEREF _Toc483474529 \h </w:instrText>
        </w:r>
        <w:r w:rsidR="005B4D4B" w:rsidRPr="008D45CE">
          <w:rPr>
            <w:noProof/>
            <w:webHidden/>
            <w:color w:val="000000" w:themeColor="text1"/>
            <w:sz w:val="23"/>
            <w:szCs w:val="23"/>
          </w:rPr>
        </w:r>
        <w:r w:rsidR="005B4D4B" w:rsidRPr="008D45CE">
          <w:rPr>
            <w:noProof/>
            <w:webHidden/>
            <w:color w:val="000000" w:themeColor="text1"/>
            <w:sz w:val="23"/>
            <w:szCs w:val="23"/>
          </w:rPr>
          <w:fldChar w:fldCharType="separate"/>
        </w:r>
        <w:r w:rsidR="00AD4876" w:rsidRPr="008D45CE">
          <w:rPr>
            <w:noProof/>
            <w:webHidden/>
            <w:color w:val="000000" w:themeColor="text1"/>
            <w:sz w:val="23"/>
            <w:szCs w:val="23"/>
          </w:rPr>
          <w:t>63</w:t>
        </w:r>
        <w:r w:rsidR="005B4D4B" w:rsidRPr="008D45CE">
          <w:rPr>
            <w:noProof/>
            <w:webHidden/>
            <w:color w:val="000000" w:themeColor="text1"/>
            <w:sz w:val="23"/>
            <w:szCs w:val="23"/>
          </w:rPr>
          <w:fldChar w:fldCharType="end"/>
        </w:r>
      </w:hyperlink>
    </w:p>
    <w:p w:rsidR="00E77604" w:rsidRPr="008D45CE" w:rsidRDefault="005B4D4B" w:rsidP="00376EB9">
      <w:pPr>
        <w:pStyle w:val="Sansinterligne"/>
        <w:spacing w:line="360" w:lineRule="auto"/>
        <w:rPr>
          <w:rFonts w:ascii="Times New Roman" w:hAnsi="Times New Roman"/>
          <w:color w:val="000000" w:themeColor="text1"/>
          <w:lang w:val="fr-FR"/>
        </w:rPr>
      </w:pPr>
      <w:r w:rsidRPr="008D45CE">
        <w:rPr>
          <w:rFonts w:ascii="Times New Roman" w:hAnsi="Times New Roman"/>
          <w:color w:val="000000" w:themeColor="text1"/>
          <w:lang w:val="fr-FR"/>
        </w:rPr>
        <w:fldChar w:fldCharType="end"/>
      </w:r>
    </w:p>
    <w:p w:rsidR="00A10E04" w:rsidRPr="008D45CE" w:rsidRDefault="00E77604" w:rsidP="007526D5">
      <w:pPr>
        <w:spacing w:after="200" w:line="20" w:lineRule="atLeast"/>
        <w:rPr>
          <w:color w:val="000000" w:themeColor="text1"/>
        </w:rPr>
      </w:pPr>
      <w:r w:rsidRPr="008D45CE">
        <w:rPr>
          <w:color w:val="000000" w:themeColor="text1"/>
        </w:rPr>
        <w:br w:type="page"/>
      </w:r>
      <w:bookmarkStart w:id="19" w:name="_Toc465265924"/>
      <w:bookmarkStart w:id="20" w:name="_Toc483474584"/>
      <w:r w:rsidR="00A10E04" w:rsidRPr="008D45CE">
        <w:rPr>
          <w:color w:val="000000" w:themeColor="text1"/>
        </w:rPr>
        <w:lastRenderedPageBreak/>
        <w:t>LISTE DES FIGURES</w:t>
      </w:r>
      <w:bookmarkEnd w:id="19"/>
      <w:bookmarkEnd w:id="20"/>
    </w:p>
    <w:p w:rsidR="0069549E" w:rsidRPr="008D45CE" w:rsidRDefault="0069549E" w:rsidP="0069549E">
      <w:pPr>
        <w:rPr>
          <w:color w:val="000000" w:themeColor="text1"/>
        </w:rPr>
      </w:pPr>
    </w:p>
    <w:p w:rsidR="0069549E" w:rsidRPr="008D45CE" w:rsidRDefault="0069549E" w:rsidP="0069549E">
      <w:pPr>
        <w:rPr>
          <w:color w:val="000000" w:themeColor="text1"/>
        </w:rPr>
      </w:pPr>
    </w:p>
    <w:p w:rsidR="00E77604" w:rsidRPr="008D45CE" w:rsidRDefault="005B4D4B">
      <w:pPr>
        <w:pStyle w:val="TM1"/>
        <w:rPr>
          <w:rFonts w:eastAsiaTheme="minorEastAsia"/>
          <w:noProof/>
          <w:color w:val="000000" w:themeColor="text1"/>
          <w:sz w:val="22"/>
          <w:szCs w:val="22"/>
          <w:lang w:eastAsia="fr-FR" w:bidi="ar-SA"/>
        </w:rPr>
      </w:pPr>
      <w:r w:rsidRPr="008D45CE">
        <w:rPr>
          <w:color w:val="000000" w:themeColor="text1"/>
          <w:sz w:val="32"/>
          <w:szCs w:val="32"/>
          <w:lang w:eastAsia="fr-FR" w:bidi="ar-SA"/>
        </w:rPr>
        <w:fldChar w:fldCharType="begin"/>
      </w:r>
      <w:r w:rsidR="00A10E04" w:rsidRPr="008D45CE">
        <w:rPr>
          <w:color w:val="000000" w:themeColor="text1"/>
          <w:sz w:val="32"/>
          <w:szCs w:val="32"/>
          <w:lang w:eastAsia="fr-FR" w:bidi="ar-SA"/>
        </w:rPr>
        <w:instrText xml:space="preserve"> TOC \h \z \u \t "Titre 7;1" </w:instrText>
      </w:r>
      <w:r w:rsidRPr="008D45CE">
        <w:rPr>
          <w:color w:val="000000" w:themeColor="text1"/>
          <w:sz w:val="32"/>
          <w:szCs w:val="32"/>
          <w:lang w:eastAsia="fr-FR" w:bidi="ar-SA"/>
        </w:rPr>
        <w:fldChar w:fldCharType="separate"/>
      </w:r>
      <w:hyperlink w:anchor="_Toc483474483" w:history="1">
        <w:r w:rsidR="00E77604" w:rsidRPr="008D45CE">
          <w:rPr>
            <w:rStyle w:val="Lienhypertexte"/>
            <w:noProof/>
            <w:color w:val="000000" w:themeColor="text1"/>
          </w:rPr>
          <w:t>Figure 1: Schéma du cadre de financement du Système des Comptes de la Santé</w:t>
        </w:r>
        <w:r w:rsidR="00E77604" w:rsidRPr="008D45CE">
          <w:rPr>
            <w:noProof/>
            <w:webHidden/>
            <w:color w:val="000000" w:themeColor="text1"/>
          </w:rPr>
          <w:tab/>
        </w:r>
        <w:r w:rsidRPr="008D45CE">
          <w:rPr>
            <w:noProof/>
            <w:webHidden/>
            <w:color w:val="000000" w:themeColor="text1"/>
          </w:rPr>
          <w:fldChar w:fldCharType="begin"/>
        </w:r>
        <w:r w:rsidR="00E77604" w:rsidRPr="008D45CE">
          <w:rPr>
            <w:noProof/>
            <w:webHidden/>
            <w:color w:val="000000" w:themeColor="text1"/>
          </w:rPr>
          <w:instrText xml:space="preserve"> PAGEREF _Toc483474483 \h </w:instrText>
        </w:r>
        <w:r w:rsidRPr="008D45CE">
          <w:rPr>
            <w:noProof/>
            <w:webHidden/>
            <w:color w:val="000000" w:themeColor="text1"/>
          </w:rPr>
        </w:r>
        <w:r w:rsidRPr="008D45CE">
          <w:rPr>
            <w:noProof/>
            <w:webHidden/>
            <w:color w:val="000000" w:themeColor="text1"/>
          </w:rPr>
          <w:fldChar w:fldCharType="separate"/>
        </w:r>
        <w:r w:rsidR="00AD4876" w:rsidRPr="008D45CE">
          <w:rPr>
            <w:noProof/>
            <w:webHidden/>
            <w:color w:val="000000" w:themeColor="text1"/>
          </w:rPr>
          <w:t>23</w:t>
        </w:r>
        <w:r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484" w:history="1">
        <w:r w:rsidR="00E77604" w:rsidRPr="008D45CE">
          <w:rPr>
            <w:rStyle w:val="Lienhypertexte"/>
            <w:noProof/>
            <w:color w:val="000000" w:themeColor="text1"/>
          </w:rPr>
          <w:t>Figure 2 : Evolution du % du Budget de l’Etat alloué à l’Administration santé et le taux d’exécution de 2003 à 2015</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_Toc483474484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25</w:t>
        </w:r>
        <w:r w:rsidR="005B4D4B"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485" w:history="1">
        <w:r w:rsidR="00E77604" w:rsidRPr="008D45CE">
          <w:rPr>
            <w:rStyle w:val="Lienhypertexte"/>
            <w:noProof/>
            <w:color w:val="000000" w:themeColor="text1"/>
          </w:rPr>
          <w:t>Figure 3: Evolution du % du Budget de l’Etat alloué à l’Administration santé et % du Budget de l’Etat alloué               à la fonction santé par rapport au 15% d'Abuja de 2003 à 2015</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_Toc483474485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26</w:t>
        </w:r>
        <w:r w:rsidR="005B4D4B"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486" w:history="1">
        <w:r w:rsidR="00E77604" w:rsidRPr="008D45CE">
          <w:rPr>
            <w:rStyle w:val="Lienhypertexte"/>
            <w:noProof/>
            <w:color w:val="000000" w:themeColor="text1"/>
          </w:rPr>
          <w:t>Figure 4</w:t>
        </w:r>
        <w:r w:rsidR="00E77604" w:rsidRPr="008D45CE">
          <w:rPr>
            <w:rStyle w:val="Lienhypertexte"/>
            <w:noProof/>
            <w:color w:val="000000" w:themeColor="text1"/>
            <w:lang w:val="fr-BE"/>
          </w:rPr>
          <w:t>:</w:t>
        </w:r>
        <w:r w:rsidR="00E77604" w:rsidRPr="008D45CE">
          <w:rPr>
            <w:rStyle w:val="Lienhypertexte"/>
            <w:noProof/>
            <w:color w:val="000000" w:themeColor="text1"/>
          </w:rPr>
          <w:t xml:space="preserve"> Evolution de la part du financement de la santé par source de 2011 à 2015 </w:t>
        </w:r>
        <w:r w:rsidR="00F94EA5" w:rsidRPr="008D45CE">
          <w:rPr>
            <w:rStyle w:val="Lienhypertexte"/>
            <w:noProof/>
            <w:color w:val="000000" w:themeColor="text1"/>
          </w:rPr>
          <w:t>COG</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_Toc483474486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27</w:t>
        </w:r>
        <w:r w:rsidR="005B4D4B"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487" w:history="1">
        <w:r w:rsidR="00E77604" w:rsidRPr="008D45CE">
          <w:rPr>
            <w:rStyle w:val="Lienhypertexte"/>
            <w:noProof/>
            <w:color w:val="000000" w:themeColor="text1"/>
          </w:rPr>
          <w:t>Figure 5</w:t>
        </w:r>
        <w:r w:rsidR="00E77604" w:rsidRPr="008D45CE">
          <w:rPr>
            <w:rStyle w:val="Lienhypertexte"/>
            <w:noProof/>
            <w:color w:val="000000" w:themeColor="text1"/>
            <w:lang w:val="fr-BE"/>
          </w:rPr>
          <w:t>:</w:t>
        </w:r>
        <w:r w:rsidR="00E77604" w:rsidRPr="008D45CE">
          <w:rPr>
            <w:rStyle w:val="Lienhypertexte"/>
            <w:noProof/>
            <w:color w:val="000000" w:themeColor="text1"/>
          </w:rPr>
          <w:t xml:space="preserve"> Répartition de la dépense Courante de santé par Source de Financement en 2015</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_Toc483474487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30</w:t>
        </w:r>
        <w:r w:rsidR="005B4D4B"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488" w:history="1">
        <w:r w:rsidR="00E77604" w:rsidRPr="008D45CE">
          <w:rPr>
            <w:rStyle w:val="Lienhypertexte"/>
            <w:noProof/>
            <w:color w:val="000000" w:themeColor="text1"/>
          </w:rPr>
          <w:t>Figure  6 : Gestion du financement public par le MSP, autres services publics et la MESP et en 2015</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_Toc483474488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31</w:t>
        </w:r>
        <w:r w:rsidR="005B4D4B"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489" w:history="1">
        <w:r w:rsidR="00E77604" w:rsidRPr="008D45CE">
          <w:rPr>
            <w:rStyle w:val="Lienhypertexte"/>
            <w:noProof/>
            <w:color w:val="000000" w:themeColor="text1"/>
          </w:rPr>
          <w:t>Figure 7 : Distribution des Transferts d'origine étrangère dans le secteur de la santé en 2015</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_Toc483474489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32</w:t>
        </w:r>
        <w:r w:rsidR="005B4D4B"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490" w:history="1">
        <w:r w:rsidR="00E77604" w:rsidRPr="008D45CE">
          <w:rPr>
            <w:rStyle w:val="Lienhypertexte"/>
            <w:noProof/>
            <w:color w:val="000000" w:themeColor="text1"/>
          </w:rPr>
          <w:t>Figure 8 : Evolution du financement des Entreprises de 2011 à 2015</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_Toc483474490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34</w:t>
        </w:r>
        <w:r w:rsidR="005B4D4B"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491" w:history="1">
        <w:r w:rsidR="00E77604" w:rsidRPr="008D45CE">
          <w:rPr>
            <w:rStyle w:val="Lienhypertexte"/>
            <w:noProof/>
            <w:color w:val="000000" w:themeColor="text1"/>
          </w:rPr>
          <w:t>Figure 9</w:t>
        </w:r>
        <w:r w:rsidR="00E77604" w:rsidRPr="008D45CE">
          <w:rPr>
            <w:rStyle w:val="Lienhypertexte"/>
            <w:noProof/>
            <w:color w:val="000000" w:themeColor="text1"/>
            <w:lang w:val="fr-BE"/>
          </w:rPr>
          <w:t xml:space="preserve">: </w:t>
        </w:r>
        <w:r w:rsidR="00E77604" w:rsidRPr="008D45CE">
          <w:rPr>
            <w:rStyle w:val="Lienhypertexte"/>
            <w:noProof/>
            <w:color w:val="000000" w:themeColor="text1"/>
          </w:rPr>
          <w:t>Evolution du financement de la santé par les ONGs et les Fondations  nationales de 2011 à 2015</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_Toc483474491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34</w:t>
        </w:r>
        <w:r w:rsidR="005B4D4B"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492" w:history="1">
        <w:r w:rsidR="00E77604" w:rsidRPr="008D45CE">
          <w:rPr>
            <w:rStyle w:val="Lienhypertexte"/>
            <w:noProof/>
            <w:color w:val="000000" w:themeColor="text1"/>
          </w:rPr>
          <w:t>Figure 10 : Comparaison de l’affectation des ressources financières par niveau du système de santé entre le PNDS 2011-2015 et les résultats des CNS 2011-2015</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_Toc483474492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36</w:t>
        </w:r>
        <w:r w:rsidR="005B4D4B"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493" w:history="1">
        <w:r w:rsidR="00E77604" w:rsidRPr="008D45CE">
          <w:rPr>
            <w:rStyle w:val="Lienhypertexte"/>
            <w:noProof/>
            <w:color w:val="000000" w:themeColor="text1"/>
          </w:rPr>
          <w:t>Figure 11 : Fa</w:t>
        </w:r>
        <w:r w:rsidR="00BC7E2F" w:rsidRPr="008D45CE">
          <w:rPr>
            <w:rStyle w:val="Lienhypertexte"/>
            <w:noProof/>
            <w:color w:val="000000" w:themeColor="text1"/>
          </w:rPr>
          <w:t>cteurs de prestation par source</w:t>
        </w:r>
        <w:r w:rsidR="00E77604" w:rsidRPr="008D45CE">
          <w:rPr>
            <w:rStyle w:val="Lienhypertexte"/>
            <w:noProof/>
            <w:color w:val="000000" w:themeColor="text1"/>
          </w:rPr>
          <w:t xml:space="preserve"> de financement en 2015</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_Toc483474493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42</w:t>
        </w:r>
        <w:r w:rsidR="005B4D4B"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494" w:history="1">
        <w:r w:rsidR="00E77604" w:rsidRPr="008D45CE">
          <w:rPr>
            <w:rStyle w:val="Lienhypertexte"/>
            <w:noProof/>
            <w:color w:val="000000" w:themeColor="text1"/>
          </w:rPr>
          <w:t>Figure 12   Dépenses liées à la santé de la reproduction par source de financement en 2015.</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_Toc483474494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46</w:t>
        </w:r>
        <w:r w:rsidR="005B4D4B" w:rsidRPr="008D45CE">
          <w:rPr>
            <w:noProof/>
            <w:webHidden/>
            <w:color w:val="000000" w:themeColor="text1"/>
          </w:rPr>
          <w:fldChar w:fldCharType="end"/>
        </w:r>
      </w:hyperlink>
    </w:p>
    <w:p w:rsidR="00E77604" w:rsidRPr="008D45CE" w:rsidRDefault="008231F2">
      <w:pPr>
        <w:pStyle w:val="TM1"/>
        <w:rPr>
          <w:rFonts w:eastAsiaTheme="minorEastAsia"/>
          <w:noProof/>
          <w:color w:val="000000" w:themeColor="text1"/>
          <w:sz w:val="22"/>
          <w:szCs w:val="22"/>
          <w:lang w:eastAsia="fr-FR" w:bidi="ar-SA"/>
        </w:rPr>
      </w:pPr>
      <w:hyperlink w:anchor="_Toc483474495" w:history="1">
        <w:r w:rsidR="00E77604" w:rsidRPr="008D45CE">
          <w:rPr>
            <w:rStyle w:val="Lienhypertexte"/>
            <w:rFonts w:eastAsia="Calibri"/>
            <w:noProof/>
            <w:color w:val="000000" w:themeColor="text1"/>
          </w:rPr>
          <w:t>Figure 13. Dépenses courantes de santé per capita par province en 2015</w:t>
        </w:r>
        <w:r w:rsidR="00E77604" w:rsidRPr="008D45CE">
          <w:rPr>
            <w:noProof/>
            <w:webHidden/>
            <w:color w:val="000000" w:themeColor="text1"/>
          </w:rPr>
          <w:tab/>
        </w:r>
        <w:r w:rsidR="005B4D4B" w:rsidRPr="008D45CE">
          <w:rPr>
            <w:noProof/>
            <w:webHidden/>
            <w:color w:val="000000" w:themeColor="text1"/>
          </w:rPr>
          <w:fldChar w:fldCharType="begin"/>
        </w:r>
        <w:r w:rsidR="00E77604" w:rsidRPr="008D45CE">
          <w:rPr>
            <w:noProof/>
            <w:webHidden/>
            <w:color w:val="000000" w:themeColor="text1"/>
          </w:rPr>
          <w:instrText xml:space="preserve"> PAGEREF _Toc483474495 \h </w:instrText>
        </w:r>
        <w:r w:rsidR="005B4D4B" w:rsidRPr="008D45CE">
          <w:rPr>
            <w:noProof/>
            <w:webHidden/>
            <w:color w:val="000000" w:themeColor="text1"/>
          </w:rPr>
        </w:r>
        <w:r w:rsidR="005B4D4B" w:rsidRPr="008D45CE">
          <w:rPr>
            <w:noProof/>
            <w:webHidden/>
            <w:color w:val="000000" w:themeColor="text1"/>
          </w:rPr>
          <w:fldChar w:fldCharType="separate"/>
        </w:r>
        <w:r w:rsidR="00AD4876" w:rsidRPr="008D45CE">
          <w:rPr>
            <w:noProof/>
            <w:webHidden/>
            <w:color w:val="000000" w:themeColor="text1"/>
          </w:rPr>
          <w:t>52</w:t>
        </w:r>
        <w:r w:rsidR="005B4D4B" w:rsidRPr="008D45CE">
          <w:rPr>
            <w:noProof/>
            <w:webHidden/>
            <w:color w:val="000000" w:themeColor="text1"/>
          </w:rPr>
          <w:fldChar w:fldCharType="end"/>
        </w:r>
      </w:hyperlink>
    </w:p>
    <w:p w:rsidR="00A10E04" w:rsidRPr="008D45CE" w:rsidRDefault="005B4D4B" w:rsidP="00A401E9">
      <w:pPr>
        <w:rPr>
          <w:color w:val="000000" w:themeColor="text1"/>
        </w:rPr>
      </w:pPr>
      <w:r w:rsidRPr="008D45CE">
        <w:rPr>
          <w:color w:val="000000" w:themeColor="text1"/>
          <w:sz w:val="32"/>
          <w:szCs w:val="32"/>
          <w:lang w:eastAsia="fr-FR" w:bidi="ar-SA"/>
        </w:rPr>
        <w:fldChar w:fldCharType="end"/>
      </w:r>
    </w:p>
    <w:p w:rsidR="00A10E04" w:rsidRPr="008D45CE" w:rsidRDefault="00A10E04" w:rsidP="00A401E9">
      <w:pPr>
        <w:pStyle w:val="Style2"/>
        <w:rPr>
          <w:color w:val="000000" w:themeColor="text1"/>
        </w:rPr>
      </w:pPr>
    </w:p>
    <w:p w:rsidR="00A10E04" w:rsidRPr="008D45CE" w:rsidRDefault="005B4D4B" w:rsidP="00A401E9">
      <w:pPr>
        <w:pStyle w:val="Style2"/>
        <w:rPr>
          <w:noProof/>
          <w:color w:val="000000" w:themeColor="text1"/>
          <w:sz w:val="22"/>
          <w:szCs w:val="22"/>
          <w:lang w:eastAsia="fr-FR" w:bidi="ar-SA"/>
        </w:rPr>
      </w:pPr>
      <w:r w:rsidRPr="008D45CE">
        <w:rPr>
          <w:color w:val="000000" w:themeColor="text1"/>
        </w:rPr>
        <w:fldChar w:fldCharType="begin"/>
      </w:r>
      <w:r w:rsidR="00A10E04" w:rsidRPr="008D45CE">
        <w:rPr>
          <w:color w:val="000000" w:themeColor="text1"/>
        </w:rPr>
        <w:instrText xml:space="preserve"> TOC \h \z \c "Figure" </w:instrText>
      </w:r>
      <w:r w:rsidRPr="008D45CE">
        <w:rPr>
          <w:color w:val="000000" w:themeColor="text1"/>
        </w:rPr>
        <w:fldChar w:fldCharType="separate"/>
      </w:r>
    </w:p>
    <w:p w:rsidR="00A10E04" w:rsidRPr="008D45CE" w:rsidRDefault="00A10E04" w:rsidP="00A401E9">
      <w:pPr>
        <w:pStyle w:val="Tabledesillustrations"/>
        <w:tabs>
          <w:tab w:val="right" w:leader="dot" w:pos="8918"/>
        </w:tabs>
        <w:rPr>
          <w:noProof/>
          <w:color w:val="000000" w:themeColor="text1"/>
          <w:sz w:val="22"/>
          <w:szCs w:val="22"/>
          <w:lang w:eastAsia="fr-FR" w:bidi="ar-SA"/>
        </w:rPr>
      </w:pPr>
    </w:p>
    <w:p w:rsidR="00A10E04" w:rsidRPr="008D45CE" w:rsidRDefault="005B4D4B" w:rsidP="00A401E9">
      <w:pPr>
        <w:pStyle w:val="Sansinterligne"/>
        <w:spacing w:line="360" w:lineRule="auto"/>
        <w:ind w:left="720"/>
        <w:rPr>
          <w:rFonts w:ascii="Times New Roman" w:hAnsi="Times New Roman"/>
          <w:color w:val="000000" w:themeColor="text1"/>
          <w:sz w:val="24"/>
          <w:szCs w:val="24"/>
          <w:lang w:val="fr-FR"/>
        </w:rPr>
      </w:pPr>
      <w:r w:rsidRPr="008D45CE">
        <w:rPr>
          <w:rFonts w:ascii="Times New Roman" w:eastAsia="Times New Roman" w:hAnsi="Times New Roman"/>
          <w:color w:val="000000" w:themeColor="text1"/>
          <w:sz w:val="24"/>
          <w:szCs w:val="24"/>
          <w:lang w:val="fr-FR"/>
        </w:rPr>
        <w:fldChar w:fldCharType="end"/>
      </w:r>
    </w:p>
    <w:p w:rsidR="00A10E04" w:rsidRPr="008D45CE" w:rsidRDefault="00A10E04" w:rsidP="00A401E9">
      <w:pPr>
        <w:pStyle w:val="Sansinterligne"/>
        <w:spacing w:line="360" w:lineRule="auto"/>
        <w:ind w:left="720"/>
        <w:rPr>
          <w:rFonts w:ascii="Times New Roman" w:hAnsi="Times New Roman"/>
          <w:color w:val="000000" w:themeColor="text1"/>
          <w:sz w:val="24"/>
          <w:szCs w:val="24"/>
          <w:lang w:val="fr-FR"/>
        </w:rPr>
      </w:pPr>
    </w:p>
    <w:p w:rsidR="00A10E04" w:rsidRPr="008D45CE" w:rsidRDefault="00A10E04" w:rsidP="00A401E9">
      <w:pPr>
        <w:pStyle w:val="Sansinterligne"/>
        <w:spacing w:line="360" w:lineRule="auto"/>
        <w:ind w:left="720"/>
        <w:rPr>
          <w:rFonts w:ascii="Times New Roman" w:hAnsi="Times New Roman"/>
          <w:color w:val="000000" w:themeColor="text1"/>
          <w:sz w:val="24"/>
          <w:szCs w:val="24"/>
          <w:lang w:val="fr-FR"/>
        </w:rPr>
      </w:pPr>
    </w:p>
    <w:p w:rsidR="00A10E04" w:rsidRPr="008D45CE" w:rsidRDefault="00A10E04" w:rsidP="00A401E9">
      <w:pPr>
        <w:pStyle w:val="Sansinterligne"/>
        <w:spacing w:line="360" w:lineRule="auto"/>
        <w:rPr>
          <w:rFonts w:ascii="Times New Roman" w:hAnsi="Times New Roman"/>
          <w:color w:val="000000" w:themeColor="text1"/>
          <w:sz w:val="24"/>
          <w:szCs w:val="24"/>
          <w:lang w:val="fr-FR"/>
        </w:rPr>
      </w:pPr>
    </w:p>
    <w:p w:rsidR="00A10E04" w:rsidRPr="008D45CE" w:rsidRDefault="00A10E04" w:rsidP="00A401E9">
      <w:pPr>
        <w:pStyle w:val="Sansinterligne"/>
        <w:spacing w:line="360" w:lineRule="auto"/>
        <w:rPr>
          <w:rFonts w:ascii="Times New Roman" w:hAnsi="Times New Roman"/>
          <w:color w:val="000000" w:themeColor="text1"/>
          <w:sz w:val="24"/>
          <w:szCs w:val="24"/>
          <w:lang w:val="fr-FR"/>
        </w:rPr>
      </w:pPr>
    </w:p>
    <w:p w:rsidR="00A10E04" w:rsidRPr="008D45CE" w:rsidRDefault="00A10E04" w:rsidP="00A401E9">
      <w:pPr>
        <w:pStyle w:val="Sansinterligne"/>
        <w:spacing w:line="360" w:lineRule="auto"/>
        <w:rPr>
          <w:rFonts w:ascii="Times New Roman" w:hAnsi="Times New Roman"/>
          <w:color w:val="000000" w:themeColor="text1"/>
          <w:sz w:val="24"/>
          <w:szCs w:val="24"/>
          <w:lang w:val="fr-FR"/>
        </w:rPr>
      </w:pPr>
    </w:p>
    <w:p w:rsidR="00A10E04" w:rsidRPr="008D45CE" w:rsidRDefault="00A10E04" w:rsidP="00A401E9">
      <w:pPr>
        <w:pStyle w:val="Sansinterligne"/>
        <w:spacing w:line="360" w:lineRule="auto"/>
        <w:rPr>
          <w:rFonts w:ascii="Times New Roman" w:hAnsi="Times New Roman"/>
          <w:color w:val="000000" w:themeColor="text1"/>
          <w:sz w:val="24"/>
          <w:szCs w:val="24"/>
          <w:lang w:val="fr-FR"/>
        </w:rPr>
      </w:pPr>
    </w:p>
    <w:p w:rsidR="00A10E04" w:rsidRPr="008D45CE" w:rsidRDefault="00A10E04" w:rsidP="00A401E9">
      <w:pPr>
        <w:pStyle w:val="Sansinterligne"/>
        <w:spacing w:line="360" w:lineRule="auto"/>
        <w:rPr>
          <w:rFonts w:ascii="Times New Roman" w:hAnsi="Times New Roman"/>
          <w:color w:val="000000" w:themeColor="text1"/>
          <w:sz w:val="24"/>
          <w:szCs w:val="24"/>
          <w:lang w:val="fr-FR"/>
        </w:rPr>
      </w:pPr>
    </w:p>
    <w:p w:rsidR="00A10E04" w:rsidRPr="008D45CE" w:rsidRDefault="00A10E04" w:rsidP="00A401E9">
      <w:pPr>
        <w:pStyle w:val="Sansinterligne"/>
        <w:spacing w:line="360" w:lineRule="auto"/>
        <w:rPr>
          <w:rFonts w:ascii="Times New Roman" w:hAnsi="Times New Roman"/>
          <w:color w:val="000000" w:themeColor="text1"/>
          <w:sz w:val="24"/>
          <w:szCs w:val="24"/>
          <w:lang w:val="fr-FR"/>
        </w:rPr>
      </w:pPr>
    </w:p>
    <w:p w:rsidR="00A10E04" w:rsidRPr="008D45CE" w:rsidRDefault="00A10E04" w:rsidP="00A401E9">
      <w:pPr>
        <w:pStyle w:val="Sansinterligne"/>
        <w:spacing w:line="360" w:lineRule="auto"/>
        <w:rPr>
          <w:rFonts w:ascii="Times New Roman" w:hAnsi="Times New Roman"/>
          <w:color w:val="000000" w:themeColor="text1"/>
          <w:sz w:val="24"/>
          <w:szCs w:val="24"/>
          <w:lang w:val="fr-FR"/>
        </w:rPr>
      </w:pPr>
    </w:p>
    <w:p w:rsidR="0069549E" w:rsidRPr="008D45CE" w:rsidRDefault="00A10E04" w:rsidP="00893A62">
      <w:pPr>
        <w:pStyle w:val="Style2"/>
        <w:jc w:val="center"/>
        <w:rPr>
          <w:b/>
          <w:i/>
          <w:color w:val="000000" w:themeColor="text1"/>
        </w:rPr>
      </w:pPr>
      <w:r w:rsidRPr="008D45CE">
        <w:rPr>
          <w:color w:val="000000" w:themeColor="text1"/>
        </w:rPr>
        <w:br w:type="page"/>
      </w:r>
      <w:r w:rsidR="00B2646F" w:rsidRPr="008D45CE">
        <w:rPr>
          <w:b/>
          <w:bCs/>
          <w:color w:val="000000" w:themeColor="text1"/>
          <w:sz w:val="36"/>
          <w:szCs w:val="36"/>
        </w:rPr>
        <w:lastRenderedPageBreak/>
        <w:t>SIGLES ET ABREVIATIONS</w:t>
      </w:r>
    </w:p>
    <w:p w:rsidR="00376EB9" w:rsidRPr="008D45CE" w:rsidRDefault="00376EB9" w:rsidP="00893A62">
      <w:pPr>
        <w:pStyle w:val="Style2"/>
        <w:jc w:val="center"/>
        <w:rPr>
          <w:b/>
          <w:i/>
          <w:color w:val="000000" w:themeColor="text1"/>
          <w:sz w:val="20"/>
          <w:szCs w:val="20"/>
        </w:rPr>
      </w:pP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ACT</w:t>
      </w:r>
      <w:r w:rsidRPr="008D45CE">
        <w:rPr>
          <w:color w:val="000000" w:themeColor="text1"/>
          <w:sz w:val="20"/>
          <w:szCs w:val="20"/>
          <w:lang w:eastAsia="fr-FR"/>
        </w:rPr>
        <w:tab/>
        <w:t>Combinaison thérapeutique à base d’artémisinine</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ARV</w:t>
      </w:r>
      <w:r w:rsidRPr="008D45CE">
        <w:rPr>
          <w:color w:val="000000" w:themeColor="text1"/>
          <w:sz w:val="20"/>
          <w:szCs w:val="20"/>
          <w:lang w:eastAsia="fr-FR"/>
        </w:rPr>
        <w:tab/>
        <w:t>Anti Rétroviraux</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CDMT</w:t>
      </w:r>
      <w:r w:rsidRPr="008D45CE">
        <w:rPr>
          <w:color w:val="000000" w:themeColor="text1"/>
          <w:sz w:val="20"/>
          <w:szCs w:val="20"/>
          <w:lang w:eastAsia="fr-FR"/>
        </w:rPr>
        <w:tab/>
        <w:t>Cadre des Dépenses à Moyen Terme</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CHU</w:t>
      </w:r>
      <w:r w:rsidRPr="008D45CE">
        <w:rPr>
          <w:color w:val="000000" w:themeColor="text1"/>
          <w:sz w:val="20"/>
          <w:szCs w:val="20"/>
          <w:lang w:eastAsia="fr-FR"/>
        </w:rPr>
        <w:tab/>
        <w:t>Centre Hospitalier Universitaire</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CNPS</w:t>
      </w:r>
      <w:r w:rsidRPr="008D45CE">
        <w:rPr>
          <w:color w:val="000000" w:themeColor="text1"/>
          <w:sz w:val="20"/>
          <w:szCs w:val="20"/>
          <w:lang w:eastAsia="fr-FR"/>
        </w:rPr>
        <w:tab/>
        <w:t>Caisse Nationale de Prévoyance Sociale</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CNS</w:t>
      </w:r>
      <w:r w:rsidRPr="008D45CE">
        <w:rPr>
          <w:color w:val="000000" w:themeColor="text1"/>
          <w:sz w:val="20"/>
          <w:szCs w:val="20"/>
          <w:lang w:eastAsia="fr-FR"/>
        </w:rPr>
        <w:tab/>
        <w:t>Comptes Nationaux de la Santé</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CNSEE</w:t>
      </w:r>
      <w:r w:rsidRPr="008D45CE">
        <w:rPr>
          <w:color w:val="000000" w:themeColor="text1"/>
          <w:sz w:val="20"/>
          <w:szCs w:val="20"/>
          <w:lang w:eastAsia="fr-FR"/>
        </w:rPr>
        <w:tab/>
        <w:t>Centre National de Statistiques et d’Etudes Economiques</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COGES.</w:t>
      </w:r>
      <w:r w:rsidRPr="008D45CE">
        <w:rPr>
          <w:color w:val="000000" w:themeColor="text1"/>
          <w:sz w:val="20"/>
          <w:szCs w:val="20"/>
          <w:lang w:eastAsia="fr-FR"/>
        </w:rPr>
        <w:tab/>
        <w:t>Comité de Gestion</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COMEG</w:t>
      </w:r>
      <w:r w:rsidRPr="008D45CE">
        <w:rPr>
          <w:color w:val="000000" w:themeColor="text1"/>
          <w:sz w:val="20"/>
          <w:szCs w:val="20"/>
          <w:lang w:eastAsia="fr-FR"/>
        </w:rPr>
        <w:tab/>
        <w:t>Congolaise de Médicament Essentiels et Génériques</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COSA</w:t>
      </w:r>
      <w:r w:rsidRPr="008D45CE">
        <w:rPr>
          <w:color w:val="000000" w:themeColor="text1"/>
          <w:sz w:val="20"/>
          <w:szCs w:val="20"/>
          <w:lang w:eastAsia="fr-FR"/>
        </w:rPr>
        <w:tab/>
        <w:t>Comité de Santé</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CPN</w:t>
      </w:r>
      <w:r w:rsidRPr="008D45CE">
        <w:rPr>
          <w:color w:val="000000" w:themeColor="text1"/>
          <w:sz w:val="20"/>
          <w:szCs w:val="20"/>
          <w:lang w:eastAsia="fr-FR"/>
        </w:rPr>
        <w:tab/>
        <w:t>Consultation Prénatale</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CSI</w:t>
      </w:r>
      <w:r w:rsidRPr="008D45CE">
        <w:rPr>
          <w:color w:val="000000" w:themeColor="text1"/>
          <w:sz w:val="20"/>
          <w:szCs w:val="20"/>
          <w:lang w:eastAsia="fr-FR"/>
        </w:rPr>
        <w:tab/>
        <w:t>Centre de Santé Intégré</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CSS</w:t>
      </w:r>
      <w:r w:rsidRPr="008D45CE">
        <w:rPr>
          <w:color w:val="000000" w:themeColor="text1"/>
          <w:sz w:val="20"/>
          <w:szCs w:val="20"/>
          <w:lang w:eastAsia="fr-FR"/>
        </w:rPr>
        <w:tab/>
        <w:t>Circonscription Socio Sanitaire</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DDS</w:t>
      </w:r>
      <w:r w:rsidRPr="008D45CE">
        <w:rPr>
          <w:color w:val="000000" w:themeColor="text1"/>
          <w:sz w:val="20"/>
          <w:szCs w:val="20"/>
          <w:lang w:eastAsia="fr-FR"/>
        </w:rPr>
        <w:tab/>
        <w:t>Direction Départementale de la Santé</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DEP</w:t>
      </w:r>
      <w:r w:rsidRPr="008D45CE">
        <w:rPr>
          <w:color w:val="000000" w:themeColor="text1"/>
          <w:sz w:val="20"/>
          <w:szCs w:val="20"/>
          <w:lang w:eastAsia="fr-FR"/>
        </w:rPr>
        <w:tab/>
        <w:t>Direction des Etudes et de la Planification</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DGB</w:t>
      </w:r>
      <w:r w:rsidRPr="008D45CE">
        <w:rPr>
          <w:color w:val="000000" w:themeColor="text1"/>
          <w:sz w:val="20"/>
          <w:szCs w:val="20"/>
          <w:lang w:eastAsia="fr-FR"/>
        </w:rPr>
        <w:tab/>
        <w:t>Direction Générale du Budget/ Ministère des Finances-du Budget et du Portefeuille public</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DGE</w:t>
      </w:r>
      <w:r w:rsidRPr="008D45CE">
        <w:rPr>
          <w:color w:val="000000" w:themeColor="text1"/>
          <w:sz w:val="20"/>
          <w:szCs w:val="20"/>
          <w:lang w:eastAsia="fr-FR"/>
        </w:rPr>
        <w:tab/>
        <w:t>Direction Générale de l’Economie/ Ministère de l’Economie, du Plan, de l’Aménagement du territoire et de l’Intégration</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DGS</w:t>
      </w:r>
      <w:r w:rsidRPr="008D45CE">
        <w:rPr>
          <w:color w:val="000000" w:themeColor="text1"/>
          <w:sz w:val="20"/>
          <w:szCs w:val="20"/>
          <w:lang w:eastAsia="fr-FR"/>
        </w:rPr>
        <w:tab/>
        <w:t>Direction Générale de la Santé / Ministère de la Santé</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DNS</w:t>
      </w:r>
      <w:r w:rsidRPr="008D45CE">
        <w:rPr>
          <w:color w:val="000000" w:themeColor="text1"/>
          <w:sz w:val="20"/>
          <w:szCs w:val="20"/>
          <w:lang w:eastAsia="fr-FR"/>
        </w:rPr>
        <w:tab/>
        <w:t>Dépense Nationale de Santé</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DRF</w:t>
      </w:r>
      <w:r w:rsidRPr="008D45CE">
        <w:rPr>
          <w:color w:val="000000" w:themeColor="text1"/>
          <w:sz w:val="20"/>
          <w:szCs w:val="20"/>
          <w:lang w:eastAsia="fr-FR"/>
        </w:rPr>
        <w:tab/>
        <w:t>Direction des Ressources Financières / Ministère de la Santé</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DSCERP</w:t>
      </w:r>
      <w:r w:rsidRPr="008D45CE">
        <w:rPr>
          <w:color w:val="000000" w:themeColor="text1"/>
          <w:sz w:val="20"/>
          <w:szCs w:val="20"/>
          <w:lang w:eastAsia="fr-FR"/>
        </w:rPr>
        <w:tab/>
        <w:t>Document de Stratégie pour la Croissance, l’Emploi et la Réduction de la Pauvreté</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DSIR</w:t>
      </w:r>
      <w:r w:rsidRPr="008D45CE">
        <w:rPr>
          <w:color w:val="000000" w:themeColor="text1"/>
          <w:sz w:val="20"/>
          <w:szCs w:val="20"/>
          <w:lang w:eastAsia="fr-FR"/>
        </w:rPr>
        <w:tab/>
        <w:t>Direction du Système d’Information et de la Recherche / Ministère de la Santé</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DSRP.</w:t>
      </w:r>
      <w:r w:rsidRPr="008D45CE">
        <w:rPr>
          <w:color w:val="000000" w:themeColor="text1"/>
          <w:sz w:val="20"/>
          <w:szCs w:val="20"/>
          <w:lang w:eastAsia="fr-FR"/>
        </w:rPr>
        <w:tab/>
        <w:t>Documents Stratégiques de Réduction de la Pauvreté du Congo</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DSS</w:t>
      </w:r>
      <w:r w:rsidRPr="008D45CE">
        <w:rPr>
          <w:color w:val="000000" w:themeColor="text1"/>
          <w:sz w:val="20"/>
          <w:szCs w:val="20"/>
          <w:lang w:eastAsia="fr-FR"/>
        </w:rPr>
        <w:tab/>
        <w:t>Direction des Services Sanitaires / DGS/ Ministère de la Santé</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ECOM</w:t>
      </w:r>
      <w:r w:rsidRPr="008D45CE">
        <w:rPr>
          <w:color w:val="000000" w:themeColor="text1"/>
          <w:sz w:val="20"/>
          <w:szCs w:val="20"/>
          <w:lang w:eastAsia="fr-FR"/>
        </w:rPr>
        <w:tab/>
        <w:t>Enquête Congolaise auprès des Ménages</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EDS</w:t>
      </w:r>
      <w:r w:rsidRPr="008D45CE">
        <w:rPr>
          <w:color w:val="000000" w:themeColor="text1"/>
          <w:sz w:val="20"/>
          <w:szCs w:val="20"/>
          <w:lang w:eastAsia="fr-FR"/>
        </w:rPr>
        <w:tab/>
        <w:t>Enquête Démographique et de Santé</w:t>
      </w:r>
    </w:p>
    <w:p w:rsidR="00B2646F" w:rsidRPr="008D45CE" w:rsidRDefault="00B2646F" w:rsidP="00F94EA5">
      <w:pPr>
        <w:pStyle w:val="Style2"/>
        <w:ind w:left="1560" w:hanging="1560"/>
        <w:rPr>
          <w:color w:val="000000" w:themeColor="text1"/>
          <w:sz w:val="20"/>
          <w:szCs w:val="20"/>
          <w:lang w:eastAsia="fr-FR"/>
        </w:rPr>
      </w:pPr>
      <w:r w:rsidRPr="008D45CE">
        <w:rPr>
          <w:color w:val="000000" w:themeColor="text1"/>
          <w:sz w:val="20"/>
          <w:szCs w:val="20"/>
          <w:lang w:eastAsia="fr-FR"/>
        </w:rPr>
        <w:t>GAR</w:t>
      </w:r>
      <w:r w:rsidR="00F94EA5" w:rsidRPr="008D45CE">
        <w:rPr>
          <w:color w:val="000000" w:themeColor="text1"/>
          <w:sz w:val="20"/>
          <w:szCs w:val="20"/>
          <w:lang w:eastAsia="fr-FR"/>
        </w:rPr>
        <w:tab/>
      </w:r>
      <w:r w:rsidRPr="008D45CE">
        <w:rPr>
          <w:color w:val="000000" w:themeColor="text1"/>
          <w:sz w:val="20"/>
          <w:szCs w:val="20"/>
          <w:lang w:eastAsia="fr-FR"/>
        </w:rPr>
        <w:t>Gestion Axée sur les Résultats</w:t>
      </w:r>
    </w:p>
    <w:p w:rsidR="00F94EA5" w:rsidRPr="00AB4855" w:rsidRDefault="00F94EA5" w:rsidP="00F94EA5">
      <w:pPr>
        <w:pStyle w:val="Style2"/>
        <w:ind w:left="1560" w:hanging="1560"/>
        <w:rPr>
          <w:color w:val="000000" w:themeColor="text1"/>
          <w:sz w:val="20"/>
          <w:szCs w:val="20"/>
          <w:lang w:val="en-US" w:eastAsia="fr-FR"/>
        </w:rPr>
      </w:pPr>
      <w:r w:rsidRPr="00AB4855">
        <w:rPr>
          <w:color w:val="000000" w:themeColor="text1"/>
          <w:sz w:val="20"/>
          <w:szCs w:val="20"/>
          <w:lang w:val="en-US" w:eastAsia="fr-FR"/>
        </w:rPr>
        <w:t>HAAT</w:t>
      </w:r>
      <w:r w:rsidRPr="00AB4855">
        <w:rPr>
          <w:color w:val="000000" w:themeColor="text1"/>
          <w:sz w:val="20"/>
          <w:szCs w:val="20"/>
          <w:lang w:val="en-US" w:eastAsia="fr-FR"/>
        </w:rPr>
        <w:tab/>
        <w:t xml:space="preserve">Health Analyze Account Tool </w:t>
      </w:r>
    </w:p>
    <w:p w:rsidR="00F94EA5" w:rsidRPr="00AB4855" w:rsidRDefault="00F94EA5" w:rsidP="00F94EA5">
      <w:pPr>
        <w:pStyle w:val="Style2"/>
        <w:ind w:left="1560" w:hanging="1560"/>
        <w:rPr>
          <w:color w:val="000000" w:themeColor="text1"/>
          <w:sz w:val="20"/>
          <w:szCs w:val="20"/>
          <w:lang w:val="en-US" w:eastAsia="fr-FR"/>
        </w:rPr>
      </w:pPr>
      <w:r w:rsidRPr="00AB4855">
        <w:rPr>
          <w:color w:val="000000" w:themeColor="text1"/>
          <w:sz w:val="20"/>
          <w:szCs w:val="20"/>
          <w:lang w:val="en-US" w:eastAsia="fr-FR"/>
        </w:rPr>
        <w:t>HAPT</w:t>
      </w:r>
      <w:r w:rsidRPr="00AB4855">
        <w:rPr>
          <w:color w:val="000000" w:themeColor="text1"/>
          <w:sz w:val="20"/>
          <w:szCs w:val="20"/>
          <w:lang w:val="en-US" w:eastAsia="fr-FR"/>
        </w:rPr>
        <w:tab/>
        <w:t>Health Account Product Tool</w:t>
      </w:r>
    </w:p>
    <w:p w:rsidR="002E4382" w:rsidRPr="008D45CE" w:rsidRDefault="00B2646F" w:rsidP="00F94EA5">
      <w:pPr>
        <w:pStyle w:val="Style2"/>
        <w:ind w:left="1560" w:hanging="1560"/>
        <w:rPr>
          <w:color w:val="000000" w:themeColor="text1"/>
          <w:sz w:val="20"/>
          <w:szCs w:val="20"/>
          <w:lang w:eastAsia="fr-FR"/>
        </w:rPr>
      </w:pPr>
      <w:r w:rsidRPr="008D45CE">
        <w:rPr>
          <w:color w:val="000000" w:themeColor="text1"/>
          <w:sz w:val="20"/>
          <w:szCs w:val="20"/>
          <w:lang w:eastAsia="fr-FR"/>
        </w:rPr>
        <w:t>HR</w:t>
      </w:r>
      <w:r w:rsidR="00F94EA5" w:rsidRPr="008D45CE">
        <w:rPr>
          <w:color w:val="000000" w:themeColor="text1"/>
          <w:sz w:val="20"/>
          <w:szCs w:val="20"/>
          <w:lang w:eastAsia="fr-FR"/>
        </w:rPr>
        <w:tab/>
      </w:r>
      <w:r w:rsidRPr="008D45CE">
        <w:rPr>
          <w:color w:val="000000" w:themeColor="text1"/>
          <w:sz w:val="20"/>
          <w:szCs w:val="20"/>
          <w:lang w:eastAsia="fr-FR"/>
        </w:rPr>
        <w:t>Hôpitaux de référence</w:t>
      </w:r>
    </w:p>
    <w:p w:rsidR="00B2646F" w:rsidRPr="008D45CE" w:rsidRDefault="00B2646F" w:rsidP="00F94EA5">
      <w:pPr>
        <w:pStyle w:val="Style2"/>
        <w:ind w:left="1560" w:hanging="1560"/>
        <w:rPr>
          <w:color w:val="000000" w:themeColor="text1"/>
          <w:sz w:val="20"/>
          <w:szCs w:val="20"/>
          <w:lang w:eastAsia="fr-FR"/>
        </w:rPr>
      </w:pPr>
      <w:r w:rsidRPr="008D45CE">
        <w:rPr>
          <w:color w:val="000000" w:themeColor="text1"/>
          <w:sz w:val="20"/>
          <w:szCs w:val="20"/>
          <w:lang w:eastAsia="fr-FR"/>
        </w:rPr>
        <w:t>H1R</w:t>
      </w:r>
      <w:r w:rsidR="00F94EA5" w:rsidRPr="008D45CE">
        <w:rPr>
          <w:color w:val="000000" w:themeColor="text1"/>
          <w:sz w:val="20"/>
          <w:szCs w:val="20"/>
          <w:lang w:eastAsia="fr-FR"/>
        </w:rPr>
        <w:tab/>
      </w:r>
      <w:r w:rsidRPr="008D45CE">
        <w:rPr>
          <w:color w:val="000000" w:themeColor="text1"/>
          <w:sz w:val="20"/>
          <w:szCs w:val="20"/>
          <w:lang w:eastAsia="fr-FR"/>
        </w:rPr>
        <w:t>Hôpitaux de 1ère référence</w:t>
      </w:r>
    </w:p>
    <w:p w:rsidR="00B2646F" w:rsidRPr="008D45CE" w:rsidRDefault="00B2646F" w:rsidP="00F94EA5">
      <w:pPr>
        <w:pStyle w:val="Style2"/>
        <w:ind w:left="1560" w:hanging="1560"/>
        <w:rPr>
          <w:color w:val="000000" w:themeColor="text1"/>
          <w:sz w:val="20"/>
          <w:szCs w:val="20"/>
          <w:lang w:eastAsia="fr-FR"/>
        </w:rPr>
      </w:pPr>
      <w:r w:rsidRPr="008D45CE">
        <w:rPr>
          <w:color w:val="000000" w:themeColor="text1"/>
          <w:sz w:val="20"/>
          <w:szCs w:val="20"/>
          <w:lang w:eastAsia="fr-FR"/>
        </w:rPr>
        <w:t>H2R</w:t>
      </w:r>
      <w:r w:rsidR="00F94EA5" w:rsidRPr="008D45CE">
        <w:rPr>
          <w:color w:val="000000" w:themeColor="text1"/>
          <w:sz w:val="20"/>
          <w:szCs w:val="20"/>
          <w:lang w:eastAsia="fr-FR"/>
        </w:rPr>
        <w:tab/>
      </w:r>
      <w:r w:rsidRPr="008D45CE">
        <w:rPr>
          <w:color w:val="000000" w:themeColor="text1"/>
          <w:sz w:val="20"/>
          <w:szCs w:val="20"/>
          <w:lang w:eastAsia="fr-FR"/>
        </w:rPr>
        <w:t>Hôpitaux de 2ème référence</w:t>
      </w:r>
    </w:p>
    <w:p w:rsidR="00B2646F" w:rsidRPr="008D45CE" w:rsidRDefault="00B2646F" w:rsidP="00F94EA5">
      <w:pPr>
        <w:pStyle w:val="Style2"/>
        <w:ind w:left="1560" w:hanging="1560"/>
        <w:rPr>
          <w:color w:val="000000" w:themeColor="text1"/>
          <w:sz w:val="20"/>
          <w:szCs w:val="20"/>
          <w:lang w:eastAsia="fr-FR"/>
        </w:rPr>
      </w:pPr>
      <w:r w:rsidRPr="008D45CE">
        <w:rPr>
          <w:color w:val="000000" w:themeColor="text1"/>
          <w:sz w:val="20"/>
          <w:szCs w:val="20"/>
          <w:lang w:eastAsia="fr-FR"/>
        </w:rPr>
        <w:t>MSP</w:t>
      </w:r>
      <w:r w:rsidR="00F94EA5" w:rsidRPr="008D45CE">
        <w:rPr>
          <w:color w:val="000000" w:themeColor="text1"/>
          <w:sz w:val="20"/>
          <w:szCs w:val="20"/>
          <w:lang w:eastAsia="fr-FR"/>
        </w:rPr>
        <w:tab/>
      </w:r>
      <w:r w:rsidR="005016A8">
        <w:rPr>
          <w:color w:val="000000" w:themeColor="text1"/>
          <w:sz w:val="20"/>
          <w:szCs w:val="20"/>
          <w:lang w:eastAsia="fr-FR"/>
        </w:rPr>
        <w:t>Ministère de la Santé et de la Population</w:t>
      </w:r>
    </w:p>
    <w:p w:rsidR="00B2646F" w:rsidRDefault="00F94EA5" w:rsidP="00F94EA5">
      <w:pPr>
        <w:pStyle w:val="Style2"/>
        <w:ind w:left="1560" w:hanging="1560"/>
        <w:rPr>
          <w:color w:val="000000" w:themeColor="text1"/>
          <w:sz w:val="20"/>
          <w:szCs w:val="20"/>
          <w:lang w:eastAsia="fr-FR"/>
        </w:rPr>
      </w:pPr>
      <w:r w:rsidRPr="008D45CE">
        <w:rPr>
          <w:color w:val="000000" w:themeColor="text1"/>
          <w:sz w:val="20"/>
          <w:szCs w:val="20"/>
          <w:lang w:eastAsia="fr-FR"/>
        </w:rPr>
        <w:t>OMD.</w:t>
      </w:r>
      <w:r w:rsidRPr="008D45CE">
        <w:rPr>
          <w:color w:val="000000" w:themeColor="text1"/>
          <w:sz w:val="20"/>
          <w:szCs w:val="20"/>
          <w:lang w:eastAsia="fr-FR"/>
        </w:rPr>
        <w:tab/>
      </w:r>
      <w:r w:rsidR="00B2646F" w:rsidRPr="008D45CE">
        <w:rPr>
          <w:color w:val="000000" w:themeColor="text1"/>
          <w:sz w:val="20"/>
          <w:szCs w:val="20"/>
          <w:lang w:eastAsia="fr-FR"/>
        </w:rPr>
        <w:t>Objectifs du Millénaire pour le développement</w:t>
      </w:r>
    </w:p>
    <w:p w:rsidR="005016A8" w:rsidRPr="008D45CE" w:rsidRDefault="005016A8" w:rsidP="00F94EA5">
      <w:pPr>
        <w:pStyle w:val="Style2"/>
        <w:ind w:left="1560" w:hanging="1560"/>
        <w:rPr>
          <w:color w:val="000000" w:themeColor="text1"/>
          <w:sz w:val="20"/>
          <w:szCs w:val="20"/>
          <w:lang w:eastAsia="fr-FR"/>
        </w:rPr>
      </w:pPr>
      <w:r>
        <w:rPr>
          <w:color w:val="000000" w:themeColor="text1"/>
          <w:sz w:val="20"/>
          <w:szCs w:val="20"/>
          <w:lang w:eastAsia="fr-FR"/>
        </w:rPr>
        <w:t>ODD</w:t>
      </w:r>
      <w:r>
        <w:rPr>
          <w:color w:val="000000" w:themeColor="text1"/>
          <w:sz w:val="20"/>
          <w:szCs w:val="20"/>
          <w:lang w:eastAsia="fr-FR"/>
        </w:rPr>
        <w:tab/>
        <w:t>Objectifs de développement durable</w:t>
      </w:r>
    </w:p>
    <w:p w:rsidR="00B2646F" w:rsidRPr="008D45CE" w:rsidRDefault="00F94EA5" w:rsidP="00F94EA5">
      <w:pPr>
        <w:pStyle w:val="Style2"/>
        <w:ind w:left="1560" w:hanging="1560"/>
        <w:rPr>
          <w:color w:val="000000" w:themeColor="text1"/>
          <w:sz w:val="20"/>
          <w:szCs w:val="20"/>
          <w:lang w:eastAsia="fr-FR"/>
        </w:rPr>
      </w:pPr>
      <w:r w:rsidRPr="008D45CE">
        <w:rPr>
          <w:color w:val="000000" w:themeColor="text1"/>
          <w:sz w:val="20"/>
          <w:szCs w:val="20"/>
          <w:lang w:eastAsia="fr-FR"/>
        </w:rPr>
        <w:t>OMS.</w:t>
      </w:r>
      <w:r w:rsidRPr="008D45CE">
        <w:rPr>
          <w:color w:val="000000" w:themeColor="text1"/>
          <w:sz w:val="20"/>
          <w:szCs w:val="20"/>
          <w:lang w:eastAsia="fr-FR"/>
        </w:rPr>
        <w:tab/>
      </w:r>
      <w:r w:rsidR="00B2646F" w:rsidRPr="008D45CE">
        <w:rPr>
          <w:color w:val="000000" w:themeColor="text1"/>
          <w:sz w:val="20"/>
          <w:szCs w:val="20"/>
          <w:lang w:eastAsia="fr-FR"/>
        </w:rPr>
        <w:t>Organisation Mondiale de la Santé</w:t>
      </w:r>
    </w:p>
    <w:p w:rsidR="00B2646F" w:rsidRPr="008D45CE" w:rsidRDefault="00B2646F" w:rsidP="00F94EA5">
      <w:pPr>
        <w:pStyle w:val="Style2"/>
        <w:ind w:left="1560" w:hanging="1560"/>
        <w:rPr>
          <w:color w:val="000000" w:themeColor="text1"/>
          <w:sz w:val="20"/>
          <w:szCs w:val="20"/>
          <w:lang w:eastAsia="fr-FR"/>
        </w:rPr>
      </w:pPr>
      <w:r w:rsidRPr="008D45CE">
        <w:rPr>
          <w:color w:val="000000" w:themeColor="text1"/>
          <w:sz w:val="20"/>
          <w:szCs w:val="20"/>
          <w:lang w:eastAsia="fr-FR"/>
        </w:rPr>
        <w:t>ONG</w:t>
      </w:r>
      <w:r w:rsidR="00F94EA5" w:rsidRPr="008D45CE">
        <w:rPr>
          <w:color w:val="000000" w:themeColor="text1"/>
          <w:sz w:val="20"/>
          <w:szCs w:val="20"/>
          <w:lang w:eastAsia="fr-FR"/>
        </w:rPr>
        <w:tab/>
      </w:r>
      <w:r w:rsidRPr="008D45CE">
        <w:rPr>
          <w:color w:val="000000" w:themeColor="text1"/>
          <w:sz w:val="20"/>
          <w:szCs w:val="20"/>
          <w:lang w:eastAsia="fr-FR"/>
        </w:rPr>
        <w:t>Organisation Non Gouvernementale</w:t>
      </w:r>
    </w:p>
    <w:p w:rsidR="00B2646F" w:rsidRPr="008D45CE" w:rsidRDefault="00B2646F" w:rsidP="00F94EA5">
      <w:pPr>
        <w:pStyle w:val="Style2"/>
        <w:ind w:left="1560" w:hanging="1560"/>
        <w:rPr>
          <w:color w:val="000000" w:themeColor="text1"/>
          <w:sz w:val="20"/>
          <w:szCs w:val="20"/>
          <w:lang w:eastAsia="fr-FR"/>
        </w:rPr>
      </w:pPr>
      <w:r w:rsidRPr="008D45CE">
        <w:rPr>
          <w:color w:val="000000" w:themeColor="text1"/>
          <w:sz w:val="20"/>
          <w:szCs w:val="20"/>
          <w:lang w:eastAsia="fr-FR"/>
        </w:rPr>
        <w:t>PBF</w:t>
      </w:r>
      <w:r w:rsidR="00F94EA5" w:rsidRPr="008D45CE">
        <w:rPr>
          <w:color w:val="000000" w:themeColor="text1"/>
          <w:sz w:val="20"/>
          <w:szCs w:val="20"/>
          <w:lang w:eastAsia="fr-FR"/>
        </w:rPr>
        <w:tab/>
      </w:r>
      <w:r w:rsidRPr="008D45CE">
        <w:rPr>
          <w:color w:val="000000" w:themeColor="text1"/>
          <w:sz w:val="20"/>
          <w:szCs w:val="20"/>
          <w:lang w:eastAsia="fr-FR"/>
        </w:rPr>
        <w:t>Basé sur la Performance</w:t>
      </w:r>
    </w:p>
    <w:p w:rsidR="00B2646F" w:rsidRPr="008D45CE" w:rsidRDefault="00B2646F" w:rsidP="00F94EA5">
      <w:pPr>
        <w:pStyle w:val="Style2"/>
        <w:ind w:left="1560" w:hanging="1560"/>
        <w:rPr>
          <w:color w:val="000000" w:themeColor="text1"/>
          <w:sz w:val="20"/>
          <w:szCs w:val="20"/>
          <w:lang w:eastAsia="fr-FR"/>
        </w:rPr>
      </w:pPr>
      <w:r w:rsidRPr="008D45CE">
        <w:rPr>
          <w:color w:val="000000" w:themeColor="text1"/>
          <w:sz w:val="20"/>
          <w:szCs w:val="20"/>
          <w:lang w:eastAsia="fr-FR"/>
        </w:rPr>
        <w:lastRenderedPageBreak/>
        <w:t>PDSS</w:t>
      </w:r>
      <w:r w:rsidR="00F94EA5" w:rsidRPr="008D45CE">
        <w:rPr>
          <w:color w:val="000000" w:themeColor="text1"/>
          <w:sz w:val="20"/>
          <w:szCs w:val="20"/>
          <w:lang w:eastAsia="fr-FR"/>
        </w:rPr>
        <w:tab/>
      </w:r>
      <w:r w:rsidRPr="008D45CE">
        <w:rPr>
          <w:color w:val="000000" w:themeColor="text1"/>
          <w:sz w:val="20"/>
          <w:szCs w:val="20"/>
          <w:lang w:eastAsia="fr-FR"/>
        </w:rPr>
        <w:t>Programme de Développement des Services de Santé</w:t>
      </w:r>
    </w:p>
    <w:p w:rsidR="00B2646F" w:rsidRPr="0057150A" w:rsidRDefault="00B2646F" w:rsidP="00F94EA5">
      <w:pPr>
        <w:pStyle w:val="Style2"/>
        <w:ind w:left="1560" w:hanging="1560"/>
        <w:rPr>
          <w:color w:val="000000" w:themeColor="text1"/>
          <w:sz w:val="20"/>
          <w:szCs w:val="20"/>
          <w:lang w:eastAsia="fr-FR"/>
        </w:rPr>
      </w:pPr>
      <w:r w:rsidRPr="0057150A">
        <w:rPr>
          <w:color w:val="000000" w:themeColor="text1"/>
          <w:sz w:val="20"/>
          <w:szCs w:val="20"/>
          <w:lang w:eastAsia="fr-FR"/>
        </w:rPr>
        <w:t>PETS</w:t>
      </w:r>
      <w:r w:rsidR="00F94EA5" w:rsidRPr="0057150A">
        <w:rPr>
          <w:color w:val="000000" w:themeColor="text1"/>
          <w:sz w:val="20"/>
          <w:szCs w:val="20"/>
          <w:lang w:eastAsia="fr-FR"/>
        </w:rPr>
        <w:tab/>
      </w:r>
      <w:r w:rsidRPr="0057150A">
        <w:rPr>
          <w:color w:val="000000" w:themeColor="text1"/>
          <w:sz w:val="20"/>
          <w:szCs w:val="20"/>
          <w:lang w:eastAsia="fr-FR"/>
        </w:rPr>
        <w:t>Public Expenditure Tracking Survey</w:t>
      </w:r>
    </w:p>
    <w:p w:rsidR="00B2646F" w:rsidRPr="008D45CE" w:rsidRDefault="00B2646F" w:rsidP="00F94EA5">
      <w:pPr>
        <w:pStyle w:val="Style2"/>
        <w:ind w:left="1560" w:hanging="1560"/>
        <w:rPr>
          <w:color w:val="000000" w:themeColor="text1"/>
          <w:sz w:val="20"/>
          <w:szCs w:val="20"/>
          <w:lang w:eastAsia="fr-FR"/>
        </w:rPr>
      </w:pPr>
      <w:r w:rsidRPr="008D45CE">
        <w:rPr>
          <w:color w:val="000000" w:themeColor="text1"/>
          <w:sz w:val="20"/>
          <w:szCs w:val="20"/>
          <w:lang w:eastAsia="fr-FR"/>
        </w:rPr>
        <w:t>PIB</w:t>
      </w:r>
      <w:r w:rsidR="00F94EA5" w:rsidRPr="008D45CE">
        <w:rPr>
          <w:color w:val="000000" w:themeColor="text1"/>
          <w:sz w:val="20"/>
          <w:szCs w:val="20"/>
          <w:lang w:eastAsia="fr-FR"/>
        </w:rPr>
        <w:tab/>
      </w:r>
      <w:r w:rsidRPr="008D45CE">
        <w:rPr>
          <w:color w:val="000000" w:themeColor="text1"/>
          <w:sz w:val="20"/>
          <w:szCs w:val="20"/>
          <w:lang w:eastAsia="fr-FR"/>
        </w:rPr>
        <w:t>Produit Intérieur Brut</w:t>
      </w:r>
    </w:p>
    <w:p w:rsidR="00B2646F" w:rsidRPr="008D45CE" w:rsidRDefault="00B2646F" w:rsidP="00F94EA5">
      <w:pPr>
        <w:pStyle w:val="Style2"/>
        <w:ind w:left="1560" w:hanging="1560"/>
        <w:rPr>
          <w:color w:val="000000" w:themeColor="text1"/>
          <w:sz w:val="20"/>
          <w:szCs w:val="20"/>
          <w:lang w:eastAsia="fr-FR"/>
        </w:rPr>
      </w:pPr>
      <w:r w:rsidRPr="008D45CE">
        <w:rPr>
          <w:color w:val="000000" w:themeColor="text1"/>
          <w:sz w:val="20"/>
          <w:szCs w:val="20"/>
          <w:lang w:eastAsia="fr-FR"/>
        </w:rPr>
        <w:t>PNB</w:t>
      </w:r>
      <w:r w:rsidR="00F94EA5" w:rsidRPr="008D45CE">
        <w:rPr>
          <w:color w:val="000000" w:themeColor="text1"/>
          <w:sz w:val="20"/>
          <w:szCs w:val="20"/>
          <w:lang w:eastAsia="fr-FR"/>
        </w:rPr>
        <w:tab/>
      </w:r>
      <w:r w:rsidRPr="008D45CE">
        <w:rPr>
          <w:color w:val="000000" w:themeColor="text1"/>
          <w:sz w:val="20"/>
          <w:szCs w:val="20"/>
          <w:lang w:eastAsia="fr-FR"/>
        </w:rPr>
        <w:t>Produit National Brut</w:t>
      </w:r>
    </w:p>
    <w:p w:rsidR="00B2646F" w:rsidRPr="0057150A" w:rsidRDefault="00B2646F" w:rsidP="00F94EA5">
      <w:pPr>
        <w:pStyle w:val="Style2"/>
        <w:ind w:left="1560" w:hanging="1560"/>
        <w:rPr>
          <w:color w:val="000000" w:themeColor="text1"/>
          <w:sz w:val="20"/>
          <w:szCs w:val="20"/>
          <w:lang w:eastAsia="fr-FR"/>
        </w:rPr>
      </w:pPr>
      <w:r w:rsidRPr="0057150A">
        <w:rPr>
          <w:color w:val="000000" w:themeColor="text1"/>
          <w:sz w:val="20"/>
          <w:szCs w:val="20"/>
          <w:lang w:eastAsia="fr-FR"/>
        </w:rPr>
        <w:t>PNUD</w:t>
      </w:r>
      <w:r w:rsidR="00F94EA5" w:rsidRPr="0057150A">
        <w:rPr>
          <w:color w:val="000000" w:themeColor="text1"/>
          <w:sz w:val="20"/>
          <w:szCs w:val="20"/>
          <w:lang w:eastAsia="fr-FR"/>
        </w:rPr>
        <w:tab/>
      </w:r>
      <w:r w:rsidRPr="0057150A">
        <w:rPr>
          <w:color w:val="000000" w:themeColor="text1"/>
          <w:sz w:val="20"/>
          <w:szCs w:val="20"/>
          <w:lang w:eastAsia="fr-FR"/>
        </w:rPr>
        <w:t>Programme des Nations Unis pour le Développement</w:t>
      </w:r>
    </w:p>
    <w:p w:rsidR="00F94EA5" w:rsidRPr="0057150A" w:rsidRDefault="00F94EA5" w:rsidP="00F94EA5">
      <w:pPr>
        <w:pStyle w:val="Style2"/>
        <w:ind w:left="1560" w:hanging="1560"/>
        <w:rPr>
          <w:color w:val="000000" w:themeColor="text1"/>
          <w:sz w:val="20"/>
          <w:szCs w:val="20"/>
          <w:lang w:eastAsia="fr-FR"/>
        </w:rPr>
      </w:pPr>
      <w:r w:rsidRPr="0057150A">
        <w:rPr>
          <w:color w:val="000000" w:themeColor="text1"/>
          <w:sz w:val="20"/>
          <w:szCs w:val="20"/>
          <w:lang w:eastAsia="fr-FR"/>
        </w:rPr>
        <w:t>PNDS</w:t>
      </w:r>
      <w:r w:rsidRPr="0057150A">
        <w:rPr>
          <w:color w:val="000000" w:themeColor="text1"/>
          <w:sz w:val="20"/>
          <w:szCs w:val="20"/>
          <w:lang w:eastAsia="fr-FR"/>
        </w:rPr>
        <w:tab/>
        <w:t xml:space="preserve">Plan National de Développement Sanitaire </w:t>
      </w:r>
    </w:p>
    <w:p w:rsidR="00F94EA5" w:rsidRPr="0057150A" w:rsidRDefault="00F94EA5" w:rsidP="00F94EA5">
      <w:pPr>
        <w:pStyle w:val="Style2"/>
        <w:ind w:left="1560" w:hanging="1560"/>
        <w:rPr>
          <w:color w:val="000000" w:themeColor="text1"/>
          <w:sz w:val="20"/>
          <w:szCs w:val="20"/>
          <w:lang w:eastAsia="fr-FR"/>
        </w:rPr>
      </w:pPr>
      <w:r w:rsidRPr="0057150A">
        <w:rPr>
          <w:color w:val="000000" w:themeColor="text1"/>
          <w:sz w:val="20"/>
          <w:szCs w:val="20"/>
          <w:lang w:eastAsia="fr-FR"/>
        </w:rPr>
        <w:t>PNLP</w:t>
      </w:r>
      <w:r w:rsidRPr="0057150A">
        <w:rPr>
          <w:color w:val="000000" w:themeColor="text1"/>
          <w:sz w:val="20"/>
          <w:szCs w:val="20"/>
          <w:lang w:eastAsia="fr-FR"/>
        </w:rPr>
        <w:tab/>
        <w:t>Programme National de Lutte contre le Paludisme</w:t>
      </w:r>
    </w:p>
    <w:p w:rsidR="00F94EA5" w:rsidRPr="0057150A" w:rsidRDefault="00F94EA5" w:rsidP="00F94EA5">
      <w:pPr>
        <w:pStyle w:val="Style2"/>
        <w:ind w:left="1560" w:hanging="1560"/>
        <w:rPr>
          <w:color w:val="000000" w:themeColor="text1"/>
          <w:sz w:val="20"/>
          <w:szCs w:val="20"/>
          <w:lang w:eastAsia="fr-FR"/>
        </w:rPr>
      </w:pPr>
      <w:r w:rsidRPr="0057150A">
        <w:rPr>
          <w:color w:val="000000" w:themeColor="text1"/>
          <w:sz w:val="20"/>
          <w:szCs w:val="20"/>
          <w:lang w:eastAsia="fr-FR"/>
        </w:rPr>
        <w:t>PNLS</w:t>
      </w:r>
      <w:r w:rsidRPr="0057150A">
        <w:rPr>
          <w:color w:val="000000" w:themeColor="text1"/>
          <w:sz w:val="20"/>
          <w:szCs w:val="20"/>
          <w:lang w:eastAsia="fr-FR"/>
        </w:rPr>
        <w:tab/>
        <w:t>Programme National de Lutte contre le Sida</w:t>
      </w:r>
    </w:p>
    <w:p w:rsidR="00F94EA5" w:rsidRPr="0057150A" w:rsidRDefault="00F94EA5" w:rsidP="00F94EA5">
      <w:pPr>
        <w:pStyle w:val="Style2"/>
        <w:ind w:left="1560" w:hanging="1560"/>
        <w:rPr>
          <w:color w:val="000000" w:themeColor="text1"/>
          <w:sz w:val="20"/>
          <w:szCs w:val="20"/>
          <w:lang w:eastAsia="fr-FR"/>
        </w:rPr>
      </w:pPr>
      <w:r w:rsidRPr="0057150A">
        <w:rPr>
          <w:color w:val="000000" w:themeColor="text1"/>
          <w:sz w:val="20"/>
          <w:szCs w:val="20"/>
          <w:lang w:eastAsia="fr-FR"/>
        </w:rPr>
        <w:t>PNLT</w:t>
      </w:r>
      <w:r w:rsidRPr="0057150A">
        <w:rPr>
          <w:color w:val="000000" w:themeColor="text1"/>
          <w:sz w:val="20"/>
          <w:szCs w:val="20"/>
          <w:lang w:eastAsia="fr-FR"/>
        </w:rPr>
        <w:tab/>
        <w:t>Programme National de Lutte contre la Tuberculose</w:t>
      </w:r>
    </w:p>
    <w:p w:rsidR="00F94EA5" w:rsidRPr="0057150A" w:rsidRDefault="00F94EA5" w:rsidP="00F94EA5">
      <w:pPr>
        <w:pStyle w:val="Style2"/>
        <w:ind w:left="1560" w:hanging="1560"/>
        <w:rPr>
          <w:color w:val="000000" w:themeColor="text1"/>
          <w:sz w:val="20"/>
          <w:szCs w:val="20"/>
          <w:lang w:eastAsia="fr-FR"/>
        </w:rPr>
      </w:pPr>
      <w:r w:rsidRPr="0057150A">
        <w:rPr>
          <w:color w:val="000000" w:themeColor="text1"/>
          <w:sz w:val="20"/>
          <w:szCs w:val="20"/>
          <w:lang w:eastAsia="fr-FR"/>
        </w:rPr>
        <w:t>PNTS</w:t>
      </w:r>
      <w:r w:rsidRPr="0057150A">
        <w:rPr>
          <w:color w:val="000000" w:themeColor="text1"/>
          <w:sz w:val="20"/>
          <w:szCs w:val="20"/>
          <w:lang w:eastAsia="fr-FR"/>
        </w:rPr>
        <w:tab/>
        <w:t>Programme National de la Transfusion Sanguine</w:t>
      </w:r>
    </w:p>
    <w:p w:rsidR="00F94EA5" w:rsidRPr="0057150A" w:rsidRDefault="00F94EA5" w:rsidP="00F94EA5">
      <w:pPr>
        <w:pStyle w:val="Style2"/>
        <w:ind w:left="1560" w:hanging="1560"/>
        <w:rPr>
          <w:color w:val="000000" w:themeColor="text1"/>
          <w:sz w:val="20"/>
          <w:szCs w:val="20"/>
          <w:lang w:eastAsia="fr-FR"/>
        </w:rPr>
      </w:pPr>
      <w:r w:rsidRPr="0057150A">
        <w:rPr>
          <w:color w:val="000000" w:themeColor="text1"/>
          <w:sz w:val="20"/>
          <w:szCs w:val="20"/>
          <w:lang w:eastAsia="fr-FR"/>
        </w:rPr>
        <w:t>PTF</w:t>
      </w:r>
      <w:r w:rsidRPr="0057150A">
        <w:rPr>
          <w:color w:val="000000" w:themeColor="text1"/>
          <w:sz w:val="20"/>
          <w:szCs w:val="20"/>
          <w:lang w:eastAsia="fr-FR"/>
        </w:rPr>
        <w:tab/>
        <w:t>Partenaires Techniques et Financiers</w:t>
      </w:r>
    </w:p>
    <w:p w:rsidR="00F94EA5" w:rsidRPr="008D45CE" w:rsidRDefault="00F94EA5" w:rsidP="00F94EA5">
      <w:pPr>
        <w:pStyle w:val="Style2"/>
        <w:tabs>
          <w:tab w:val="left" w:pos="1560"/>
        </w:tabs>
        <w:ind w:left="1560" w:hanging="1560"/>
        <w:rPr>
          <w:color w:val="000000" w:themeColor="text1"/>
          <w:sz w:val="20"/>
          <w:szCs w:val="20"/>
          <w:lang w:eastAsia="fr-FR"/>
        </w:rPr>
      </w:pPr>
      <w:r w:rsidRPr="008D45CE">
        <w:rPr>
          <w:color w:val="000000" w:themeColor="text1"/>
          <w:sz w:val="20"/>
          <w:szCs w:val="20"/>
          <w:lang w:eastAsia="fr-FR"/>
        </w:rPr>
        <w:t>PVVIH</w:t>
      </w:r>
      <w:r w:rsidRPr="008D45CE">
        <w:rPr>
          <w:color w:val="000000" w:themeColor="text1"/>
          <w:sz w:val="20"/>
          <w:szCs w:val="20"/>
          <w:lang w:eastAsia="fr-FR"/>
        </w:rPr>
        <w:tab/>
        <w:t>Personne Vivant avec le Virus d’Immunodéficience Humaine</w:t>
      </w:r>
    </w:p>
    <w:p w:rsidR="00B2646F" w:rsidRPr="008D45CE" w:rsidRDefault="00B2646F" w:rsidP="00F94EA5">
      <w:pPr>
        <w:pStyle w:val="Style2"/>
        <w:ind w:left="1560" w:hanging="1560"/>
        <w:rPr>
          <w:color w:val="000000" w:themeColor="text1"/>
          <w:sz w:val="20"/>
          <w:szCs w:val="20"/>
          <w:lang w:eastAsia="fr-FR"/>
        </w:rPr>
      </w:pPr>
      <w:r w:rsidRPr="008D45CE">
        <w:rPr>
          <w:color w:val="000000" w:themeColor="text1"/>
          <w:sz w:val="20"/>
          <w:szCs w:val="20"/>
          <w:lang w:eastAsia="fr-FR"/>
        </w:rPr>
        <w:t>PPP</w:t>
      </w:r>
      <w:r w:rsidR="00F94EA5" w:rsidRPr="008D45CE">
        <w:rPr>
          <w:color w:val="000000" w:themeColor="text1"/>
          <w:sz w:val="20"/>
          <w:szCs w:val="20"/>
          <w:lang w:eastAsia="fr-FR"/>
        </w:rPr>
        <w:tab/>
      </w:r>
      <w:r w:rsidRPr="008D45CE">
        <w:rPr>
          <w:color w:val="000000" w:themeColor="text1"/>
          <w:sz w:val="20"/>
          <w:szCs w:val="20"/>
          <w:lang w:eastAsia="fr-FR"/>
        </w:rPr>
        <w:t>Parité de Pouvoir d’Achat</w:t>
      </w:r>
    </w:p>
    <w:p w:rsidR="00B2646F" w:rsidRPr="008D45CE" w:rsidRDefault="00B2646F" w:rsidP="00F94EA5">
      <w:pPr>
        <w:pStyle w:val="Style2"/>
        <w:ind w:left="1560" w:hanging="1560"/>
        <w:rPr>
          <w:color w:val="000000" w:themeColor="text1"/>
          <w:sz w:val="20"/>
          <w:szCs w:val="20"/>
          <w:lang w:eastAsia="fr-FR"/>
        </w:rPr>
      </w:pPr>
      <w:r w:rsidRPr="008D45CE">
        <w:rPr>
          <w:color w:val="000000" w:themeColor="text1"/>
          <w:sz w:val="20"/>
          <w:szCs w:val="20"/>
          <w:lang w:eastAsia="fr-FR"/>
        </w:rPr>
        <w:t>PPTE</w:t>
      </w:r>
      <w:r w:rsidR="00F94EA5" w:rsidRPr="008D45CE">
        <w:rPr>
          <w:color w:val="000000" w:themeColor="text1"/>
          <w:sz w:val="20"/>
          <w:szCs w:val="20"/>
          <w:lang w:eastAsia="fr-FR"/>
        </w:rPr>
        <w:tab/>
      </w:r>
      <w:r w:rsidRPr="008D45CE">
        <w:rPr>
          <w:color w:val="000000" w:themeColor="text1"/>
          <w:sz w:val="20"/>
          <w:szCs w:val="20"/>
          <w:lang w:eastAsia="fr-FR"/>
        </w:rPr>
        <w:t>Pays Pauvre Très Endetté</w:t>
      </w:r>
    </w:p>
    <w:p w:rsidR="00B2646F" w:rsidRPr="008D45CE" w:rsidRDefault="00B2646F" w:rsidP="00F94EA5">
      <w:pPr>
        <w:pStyle w:val="Style2"/>
        <w:ind w:left="1560" w:hanging="1560"/>
        <w:rPr>
          <w:color w:val="000000" w:themeColor="text1"/>
          <w:sz w:val="20"/>
          <w:szCs w:val="20"/>
          <w:lang w:eastAsia="fr-FR"/>
        </w:rPr>
      </w:pPr>
      <w:r w:rsidRPr="008D45CE">
        <w:rPr>
          <w:color w:val="000000" w:themeColor="text1"/>
          <w:sz w:val="20"/>
          <w:szCs w:val="20"/>
          <w:lang w:eastAsia="fr-FR"/>
        </w:rPr>
        <w:t>PTME</w:t>
      </w:r>
      <w:r w:rsidR="00F94EA5" w:rsidRPr="008D45CE">
        <w:rPr>
          <w:color w:val="000000" w:themeColor="text1"/>
          <w:sz w:val="20"/>
          <w:szCs w:val="20"/>
          <w:lang w:eastAsia="fr-FR"/>
        </w:rPr>
        <w:tab/>
      </w:r>
      <w:r w:rsidRPr="008D45CE">
        <w:rPr>
          <w:color w:val="000000" w:themeColor="text1"/>
          <w:sz w:val="20"/>
          <w:szCs w:val="20"/>
          <w:lang w:eastAsia="fr-FR"/>
        </w:rPr>
        <w:t>Prévention de la Transmission Mère Enfant</w:t>
      </w:r>
    </w:p>
    <w:p w:rsidR="00B2646F" w:rsidRPr="008D45CE" w:rsidRDefault="00B2646F" w:rsidP="00F94EA5">
      <w:pPr>
        <w:pStyle w:val="Style2"/>
        <w:ind w:left="1560" w:hanging="1560"/>
        <w:rPr>
          <w:color w:val="000000" w:themeColor="text1"/>
          <w:sz w:val="20"/>
          <w:szCs w:val="20"/>
          <w:lang w:eastAsia="fr-FR"/>
        </w:rPr>
      </w:pPr>
      <w:r w:rsidRPr="008D45CE">
        <w:rPr>
          <w:color w:val="000000" w:themeColor="text1"/>
          <w:sz w:val="20"/>
          <w:szCs w:val="20"/>
          <w:lang w:eastAsia="fr-FR"/>
        </w:rPr>
        <w:t>QUIBB</w:t>
      </w:r>
      <w:r w:rsidR="00F94EA5" w:rsidRPr="008D45CE">
        <w:rPr>
          <w:color w:val="000000" w:themeColor="text1"/>
          <w:sz w:val="20"/>
          <w:szCs w:val="20"/>
          <w:lang w:eastAsia="fr-FR"/>
        </w:rPr>
        <w:tab/>
      </w:r>
      <w:r w:rsidRPr="008D45CE">
        <w:rPr>
          <w:color w:val="000000" w:themeColor="text1"/>
          <w:sz w:val="20"/>
          <w:szCs w:val="20"/>
          <w:lang w:eastAsia="fr-FR"/>
        </w:rPr>
        <w:t>Questionnaire Unifié à Indicateurs multiple sur le Bien être</w:t>
      </w:r>
    </w:p>
    <w:p w:rsidR="00B2646F" w:rsidRPr="008D45CE" w:rsidRDefault="00B2646F" w:rsidP="00F94EA5">
      <w:pPr>
        <w:pStyle w:val="Style2"/>
        <w:ind w:left="1560" w:hanging="1560"/>
        <w:rPr>
          <w:color w:val="000000" w:themeColor="text1"/>
          <w:sz w:val="20"/>
          <w:szCs w:val="20"/>
          <w:lang w:eastAsia="fr-FR"/>
        </w:rPr>
      </w:pPr>
      <w:r w:rsidRPr="008D45CE">
        <w:rPr>
          <w:color w:val="000000" w:themeColor="text1"/>
          <w:sz w:val="20"/>
          <w:szCs w:val="20"/>
          <w:lang w:eastAsia="fr-FR"/>
        </w:rPr>
        <w:t>SEP/CNLS</w:t>
      </w:r>
      <w:r w:rsidR="00F94EA5" w:rsidRPr="008D45CE">
        <w:rPr>
          <w:color w:val="000000" w:themeColor="text1"/>
          <w:sz w:val="20"/>
          <w:szCs w:val="20"/>
          <w:lang w:eastAsia="fr-FR"/>
        </w:rPr>
        <w:tab/>
      </w:r>
      <w:r w:rsidRPr="008D45CE">
        <w:rPr>
          <w:color w:val="000000" w:themeColor="text1"/>
          <w:sz w:val="20"/>
          <w:szCs w:val="20"/>
          <w:lang w:eastAsia="fr-FR"/>
        </w:rPr>
        <w:t>Secrétariat Exécutif Permanent du Conseil National de Lutte Contre le SIDA</w:t>
      </w:r>
    </w:p>
    <w:p w:rsidR="00B2646F" w:rsidRPr="008D45CE" w:rsidRDefault="00B2646F" w:rsidP="00B2646F">
      <w:pPr>
        <w:pStyle w:val="Style2"/>
        <w:ind w:left="1560" w:hanging="1560"/>
        <w:rPr>
          <w:color w:val="000000" w:themeColor="text1"/>
          <w:sz w:val="20"/>
          <w:szCs w:val="20"/>
          <w:lang w:eastAsia="fr-FR"/>
        </w:rPr>
      </w:pPr>
      <w:r w:rsidRPr="008D45CE">
        <w:rPr>
          <w:color w:val="000000" w:themeColor="text1"/>
          <w:sz w:val="20"/>
          <w:szCs w:val="20"/>
          <w:lang w:eastAsia="fr-FR"/>
        </w:rPr>
        <w:t>SONUS</w:t>
      </w:r>
      <w:r w:rsidR="00F94EA5" w:rsidRPr="008D45CE">
        <w:rPr>
          <w:color w:val="000000" w:themeColor="text1"/>
          <w:sz w:val="20"/>
          <w:szCs w:val="20"/>
          <w:lang w:eastAsia="fr-FR"/>
        </w:rPr>
        <w:tab/>
        <w:t>S</w:t>
      </w:r>
      <w:r w:rsidRPr="008D45CE">
        <w:rPr>
          <w:color w:val="000000" w:themeColor="text1"/>
          <w:sz w:val="20"/>
          <w:szCs w:val="20"/>
          <w:lang w:eastAsia="fr-FR"/>
        </w:rPr>
        <w:t>oins Obstétricaux et Néonataux</w:t>
      </w:r>
    </w:p>
    <w:p w:rsidR="00F94EA5" w:rsidRPr="008D45CE" w:rsidRDefault="00F94EA5" w:rsidP="00F94EA5">
      <w:pPr>
        <w:tabs>
          <w:tab w:val="left" w:pos="1560"/>
        </w:tabs>
        <w:jc w:val="both"/>
        <w:rPr>
          <w:color w:val="000000" w:themeColor="text1"/>
          <w:sz w:val="20"/>
          <w:szCs w:val="20"/>
          <w:lang w:eastAsia="fr-FR"/>
        </w:rPr>
      </w:pPr>
      <w:r w:rsidRPr="008D45CE">
        <w:rPr>
          <w:color w:val="000000" w:themeColor="text1"/>
          <w:sz w:val="20"/>
          <w:szCs w:val="20"/>
          <w:lang w:eastAsia="fr-FR"/>
        </w:rPr>
        <w:t>SHA</w:t>
      </w:r>
      <w:r w:rsidRPr="008D45CE">
        <w:rPr>
          <w:color w:val="000000" w:themeColor="text1"/>
          <w:sz w:val="20"/>
          <w:szCs w:val="20"/>
          <w:lang w:eastAsia="fr-FR"/>
        </w:rPr>
        <w:tab/>
        <w:t xml:space="preserve">System of Health Account (Système des comptes de la santé) </w:t>
      </w:r>
    </w:p>
    <w:p w:rsidR="00F94EA5" w:rsidRPr="008D45CE" w:rsidRDefault="00F94EA5" w:rsidP="00B2646F">
      <w:pPr>
        <w:pStyle w:val="Style2"/>
        <w:ind w:left="1560" w:hanging="1560"/>
        <w:rPr>
          <w:color w:val="000000" w:themeColor="text1"/>
          <w:sz w:val="20"/>
          <w:szCs w:val="20"/>
          <w:lang w:eastAsia="fr-FR"/>
        </w:rPr>
      </w:pPr>
    </w:p>
    <w:p w:rsidR="00F94EA5" w:rsidRPr="008D45CE" w:rsidRDefault="00F94EA5">
      <w:pPr>
        <w:spacing w:after="200" w:line="20" w:lineRule="atLeast"/>
        <w:rPr>
          <w:b/>
          <w:bCs/>
          <w:color w:val="000000" w:themeColor="text1"/>
          <w:kern w:val="32"/>
          <w:szCs w:val="32"/>
        </w:rPr>
      </w:pPr>
      <w:bookmarkStart w:id="21" w:name="_Toc465262333"/>
      <w:bookmarkStart w:id="22" w:name="_Toc483474585"/>
      <w:r w:rsidRPr="008D45CE">
        <w:rPr>
          <w:color w:val="000000" w:themeColor="text1"/>
        </w:rPr>
        <w:br w:type="page"/>
      </w:r>
    </w:p>
    <w:p w:rsidR="00A10E04" w:rsidRPr="008D45CE" w:rsidRDefault="00A10E04" w:rsidP="00A401E9">
      <w:pPr>
        <w:pStyle w:val="Titre1"/>
        <w:jc w:val="center"/>
        <w:rPr>
          <w:color w:val="000000" w:themeColor="text1"/>
        </w:rPr>
      </w:pPr>
      <w:r w:rsidRPr="008D45CE">
        <w:rPr>
          <w:color w:val="000000" w:themeColor="text1"/>
        </w:rPr>
        <w:lastRenderedPageBreak/>
        <w:t>RESUME ANALYTIQUE</w:t>
      </w:r>
      <w:bookmarkEnd w:id="21"/>
      <w:bookmarkEnd w:id="22"/>
    </w:p>
    <w:p w:rsidR="002E4382" w:rsidRPr="008D45CE" w:rsidRDefault="002E4382" w:rsidP="002E4382">
      <w:pPr>
        <w:rPr>
          <w:color w:val="000000" w:themeColor="text1"/>
        </w:rPr>
      </w:pPr>
    </w:p>
    <w:p w:rsidR="00955D55" w:rsidRPr="008D45CE" w:rsidRDefault="00955D55" w:rsidP="00955D55">
      <w:pPr>
        <w:jc w:val="both"/>
        <w:rPr>
          <w:color w:val="000000" w:themeColor="text1"/>
        </w:rPr>
      </w:pPr>
      <w:r w:rsidRPr="008D45CE">
        <w:rPr>
          <w:color w:val="000000" w:themeColor="text1"/>
        </w:rPr>
        <w:t>L’amélioration de l’état de santé de la population est une préoccupation permanente du Gouvernement de la République du Congo. Elle constitue l’un des défis majeurs ciblés par le programme actuel du gouvernement, à savoir « La marche vers le développement ». Ce programme de gouvernement sera désormais décliné au niveau central à travers le Programme Natio</w:t>
      </w:r>
      <w:r>
        <w:rPr>
          <w:color w:val="000000" w:themeColor="text1"/>
        </w:rPr>
        <w:t xml:space="preserve">nal de Développement  (PND) 2017-2021 </w:t>
      </w:r>
      <w:r w:rsidRPr="008D45CE">
        <w:rPr>
          <w:color w:val="000000" w:themeColor="text1"/>
        </w:rPr>
        <w:t>et au niveau sectoriel à travers la nouvelle Politique Nationale de Santé (PNS)</w:t>
      </w:r>
      <w:r>
        <w:rPr>
          <w:color w:val="000000" w:themeColor="text1"/>
        </w:rPr>
        <w:t>.</w:t>
      </w:r>
      <w:r w:rsidRPr="008D45CE">
        <w:rPr>
          <w:color w:val="000000" w:themeColor="text1"/>
        </w:rPr>
        <w:t xml:space="preserve"> </w:t>
      </w:r>
    </w:p>
    <w:p w:rsidR="00955D55" w:rsidRPr="008D45CE" w:rsidRDefault="00955D55" w:rsidP="00955D55">
      <w:pPr>
        <w:pStyle w:val="Default"/>
        <w:jc w:val="both"/>
        <w:rPr>
          <w:rFonts w:eastAsiaTheme="minorHAnsi"/>
          <w:color w:val="000000" w:themeColor="text1"/>
          <w:lang w:eastAsia="en-US"/>
        </w:rPr>
      </w:pPr>
      <w:r w:rsidRPr="008D45CE">
        <w:rPr>
          <w:color w:val="000000" w:themeColor="text1"/>
        </w:rPr>
        <w:t xml:space="preserve">Dans un contexte économique général de plus en plus caractérisé par des contraintes budgétaires majeures, la conciliation de l’objectif primordial d’amélioration de l’état de santé des populations et celui non moins négligeable d’une relative maîtrise des dépenses de santé est désormais un enjeu majeur. Aussi, l’élaboration des comptes nationaux de la santé revêt aujourd’hui un intérêt crucial car Ils retracent toutes les dépenses afférentes au système de santé, de l’origine du financement aux services fournis. Ils constituent un outil utilisé au plan international, pour résumer, décrire et analyser le financement des systèmes de santé nationaux. Ils incluent les dépenses de santé du secteur public, du secteur privé, des ménages ainsi que celles des ONGs et de la coopération internationale. </w:t>
      </w:r>
    </w:p>
    <w:p w:rsidR="009C37DB" w:rsidRDefault="009C37DB" w:rsidP="00955D55">
      <w:pPr>
        <w:autoSpaceDE w:val="0"/>
        <w:autoSpaceDN w:val="0"/>
        <w:adjustRightInd w:val="0"/>
        <w:jc w:val="both"/>
        <w:rPr>
          <w:color w:val="000000" w:themeColor="text1"/>
        </w:rPr>
      </w:pPr>
    </w:p>
    <w:p w:rsidR="00955D55" w:rsidRPr="008D45CE" w:rsidRDefault="00955D55" w:rsidP="00955D55">
      <w:pPr>
        <w:autoSpaceDE w:val="0"/>
        <w:autoSpaceDN w:val="0"/>
        <w:adjustRightInd w:val="0"/>
        <w:jc w:val="both"/>
        <w:rPr>
          <w:rFonts w:eastAsia="Calibri"/>
          <w:color w:val="000000" w:themeColor="text1"/>
          <w:lang w:eastAsia="fr-FR" w:bidi="ar-SA"/>
        </w:rPr>
      </w:pPr>
      <w:r w:rsidRPr="008D45CE">
        <w:rPr>
          <w:color w:val="000000" w:themeColor="text1"/>
        </w:rPr>
        <w:t xml:space="preserve">En effet, </w:t>
      </w:r>
      <w:r w:rsidRPr="008D45CE">
        <w:rPr>
          <w:rFonts w:eastAsia="Calibri"/>
          <w:color w:val="000000" w:themeColor="text1"/>
          <w:lang w:eastAsia="fr-FR" w:bidi="ar-SA"/>
        </w:rPr>
        <w:t xml:space="preserve">Le financement du système de santé de la République du Congo est assuré aussi bien par les fonds publics, le secteur privé, l’aide internationale, que par les ménages. Les mécanismes de transfert des ressources pour la fourniture de services varient d’un acteur à l’autre.  </w:t>
      </w:r>
    </w:p>
    <w:p w:rsidR="00955D55" w:rsidRPr="008D45CE" w:rsidRDefault="00955D55" w:rsidP="00955D55">
      <w:pPr>
        <w:autoSpaceDE w:val="0"/>
        <w:autoSpaceDN w:val="0"/>
        <w:adjustRightInd w:val="0"/>
        <w:jc w:val="both"/>
        <w:rPr>
          <w:rFonts w:eastAsia="Calibri"/>
          <w:color w:val="000000" w:themeColor="text1"/>
          <w:lang w:eastAsia="fr-FR" w:bidi="ar-SA"/>
        </w:rPr>
      </w:pPr>
      <w:r w:rsidRPr="008D45CE">
        <w:rPr>
          <w:rFonts w:eastAsia="Calibri"/>
          <w:color w:val="000000" w:themeColor="text1"/>
          <w:lang w:eastAsia="fr-FR" w:bidi="ar-SA"/>
        </w:rPr>
        <w:t>L</w:t>
      </w:r>
      <w:r w:rsidRPr="008D45CE">
        <w:rPr>
          <w:color w:val="000000" w:themeColor="text1"/>
        </w:rPr>
        <w:t xml:space="preserve">e Congo comme l’ensemble des pays de l’Union Africaine entend accorder 15% du budget national au secteur de la santé. Cependant, le pourcentage des dépenses de l’Etat en matière de santé a connu une progression de </w:t>
      </w:r>
      <w:r w:rsidR="00723AE6" w:rsidRPr="00723AE6">
        <w:rPr>
          <w:color w:val="000000" w:themeColor="text1"/>
        </w:rPr>
        <w:t>4</w:t>
      </w:r>
      <w:r w:rsidRPr="00723AE6">
        <w:rPr>
          <w:color w:val="000000" w:themeColor="text1"/>
        </w:rPr>
        <w:t>%</w:t>
      </w:r>
      <w:r w:rsidRPr="008D45CE">
        <w:rPr>
          <w:color w:val="000000" w:themeColor="text1"/>
        </w:rPr>
        <w:t xml:space="preserve"> en 2011 à </w:t>
      </w:r>
      <w:r w:rsidR="00723AE6" w:rsidRPr="00723AE6">
        <w:rPr>
          <w:color w:val="000000" w:themeColor="text1"/>
        </w:rPr>
        <w:t>12</w:t>
      </w:r>
      <w:r w:rsidRPr="00723AE6">
        <w:rPr>
          <w:color w:val="000000" w:themeColor="text1"/>
        </w:rPr>
        <w:t>%</w:t>
      </w:r>
      <w:r w:rsidRPr="008D45CE">
        <w:rPr>
          <w:color w:val="000000" w:themeColor="text1"/>
        </w:rPr>
        <w:t xml:space="preserve"> en 2015. Toutefois, cette relative évolution du financement public de la santé demeure encore en deçà des 15%</w:t>
      </w:r>
      <w:r w:rsidRPr="0057150A">
        <w:rPr>
          <w:color w:val="000000" w:themeColor="text1"/>
        </w:rPr>
        <w:t xml:space="preserve"> définis par le sommet d’Abuja m</w:t>
      </w:r>
      <w:r w:rsidRPr="0057150A">
        <w:rPr>
          <w:rFonts w:eastAsia="Calibri"/>
          <w:color w:val="000000" w:themeColor="text1"/>
          <w:lang w:eastAsia="fr-FR"/>
        </w:rPr>
        <w:t>algré les efforts consentis dans l’offre des services de santé et pour réduire les paiements directs des patients dans les structures sanitaires publiques</w:t>
      </w:r>
      <w:r w:rsidR="00723AE6">
        <w:rPr>
          <w:rFonts w:eastAsia="Calibri"/>
          <w:color w:val="000000" w:themeColor="text1"/>
          <w:lang w:eastAsia="fr-FR"/>
        </w:rPr>
        <w:t>,</w:t>
      </w:r>
      <w:r w:rsidRPr="0057150A">
        <w:rPr>
          <w:rFonts w:eastAsia="Calibri"/>
          <w:color w:val="000000" w:themeColor="text1"/>
          <w:lang w:eastAsia="fr-FR"/>
        </w:rPr>
        <w:t xml:space="preserve"> </w:t>
      </w:r>
      <w:r w:rsidRPr="0057150A">
        <w:rPr>
          <w:color w:val="000000" w:themeColor="text1"/>
        </w:rPr>
        <w:t>le Congo</w:t>
      </w:r>
      <w:r w:rsidRPr="0057150A">
        <w:rPr>
          <w:rFonts w:eastAsia="Calibri"/>
          <w:color w:val="000000" w:themeColor="text1"/>
          <w:lang w:eastAsia="fr-FR"/>
        </w:rPr>
        <w:t xml:space="preserve"> reste encore </w:t>
      </w:r>
      <w:r w:rsidR="00723AE6">
        <w:rPr>
          <w:rFonts w:eastAsia="Calibri"/>
          <w:color w:val="000000" w:themeColor="text1"/>
          <w:lang w:eastAsia="fr-FR"/>
        </w:rPr>
        <w:t>en deçà de</w:t>
      </w:r>
      <w:r w:rsidRPr="0057150A">
        <w:rPr>
          <w:rFonts w:eastAsia="Calibri"/>
          <w:color w:val="000000" w:themeColor="text1"/>
          <w:lang w:eastAsia="fr-FR"/>
        </w:rPr>
        <w:t xml:space="preserve"> cet engagement. L’Etat a mis en </w:t>
      </w:r>
      <w:r w:rsidRPr="0057150A">
        <w:rPr>
          <w:color w:val="000000" w:themeColor="text1"/>
        </w:rPr>
        <w:t>œuvre</w:t>
      </w:r>
      <w:r w:rsidRPr="0057150A">
        <w:rPr>
          <w:rFonts w:eastAsia="Calibri"/>
          <w:color w:val="000000" w:themeColor="text1"/>
          <w:lang w:eastAsia="fr-FR"/>
        </w:rPr>
        <w:t xml:space="preserve"> la mesure d’exemption généralisée de paiement des frais de prise en charge médicale des usagers des établissements sanitaires publics, conventionnés </w:t>
      </w:r>
      <w:r w:rsidRPr="00BE428B">
        <w:rPr>
          <w:rFonts w:eastAsia="Calibri"/>
          <w:color w:val="000000" w:themeColor="text1"/>
          <w:highlight w:val="yellow"/>
          <w:lang w:eastAsia="fr-FR"/>
        </w:rPr>
        <w:t>(</w:t>
      </w:r>
      <w:r w:rsidRPr="00BE428B">
        <w:rPr>
          <w:color w:val="000000" w:themeColor="text1"/>
          <w:highlight w:val="yellow"/>
        </w:rPr>
        <w:t>loi n°………….</w:t>
      </w:r>
      <w:r w:rsidRPr="00BE428B">
        <w:rPr>
          <w:rFonts w:eastAsia="Calibri"/>
          <w:color w:val="000000" w:themeColor="text1"/>
          <w:highlight w:val="yellow"/>
          <w:lang w:eastAsia="fr-FR"/>
        </w:rPr>
        <w:t>).</w:t>
      </w:r>
      <w:r w:rsidRPr="0057150A">
        <w:rPr>
          <w:rFonts w:eastAsia="Calibri"/>
          <w:color w:val="000000" w:themeColor="text1"/>
          <w:lang w:eastAsia="fr-FR"/>
        </w:rPr>
        <w:t xml:space="preserve"> </w:t>
      </w:r>
    </w:p>
    <w:p w:rsidR="00955D55" w:rsidRPr="008D45CE" w:rsidRDefault="00955D55" w:rsidP="00955D55">
      <w:pPr>
        <w:pStyle w:val="Default"/>
        <w:rPr>
          <w:color w:val="000000" w:themeColor="text1"/>
        </w:rPr>
      </w:pPr>
    </w:p>
    <w:p w:rsidR="00955D55" w:rsidRDefault="00955D55" w:rsidP="00955D55">
      <w:pPr>
        <w:jc w:val="both"/>
        <w:rPr>
          <w:rFonts w:eastAsia="Calibri"/>
          <w:color w:val="000000" w:themeColor="text1"/>
          <w:lang w:eastAsia="fr-FR" w:bidi="ar-SA"/>
        </w:rPr>
      </w:pPr>
      <w:r w:rsidRPr="008D45CE">
        <w:rPr>
          <w:rFonts w:eastAsia="Calibri"/>
          <w:color w:val="000000" w:themeColor="text1"/>
          <w:lang w:eastAsia="fr-FR" w:bidi="ar-SA"/>
        </w:rPr>
        <w:t xml:space="preserve">Les résultats des Comptes de la Santé de 2011 à 2015  indiquent que </w:t>
      </w:r>
      <w:r w:rsidRPr="008D45CE">
        <w:rPr>
          <w:color w:val="000000" w:themeColor="text1"/>
          <w:sz w:val="23"/>
          <w:szCs w:val="23"/>
        </w:rPr>
        <w:t xml:space="preserve">la </w:t>
      </w:r>
      <w:r w:rsidRPr="008D45CE">
        <w:rPr>
          <w:rFonts w:eastAsia="Calibri"/>
          <w:color w:val="000000" w:themeColor="text1"/>
          <w:lang w:eastAsia="fr-FR" w:bidi="ar-SA"/>
        </w:rPr>
        <w:t xml:space="preserve">dépense totale en santé au fil des années n’a cessé de croître, passant de </w:t>
      </w:r>
      <w:r w:rsidRPr="0015561E">
        <w:rPr>
          <w:rFonts w:eastAsia="Calibri"/>
          <w:color w:val="000000" w:themeColor="text1"/>
          <w:lang w:eastAsia="fr-FR" w:bidi="ar-SA"/>
        </w:rPr>
        <w:t>125 493 103</w:t>
      </w:r>
      <w:r>
        <w:rPr>
          <w:rFonts w:eastAsia="Calibri"/>
          <w:color w:val="000000" w:themeColor="text1"/>
          <w:lang w:eastAsia="fr-FR" w:bidi="ar-SA"/>
        </w:rPr>
        <w:t> </w:t>
      </w:r>
      <w:r w:rsidRPr="0015561E">
        <w:rPr>
          <w:rFonts w:eastAsia="Calibri"/>
          <w:color w:val="000000" w:themeColor="text1"/>
          <w:lang w:eastAsia="fr-FR" w:bidi="ar-SA"/>
        </w:rPr>
        <w:t>296</w:t>
      </w:r>
      <w:r w:rsidRPr="008D45CE">
        <w:rPr>
          <w:rFonts w:eastAsia="Calibri"/>
          <w:color w:val="000000" w:themeColor="text1"/>
          <w:lang w:eastAsia="fr-FR" w:bidi="ar-SA"/>
        </w:rPr>
        <w:t xml:space="preserve"> en 2011 à </w:t>
      </w:r>
      <w:r w:rsidRPr="0015561E">
        <w:rPr>
          <w:rFonts w:eastAsia="Calibri"/>
          <w:color w:val="000000" w:themeColor="text1"/>
          <w:lang w:eastAsia="fr-FR" w:bidi="ar-SA"/>
        </w:rPr>
        <w:t>183 229 965</w:t>
      </w:r>
      <w:r>
        <w:rPr>
          <w:rFonts w:eastAsia="Calibri"/>
          <w:color w:val="000000" w:themeColor="text1"/>
          <w:lang w:eastAsia="fr-FR" w:bidi="ar-SA"/>
        </w:rPr>
        <w:t> </w:t>
      </w:r>
      <w:r w:rsidRPr="0015561E">
        <w:rPr>
          <w:rFonts w:eastAsia="Calibri"/>
          <w:color w:val="000000" w:themeColor="text1"/>
          <w:lang w:eastAsia="fr-FR" w:bidi="ar-SA"/>
        </w:rPr>
        <w:t>229</w:t>
      </w:r>
      <w:r>
        <w:rPr>
          <w:rFonts w:eastAsia="Calibri"/>
          <w:color w:val="000000" w:themeColor="text1"/>
          <w:lang w:eastAsia="fr-FR" w:bidi="ar-SA"/>
        </w:rPr>
        <w:t xml:space="preserve"> FCFA </w:t>
      </w:r>
      <w:r w:rsidRPr="008D45CE">
        <w:rPr>
          <w:rFonts w:eastAsia="Calibri"/>
          <w:color w:val="000000" w:themeColor="text1"/>
          <w:lang w:eastAsia="fr-FR" w:bidi="ar-SA"/>
        </w:rPr>
        <w:t xml:space="preserve">en 2015. La dépense totale par </w:t>
      </w:r>
      <w:r>
        <w:rPr>
          <w:rFonts w:eastAsia="Calibri"/>
          <w:color w:val="000000" w:themeColor="text1"/>
          <w:lang w:eastAsia="fr-FR" w:bidi="ar-SA"/>
        </w:rPr>
        <w:t xml:space="preserve">habitant par an est passée de </w:t>
      </w:r>
      <w:r w:rsidRPr="00016E9F">
        <w:rPr>
          <w:rFonts w:eastAsia="Calibri"/>
          <w:color w:val="000000" w:themeColor="text1"/>
          <w:shd w:val="clear" w:color="auto" w:fill="FFFFFF" w:themeFill="background1"/>
          <w:lang w:eastAsia="fr-FR" w:bidi="ar-SA"/>
        </w:rPr>
        <w:t>28 995 (58</w:t>
      </w:r>
      <w:r w:rsidR="00016E9F">
        <w:rPr>
          <w:rFonts w:eastAsia="Calibri"/>
          <w:color w:val="000000" w:themeColor="text1"/>
          <w:shd w:val="clear" w:color="auto" w:fill="FFFFFF" w:themeFill="background1"/>
          <w:lang w:eastAsia="fr-FR" w:bidi="ar-SA"/>
        </w:rPr>
        <w:t xml:space="preserve"> </w:t>
      </w:r>
      <w:r w:rsidR="00016E9F">
        <w:rPr>
          <w:color w:val="000000" w:themeColor="text1"/>
        </w:rPr>
        <w:t>USD</w:t>
      </w:r>
      <w:r w:rsidRPr="00016E9F">
        <w:rPr>
          <w:rFonts w:eastAsia="Calibri"/>
          <w:color w:val="000000" w:themeColor="text1"/>
          <w:shd w:val="clear" w:color="auto" w:fill="FFFFFF" w:themeFill="background1"/>
          <w:lang w:eastAsia="fr-FR" w:bidi="ar-SA"/>
        </w:rPr>
        <w:t>) à 34 919 (70</w:t>
      </w:r>
      <w:r w:rsidR="00016E9F" w:rsidRPr="00016E9F">
        <w:rPr>
          <w:color w:val="000000" w:themeColor="text1"/>
        </w:rPr>
        <w:t xml:space="preserve"> </w:t>
      </w:r>
      <w:r w:rsidR="00016E9F">
        <w:rPr>
          <w:color w:val="000000" w:themeColor="text1"/>
        </w:rPr>
        <w:t>USD</w:t>
      </w:r>
      <w:r w:rsidRPr="00016E9F">
        <w:rPr>
          <w:rFonts w:eastAsia="Calibri"/>
          <w:color w:val="000000" w:themeColor="text1"/>
          <w:shd w:val="clear" w:color="auto" w:fill="FFFFFF" w:themeFill="background1"/>
          <w:lang w:eastAsia="fr-FR" w:bidi="ar-SA"/>
        </w:rPr>
        <w:t>) de</w:t>
      </w:r>
      <w:r w:rsidRPr="008D45CE">
        <w:rPr>
          <w:rFonts w:eastAsia="Calibri"/>
          <w:color w:val="000000" w:themeColor="text1"/>
          <w:lang w:eastAsia="fr-FR" w:bidi="ar-SA"/>
        </w:rPr>
        <w:t xml:space="preserve"> 2011 à 2015.</w:t>
      </w:r>
      <w:r>
        <w:rPr>
          <w:rFonts w:eastAsia="Calibri"/>
          <w:color w:val="000000" w:themeColor="text1"/>
          <w:lang w:eastAsia="fr-FR" w:bidi="ar-SA"/>
        </w:rPr>
        <w:t xml:space="preserve"> Soit un accroissement de 12%. Si l’on considère l’année 2009 comme année de base, la dépense totale par habitant par an est passée de 32 à 70$ de 2009 à 2015</w:t>
      </w:r>
      <w:r w:rsidR="00723AE6">
        <w:rPr>
          <w:rFonts w:eastAsia="Calibri"/>
          <w:color w:val="000000" w:themeColor="text1"/>
          <w:lang w:eastAsia="fr-FR" w:bidi="ar-SA"/>
        </w:rPr>
        <w:t>,</w:t>
      </w:r>
      <w:r>
        <w:rPr>
          <w:rFonts w:eastAsia="Calibri"/>
          <w:color w:val="000000" w:themeColor="text1"/>
          <w:lang w:eastAsia="fr-FR" w:bidi="ar-SA"/>
        </w:rPr>
        <w:t xml:space="preserve"> soit une progression de 38%. </w:t>
      </w:r>
      <w:r w:rsidRPr="008D45CE">
        <w:rPr>
          <w:rFonts w:eastAsia="Calibri"/>
          <w:color w:val="000000" w:themeColor="text1"/>
          <w:lang w:eastAsia="fr-FR" w:bidi="ar-SA"/>
        </w:rPr>
        <w:t>Malgré cette augmentation, la dépense totale par habitant reste encore inférieure au seuil fixé par le groupe de travail international de haut niveau sur le financement de la s</w:t>
      </w:r>
      <w:r>
        <w:rPr>
          <w:rFonts w:eastAsia="Calibri"/>
          <w:color w:val="000000" w:themeColor="text1"/>
          <w:lang w:eastAsia="fr-FR" w:bidi="ar-SA"/>
        </w:rPr>
        <w:t>anté en 2009 (HLTF) qui est de</w:t>
      </w:r>
      <w:r w:rsidRPr="008D45CE">
        <w:rPr>
          <w:rFonts w:eastAsia="Calibri"/>
          <w:color w:val="000000" w:themeColor="text1"/>
          <w:lang w:eastAsia="fr-FR" w:bidi="ar-SA"/>
        </w:rPr>
        <w:t xml:space="preserve"> 86 USD par habitant par an.</w:t>
      </w:r>
      <w:r>
        <w:rPr>
          <w:rFonts w:eastAsia="Calibri"/>
          <w:color w:val="000000" w:themeColor="text1"/>
          <w:lang w:eastAsia="fr-FR" w:bidi="ar-SA"/>
        </w:rPr>
        <w:t xml:space="preserve"> </w:t>
      </w:r>
    </w:p>
    <w:p w:rsidR="00955D55" w:rsidRPr="008D45CE" w:rsidRDefault="00955D55" w:rsidP="00955D55">
      <w:pPr>
        <w:jc w:val="both"/>
        <w:rPr>
          <w:rFonts w:eastAsia="Calibri"/>
          <w:color w:val="000000" w:themeColor="text1"/>
          <w:lang w:eastAsia="fr-FR" w:bidi="ar-SA"/>
        </w:rPr>
      </w:pPr>
    </w:p>
    <w:p w:rsidR="00723AE6" w:rsidRDefault="00955D55" w:rsidP="00955D55">
      <w:pPr>
        <w:jc w:val="both"/>
        <w:rPr>
          <w:rFonts w:eastAsia="Calibri"/>
          <w:color w:val="000000" w:themeColor="text1"/>
          <w:lang w:eastAsia="fr-FR" w:bidi="ar-SA"/>
        </w:rPr>
      </w:pPr>
      <w:r w:rsidRPr="008D45CE">
        <w:rPr>
          <w:rFonts w:eastAsia="Calibri"/>
          <w:color w:val="000000" w:themeColor="text1"/>
          <w:lang w:eastAsia="fr-FR" w:bidi="ar-SA"/>
        </w:rPr>
        <w:t xml:space="preserve">La part du Gouvernement est passée de </w:t>
      </w:r>
      <w:r w:rsidRPr="002159D1">
        <w:rPr>
          <w:rFonts w:eastAsia="Calibri"/>
          <w:color w:val="000000" w:themeColor="text1"/>
          <w:lang w:eastAsia="fr-FR" w:bidi="ar-SA"/>
        </w:rPr>
        <w:t xml:space="preserve">11 550 </w:t>
      </w:r>
      <w:smartTag w:uri="urn:schemas-microsoft-com:office:smarttags" w:element="phone">
        <w:smartTagPr>
          <w:attr w:uri="urn:schemas-microsoft-com:office:office" w:name="ls" w:val="trans"/>
        </w:smartTagPr>
        <w:r w:rsidRPr="002159D1">
          <w:rPr>
            <w:rFonts w:eastAsia="Calibri"/>
            <w:color w:val="000000" w:themeColor="text1"/>
            <w:lang w:eastAsia="fr-FR" w:bidi="ar-SA"/>
          </w:rPr>
          <w:t>193</w:t>
        </w:r>
        <w:r>
          <w:rPr>
            <w:rFonts w:eastAsia="Calibri"/>
            <w:color w:val="000000" w:themeColor="text1"/>
            <w:lang w:eastAsia="fr-FR" w:bidi="ar-SA"/>
          </w:rPr>
          <w:t> </w:t>
        </w:r>
        <w:r w:rsidRPr="002159D1">
          <w:rPr>
            <w:rFonts w:eastAsia="Calibri"/>
            <w:color w:val="000000" w:themeColor="text1"/>
            <w:lang w:eastAsia="fr-FR" w:bidi="ar-SA"/>
          </w:rPr>
          <w:t>449</w:t>
        </w:r>
      </w:smartTag>
      <w:r>
        <w:rPr>
          <w:rFonts w:eastAsia="Calibri"/>
          <w:color w:val="000000" w:themeColor="text1"/>
          <w:lang w:eastAsia="fr-FR" w:bidi="ar-SA"/>
        </w:rPr>
        <w:t xml:space="preserve"> </w:t>
      </w:r>
      <w:r w:rsidRPr="008D45CE">
        <w:rPr>
          <w:rFonts w:eastAsia="Calibri"/>
          <w:color w:val="000000" w:themeColor="text1"/>
          <w:lang w:eastAsia="fr-FR" w:bidi="ar-SA"/>
        </w:rPr>
        <w:t xml:space="preserve">à </w:t>
      </w:r>
      <w:r w:rsidRPr="002159D1">
        <w:rPr>
          <w:rFonts w:eastAsia="Calibri"/>
          <w:color w:val="000000" w:themeColor="text1"/>
          <w:lang w:eastAsia="fr-FR" w:bidi="ar-SA"/>
        </w:rPr>
        <w:t xml:space="preserve">71 078 </w:t>
      </w:r>
      <w:smartTag w:uri="urn:schemas-microsoft-com:office:smarttags" w:element="phone">
        <w:smartTagPr>
          <w:attr w:uri="urn:schemas-microsoft-com:office:office" w:name="ls" w:val="trans"/>
        </w:smartTagPr>
        <w:r w:rsidRPr="002159D1">
          <w:rPr>
            <w:rFonts w:eastAsia="Calibri"/>
            <w:color w:val="000000" w:themeColor="text1"/>
            <w:lang w:eastAsia="fr-FR" w:bidi="ar-SA"/>
          </w:rPr>
          <w:t>605</w:t>
        </w:r>
        <w:r>
          <w:rPr>
            <w:rFonts w:eastAsia="Calibri"/>
            <w:color w:val="000000" w:themeColor="text1"/>
            <w:lang w:eastAsia="fr-FR" w:bidi="ar-SA"/>
          </w:rPr>
          <w:t> </w:t>
        </w:r>
        <w:r w:rsidRPr="002159D1">
          <w:rPr>
            <w:rFonts w:eastAsia="Calibri"/>
            <w:color w:val="000000" w:themeColor="text1"/>
            <w:lang w:eastAsia="fr-FR" w:bidi="ar-SA"/>
          </w:rPr>
          <w:t>879</w:t>
        </w:r>
      </w:smartTag>
      <w:r>
        <w:rPr>
          <w:rFonts w:eastAsia="Calibri"/>
          <w:color w:val="000000" w:themeColor="text1"/>
          <w:lang w:eastAsia="fr-FR" w:bidi="ar-SA"/>
        </w:rPr>
        <w:t xml:space="preserve"> FCFA</w:t>
      </w:r>
      <w:r w:rsidR="00723AE6">
        <w:rPr>
          <w:rFonts w:eastAsia="Calibri"/>
          <w:color w:val="000000" w:themeColor="text1"/>
          <w:lang w:eastAsia="fr-FR" w:bidi="ar-SA"/>
        </w:rPr>
        <w:t>,</w:t>
      </w:r>
      <w:r>
        <w:rPr>
          <w:rFonts w:eastAsia="Calibri"/>
          <w:color w:val="000000" w:themeColor="text1"/>
          <w:lang w:eastAsia="fr-FR" w:bidi="ar-SA"/>
        </w:rPr>
        <w:t xml:space="preserve"> soit respectivement </w:t>
      </w:r>
      <w:r w:rsidR="00723AE6">
        <w:rPr>
          <w:rFonts w:eastAsia="Calibri"/>
          <w:color w:val="000000" w:themeColor="text1"/>
          <w:lang w:eastAsia="fr-FR" w:bidi="ar-SA"/>
        </w:rPr>
        <w:t xml:space="preserve">de 10% à </w:t>
      </w:r>
      <w:r>
        <w:rPr>
          <w:rFonts w:eastAsia="Calibri"/>
          <w:color w:val="000000" w:themeColor="text1"/>
          <w:lang w:eastAsia="fr-FR" w:bidi="ar-SA"/>
        </w:rPr>
        <w:t>43% de la DCS entre 2011</w:t>
      </w:r>
      <w:r w:rsidR="00723AE6">
        <w:rPr>
          <w:rFonts w:eastAsia="Calibri"/>
          <w:color w:val="000000" w:themeColor="text1"/>
          <w:lang w:eastAsia="fr-FR" w:bidi="ar-SA"/>
        </w:rPr>
        <w:t xml:space="preserve"> </w:t>
      </w:r>
      <w:r>
        <w:rPr>
          <w:rFonts w:eastAsia="Calibri"/>
          <w:color w:val="000000" w:themeColor="text1"/>
          <w:lang w:eastAsia="fr-FR" w:bidi="ar-SA"/>
        </w:rPr>
        <w:t>et 2015. Pour l</w:t>
      </w:r>
      <w:r w:rsidRPr="008D45CE">
        <w:rPr>
          <w:rFonts w:eastAsia="Calibri"/>
          <w:color w:val="000000" w:themeColor="text1"/>
          <w:lang w:eastAsia="fr-FR" w:bidi="ar-SA"/>
        </w:rPr>
        <w:t>es</w:t>
      </w:r>
      <w:r>
        <w:rPr>
          <w:rFonts w:eastAsia="Calibri"/>
          <w:color w:val="000000" w:themeColor="text1"/>
          <w:lang w:eastAsia="fr-FR" w:bidi="ar-SA"/>
        </w:rPr>
        <w:t xml:space="preserve"> dépenses de santé des ménages, elles sont passées de </w:t>
      </w:r>
      <w:r w:rsidRPr="00DF26D8">
        <w:rPr>
          <w:rFonts w:eastAsia="Calibri"/>
          <w:color w:val="000000" w:themeColor="text1"/>
          <w:lang w:eastAsia="fr-FR" w:bidi="ar-SA"/>
        </w:rPr>
        <w:t xml:space="preserve">49 806 </w:t>
      </w:r>
      <w:smartTag w:uri="urn:schemas-microsoft-com:office:smarttags" w:element="phone">
        <w:smartTagPr>
          <w:attr w:uri="urn:schemas-microsoft-com:office:office" w:name="ls" w:val="trans"/>
        </w:smartTagPr>
        <w:r w:rsidRPr="00DF26D8">
          <w:rPr>
            <w:rFonts w:eastAsia="Calibri"/>
            <w:color w:val="000000" w:themeColor="text1"/>
            <w:lang w:eastAsia="fr-FR" w:bidi="ar-SA"/>
          </w:rPr>
          <w:t>377</w:t>
        </w:r>
        <w:r>
          <w:rPr>
            <w:rFonts w:eastAsia="Calibri"/>
            <w:color w:val="000000" w:themeColor="text1"/>
            <w:lang w:eastAsia="fr-FR" w:bidi="ar-SA"/>
          </w:rPr>
          <w:t> </w:t>
        </w:r>
        <w:r w:rsidRPr="00DF26D8">
          <w:rPr>
            <w:rFonts w:eastAsia="Calibri"/>
            <w:color w:val="000000" w:themeColor="text1"/>
            <w:lang w:eastAsia="fr-FR" w:bidi="ar-SA"/>
          </w:rPr>
          <w:t>367</w:t>
        </w:r>
      </w:smartTag>
      <w:r>
        <w:rPr>
          <w:rFonts w:eastAsia="Calibri"/>
          <w:color w:val="000000" w:themeColor="text1"/>
          <w:lang w:eastAsia="fr-FR" w:bidi="ar-SA"/>
        </w:rPr>
        <w:t xml:space="preserve"> </w:t>
      </w:r>
      <w:r w:rsidRPr="008D45CE">
        <w:rPr>
          <w:rFonts w:eastAsia="Calibri"/>
          <w:color w:val="000000" w:themeColor="text1"/>
          <w:lang w:eastAsia="fr-FR" w:bidi="ar-SA"/>
        </w:rPr>
        <w:t xml:space="preserve">à </w:t>
      </w:r>
      <w:r w:rsidRPr="00DF26D8">
        <w:rPr>
          <w:rFonts w:eastAsia="Calibri"/>
          <w:color w:val="000000" w:themeColor="text1"/>
          <w:lang w:eastAsia="fr-FR" w:bidi="ar-SA"/>
        </w:rPr>
        <w:t xml:space="preserve">56 057 </w:t>
      </w:r>
      <w:smartTag w:uri="urn:schemas-microsoft-com:office:smarttags" w:element="phone">
        <w:smartTagPr>
          <w:attr w:uri="urn:schemas-microsoft-com:office:office" w:name="ls" w:val="trans"/>
        </w:smartTagPr>
        <w:r w:rsidRPr="00DF26D8">
          <w:rPr>
            <w:rFonts w:eastAsia="Calibri"/>
            <w:color w:val="000000" w:themeColor="text1"/>
            <w:lang w:eastAsia="fr-FR" w:bidi="ar-SA"/>
          </w:rPr>
          <w:t>516 520</w:t>
        </w:r>
      </w:smartTag>
      <w:r w:rsidRPr="008D45CE">
        <w:rPr>
          <w:rFonts w:eastAsia="Calibri"/>
          <w:color w:val="000000" w:themeColor="text1"/>
          <w:lang w:eastAsia="fr-FR" w:bidi="ar-SA"/>
        </w:rPr>
        <w:t xml:space="preserve"> </w:t>
      </w:r>
      <w:r w:rsidR="00723AE6">
        <w:rPr>
          <w:rFonts w:eastAsia="Calibri"/>
          <w:color w:val="000000" w:themeColor="text1"/>
          <w:lang w:eastAsia="fr-FR" w:bidi="ar-SA"/>
        </w:rPr>
        <w:t xml:space="preserve">en FCFA ( soit de </w:t>
      </w:r>
      <w:r>
        <w:rPr>
          <w:rFonts w:eastAsia="Calibri"/>
          <w:color w:val="000000" w:themeColor="text1"/>
          <w:lang w:eastAsia="fr-FR" w:bidi="ar-SA"/>
        </w:rPr>
        <w:t xml:space="preserve">41% </w:t>
      </w:r>
      <w:r w:rsidR="00723AE6">
        <w:rPr>
          <w:rFonts w:eastAsia="Calibri"/>
          <w:color w:val="000000" w:themeColor="text1"/>
          <w:lang w:eastAsia="fr-FR" w:bidi="ar-SA"/>
        </w:rPr>
        <w:t xml:space="preserve"> en 2011 à </w:t>
      </w:r>
      <w:r>
        <w:rPr>
          <w:rFonts w:eastAsia="Calibri"/>
          <w:color w:val="000000" w:themeColor="text1"/>
          <w:lang w:eastAsia="fr-FR" w:bidi="ar-SA"/>
        </w:rPr>
        <w:t>34% en 2015). En ce qui concerne l</w:t>
      </w:r>
      <w:r w:rsidRPr="008D45CE">
        <w:rPr>
          <w:rFonts w:eastAsia="Calibri"/>
          <w:color w:val="000000" w:themeColor="text1"/>
          <w:lang w:eastAsia="fr-FR" w:bidi="ar-SA"/>
        </w:rPr>
        <w:t>e Reste du monde</w:t>
      </w:r>
      <w:r w:rsidR="00723AE6">
        <w:rPr>
          <w:rFonts w:eastAsia="Calibri"/>
          <w:color w:val="000000" w:themeColor="text1"/>
          <w:lang w:eastAsia="fr-FR" w:bidi="ar-SA"/>
        </w:rPr>
        <w:t>,</w:t>
      </w:r>
      <w:r w:rsidRPr="008D45CE">
        <w:rPr>
          <w:rFonts w:eastAsia="Calibri"/>
          <w:color w:val="000000" w:themeColor="text1"/>
          <w:lang w:eastAsia="fr-FR" w:bidi="ar-SA"/>
        </w:rPr>
        <w:t xml:space="preserve"> </w:t>
      </w:r>
      <w:r>
        <w:rPr>
          <w:rFonts w:eastAsia="Calibri"/>
          <w:color w:val="000000" w:themeColor="text1"/>
          <w:lang w:eastAsia="fr-FR" w:bidi="ar-SA"/>
        </w:rPr>
        <w:t xml:space="preserve">sa dépense courante de santé est passée de </w:t>
      </w:r>
      <w:r w:rsidRPr="00DF26D8">
        <w:rPr>
          <w:rFonts w:eastAsia="Calibri"/>
          <w:color w:val="000000" w:themeColor="text1"/>
          <w:lang w:eastAsia="fr-FR" w:bidi="ar-SA"/>
        </w:rPr>
        <w:t xml:space="preserve">57 435 </w:t>
      </w:r>
      <w:smartTag w:uri="urn:schemas-microsoft-com:office:smarttags" w:element="phone">
        <w:smartTagPr>
          <w:attr w:uri="urn:schemas-microsoft-com:office:office" w:name="ls" w:val="trans"/>
        </w:smartTagPr>
        <w:r w:rsidRPr="00DF26D8">
          <w:rPr>
            <w:rFonts w:eastAsia="Calibri"/>
            <w:color w:val="000000" w:themeColor="text1"/>
            <w:lang w:eastAsia="fr-FR" w:bidi="ar-SA"/>
          </w:rPr>
          <w:t>084 957</w:t>
        </w:r>
      </w:smartTag>
      <w:r w:rsidRPr="00DF26D8">
        <w:rPr>
          <w:rFonts w:eastAsia="Calibri"/>
          <w:color w:val="000000" w:themeColor="text1"/>
          <w:lang w:eastAsia="fr-FR" w:bidi="ar-SA"/>
        </w:rPr>
        <w:t xml:space="preserve"> </w:t>
      </w:r>
      <w:r>
        <w:rPr>
          <w:rFonts w:eastAsia="Calibri"/>
          <w:color w:val="000000" w:themeColor="text1"/>
          <w:lang w:eastAsia="fr-FR" w:bidi="ar-SA"/>
        </w:rPr>
        <w:t>en 2011</w:t>
      </w:r>
      <w:r w:rsidR="00723AE6">
        <w:rPr>
          <w:rFonts w:eastAsia="Calibri"/>
          <w:color w:val="000000" w:themeColor="text1"/>
          <w:lang w:eastAsia="fr-FR" w:bidi="ar-SA"/>
        </w:rPr>
        <w:t xml:space="preserve">, </w:t>
      </w:r>
      <w:r>
        <w:rPr>
          <w:rFonts w:eastAsia="Calibri"/>
          <w:color w:val="000000" w:themeColor="text1"/>
          <w:lang w:eastAsia="fr-FR" w:bidi="ar-SA"/>
        </w:rPr>
        <w:t xml:space="preserve"> </w:t>
      </w:r>
      <w:r w:rsidRPr="008D45CE">
        <w:rPr>
          <w:rFonts w:eastAsia="Calibri"/>
          <w:color w:val="000000" w:themeColor="text1"/>
          <w:lang w:eastAsia="fr-FR" w:bidi="ar-SA"/>
        </w:rPr>
        <w:t xml:space="preserve">soit </w:t>
      </w:r>
      <w:r>
        <w:rPr>
          <w:rFonts w:eastAsia="Calibri"/>
          <w:color w:val="000000" w:themeColor="text1"/>
          <w:lang w:eastAsia="fr-FR" w:bidi="ar-SA"/>
        </w:rPr>
        <w:t xml:space="preserve">47 </w:t>
      </w:r>
      <w:r w:rsidRPr="008D45CE">
        <w:rPr>
          <w:rFonts w:eastAsia="Calibri"/>
          <w:color w:val="000000" w:themeColor="text1"/>
          <w:lang w:eastAsia="fr-FR" w:bidi="ar-SA"/>
        </w:rPr>
        <w:t>%</w:t>
      </w:r>
      <w:r>
        <w:rPr>
          <w:rFonts w:eastAsia="Calibri"/>
          <w:color w:val="000000" w:themeColor="text1"/>
          <w:lang w:eastAsia="fr-FR" w:bidi="ar-SA"/>
        </w:rPr>
        <w:t xml:space="preserve"> de la DCS  à </w:t>
      </w:r>
      <w:r w:rsidRPr="00DF26D8">
        <w:rPr>
          <w:rFonts w:eastAsia="Calibri"/>
          <w:color w:val="000000" w:themeColor="text1"/>
          <w:lang w:eastAsia="fr-FR" w:bidi="ar-SA"/>
        </w:rPr>
        <w:t xml:space="preserve">32 664 </w:t>
      </w:r>
      <w:smartTag w:uri="urn:schemas-microsoft-com:office:smarttags" w:element="phone">
        <w:smartTagPr>
          <w:attr w:uri="urn:schemas-microsoft-com:office:office" w:name="ls" w:val="trans"/>
        </w:smartTagPr>
        <w:r w:rsidRPr="00DF26D8">
          <w:rPr>
            <w:rFonts w:eastAsia="Calibri"/>
            <w:color w:val="000000" w:themeColor="text1"/>
            <w:lang w:eastAsia="fr-FR" w:bidi="ar-SA"/>
          </w:rPr>
          <w:t>460</w:t>
        </w:r>
        <w:r>
          <w:rPr>
            <w:rFonts w:eastAsia="Calibri"/>
            <w:color w:val="000000" w:themeColor="text1"/>
            <w:lang w:eastAsia="fr-FR" w:bidi="ar-SA"/>
          </w:rPr>
          <w:t> </w:t>
        </w:r>
        <w:r w:rsidRPr="00DF26D8">
          <w:rPr>
            <w:rFonts w:eastAsia="Calibri"/>
            <w:color w:val="000000" w:themeColor="text1"/>
            <w:lang w:eastAsia="fr-FR" w:bidi="ar-SA"/>
          </w:rPr>
          <w:t>195</w:t>
        </w:r>
      </w:smartTag>
      <w:r>
        <w:rPr>
          <w:rFonts w:eastAsia="Calibri"/>
          <w:color w:val="000000" w:themeColor="text1"/>
          <w:lang w:eastAsia="fr-FR" w:bidi="ar-SA"/>
        </w:rPr>
        <w:t xml:space="preserve"> FCFA</w:t>
      </w:r>
      <w:r w:rsidR="00723AE6">
        <w:rPr>
          <w:rFonts w:eastAsia="Calibri"/>
          <w:color w:val="000000" w:themeColor="text1"/>
          <w:lang w:eastAsia="fr-FR" w:bidi="ar-SA"/>
        </w:rPr>
        <w:t>,</w:t>
      </w:r>
      <w:r>
        <w:rPr>
          <w:rFonts w:eastAsia="Calibri"/>
          <w:color w:val="000000" w:themeColor="text1"/>
          <w:lang w:eastAsia="fr-FR" w:bidi="ar-SA"/>
        </w:rPr>
        <w:t xml:space="preserve"> soit 19% </w:t>
      </w:r>
      <w:r w:rsidRPr="008D45CE">
        <w:rPr>
          <w:rFonts w:eastAsia="Calibri"/>
          <w:color w:val="000000" w:themeColor="text1"/>
          <w:lang w:eastAsia="fr-FR" w:bidi="ar-SA"/>
        </w:rPr>
        <w:t>en 2015.</w:t>
      </w:r>
      <w:r>
        <w:rPr>
          <w:rFonts w:eastAsia="Calibri"/>
          <w:color w:val="000000" w:themeColor="text1"/>
          <w:lang w:eastAsia="fr-FR" w:bidi="ar-SA"/>
        </w:rPr>
        <w:t xml:space="preserve">On note une décroissance de </w:t>
      </w:r>
      <w:r w:rsidRPr="008D45CE">
        <w:rPr>
          <w:rFonts w:eastAsia="Calibri"/>
          <w:color w:val="000000" w:themeColor="text1"/>
          <w:lang w:eastAsia="fr-FR" w:bidi="ar-SA"/>
        </w:rPr>
        <w:t xml:space="preserve"> </w:t>
      </w:r>
      <w:r>
        <w:rPr>
          <w:rFonts w:eastAsia="Calibri"/>
          <w:color w:val="000000" w:themeColor="text1"/>
          <w:lang w:eastAsia="fr-FR" w:bidi="ar-SA"/>
        </w:rPr>
        <w:t xml:space="preserve">28%. </w:t>
      </w:r>
    </w:p>
    <w:p w:rsidR="00955D55" w:rsidRPr="00477022" w:rsidRDefault="00955D55" w:rsidP="00955D55">
      <w:pPr>
        <w:jc w:val="both"/>
        <w:rPr>
          <w:rFonts w:eastAsia="Calibri"/>
          <w:color w:val="000000" w:themeColor="text1"/>
          <w:lang w:eastAsia="fr-FR" w:bidi="ar-SA"/>
        </w:rPr>
      </w:pPr>
      <w:r>
        <w:rPr>
          <w:rFonts w:eastAsia="Calibri"/>
          <w:color w:val="000000" w:themeColor="text1"/>
          <w:lang w:eastAsia="fr-FR" w:bidi="ar-SA"/>
        </w:rPr>
        <w:t>En ordre de grandeur, il apparait que p</w:t>
      </w:r>
      <w:r w:rsidRPr="00477022">
        <w:rPr>
          <w:rFonts w:eastAsia="Calibri"/>
          <w:color w:val="000000" w:themeColor="text1"/>
          <w:lang w:eastAsia="fr-FR" w:bidi="ar-SA"/>
        </w:rPr>
        <w:t xml:space="preserve">lus de 40% de la DCS est assurée par les fonds publics. Les ménages arrivent en deuxième position avec 37% de la DCS. Enfin les Bailleurs représentent la troisième source de financement avec 21% de la DCS </w:t>
      </w:r>
    </w:p>
    <w:p w:rsidR="00955D55" w:rsidRDefault="00955D55" w:rsidP="00955D55">
      <w:pPr>
        <w:autoSpaceDE w:val="0"/>
        <w:autoSpaceDN w:val="0"/>
        <w:adjustRightInd w:val="0"/>
        <w:jc w:val="both"/>
        <w:rPr>
          <w:rFonts w:eastAsia="Calibri"/>
          <w:color w:val="000000" w:themeColor="text1"/>
          <w:lang w:eastAsia="fr-FR" w:bidi="ar-SA"/>
        </w:rPr>
      </w:pPr>
    </w:p>
    <w:p w:rsidR="00955D55" w:rsidRDefault="00955D55" w:rsidP="00955D55">
      <w:pPr>
        <w:autoSpaceDE w:val="0"/>
        <w:autoSpaceDN w:val="0"/>
        <w:adjustRightInd w:val="0"/>
        <w:jc w:val="both"/>
        <w:rPr>
          <w:rFonts w:eastAsia="Calibri"/>
          <w:color w:val="000000" w:themeColor="text1"/>
          <w:lang w:eastAsia="fr-FR" w:bidi="ar-SA"/>
        </w:rPr>
      </w:pPr>
      <w:r w:rsidRPr="008D45CE">
        <w:rPr>
          <w:rFonts w:eastAsia="Calibri"/>
          <w:color w:val="000000" w:themeColor="text1"/>
          <w:lang w:eastAsia="fr-FR" w:bidi="ar-SA"/>
        </w:rPr>
        <w:t>Malgré les efforts co</w:t>
      </w:r>
      <w:r>
        <w:rPr>
          <w:rFonts w:eastAsia="Calibri"/>
          <w:color w:val="000000" w:themeColor="text1"/>
          <w:lang w:eastAsia="fr-FR" w:bidi="ar-SA"/>
        </w:rPr>
        <w:t xml:space="preserve">nsentis par le gouvernement, les ménages congolais sont toujours exposés à des dépenses catastrophiques et appauvrissantes car leur mode de financement reste le paiement direct sans partage des coûts. A peine une tranche de la population des travailleurs bénéficie d’une couverture partielle de la prise en charge de leurs soins de santé de la part de leurs employeurs (1% de la DCS). </w:t>
      </w:r>
    </w:p>
    <w:p w:rsidR="00050EB7" w:rsidRDefault="00955D55" w:rsidP="00050EB7">
      <w:pPr>
        <w:pStyle w:val="Style2"/>
        <w:rPr>
          <w:color w:val="000000" w:themeColor="text1"/>
          <w:lang w:val="fr-CD"/>
        </w:rPr>
      </w:pPr>
      <w:r>
        <w:rPr>
          <w:color w:val="000000" w:themeColor="text1"/>
        </w:rPr>
        <w:t xml:space="preserve">Le principal régime de financement est </w:t>
      </w:r>
      <w:r>
        <w:rPr>
          <w:color w:val="000000" w:themeColor="text1"/>
          <w:lang w:val="fr-CD"/>
        </w:rPr>
        <w:t>le régime de l’administration publique</w:t>
      </w:r>
      <w:r w:rsidR="00050EB7">
        <w:rPr>
          <w:color w:val="000000" w:themeColor="text1"/>
          <w:lang w:val="fr-CD"/>
        </w:rPr>
        <w:t xml:space="preserve"> avec 60% de la DCS</w:t>
      </w:r>
      <w:r w:rsidR="007154EC">
        <w:rPr>
          <w:color w:val="000000" w:themeColor="text1"/>
          <w:lang w:val="fr-CD"/>
        </w:rPr>
        <w:t>.</w:t>
      </w:r>
      <w:r>
        <w:rPr>
          <w:color w:val="000000" w:themeColor="text1"/>
          <w:lang w:val="fr-CD"/>
        </w:rPr>
        <w:t xml:space="preserve"> </w:t>
      </w:r>
      <w:r w:rsidR="00050EB7">
        <w:rPr>
          <w:color w:val="000000" w:themeColor="text1"/>
          <w:lang w:val="fr-CD"/>
        </w:rPr>
        <w:t xml:space="preserve">Il est géré principalement par le Ministère de la santé et de la population. </w:t>
      </w:r>
    </w:p>
    <w:p w:rsidR="00050EB7" w:rsidRDefault="00050EB7" w:rsidP="00050EB7">
      <w:pPr>
        <w:pStyle w:val="Style2"/>
        <w:rPr>
          <w:color w:val="000000" w:themeColor="text1"/>
        </w:rPr>
      </w:pPr>
      <w:r>
        <w:rPr>
          <w:color w:val="000000" w:themeColor="text1"/>
          <w:lang w:val="fr-CD"/>
        </w:rPr>
        <w:t>L</w:t>
      </w:r>
      <w:r w:rsidR="00955D55">
        <w:rPr>
          <w:color w:val="000000" w:themeColor="text1"/>
          <w:lang w:val="fr-CD"/>
        </w:rPr>
        <w:t xml:space="preserve">e régime de paiement direct qui représente 37% de la DCS est </w:t>
      </w:r>
      <w:r w:rsidR="00955D55">
        <w:rPr>
          <w:color w:val="000000" w:themeColor="text1"/>
        </w:rPr>
        <w:t xml:space="preserve">géré </w:t>
      </w:r>
      <w:r>
        <w:rPr>
          <w:color w:val="000000" w:themeColor="text1"/>
          <w:lang w:val="fr-CD"/>
        </w:rPr>
        <w:t>par les</w:t>
      </w:r>
      <w:r w:rsidR="00955D55">
        <w:rPr>
          <w:color w:val="000000" w:themeColor="text1"/>
          <w:lang w:val="fr-CD"/>
        </w:rPr>
        <w:t xml:space="preserve"> ménages.</w:t>
      </w:r>
      <w:r w:rsidR="00955D55" w:rsidRPr="00901EA2">
        <w:rPr>
          <w:color w:val="000000" w:themeColor="text1"/>
        </w:rPr>
        <w:t xml:space="preserve"> </w:t>
      </w:r>
    </w:p>
    <w:p w:rsidR="00955D55" w:rsidRDefault="00050EB7" w:rsidP="00050EB7">
      <w:pPr>
        <w:pStyle w:val="Style2"/>
        <w:rPr>
          <w:color w:val="000000" w:themeColor="text1"/>
        </w:rPr>
      </w:pPr>
      <w:r>
        <w:rPr>
          <w:color w:val="000000" w:themeColor="text1"/>
        </w:rPr>
        <w:t>Le reste</w:t>
      </w:r>
      <w:r w:rsidR="00955D55">
        <w:rPr>
          <w:color w:val="000000" w:themeColor="text1"/>
        </w:rPr>
        <w:t xml:space="preserve"> du monde quant à </w:t>
      </w:r>
      <w:r>
        <w:rPr>
          <w:color w:val="000000" w:themeColor="text1"/>
        </w:rPr>
        <w:t>lui, n'a</w:t>
      </w:r>
      <w:r w:rsidR="00955D55">
        <w:rPr>
          <w:color w:val="000000" w:themeColor="text1"/>
        </w:rPr>
        <w:t xml:space="preserve"> géré qu'une très faible partie </w:t>
      </w:r>
      <w:r>
        <w:rPr>
          <w:color w:val="000000" w:themeColor="text1"/>
        </w:rPr>
        <w:t>de la DCS (plus ou moins 2%</w:t>
      </w:r>
      <w:r w:rsidR="00955D55">
        <w:rPr>
          <w:color w:val="000000" w:themeColor="text1"/>
        </w:rPr>
        <w:t xml:space="preserve">). </w:t>
      </w:r>
    </w:p>
    <w:p w:rsidR="00955D55" w:rsidRDefault="00955D55" w:rsidP="00955D55">
      <w:pPr>
        <w:pStyle w:val="Style2"/>
        <w:rPr>
          <w:rFonts w:eastAsia="Calibri"/>
          <w:color w:val="000000" w:themeColor="text1"/>
        </w:rPr>
      </w:pPr>
      <w:r>
        <w:rPr>
          <w:rFonts w:eastAsia="Calibri"/>
          <w:color w:val="000000" w:themeColor="text1"/>
          <w:lang w:eastAsia="fr-FR" w:bidi="ar-SA"/>
        </w:rPr>
        <w:t xml:space="preserve">De 2011 à 2015, les Dépenses Courante de Santé effectuées par prestataire étaient en moyenne de l’ordre de : 27% </w:t>
      </w:r>
      <w:r>
        <w:rPr>
          <w:rFonts w:eastAsia="Calibri"/>
          <w:color w:val="000000" w:themeColor="text1"/>
        </w:rPr>
        <w:t>pour les hôpitaux, 25% pour les centres de soins ambulatoires ; 22% pour l</w:t>
      </w:r>
      <w:r w:rsidRPr="00B22F8C">
        <w:rPr>
          <w:rFonts w:eastAsia="Calibri"/>
          <w:color w:val="000000" w:themeColor="text1"/>
        </w:rPr>
        <w:t xml:space="preserve">’administration et financement du système </w:t>
      </w:r>
      <w:r>
        <w:rPr>
          <w:rFonts w:eastAsia="Calibri"/>
          <w:color w:val="000000" w:themeColor="text1"/>
        </w:rPr>
        <w:t>de soins de santé, 18% pour les d</w:t>
      </w:r>
      <w:r w:rsidRPr="00E60A37">
        <w:t>étaillants et autres prestataires des biens médicaux</w:t>
      </w:r>
      <w:r>
        <w:rPr>
          <w:rFonts w:eastAsia="Calibri"/>
          <w:color w:val="000000" w:themeColor="text1"/>
        </w:rPr>
        <w:t xml:space="preserve"> (pharmacie et autres) et 3% pour les prestataires de services auxiliaires.</w:t>
      </w:r>
    </w:p>
    <w:p w:rsidR="00955D55" w:rsidRDefault="00955D55" w:rsidP="00955D55">
      <w:pPr>
        <w:pStyle w:val="Style2"/>
      </w:pPr>
      <w:r>
        <w:rPr>
          <w:rFonts w:eastAsia="Calibri"/>
          <w:color w:val="000000" w:themeColor="text1"/>
        </w:rPr>
        <w:t xml:space="preserve">Selon les activités, la DCS a été répartie en moyenne comme suit : </w:t>
      </w:r>
      <w:r w:rsidRPr="000C66AC">
        <w:t xml:space="preserve">24% </w:t>
      </w:r>
      <w:r>
        <w:t xml:space="preserve">pour la </w:t>
      </w:r>
      <w:r w:rsidRPr="000C66AC">
        <w:t>gouvernance</w:t>
      </w:r>
      <w:r>
        <w:t>,</w:t>
      </w:r>
      <w:r w:rsidRPr="000C66AC">
        <w:rPr>
          <w:rFonts w:eastAsia="Calibri"/>
          <w:color w:val="000000" w:themeColor="text1"/>
        </w:rPr>
        <w:t xml:space="preserve"> </w:t>
      </w:r>
      <w:r w:rsidRPr="000C66AC">
        <w:t>administration du système de santé</w:t>
      </w:r>
      <w:r>
        <w:t xml:space="preserve"> (supportées majoritairement par le gouvernement et les Bailleurs) ; </w:t>
      </w:r>
      <w:r w:rsidRPr="000C66AC">
        <w:rPr>
          <w:rFonts w:eastAsia="Calibri"/>
          <w:color w:val="000000" w:themeColor="text1"/>
        </w:rPr>
        <w:t xml:space="preserve"> 23% </w:t>
      </w:r>
      <w:r>
        <w:rPr>
          <w:rFonts w:eastAsia="Calibri"/>
          <w:color w:val="000000" w:themeColor="text1"/>
        </w:rPr>
        <w:t xml:space="preserve">pour les </w:t>
      </w:r>
      <w:r w:rsidRPr="000C66AC">
        <w:rPr>
          <w:rFonts w:eastAsia="Calibri"/>
          <w:color w:val="000000" w:themeColor="text1"/>
        </w:rPr>
        <w:t xml:space="preserve">soins </w:t>
      </w:r>
      <w:r w:rsidRPr="000C66AC">
        <w:t>curatifs hospitaliers</w:t>
      </w:r>
      <w:r>
        <w:t xml:space="preserve"> (supportées à plus de 25% par les ménages); </w:t>
      </w:r>
      <w:r w:rsidRPr="000C66AC">
        <w:t xml:space="preserve"> </w:t>
      </w:r>
      <w:r>
        <w:t xml:space="preserve">18% pour les médicaments délivrés sur ordonnances (supportées essentiellement par les ménages); 17% pour les soins curatifs </w:t>
      </w:r>
      <w:r w:rsidRPr="000C66AC">
        <w:t>ambulatoires</w:t>
      </w:r>
      <w:r>
        <w:t xml:space="preserve"> (supportées par le gouvernement, les ménages et les bailleurs) ; 15%</w:t>
      </w:r>
      <w:r w:rsidRPr="000C66AC">
        <w:t xml:space="preserve"> </w:t>
      </w:r>
      <w:r>
        <w:t xml:space="preserve">pour les </w:t>
      </w:r>
      <w:r w:rsidRPr="000C66AC">
        <w:t>soins préventif</w:t>
      </w:r>
      <w:r>
        <w:t>s</w:t>
      </w:r>
      <w:r w:rsidR="00050EB7">
        <w:t xml:space="preserve"> (supportée essentiellement par les Bailleurs) </w:t>
      </w:r>
      <w:r w:rsidRPr="000C66AC">
        <w:t xml:space="preserve"> </w:t>
      </w:r>
      <w:r w:rsidR="00050EB7">
        <w:t xml:space="preserve">et enfin </w:t>
      </w:r>
      <w:r w:rsidRPr="000C66AC">
        <w:t xml:space="preserve">1% </w:t>
      </w:r>
      <w:r>
        <w:t>pour l’</w:t>
      </w:r>
      <w:r w:rsidRPr="000C66AC">
        <w:t>imagerie</w:t>
      </w:r>
      <w:r>
        <w:t xml:space="preserve"> et services de laboratoires d’analyses médicales. </w:t>
      </w:r>
    </w:p>
    <w:p w:rsidR="00955D55" w:rsidRDefault="00955D55" w:rsidP="00955D55">
      <w:pPr>
        <w:pStyle w:val="Style2"/>
      </w:pPr>
    </w:p>
    <w:p w:rsidR="00955D55" w:rsidRDefault="00955D55" w:rsidP="00955D55">
      <w:pPr>
        <w:pStyle w:val="Style2"/>
      </w:pPr>
      <w:r>
        <w:t xml:space="preserve">De 2011 à 2015, hormis les autres dépenses non spécifiées, </w:t>
      </w:r>
      <w:r w:rsidR="00050EB7">
        <w:t xml:space="preserve">la DCS par facteur des prestation a été reparti en moyenne comme suit : </w:t>
      </w:r>
      <w:r>
        <w:t>25% pour les produits pharmaceutiques et autres</w:t>
      </w:r>
      <w:r w:rsidRPr="00BB1B83">
        <w:t xml:space="preserve"> </w:t>
      </w:r>
      <w:r>
        <w:t>produits pharmaceutiques ; 14%</w:t>
      </w:r>
      <w:r w:rsidRPr="00BB1B83">
        <w:t xml:space="preserve"> </w:t>
      </w:r>
      <w:r>
        <w:t xml:space="preserve">pour la rémunération ; 12% pour les services non sanitaires et les services de laboratoires et imagerie  et enfin 8% pour les biens non sanitaires. </w:t>
      </w:r>
    </w:p>
    <w:p w:rsidR="00955D55" w:rsidRDefault="00955D55" w:rsidP="00955D55">
      <w:pPr>
        <w:pStyle w:val="Style2"/>
      </w:pPr>
      <w:r>
        <w:t>Les produits pharmaceutiques et autres</w:t>
      </w:r>
      <w:r w:rsidRPr="00BB1B83">
        <w:t xml:space="preserve"> </w:t>
      </w:r>
      <w:r>
        <w:t>produits pharmaceutiques englobent les dépenses de médicaments des ménages délivrés sur ordonnances et les dépenses en médicaments achetés sur factures dans les hôpitaux</w:t>
      </w:r>
      <w:r w:rsidR="00132392">
        <w:t xml:space="preserve"> (hospitalisation)</w:t>
      </w:r>
      <w:r>
        <w:t xml:space="preserve">, et les autres médicaments (vaccins, ARV, </w:t>
      </w:r>
      <w:r w:rsidR="00132392">
        <w:t xml:space="preserve">médecine traditionnelle, </w:t>
      </w:r>
      <w:r>
        <w:t>etc</w:t>
      </w:r>
      <w:r w:rsidR="00132392">
        <w:t xml:space="preserve">.). </w:t>
      </w:r>
    </w:p>
    <w:p w:rsidR="00955D55" w:rsidRDefault="00955D55" w:rsidP="00955D55">
      <w:pPr>
        <w:spacing w:after="200" w:line="20" w:lineRule="atLeast"/>
        <w:jc w:val="both"/>
        <w:rPr>
          <w:color w:val="000000"/>
        </w:rPr>
      </w:pPr>
      <w:r>
        <w:rPr>
          <w:color w:val="000000"/>
        </w:rPr>
        <w:t xml:space="preserve">Il ressort de ce rapport </w:t>
      </w:r>
      <w:r w:rsidRPr="0027075D">
        <w:rPr>
          <w:color w:val="000000"/>
        </w:rPr>
        <w:t xml:space="preserve">que les maladies infectieuses </w:t>
      </w:r>
      <w:r w:rsidR="004430B1">
        <w:rPr>
          <w:color w:val="000000"/>
        </w:rPr>
        <w:t>et parasitaires représente</w:t>
      </w:r>
      <w:r w:rsidRPr="0027075D">
        <w:rPr>
          <w:color w:val="000000"/>
        </w:rPr>
        <w:t xml:space="preserve">  la p</w:t>
      </w:r>
      <w:r>
        <w:rPr>
          <w:color w:val="000000"/>
        </w:rPr>
        <w:t>remière part de la DCS publique</w:t>
      </w:r>
      <w:r w:rsidRPr="0027075D">
        <w:rPr>
          <w:color w:val="000000"/>
        </w:rPr>
        <w:t xml:space="preserve">. Cette part  a été en effet de 62% en 2011, 52% en 2013 et en moyenne de 49% entre 2012 et 2015. La santé de la reproduction a représenté  la </w:t>
      </w:r>
      <w:r>
        <w:rPr>
          <w:color w:val="000000"/>
        </w:rPr>
        <w:t>seconde part de la DCS publique</w:t>
      </w:r>
      <w:r w:rsidRPr="0027075D">
        <w:rPr>
          <w:color w:val="000000"/>
        </w:rPr>
        <w:t>. Elle a évolué de 17% à 36% entre 2011 et 2014 avant de redescendre à 26% en 2015.</w:t>
      </w:r>
      <w:r>
        <w:rPr>
          <w:color w:val="000000"/>
        </w:rPr>
        <w:t xml:space="preserve"> </w:t>
      </w:r>
    </w:p>
    <w:p w:rsidR="004430B1" w:rsidRDefault="004430B1" w:rsidP="00955D55">
      <w:pPr>
        <w:spacing w:after="200" w:line="20" w:lineRule="atLeast"/>
        <w:jc w:val="both"/>
        <w:rPr>
          <w:color w:val="000000"/>
        </w:rPr>
      </w:pPr>
      <w:r>
        <w:rPr>
          <w:color w:val="000000" w:themeColor="text1"/>
        </w:rPr>
        <w:t xml:space="preserve">les dépenses courantes en santé de SRMNE </w:t>
      </w:r>
      <w:r w:rsidR="00016E9F">
        <w:rPr>
          <w:color w:val="000000" w:themeColor="text1"/>
        </w:rPr>
        <w:t xml:space="preserve">couvrent la période de 2011 à 2014. Elles sont passées de </w:t>
      </w:r>
      <w:r w:rsidR="00016E9F" w:rsidRPr="00016E9F">
        <w:rPr>
          <w:color w:val="000000" w:themeColor="text1"/>
        </w:rPr>
        <w:t>28</w:t>
      </w:r>
      <w:r w:rsidR="00016E9F">
        <w:rPr>
          <w:color w:val="000000" w:themeColor="text1"/>
        </w:rPr>
        <w:t xml:space="preserve"> </w:t>
      </w:r>
      <w:r w:rsidR="00016E9F" w:rsidRPr="00016E9F">
        <w:rPr>
          <w:color w:val="000000" w:themeColor="text1"/>
        </w:rPr>
        <w:t>509</w:t>
      </w:r>
      <w:r w:rsidR="00016E9F">
        <w:rPr>
          <w:color w:val="000000" w:themeColor="text1"/>
        </w:rPr>
        <w:t xml:space="preserve"> </w:t>
      </w:r>
      <w:r w:rsidR="00016E9F" w:rsidRPr="00016E9F">
        <w:rPr>
          <w:color w:val="000000" w:themeColor="text1"/>
        </w:rPr>
        <w:t>209</w:t>
      </w:r>
      <w:r w:rsidR="00016E9F">
        <w:rPr>
          <w:color w:val="000000" w:themeColor="text1"/>
        </w:rPr>
        <w:t xml:space="preserve"> </w:t>
      </w:r>
      <w:r w:rsidR="00016E9F" w:rsidRPr="00016E9F">
        <w:rPr>
          <w:color w:val="000000" w:themeColor="text1"/>
        </w:rPr>
        <w:t>526</w:t>
      </w:r>
      <w:r w:rsidR="00016E9F">
        <w:rPr>
          <w:color w:val="000000" w:themeColor="text1"/>
        </w:rPr>
        <w:t xml:space="preserve"> (</w:t>
      </w:r>
      <w:r w:rsidR="00016E9F" w:rsidRPr="00016E9F">
        <w:rPr>
          <w:color w:val="000000" w:themeColor="text1"/>
        </w:rPr>
        <w:t>47 515 349,21</w:t>
      </w:r>
      <w:r w:rsidR="00016E9F">
        <w:rPr>
          <w:color w:val="000000" w:themeColor="text1"/>
        </w:rPr>
        <w:t xml:space="preserve"> USD)</w:t>
      </w:r>
      <w:r w:rsidR="00016E9F" w:rsidRPr="00016E9F">
        <w:rPr>
          <w:color w:val="000000" w:themeColor="text1"/>
        </w:rPr>
        <w:t xml:space="preserve"> à 72</w:t>
      </w:r>
      <w:r w:rsidR="00016E9F">
        <w:rPr>
          <w:color w:val="000000" w:themeColor="text1"/>
        </w:rPr>
        <w:t xml:space="preserve"> </w:t>
      </w:r>
      <w:r w:rsidR="00016E9F" w:rsidRPr="00016E9F">
        <w:rPr>
          <w:color w:val="000000" w:themeColor="text1"/>
        </w:rPr>
        <w:t>980</w:t>
      </w:r>
      <w:r w:rsidR="00016E9F">
        <w:rPr>
          <w:color w:val="000000" w:themeColor="text1"/>
        </w:rPr>
        <w:t xml:space="preserve"> </w:t>
      </w:r>
      <w:r w:rsidR="00016E9F" w:rsidRPr="00016E9F">
        <w:rPr>
          <w:color w:val="000000" w:themeColor="text1"/>
        </w:rPr>
        <w:t>606</w:t>
      </w:r>
      <w:r w:rsidR="00016E9F">
        <w:rPr>
          <w:color w:val="000000" w:themeColor="text1"/>
        </w:rPr>
        <w:t xml:space="preserve"> </w:t>
      </w:r>
      <w:r w:rsidR="00016E9F" w:rsidRPr="00016E9F">
        <w:rPr>
          <w:color w:val="000000" w:themeColor="text1"/>
        </w:rPr>
        <w:t xml:space="preserve">694 </w:t>
      </w:r>
      <w:r w:rsidR="00016E9F">
        <w:rPr>
          <w:color w:val="000000" w:themeColor="text1"/>
        </w:rPr>
        <w:t>FCFA  (</w:t>
      </w:r>
      <w:r w:rsidR="00016E9F" w:rsidRPr="00016E9F">
        <w:rPr>
          <w:color w:val="000000" w:themeColor="text1"/>
        </w:rPr>
        <w:t>121 634 344,49</w:t>
      </w:r>
      <w:r w:rsidR="00016E9F">
        <w:rPr>
          <w:color w:val="000000" w:themeColor="text1"/>
        </w:rPr>
        <w:t xml:space="preserve"> USD)</w:t>
      </w:r>
      <w:r w:rsidR="00016E9F" w:rsidRPr="00016E9F">
        <w:rPr>
          <w:color w:val="000000" w:themeColor="text1"/>
        </w:rPr>
        <w:t xml:space="preserve">  </w:t>
      </w:r>
      <w:r w:rsidR="00016E9F">
        <w:rPr>
          <w:color w:val="000000" w:themeColor="text1"/>
        </w:rPr>
        <w:t>de 2011 à 2014</w:t>
      </w:r>
      <w:r w:rsidR="00B34629">
        <w:rPr>
          <w:color w:val="000000" w:themeColor="text1"/>
        </w:rPr>
        <w:t>. Les ménages ont été la principale source de financement de 2011 à 2012. Toutefois en raison des mesures de gratuité instaurés par le Gouvernement en rapport avec la césarienne, le paludisme chez les enfants de 0 à 15 ans et des femmes enceintes, le VIH et la tuberculose, cette tendance a été renversé à partir de 2012</w:t>
      </w:r>
      <w:r w:rsidR="00CC271C">
        <w:rPr>
          <w:color w:val="000000" w:themeColor="text1"/>
        </w:rPr>
        <w:t xml:space="preserve"> jusqu'en 2014</w:t>
      </w:r>
      <w:r w:rsidR="00B34629">
        <w:rPr>
          <w:color w:val="000000" w:themeColor="text1"/>
        </w:rPr>
        <w:t xml:space="preserve"> en faveur du Gouvernement avec une contribution moyenne</w:t>
      </w:r>
      <w:r w:rsidR="00CC271C">
        <w:rPr>
          <w:color w:val="000000" w:themeColor="text1"/>
        </w:rPr>
        <w:t xml:space="preserve"> de 50%</w:t>
      </w:r>
      <w:r>
        <w:rPr>
          <w:color w:val="000000" w:themeColor="text1"/>
        </w:rPr>
        <w:t xml:space="preserve">.   </w:t>
      </w:r>
    </w:p>
    <w:p w:rsidR="00A10E04" w:rsidRPr="008D45CE" w:rsidRDefault="00A10E04" w:rsidP="00E40916">
      <w:pPr>
        <w:spacing w:after="200" w:line="20" w:lineRule="atLeast"/>
        <w:rPr>
          <w:color w:val="000000" w:themeColor="text1"/>
        </w:rPr>
      </w:pPr>
      <w:bookmarkStart w:id="23" w:name="_Toc465262334"/>
      <w:bookmarkStart w:id="24" w:name="_Toc483474586"/>
      <w:r w:rsidRPr="008D45CE">
        <w:rPr>
          <w:color w:val="000000" w:themeColor="text1"/>
        </w:rPr>
        <w:lastRenderedPageBreak/>
        <w:t>INTRODUCTION</w:t>
      </w:r>
      <w:bookmarkEnd w:id="23"/>
      <w:bookmarkEnd w:id="24"/>
    </w:p>
    <w:p w:rsidR="00F64A55" w:rsidRPr="008D45CE" w:rsidRDefault="00F64A55" w:rsidP="00F64A55">
      <w:pPr>
        <w:rPr>
          <w:color w:val="000000" w:themeColor="text1"/>
        </w:rPr>
      </w:pPr>
    </w:p>
    <w:p w:rsidR="001C7E67" w:rsidRPr="008D45CE" w:rsidRDefault="001C7E67" w:rsidP="001C7E67">
      <w:pPr>
        <w:contextualSpacing/>
        <w:jc w:val="both"/>
        <w:rPr>
          <w:rFonts w:eastAsia="+mn-ea"/>
          <w:bCs/>
          <w:color w:val="000000" w:themeColor="text1"/>
          <w:kern w:val="24"/>
          <w:lang w:eastAsia="fr-FR"/>
        </w:rPr>
      </w:pPr>
      <w:r w:rsidRPr="008D45CE">
        <w:rPr>
          <w:rFonts w:eastAsia="+mn-ea"/>
          <w:bCs/>
          <w:color w:val="000000" w:themeColor="text1"/>
          <w:kern w:val="24"/>
          <w:lang w:eastAsia="fr-FR"/>
        </w:rPr>
        <w:t xml:space="preserve">Depuis plus d’une décennie, la lutte contre la pauvreté est au centre des différents programmes économiques et sociaux des pouvoirs publics en Afrique. </w:t>
      </w:r>
    </w:p>
    <w:p w:rsidR="001C7E67" w:rsidRPr="008D45CE" w:rsidRDefault="001C7E67" w:rsidP="001C7E67">
      <w:pPr>
        <w:contextualSpacing/>
        <w:jc w:val="both"/>
        <w:rPr>
          <w:rFonts w:eastAsia="+mn-ea"/>
          <w:bCs/>
          <w:color w:val="000000" w:themeColor="text1"/>
          <w:kern w:val="24"/>
          <w:lang w:eastAsia="fr-FR"/>
        </w:rPr>
      </w:pPr>
    </w:p>
    <w:p w:rsidR="001C7E67" w:rsidRPr="008D45CE" w:rsidRDefault="001C7E67" w:rsidP="001C7E67">
      <w:pPr>
        <w:contextualSpacing/>
        <w:jc w:val="both"/>
        <w:rPr>
          <w:rFonts w:eastAsia="+mn-ea"/>
          <w:bCs/>
          <w:color w:val="000000" w:themeColor="text1"/>
          <w:kern w:val="24"/>
          <w:lang w:eastAsia="fr-FR"/>
        </w:rPr>
      </w:pPr>
      <w:r w:rsidRPr="008D45CE">
        <w:rPr>
          <w:rFonts w:eastAsia="+mn-ea"/>
          <w:bCs/>
          <w:color w:val="000000" w:themeColor="text1"/>
          <w:kern w:val="24"/>
          <w:lang w:eastAsia="fr-FR"/>
        </w:rPr>
        <w:t xml:space="preserve">L’amélioration (i) de l’accès des populations aux services santé et (ii) des indicateurs de santé de base est mentionnée comme objectif principal de toutes les stratégies santé des Documents Stratégiques de Réduction de la Pauvreté (DSRP) du Congo. </w:t>
      </w:r>
    </w:p>
    <w:p w:rsidR="001C7E67" w:rsidRPr="008D45CE" w:rsidRDefault="001C7E67" w:rsidP="001C7E67">
      <w:pPr>
        <w:contextualSpacing/>
        <w:jc w:val="both"/>
        <w:rPr>
          <w:rFonts w:eastAsia="+mn-ea"/>
          <w:bCs/>
          <w:color w:val="000000" w:themeColor="text1"/>
          <w:kern w:val="24"/>
          <w:lang w:eastAsia="fr-FR"/>
        </w:rPr>
      </w:pPr>
      <w:r w:rsidRPr="008D45CE">
        <w:rPr>
          <w:rFonts w:eastAsia="+mn-ea"/>
          <w:bCs/>
          <w:color w:val="000000" w:themeColor="text1"/>
          <w:kern w:val="24"/>
          <w:lang w:eastAsia="fr-FR"/>
        </w:rPr>
        <w:t xml:space="preserve">L’amélioration de la santé des populations induit des coûts additionnels. A ce titre, de nombreuses ressources financières sont investies dans la santé au Congo, cependant les indicateurs de santé restent très bas. Une meilleure compréhension du financement du système de santé Congolais pourrait aider à identifier les inefficacités dans le système et aider les décideurs à faire des choix plus efficients. </w:t>
      </w:r>
    </w:p>
    <w:p w:rsidR="001C7E67" w:rsidRPr="008D45CE" w:rsidRDefault="001C7E67" w:rsidP="001C7E67">
      <w:pPr>
        <w:contextualSpacing/>
        <w:jc w:val="both"/>
        <w:rPr>
          <w:rFonts w:eastAsia="+mn-ea"/>
          <w:bCs/>
          <w:color w:val="000000" w:themeColor="text1"/>
          <w:kern w:val="24"/>
          <w:lang w:eastAsia="fr-FR"/>
        </w:rPr>
      </w:pPr>
    </w:p>
    <w:p w:rsidR="001C7E67" w:rsidRPr="008D45CE" w:rsidRDefault="001C7E67" w:rsidP="001C7E67">
      <w:pPr>
        <w:contextualSpacing/>
        <w:jc w:val="both"/>
        <w:rPr>
          <w:rFonts w:eastAsia="+mn-ea"/>
          <w:bCs/>
          <w:color w:val="000000" w:themeColor="text1"/>
          <w:kern w:val="24"/>
          <w:lang w:eastAsia="fr-FR"/>
        </w:rPr>
      </w:pPr>
      <w:r w:rsidRPr="008D45CE">
        <w:rPr>
          <w:rFonts w:eastAsia="+mn-ea"/>
          <w:bCs/>
          <w:color w:val="000000" w:themeColor="text1"/>
          <w:kern w:val="24"/>
          <w:lang w:eastAsia="fr-FR"/>
        </w:rPr>
        <w:t xml:space="preserve">Les Comptes Nationaux de la Santé (CNS), constituent un outil utilisé au plan international, pour résumer, décrire et analyser le financement des systèmes de santé nationaux. A ce jour, les CNS ont été menés dans plus de 100 pays à moyen ou faible revenu, et contribuent à la réflexion sur l’amélioration du financement du système de santé. </w:t>
      </w:r>
    </w:p>
    <w:p w:rsidR="001C7E67" w:rsidRPr="008D45CE" w:rsidRDefault="001C7E67" w:rsidP="001C7E67">
      <w:pPr>
        <w:contextualSpacing/>
        <w:jc w:val="both"/>
        <w:rPr>
          <w:rFonts w:eastAsia="+mn-ea"/>
          <w:bCs/>
          <w:color w:val="000000" w:themeColor="text1"/>
          <w:kern w:val="24"/>
          <w:lang w:eastAsia="fr-FR"/>
        </w:rPr>
      </w:pPr>
      <w:r w:rsidRPr="008D45CE">
        <w:rPr>
          <w:rFonts w:eastAsia="+mn-ea"/>
          <w:bCs/>
          <w:color w:val="000000" w:themeColor="text1"/>
          <w:kern w:val="24"/>
          <w:lang w:eastAsia="fr-FR"/>
        </w:rPr>
        <w:t xml:space="preserve">Les CNS synthétisent à travers des matrices ou tableaux croisés, les différents aspects des dépenses de santé d'un pays. Ils incluent les dépenses de santé du secteur public, du secteur privé, des ménages ainsi que celles des ONGs et de la coopération internationale. </w:t>
      </w:r>
    </w:p>
    <w:p w:rsidR="001C7E67" w:rsidRPr="008D45CE" w:rsidRDefault="001C7E67" w:rsidP="001C7E67">
      <w:pPr>
        <w:contextualSpacing/>
        <w:jc w:val="both"/>
        <w:rPr>
          <w:rFonts w:eastAsia="+mn-ea"/>
          <w:bCs/>
          <w:color w:val="000000" w:themeColor="text1"/>
          <w:kern w:val="24"/>
          <w:lang w:eastAsia="fr-FR"/>
        </w:rPr>
      </w:pPr>
    </w:p>
    <w:p w:rsidR="001C7E67" w:rsidRPr="008D45CE" w:rsidRDefault="001C7E67" w:rsidP="001C7E67">
      <w:pPr>
        <w:contextualSpacing/>
        <w:jc w:val="both"/>
        <w:rPr>
          <w:rFonts w:eastAsia="+mn-ea"/>
          <w:bCs/>
          <w:color w:val="000000" w:themeColor="text1"/>
          <w:kern w:val="24"/>
          <w:lang w:eastAsia="fr-FR"/>
        </w:rPr>
      </w:pPr>
      <w:r w:rsidRPr="008D45CE">
        <w:rPr>
          <w:rFonts w:eastAsia="+mn-ea"/>
          <w:bCs/>
          <w:color w:val="000000" w:themeColor="text1"/>
          <w:kern w:val="24"/>
          <w:lang w:eastAsia="fr-FR"/>
        </w:rPr>
        <w:t xml:space="preserve">Les CNS permettent de répondre aux questions suivantes : </w:t>
      </w:r>
    </w:p>
    <w:p w:rsidR="001C7E67" w:rsidRPr="00AA3513" w:rsidRDefault="001C7E67" w:rsidP="00682FE2">
      <w:pPr>
        <w:pStyle w:val="Paragraphedeliste"/>
        <w:numPr>
          <w:ilvl w:val="0"/>
          <w:numId w:val="10"/>
        </w:numPr>
        <w:jc w:val="both"/>
        <w:rPr>
          <w:rFonts w:ascii="Times New Roman" w:eastAsia="+mn-ea" w:hAnsi="Times New Roman"/>
          <w:bCs/>
          <w:color w:val="000000" w:themeColor="text1"/>
          <w:kern w:val="24"/>
          <w:lang w:eastAsia="fr-FR"/>
        </w:rPr>
      </w:pPr>
      <w:r w:rsidRPr="00AA3513">
        <w:rPr>
          <w:rFonts w:ascii="Times New Roman" w:eastAsia="+mn-ea" w:hAnsi="Times New Roman"/>
          <w:bCs/>
          <w:color w:val="000000" w:themeColor="text1"/>
          <w:kern w:val="24"/>
          <w:lang w:eastAsia="fr-FR"/>
        </w:rPr>
        <w:t xml:space="preserve">Qui paie pour les soins de santé ? </w:t>
      </w:r>
    </w:p>
    <w:p w:rsidR="001C7E67" w:rsidRPr="00AA3513" w:rsidRDefault="001C7E67" w:rsidP="00682FE2">
      <w:pPr>
        <w:pStyle w:val="Paragraphedeliste"/>
        <w:numPr>
          <w:ilvl w:val="0"/>
          <w:numId w:val="10"/>
        </w:numPr>
        <w:jc w:val="both"/>
        <w:rPr>
          <w:rFonts w:ascii="Times New Roman" w:eastAsia="+mn-ea" w:hAnsi="Times New Roman"/>
          <w:bCs/>
          <w:color w:val="000000" w:themeColor="text1"/>
          <w:kern w:val="24"/>
          <w:lang w:eastAsia="fr-FR"/>
        </w:rPr>
      </w:pPr>
      <w:r w:rsidRPr="00AA3513">
        <w:rPr>
          <w:rFonts w:ascii="Times New Roman" w:eastAsia="+mn-ea" w:hAnsi="Times New Roman"/>
          <w:bCs/>
          <w:color w:val="000000" w:themeColor="text1"/>
          <w:kern w:val="24"/>
          <w:lang w:eastAsia="fr-FR"/>
        </w:rPr>
        <w:t xml:space="preserve">Combien dépense chaque acteur du système et pour quel type de service ? </w:t>
      </w:r>
    </w:p>
    <w:p w:rsidR="001C7E67" w:rsidRPr="00AA3513" w:rsidRDefault="001C7E67" w:rsidP="00682FE2">
      <w:pPr>
        <w:pStyle w:val="Paragraphedeliste"/>
        <w:numPr>
          <w:ilvl w:val="0"/>
          <w:numId w:val="10"/>
        </w:numPr>
        <w:jc w:val="both"/>
        <w:rPr>
          <w:rFonts w:ascii="Times New Roman" w:eastAsia="+mn-ea" w:hAnsi="Times New Roman"/>
          <w:bCs/>
          <w:color w:val="000000" w:themeColor="text1"/>
          <w:kern w:val="24"/>
          <w:lang w:eastAsia="fr-FR"/>
        </w:rPr>
      </w:pPr>
      <w:r w:rsidRPr="00AA3513">
        <w:rPr>
          <w:rFonts w:ascii="Times New Roman" w:eastAsia="+mn-ea" w:hAnsi="Times New Roman"/>
          <w:bCs/>
          <w:color w:val="000000" w:themeColor="text1"/>
          <w:kern w:val="24"/>
          <w:lang w:eastAsia="fr-FR"/>
        </w:rPr>
        <w:t xml:space="preserve"> Comment ces fonds sont répartis dans les différents services de santé ? </w:t>
      </w:r>
    </w:p>
    <w:p w:rsidR="001C7E67" w:rsidRPr="00AA3513" w:rsidRDefault="001C7E67" w:rsidP="00682FE2">
      <w:pPr>
        <w:pStyle w:val="Paragraphedeliste"/>
        <w:numPr>
          <w:ilvl w:val="0"/>
          <w:numId w:val="10"/>
        </w:numPr>
        <w:jc w:val="both"/>
        <w:rPr>
          <w:rFonts w:ascii="Times New Roman" w:eastAsia="+mn-ea" w:hAnsi="Times New Roman"/>
          <w:bCs/>
          <w:color w:val="000000" w:themeColor="text1"/>
          <w:kern w:val="24"/>
          <w:lang w:eastAsia="fr-FR"/>
        </w:rPr>
      </w:pPr>
      <w:r w:rsidRPr="00AA3513">
        <w:rPr>
          <w:rFonts w:ascii="Times New Roman" w:eastAsia="+mn-ea" w:hAnsi="Times New Roman"/>
          <w:bCs/>
          <w:color w:val="000000" w:themeColor="text1"/>
          <w:kern w:val="24"/>
          <w:lang w:eastAsia="fr-FR"/>
        </w:rPr>
        <w:t xml:space="preserve"> Qui bénéficie de ces dépenses de santé ? </w:t>
      </w:r>
    </w:p>
    <w:p w:rsidR="001C7E67" w:rsidRPr="008D45CE" w:rsidRDefault="001C7E67" w:rsidP="001C7E67">
      <w:pPr>
        <w:contextualSpacing/>
        <w:jc w:val="both"/>
        <w:rPr>
          <w:rFonts w:eastAsia="+mn-ea"/>
          <w:bCs/>
          <w:color w:val="000000" w:themeColor="text1"/>
          <w:kern w:val="24"/>
          <w:lang w:eastAsia="fr-FR"/>
        </w:rPr>
      </w:pPr>
    </w:p>
    <w:p w:rsidR="000E5A0A" w:rsidRPr="008D45CE" w:rsidRDefault="001C7E67" w:rsidP="001C7E67">
      <w:pPr>
        <w:contextualSpacing/>
        <w:jc w:val="both"/>
        <w:rPr>
          <w:rFonts w:eastAsia="+mn-ea"/>
          <w:bCs/>
          <w:color w:val="000000" w:themeColor="text1"/>
          <w:kern w:val="24"/>
          <w:lang w:eastAsia="fr-FR"/>
        </w:rPr>
      </w:pPr>
      <w:r w:rsidRPr="008D45CE">
        <w:rPr>
          <w:rFonts w:eastAsia="+mn-ea"/>
          <w:bCs/>
          <w:color w:val="000000" w:themeColor="text1"/>
          <w:kern w:val="24"/>
          <w:lang w:eastAsia="fr-FR"/>
        </w:rPr>
        <w:t>Le présent rapport résume l’essentiel des résultats de 5 exercices des Comptes de la Santé de la République du Congo, réalisé par l’</w:t>
      </w:r>
      <w:r w:rsidR="00AA3513" w:rsidRPr="008D45CE">
        <w:rPr>
          <w:rFonts w:eastAsia="+mn-ea"/>
          <w:bCs/>
          <w:color w:val="000000" w:themeColor="text1"/>
          <w:kern w:val="24"/>
          <w:lang w:eastAsia="fr-FR"/>
        </w:rPr>
        <w:t>équipe</w:t>
      </w:r>
      <w:r w:rsidRPr="008D45CE">
        <w:rPr>
          <w:rFonts w:eastAsia="+mn-ea"/>
          <w:bCs/>
          <w:color w:val="000000" w:themeColor="text1"/>
          <w:kern w:val="24"/>
          <w:lang w:eastAsia="fr-FR"/>
        </w:rPr>
        <w:t xml:space="preserve"> technique des CNS avec l’appui technique et le cofinancement de la Banque Mondiale et </w:t>
      </w:r>
      <w:r w:rsidR="00E40916">
        <w:rPr>
          <w:rFonts w:eastAsia="+mn-ea"/>
          <w:bCs/>
          <w:color w:val="000000" w:themeColor="text1"/>
          <w:kern w:val="24"/>
          <w:lang w:eastAsia="fr-FR"/>
        </w:rPr>
        <w:t xml:space="preserve">de </w:t>
      </w:r>
      <w:r w:rsidRPr="008D45CE">
        <w:rPr>
          <w:rFonts w:eastAsia="+mn-ea"/>
          <w:bCs/>
          <w:color w:val="000000" w:themeColor="text1"/>
          <w:kern w:val="24"/>
          <w:lang w:eastAsia="fr-FR"/>
        </w:rPr>
        <w:t>l’OMS.</w:t>
      </w:r>
      <w:r w:rsidRPr="008D45CE">
        <w:rPr>
          <w:rFonts w:eastAsiaTheme="minorHAnsi"/>
          <w:color w:val="000000" w:themeColor="text1"/>
          <w:sz w:val="22"/>
          <w:szCs w:val="22"/>
          <w:lang w:bidi="ar-SA"/>
        </w:rPr>
        <w:t xml:space="preserve"> </w:t>
      </w:r>
      <w:r w:rsidRPr="008D45CE">
        <w:rPr>
          <w:rFonts w:eastAsia="+mn-ea"/>
          <w:bCs/>
          <w:color w:val="000000" w:themeColor="text1"/>
          <w:kern w:val="24"/>
          <w:lang w:eastAsia="fr-FR"/>
        </w:rPr>
        <w:t>Les soins de santé sont de plus en plus assurés par une combinaison complexe et changeante d’entités à la fois publiques, privées ou associatives.</w:t>
      </w:r>
    </w:p>
    <w:p w:rsidR="001C7E67" w:rsidRPr="008D45CE" w:rsidRDefault="001C7E67" w:rsidP="001C7E67">
      <w:pPr>
        <w:contextualSpacing/>
        <w:jc w:val="both"/>
        <w:rPr>
          <w:rFonts w:eastAsia="+mn-ea"/>
          <w:bCs/>
          <w:color w:val="000000" w:themeColor="text1"/>
          <w:kern w:val="24"/>
          <w:lang w:eastAsia="fr-FR"/>
        </w:rPr>
      </w:pPr>
      <w:r w:rsidRPr="008D45CE">
        <w:rPr>
          <w:rFonts w:eastAsia="+mn-ea"/>
          <w:bCs/>
          <w:color w:val="000000" w:themeColor="text1"/>
          <w:kern w:val="24"/>
          <w:lang w:eastAsia="fr-FR"/>
        </w:rPr>
        <w:t>Les comptes nationaux de la santé (CNS) décrivent l’utilisation des ressources dans un système de santé et permettent de suivre les tendances des dépenses de santé et aussi de réaliser des comparaisons internationales entre pays ayant des niveaux de développement comparables.</w:t>
      </w:r>
    </w:p>
    <w:p w:rsidR="001C7E67" w:rsidRPr="008D45CE" w:rsidRDefault="001C7E67" w:rsidP="001C7E67">
      <w:pPr>
        <w:contextualSpacing/>
        <w:jc w:val="both"/>
        <w:rPr>
          <w:rFonts w:eastAsia="+mn-ea"/>
          <w:bCs/>
          <w:color w:val="000000" w:themeColor="text1"/>
          <w:kern w:val="24"/>
          <w:lang w:eastAsia="fr-FR"/>
        </w:rPr>
      </w:pPr>
      <w:r w:rsidRPr="008D45CE">
        <w:rPr>
          <w:rFonts w:eastAsia="+mn-ea"/>
          <w:bCs/>
          <w:color w:val="000000" w:themeColor="text1"/>
          <w:kern w:val="24"/>
          <w:lang w:eastAsia="fr-FR"/>
        </w:rPr>
        <w:t>Les comptes nationaux de  la santé (CNS) constituent un outil de suivi systématique, cohérent et exhaustif du flux des ressources du système de santé d’un pays.</w:t>
      </w:r>
    </w:p>
    <w:p w:rsidR="00A10E04" w:rsidRPr="008D45CE" w:rsidRDefault="001C7E67" w:rsidP="00C107CB">
      <w:pPr>
        <w:contextualSpacing/>
        <w:jc w:val="both"/>
        <w:rPr>
          <w:color w:val="000000" w:themeColor="text1"/>
        </w:rPr>
      </w:pPr>
      <w:r w:rsidRPr="008D45CE">
        <w:rPr>
          <w:rFonts w:eastAsia="+mn-ea"/>
          <w:bCs/>
          <w:color w:val="000000" w:themeColor="text1"/>
          <w:kern w:val="24"/>
          <w:lang w:eastAsia="fr-FR"/>
        </w:rPr>
        <w:t>Ils représentent un outil d’analyse de la politique de santé d’un pays, à travers son processus de conception, de sa mise en œuvre, de son suivi et enfin de son évaluation. Ils fournissent les preuves susceptibles d’aider les décideurs, les parties prenantes non gouvernementales, et les dirigeants et cadres à prendre des meilleures décisions dans leurs efforts pour améliorer la performance du système de santé.</w:t>
      </w:r>
    </w:p>
    <w:p w:rsidR="00A10E04" w:rsidRPr="008D45CE" w:rsidRDefault="00A10E04" w:rsidP="000E5A0A">
      <w:pPr>
        <w:contextualSpacing/>
        <w:jc w:val="both"/>
        <w:rPr>
          <w:rFonts w:eastAsia="+mn-ea"/>
          <w:bCs/>
          <w:color w:val="000000" w:themeColor="text1"/>
          <w:kern w:val="24"/>
          <w:lang w:eastAsia="fr-FR"/>
        </w:rPr>
      </w:pPr>
      <w:r w:rsidRPr="008D45CE">
        <w:rPr>
          <w:rFonts w:eastAsia="+mn-ea"/>
          <w:bCs/>
          <w:color w:val="000000" w:themeColor="text1"/>
          <w:kern w:val="24"/>
          <w:lang w:eastAsia="fr-FR"/>
        </w:rPr>
        <w:t xml:space="preserve">Le présent rapport a pour objectif principal de fournir une base solide d'informations sur le financement du secteur de santé de la </w:t>
      </w:r>
      <w:r w:rsidR="00C246FD">
        <w:rPr>
          <w:rFonts w:eastAsia="+mn-ea"/>
          <w:bCs/>
          <w:color w:val="000000" w:themeColor="text1"/>
          <w:kern w:val="24"/>
          <w:lang w:eastAsia="fr-FR"/>
        </w:rPr>
        <w:t>Republique du Congo</w:t>
      </w:r>
      <w:r w:rsidRPr="008D45CE">
        <w:rPr>
          <w:rFonts w:eastAsia="+mn-ea"/>
          <w:bCs/>
          <w:color w:val="000000" w:themeColor="text1"/>
          <w:kern w:val="24"/>
          <w:lang w:eastAsia="fr-FR"/>
        </w:rPr>
        <w:t xml:space="preserve">. Il   retrace également la situation du financement de la santé </w:t>
      </w:r>
      <w:r w:rsidR="00C246FD">
        <w:rPr>
          <w:rFonts w:eastAsia="+mn-ea"/>
          <w:bCs/>
          <w:color w:val="000000" w:themeColor="text1"/>
          <w:kern w:val="24"/>
          <w:lang w:eastAsia="fr-FR"/>
        </w:rPr>
        <w:t>du Congo de 201</w:t>
      </w:r>
      <w:r w:rsidR="000E5A0A" w:rsidRPr="008D45CE">
        <w:rPr>
          <w:rFonts w:eastAsia="+mn-ea"/>
          <w:bCs/>
          <w:color w:val="000000" w:themeColor="text1"/>
          <w:kern w:val="24"/>
          <w:lang w:eastAsia="fr-FR"/>
        </w:rPr>
        <w:t>1</w:t>
      </w:r>
      <w:r w:rsidRPr="008D45CE">
        <w:rPr>
          <w:rFonts w:eastAsia="+mn-ea"/>
          <w:bCs/>
          <w:color w:val="000000" w:themeColor="text1"/>
          <w:kern w:val="24"/>
          <w:lang w:eastAsia="fr-FR"/>
        </w:rPr>
        <w:t xml:space="preserve"> à 2015, de façon à suivre l’évolution des dépenses effectivement engagées et exécutées par les différents acteurs du secteur de la santé et de formuler les décisions politiques sur base des données probantes, en vue d’améliorer significativement le financement de la santé.</w:t>
      </w:r>
    </w:p>
    <w:p w:rsidR="00A10E04" w:rsidRPr="00413823" w:rsidRDefault="00A10E04" w:rsidP="00682FE2">
      <w:pPr>
        <w:pStyle w:val="Titre1"/>
        <w:numPr>
          <w:ilvl w:val="0"/>
          <w:numId w:val="6"/>
        </w:numPr>
        <w:tabs>
          <w:tab w:val="left" w:pos="284"/>
        </w:tabs>
        <w:ind w:left="284" w:hanging="295"/>
        <w:rPr>
          <w:color w:val="548DD4" w:themeColor="text2" w:themeTint="99"/>
        </w:rPr>
      </w:pPr>
      <w:bookmarkStart w:id="25" w:name="_Toc465262335"/>
      <w:bookmarkStart w:id="26" w:name="_Toc483474587"/>
      <w:r w:rsidRPr="00413823">
        <w:rPr>
          <w:color w:val="548DD4" w:themeColor="text2" w:themeTint="99"/>
        </w:rPr>
        <w:lastRenderedPageBreak/>
        <w:t>METHODOLOGIE</w:t>
      </w:r>
      <w:bookmarkEnd w:id="25"/>
      <w:bookmarkEnd w:id="26"/>
      <w:r w:rsidR="00EC3E90" w:rsidRPr="00413823">
        <w:rPr>
          <w:color w:val="548DD4" w:themeColor="text2" w:themeTint="99"/>
        </w:rPr>
        <w:t xml:space="preserve"> GENERALE</w:t>
      </w:r>
    </w:p>
    <w:p w:rsidR="00213B6D" w:rsidRPr="008D45CE" w:rsidRDefault="00704E95" w:rsidP="00213B6D">
      <w:pPr>
        <w:rPr>
          <w:color w:val="000000" w:themeColor="text1"/>
        </w:rPr>
      </w:pPr>
      <w:r>
        <w:rPr>
          <w:noProof/>
          <w:color w:val="000000" w:themeColor="text1"/>
          <w:lang w:eastAsia="fr-FR" w:bidi="ar-SA"/>
        </w:rPr>
        <mc:AlternateContent>
          <mc:Choice Requires="wps">
            <w:drawing>
              <wp:anchor distT="4294967291" distB="4294967291" distL="114300" distR="114300" simplePos="0" relativeHeight="251677696" behindDoc="0" locked="0" layoutInCell="1" allowOverlap="1">
                <wp:simplePos x="0" y="0"/>
                <wp:positionH relativeFrom="column">
                  <wp:posOffset>12065</wp:posOffset>
                </wp:positionH>
                <wp:positionV relativeFrom="paragraph">
                  <wp:posOffset>634</wp:posOffset>
                </wp:positionV>
                <wp:extent cx="5760085" cy="0"/>
                <wp:effectExtent l="0" t="0" r="12065" b="19050"/>
                <wp:wrapNone/>
                <wp:docPr id="65" name="AutoShap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600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77EC50B" id="_x0000_t32" coordsize="21600,21600" o:spt="32" o:oned="t" path="m,l21600,21600e" filled="f">
                <v:path arrowok="t" fillok="f" o:connecttype="none"/>
                <o:lock v:ext="edit" shapetype="t"/>
              </v:shapetype>
              <v:shape id="AutoShape 71" o:spid="_x0000_s1026" type="#_x0000_t32" style="position:absolute;margin-left:.95pt;margin-top:.05pt;width:453.55pt;height:0;flip:y;z-index:25167769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"/>
            </w:pict>
          </mc:Fallback>
        </mc:AlternateContent>
      </w:r>
    </w:p>
    <w:p w:rsidR="00422B49" w:rsidRPr="0057150A" w:rsidRDefault="00422B49" w:rsidP="00422B49">
      <w:pPr>
        <w:spacing w:line="360" w:lineRule="auto"/>
        <w:jc w:val="both"/>
      </w:pPr>
      <w:r w:rsidRPr="0057150A">
        <w:t>Le manuel des comptes nationaux de santé s’inspire et se fonde sur un certain nombre d’outils internationaux de comptabilité des dépenses de santé. Parmi ces outil</w:t>
      </w:r>
      <w:r w:rsidR="00413823">
        <w:t>s figurent</w:t>
      </w:r>
      <w:r w:rsidR="0013447B">
        <w:t xml:space="preserve"> en bonne place: (i)</w:t>
      </w:r>
      <w:r w:rsidR="00413823">
        <w:t xml:space="preserve"> </w:t>
      </w:r>
      <w:r w:rsidRPr="0057150A">
        <w:t xml:space="preserve">le système des comptes de la santé </w:t>
      </w:r>
      <w:r w:rsidR="0013447B">
        <w:t>(“SCS 1.0” et OCDE 2000),</w:t>
      </w:r>
      <w:r w:rsidR="00DC1E88">
        <w:t xml:space="preserve"> </w:t>
      </w:r>
      <w:r w:rsidRPr="0057150A">
        <w:t>(ii) le guide d’</w:t>
      </w:r>
      <w:r w:rsidR="0013447B" w:rsidRPr="0057150A">
        <w:t>élaboration</w:t>
      </w:r>
      <w:r w:rsidRPr="0057150A">
        <w:t xml:space="preserve"> des comptes de la santé, (iii) le guide des producteurs des comptes nationaux de santé (PG/OMS-Banque Mondiale USAID 2003) et le SHA (Eurostat/UK ONS 2003). </w:t>
      </w:r>
    </w:p>
    <w:p w:rsidR="00C57943" w:rsidRPr="0057150A" w:rsidRDefault="00422B49" w:rsidP="00C57943">
      <w:pPr>
        <w:spacing w:line="360" w:lineRule="auto"/>
        <w:jc w:val="both"/>
      </w:pPr>
      <w:r w:rsidRPr="0057150A">
        <w:t xml:space="preserve">Conformément à la méthodologie universelle des </w:t>
      </w:r>
      <w:r w:rsidRPr="00721EED">
        <w:t>comptes</w:t>
      </w:r>
      <w:r w:rsidRPr="0057150A">
        <w:t xml:space="preserve"> de la santé dictée par l’unité des comptes de l’Organisation de </w:t>
      </w:r>
      <w:r w:rsidR="0013447B" w:rsidRPr="0057150A">
        <w:t>Coopération</w:t>
      </w:r>
      <w:r w:rsidRPr="0057150A">
        <w:t xml:space="preserve"> et de </w:t>
      </w:r>
      <w:r w:rsidR="0013447B">
        <w:t>Développement Economique (OCDE)</w:t>
      </w:r>
      <w:r w:rsidRPr="0057150A">
        <w:t xml:space="preserve">, la collecte des données des </w:t>
      </w:r>
      <w:r w:rsidR="0013447B" w:rsidRPr="0057150A">
        <w:t>présents</w:t>
      </w:r>
      <w:r w:rsidRPr="0057150A">
        <w:t xml:space="preserve"> comptes nationaux s’est déroulé</w:t>
      </w:r>
      <w:r w:rsidR="00C107CB">
        <w:t>e</w:t>
      </w:r>
      <w:r w:rsidRPr="0057150A">
        <w:t xml:space="preserve">  dans toutes les structures ayant réalisé des dépenses de santé au Congo pendant la période allant de 2011 à 2015.</w:t>
      </w:r>
    </w:p>
    <w:p w:rsidR="00C57943" w:rsidRPr="008D45CE" w:rsidRDefault="00C57943" w:rsidP="00C57943">
      <w:pPr>
        <w:pStyle w:val="Style2"/>
        <w:rPr>
          <w:color w:val="000000" w:themeColor="text1"/>
          <w:szCs w:val="16"/>
        </w:rPr>
      </w:pPr>
      <w:r w:rsidRPr="008D45CE">
        <w:rPr>
          <w:color w:val="000000" w:themeColor="text1"/>
          <w:szCs w:val="16"/>
        </w:rPr>
        <w:t>Le questionnaire produit directement à l’aide du logiciel HAPT version 4.0.0.3 de production des comptes de la santé a permis de collecter les don</w:t>
      </w:r>
      <w:r w:rsidR="00DC1E88">
        <w:rPr>
          <w:color w:val="000000" w:themeColor="text1"/>
          <w:szCs w:val="16"/>
        </w:rPr>
        <w:t xml:space="preserve">nées de dépenses de santé. </w:t>
      </w:r>
    </w:p>
    <w:p w:rsidR="00D338DC" w:rsidRPr="009C37DB" w:rsidRDefault="00C47E20" w:rsidP="009C37DB">
      <w:pPr>
        <w:pStyle w:val="Titre2"/>
      </w:pPr>
      <w:r>
        <w:t>1</w:t>
      </w:r>
      <w:r w:rsidR="00922C24" w:rsidRPr="009C37DB">
        <w:t>.1. CO</w:t>
      </w:r>
      <w:r w:rsidR="00422B49" w:rsidRPr="009C37DB">
        <w:t>LLECTE</w:t>
      </w:r>
      <w:r w:rsidR="00297E44" w:rsidRPr="009C37DB">
        <w:t xml:space="preserve"> DES DONNEES</w:t>
      </w:r>
    </w:p>
    <w:p w:rsidR="00BE2594" w:rsidRDefault="00375623" w:rsidP="00422B49">
      <w:pPr>
        <w:spacing w:line="360" w:lineRule="auto"/>
        <w:jc w:val="both"/>
        <w:rPr>
          <w:color w:val="000000" w:themeColor="text1"/>
        </w:rPr>
      </w:pPr>
      <w:r>
        <w:rPr>
          <w:color w:val="000000" w:themeColor="text1"/>
        </w:rPr>
        <w:t>Deux types de collecte des données a été faite</w:t>
      </w:r>
      <w:r w:rsidR="00237387">
        <w:rPr>
          <w:color w:val="000000" w:themeColor="text1"/>
        </w:rPr>
        <w:t xml:space="preserve"> en 60 </w:t>
      </w:r>
      <w:r w:rsidR="005B2BA6">
        <w:rPr>
          <w:color w:val="000000" w:themeColor="text1"/>
        </w:rPr>
        <w:t>jours</w:t>
      </w:r>
      <w:r>
        <w:rPr>
          <w:color w:val="000000" w:themeColor="text1"/>
        </w:rPr>
        <w:t xml:space="preserve">, à savoir la collecte primaire et  secondaire. </w:t>
      </w:r>
      <w:r w:rsidR="00EC230C">
        <w:rPr>
          <w:color w:val="000000" w:themeColor="text1"/>
        </w:rPr>
        <w:t>Cette collecte de données était  effectuée dans l’ensemble du pays à deux niveaux, notamment, l</w:t>
      </w:r>
      <w:r>
        <w:rPr>
          <w:color w:val="000000" w:themeColor="text1"/>
        </w:rPr>
        <w:t>e</w:t>
      </w:r>
      <w:r w:rsidR="00EC230C">
        <w:rPr>
          <w:color w:val="000000" w:themeColor="text1"/>
        </w:rPr>
        <w:t xml:space="preserve"> niveau central et départemental. </w:t>
      </w:r>
    </w:p>
    <w:p w:rsidR="00CB4CA3" w:rsidRDefault="00EC230C" w:rsidP="00CB4CA3">
      <w:pPr>
        <w:jc w:val="both"/>
        <w:rPr>
          <w:color w:val="000000" w:themeColor="text1"/>
          <w:shd w:val="clear" w:color="auto" w:fill="FFFF00"/>
        </w:rPr>
      </w:pPr>
      <w:r>
        <w:rPr>
          <w:color w:val="000000" w:themeColor="text1"/>
        </w:rPr>
        <w:t xml:space="preserve">En ce qui concerne le niveau central, </w:t>
      </w:r>
      <w:r w:rsidR="00F80821">
        <w:rPr>
          <w:color w:val="000000" w:themeColor="text1"/>
        </w:rPr>
        <w:t xml:space="preserve">une collecte  </w:t>
      </w:r>
      <w:r w:rsidR="00F80821" w:rsidRPr="00531A67">
        <w:rPr>
          <w:color w:val="000000" w:themeColor="text1"/>
        </w:rPr>
        <w:t xml:space="preserve">des données </w:t>
      </w:r>
      <w:r w:rsidR="00F80821">
        <w:rPr>
          <w:color w:val="000000" w:themeColor="text1"/>
        </w:rPr>
        <w:t>primaire</w:t>
      </w:r>
      <w:r w:rsidR="001C2EF1">
        <w:rPr>
          <w:color w:val="000000" w:themeColor="text1"/>
        </w:rPr>
        <w:t>s</w:t>
      </w:r>
      <w:r w:rsidR="00A433BF">
        <w:rPr>
          <w:color w:val="000000" w:themeColor="text1"/>
        </w:rPr>
        <w:t xml:space="preserve"> a été réalisée </w:t>
      </w:r>
      <w:r w:rsidR="00102110" w:rsidRPr="00531A67">
        <w:rPr>
          <w:color w:val="000000" w:themeColor="text1"/>
        </w:rPr>
        <w:t>dans 65 structures regroupant à la fois: (i) administration central</w:t>
      </w:r>
      <w:r w:rsidR="00A433BF">
        <w:rPr>
          <w:color w:val="000000" w:themeColor="text1"/>
        </w:rPr>
        <w:t>e</w:t>
      </w:r>
      <w:r w:rsidR="00102110" w:rsidRPr="00531A67">
        <w:rPr>
          <w:color w:val="000000" w:themeColor="text1"/>
        </w:rPr>
        <w:t xml:space="preserve"> (ministères, directions générale</w:t>
      </w:r>
      <w:r w:rsidR="00A433BF">
        <w:rPr>
          <w:color w:val="000000" w:themeColor="text1"/>
        </w:rPr>
        <w:t>s</w:t>
      </w:r>
      <w:r w:rsidR="00102110" w:rsidRPr="00531A67">
        <w:rPr>
          <w:color w:val="000000" w:themeColor="text1"/>
        </w:rPr>
        <w:t>, inspection générale de la santé, directions rattachées), (ii)  les bailleurs de fonds bi et multilatéraux, (iii) les ONG et Fondations nationales et internationales, (iv) les Agences du système des Nations Unies, (v) les compagnies assurances de santé opérant au Congo</w:t>
      </w:r>
      <w:r w:rsidR="00A433BF">
        <w:rPr>
          <w:color w:val="000000" w:themeColor="text1"/>
        </w:rPr>
        <w:t xml:space="preserve">. Pour ce qui est de la collecte </w:t>
      </w:r>
      <w:r w:rsidR="00F80821">
        <w:rPr>
          <w:color w:val="000000" w:themeColor="text1"/>
        </w:rPr>
        <w:t>des données secondaires</w:t>
      </w:r>
      <w:r w:rsidR="00A433BF">
        <w:rPr>
          <w:color w:val="000000" w:themeColor="text1"/>
        </w:rPr>
        <w:t>, les données des dépenses de santé</w:t>
      </w:r>
      <w:r w:rsidR="00F80821">
        <w:rPr>
          <w:color w:val="000000" w:themeColor="text1"/>
        </w:rPr>
        <w:t xml:space="preserve"> des ménages </w:t>
      </w:r>
      <w:r w:rsidR="00A433BF">
        <w:rPr>
          <w:color w:val="000000" w:themeColor="text1"/>
        </w:rPr>
        <w:t xml:space="preserve">ont été obtenues auprès de l'Institut National de la Statistique </w:t>
      </w:r>
      <w:r w:rsidR="00F80821">
        <w:rPr>
          <w:color w:val="000000" w:themeColor="text1"/>
        </w:rPr>
        <w:t>(</w:t>
      </w:r>
      <w:r w:rsidR="00F80821" w:rsidRPr="00232FCA">
        <w:rPr>
          <w:color w:val="000000" w:themeColor="text1"/>
        </w:rPr>
        <w:t>ECOM-2011</w:t>
      </w:r>
      <w:r w:rsidR="00F80821">
        <w:rPr>
          <w:color w:val="000000" w:themeColor="text1"/>
        </w:rPr>
        <w:t>)</w:t>
      </w:r>
      <w:r w:rsidR="001C2EF1">
        <w:rPr>
          <w:color w:val="000000" w:themeColor="text1"/>
        </w:rPr>
        <w:t xml:space="preserve">, </w:t>
      </w:r>
      <w:r w:rsidR="00A433BF">
        <w:rPr>
          <w:color w:val="000000" w:themeColor="text1"/>
        </w:rPr>
        <w:t xml:space="preserve">des </w:t>
      </w:r>
      <w:r w:rsidR="001C2EF1">
        <w:rPr>
          <w:color w:val="000000" w:themeColor="text1"/>
        </w:rPr>
        <w:t>sites web des bailleurs</w:t>
      </w:r>
      <w:r w:rsidR="00F80821">
        <w:rPr>
          <w:color w:val="000000" w:themeColor="text1"/>
        </w:rPr>
        <w:t xml:space="preserve"> et </w:t>
      </w:r>
      <w:r w:rsidR="00F80821" w:rsidRPr="00CB4CA3">
        <w:rPr>
          <w:color w:val="000000" w:themeColor="text1"/>
        </w:rPr>
        <w:t>des entreprises</w:t>
      </w:r>
      <w:r w:rsidR="00B42EF5">
        <w:rPr>
          <w:color w:val="000000" w:themeColor="text1"/>
        </w:rPr>
        <w:t>.</w:t>
      </w:r>
    </w:p>
    <w:p w:rsidR="00CB4CA3" w:rsidRDefault="00CB4CA3" w:rsidP="00CB4CA3">
      <w:pPr>
        <w:rPr>
          <w:color w:val="000000" w:themeColor="text1"/>
          <w:shd w:val="clear" w:color="auto" w:fill="FFFF00"/>
        </w:rPr>
      </w:pPr>
    </w:p>
    <w:p w:rsidR="00D338DC" w:rsidRDefault="00BE2594" w:rsidP="00EC48B6">
      <w:pPr>
        <w:spacing w:line="360" w:lineRule="auto"/>
        <w:jc w:val="both"/>
      </w:pPr>
      <w:r>
        <w:rPr>
          <w:color w:val="000000" w:themeColor="text1"/>
        </w:rPr>
        <w:t>Au niveau départemental,</w:t>
      </w:r>
      <w:r>
        <w:t xml:space="preserve"> l</w:t>
      </w:r>
      <w:r w:rsidR="00F73968" w:rsidRPr="0057150A">
        <w:t xml:space="preserve">a </w:t>
      </w:r>
      <w:r w:rsidR="00646EC9" w:rsidRPr="0057150A">
        <w:t xml:space="preserve">collecte des données </w:t>
      </w:r>
      <w:r w:rsidR="00F80821">
        <w:t xml:space="preserve"> primaires </w:t>
      </w:r>
      <w:r w:rsidR="00F73968" w:rsidRPr="0057150A">
        <w:t xml:space="preserve">s’est </w:t>
      </w:r>
      <w:r w:rsidR="0053660A" w:rsidRPr="000E52BC">
        <w:t>effectuée</w:t>
      </w:r>
      <w:r w:rsidR="00F73968" w:rsidRPr="0057150A">
        <w:t xml:space="preserve"> </w:t>
      </w:r>
      <w:r w:rsidR="000937AB">
        <w:t>dans l</w:t>
      </w:r>
      <w:r w:rsidR="00F73968" w:rsidRPr="0057150A">
        <w:t xml:space="preserve">es 12 </w:t>
      </w:r>
      <w:r w:rsidR="00F80821">
        <w:t xml:space="preserve"> départements du pays </w:t>
      </w:r>
      <w:r w:rsidR="000937AB">
        <w:t xml:space="preserve">(Directions </w:t>
      </w:r>
      <w:r w:rsidR="00646EC9" w:rsidRPr="000937AB">
        <w:t>départementales de la santé</w:t>
      </w:r>
      <w:r w:rsidR="00EC48B6">
        <w:t xml:space="preserve">, </w:t>
      </w:r>
      <w:r w:rsidR="00646EC9" w:rsidRPr="000937AB">
        <w:t>secteur</w:t>
      </w:r>
      <w:r w:rsidR="0013232E" w:rsidRPr="000937AB">
        <w:t>s</w:t>
      </w:r>
      <w:r w:rsidR="00646EC9" w:rsidRPr="000937AB">
        <w:t xml:space="preserve"> opérationnel</w:t>
      </w:r>
      <w:r w:rsidR="0013232E" w:rsidRPr="000937AB">
        <w:t xml:space="preserve">s, </w:t>
      </w:r>
      <w:r w:rsidR="00EC48B6">
        <w:t>C</w:t>
      </w:r>
      <w:r w:rsidR="00646EC9" w:rsidRPr="000937AB">
        <w:t xml:space="preserve">entres </w:t>
      </w:r>
      <w:r w:rsidR="0053660A" w:rsidRPr="000937AB">
        <w:t>interdépartementaux</w:t>
      </w:r>
      <w:r w:rsidR="00646EC9" w:rsidRPr="000937AB">
        <w:t xml:space="preserve"> de </w:t>
      </w:r>
      <w:r w:rsidR="0053660A" w:rsidRPr="000937AB">
        <w:t>transfusion sanguine</w:t>
      </w:r>
      <w:r w:rsidR="00EC48B6">
        <w:t>, U</w:t>
      </w:r>
      <w:r w:rsidR="0013232E" w:rsidRPr="00EC48B6">
        <w:t>nité</w:t>
      </w:r>
      <w:r w:rsidR="00646EC9" w:rsidRPr="00EC48B6">
        <w:t>s départementales de lut</w:t>
      </w:r>
      <w:r w:rsidR="006D60DF" w:rsidRPr="00EC48B6">
        <w:t>t</w:t>
      </w:r>
      <w:r w:rsidR="00646EC9" w:rsidRPr="00EC48B6">
        <w:t xml:space="preserve">e </w:t>
      </w:r>
      <w:r w:rsidR="0013232E" w:rsidRPr="00EC48B6">
        <w:t>contre l</w:t>
      </w:r>
      <w:r w:rsidR="00EC48B6">
        <w:t>e SIDA,</w:t>
      </w:r>
      <w:r w:rsidR="0013232E" w:rsidRPr="00EC48B6">
        <w:t xml:space="preserve"> </w:t>
      </w:r>
      <w:r w:rsidR="00646EC9" w:rsidRPr="00EC48B6">
        <w:t>Conseils départementaux</w:t>
      </w:r>
      <w:r w:rsidR="00720166">
        <w:t xml:space="preserve"> et les 2 conseils municipaux)</w:t>
      </w:r>
      <w:r w:rsidR="00F73968" w:rsidRPr="00EC48B6">
        <w:t>.</w:t>
      </w:r>
    </w:p>
    <w:p w:rsidR="00C616C6" w:rsidRDefault="00C616C6" w:rsidP="00EC48B6">
      <w:pPr>
        <w:spacing w:line="360" w:lineRule="auto"/>
        <w:jc w:val="both"/>
      </w:pPr>
      <w:r>
        <w:t>Après contrôle de la qualité de données et vérification de l’exhaustivité des données collectées,</w:t>
      </w:r>
      <w:r w:rsidR="00720166">
        <w:t xml:space="preserve"> l’étape suivante a été celle du traitement des </w:t>
      </w:r>
      <w:r>
        <w:t>données</w:t>
      </w:r>
      <w:r w:rsidR="00720166">
        <w:t xml:space="preserve"> collectées</w:t>
      </w:r>
      <w:r>
        <w:t>.</w:t>
      </w:r>
    </w:p>
    <w:p w:rsidR="00367C8D" w:rsidRDefault="00367C8D" w:rsidP="00367C8D">
      <w:pPr>
        <w:jc w:val="both"/>
        <w:rPr>
          <w:color w:val="000000" w:themeColor="text1"/>
        </w:rPr>
      </w:pPr>
      <w:r w:rsidRPr="008D45CE">
        <w:rPr>
          <w:color w:val="000000" w:themeColor="text1"/>
        </w:rPr>
        <w:t>Après la phase de collecte de données,</w:t>
      </w:r>
      <w:r>
        <w:rPr>
          <w:color w:val="000000" w:themeColor="text1"/>
        </w:rPr>
        <w:t xml:space="preserve"> s’en est suivi les autres étapes production des c</w:t>
      </w:r>
      <w:r w:rsidR="00AF54EA">
        <w:rPr>
          <w:color w:val="000000" w:themeColor="text1"/>
        </w:rPr>
        <w:t xml:space="preserve">omptes nationaux à savoir : l'estimation des données des dépenses des ménages, des entreprises, </w:t>
      </w:r>
      <w:r>
        <w:rPr>
          <w:color w:val="000000" w:themeColor="text1"/>
        </w:rPr>
        <w:t>la  saisie sur Excel</w:t>
      </w:r>
      <w:r w:rsidRPr="008D45CE">
        <w:rPr>
          <w:color w:val="000000" w:themeColor="text1"/>
        </w:rPr>
        <w:t xml:space="preserve">, </w:t>
      </w:r>
      <w:r w:rsidR="00AF54EA">
        <w:rPr>
          <w:color w:val="000000" w:themeColor="text1"/>
        </w:rPr>
        <w:t xml:space="preserve">la triangulation, l’encodage, </w:t>
      </w:r>
      <w:r>
        <w:rPr>
          <w:color w:val="000000" w:themeColor="text1"/>
        </w:rPr>
        <w:t>la production des tableaux primaires</w:t>
      </w:r>
      <w:r w:rsidRPr="008D45CE">
        <w:rPr>
          <w:color w:val="000000" w:themeColor="text1"/>
        </w:rPr>
        <w:t xml:space="preserve">. </w:t>
      </w:r>
    </w:p>
    <w:p w:rsidR="00367C8D" w:rsidRDefault="00367C8D" w:rsidP="00EC48B6">
      <w:pPr>
        <w:spacing w:line="360" w:lineRule="auto"/>
        <w:jc w:val="both"/>
      </w:pPr>
    </w:p>
    <w:p w:rsidR="00720166" w:rsidRDefault="00720166" w:rsidP="00EC48B6">
      <w:pPr>
        <w:spacing w:line="360" w:lineRule="auto"/>
        <w:jc w:val="both"/>
      </w:pPr>
    </w:p>
    <w:p w:rsidR="00720166" w:rsidRDefault="00720166" w:rsidP="00EC48B6">
      <w:pPr>
        <w:spacing w:line="360" w:lineRule="auto"/>
        <w:jc w:val="both"/>
      </w:pPr>
    </w:p>
    <w:p w:rsidR="00720166" w:rsidRDefault="00C47E20" w:rsidP="00720166">
      <w:pPr>
        <w:pStyle w:val="Titre2"/>
      </w:pPr>
      <w:r>
        <w:lastRenderedPageBreak/>
        <w:t>1</w:t>
      </w:r>
      <w:r w:rsidR="00720166">
        <w:t xml:space="preserve">.2 </w:t>
      </w:r>
      <w:r w:rsidR="00720166" w:rsidRPr="00720166">
        <w:t>TRAITEMENT DES DONNÉES</w:t>
      </w:r>
    </w:p>
    <w:p w:rsidR="00B42EF5" w:rsidRPr="009C37DB" w:rsidRDefault="00C47E20" w:rsidP="00B42EF5">
      <w:pPr>
        <w:pStyle w:val="Titre2"/>
      </w:pPr>
      <w:r>
        <w:t>1</w:t>
      </w:r>
      <w:r w:rsidR="00B42EF5" w:rsidRPr="009C37DB">
        <w:t>.2. 1 ESTMATION DES DEPENSES DES MENAGES</w:t>
      </w:r>
    </w:p>
    <w:p w:rsidR="00B42EF5" w:rsidRDefault="00B42EF5" w:rsidP="00B42EF5">
      <w:pPr>
        <w:jc w:val="both"/>
      </w:pPr>
      <w:r>
        <w:t xml:space="preserve">Les dépenses de santé des ménages au Congo sont capturées à travers l’enquête ECOM. L’Enquête Congolaise auprès des ménages (ECOM) porte essentiellement sur les conditions de vie des ménages et est réalisée26 en vue de l’évaluation de la pauvreté de la population. L’ECOM comporte 2 modules principaux : le module QUIBB et le module relatif à la consommation des ménages. Le Questionnaire des Indicateurs de Base du Bien-être (QUIBB) est un module destiné à fournir indicateurs statistiques essentiels pour le suivi des effets des politiques, des programmes et projets de développement afin d’analyser les conditions de vie de la population, notamment de mesurer le niveau de vie des populations au travers des caractéristiques du logement du ménage ; la forme de propriété ; l’équipement ; la disponibilité des terres et du bétail ; l’accès, l’utilisation et la satisfaction des populations par rapport aux services sociaux et économiques de base, tels que les infrastructures d’éducation et de santé. Le module relatif à la consommation des ménages capture les informations sur (i) les dépenses quotidiennes (alimentaires et non alimentaires) du ménage sur une période de 15 jours et (ii) de manière rétrospective les dépenses non alimentaires telles que les dépenses  santé.  En l’absence de données récentes sur les dépenses de santé des ménages au Congo, et en vue de répondre au besoin des comptes nationaux de la santé, l’estimation dépenses de santé des ménages congolais a été réalisé par l’exploitation des informations sur les dépenses de santé 2011 des ménages congolais de l’ECOM 2011. </w:t>
      </w:r>
    </w:p>
    <w:p w:rsidR="00B42EF5" w:rsidRDefault="00B42EF5" w:rsidP="00B42EF5">
      <w:r>
        <w:t xml:space="preserve"> </w:t>
      </w:r>
    </w:p>
    <w:p w:rsidR="00B42EF5" w:rsidRDefault="00B42EF5" w:rsidP="00B42EF5">
      <w:r>
        <w:t>Ajustement des dépenses de santé des ménages l’estimation des dépenses des ménages de 2011 et 2015 a été faite par l’ajustement des données sur les dépenses de santé des ménages 2011 par la variation de la population entre 2011 et la période de couverture de l’étude (2011 à  2015). La qualité des indices des prix à la consommation des produits et services de santé n’a pu permettre leur utilisation pour l’ajustement des dépenses de santé.</w:t>
      </w:r>
    </w:p>
    <w:p w:rsidR="00B42EF5" w:rsidRPr="00A474D4" w:rsidRDefault="00C47E20" w:rsidP="00B42EF5">
      <w:pPr>
        <w:pStyle w:val="Titre2"/>
      </w:pPr>
      <w:r>
        <w:t>1</w:t>
      </w:r>
      <w:r w:rsidR="00B42EF5" w:rsidRPr="00A474D4">
        <w:t>.2.2.  ESTMATION DES DEPENSES DES ENTREPRISES</w:t>
      </w:r>
    </w:p>
    <w:p w:rsidR="00B42EF5" w:rsidRDefault="00B42EF5" w:rsidP="00B42EF5">
      <w:pPr>
        <w:jc w:val="both"/>
      </w:pPr>
      <w:r>
        <w:t xml:space="preserve">L’estimation des dépenses de santé des entreprises a été réalisée par la compilation (i) des dépenses pour « soins médicaux  et médicaments »déclarées par les entreprises dans leurs Documents Fiscaux et de Statistiques  ainsi que (ii) les dépenses de santé réalisées par les compagnies d’assurance, telles que mentionnées dans les rapports d’activités annuels des compagnies d’assurances </w:t>
      </w:r>
    </w:p>
    <w:p w:rsidR="00B42EF5" w:rsidRDefault="00B42EF5" w:rsidP="00B42EF5">
      <w:pPr>
        <w:jc w:val="both"/>
      </w:pPr>
    </w:p>
    <w:p w:rsidR="00AF54EA" w:rsidRPr="00A474D4" w:rsidRDefault="00C47E20" w:rsidP="00AF54EA">
      <w:pPr>
        <w:pStyle w:val="Titre2"/>
      </w:pPr>
      <w:r>
        <w:t>1</w:t>
      </w:r>
      <w:r w:rsidR="00AF54EA" w:rsidRPr="00A474D4">
        <w:t>.2.3.  SAISIE DES DONNEES SUR EXCEL</w:t>
      </w:r>
    </w:p>
    <w:p w:rsidR="00C158A2" w:rsidRDefault="00C158A2" w:rsidP="00AC3E71">
      <w:pPr>
        <w:jc w:val="both"/>
        <w:rPr>
          <w:color w:val="000000" w:themeColor="text1"/>
        </w:rPr>
      </w:pPr>
    </w:p>
    <w:p w:rsidR="00461354" w:rsidRDefault="00C158A2" w:rsidP="00AC3E71">
      <w:pPr>
        <w:jc w:val="both"/>
        <w:rPr>
          <w:color w:val="000000" w:themeColor="text1"/>
        </w:rPr>
      </w:pPr>
      <w:r>
        <w:rPr>
          <w:color w:val="000000" w:themeColor="text1"/>
        </w:rPr>
        <w:t>Les données en dur ont été saisie</w:t>
      </w:r>
      <w:r w:rsidR="00345141">
        <w:rPr>
          <w:color w:val="000000" w:themeColor="text1"/>
        </w:rPr>
        <w:t>s</w:t>
      </w:r>
      <w:r>
        <w:rPr>
          <w:color w:val="000000" w:themeColor="text1"/>
        </w:rPr>
        <w:t xml:space="preserve"> à l'aide d'un masque de saisie pour </w:t>
      </w:r>
      <w:r w:rsidR="00CC7AEF">
        <w:rPr>
          <w:color w:val="000000" w:themeColor="text1"/>
        </w:rPr>
        <w:t xml:space="preserve">faciliter </w:t>
      </w:r>
      <w:r>
        <w:rPr>
          <w:color w:val="000000" w:themeColor="text1"/>
        </w:rPr>
        <w:t>l'impo</w:t>
      </w:r>
      <w:r w:rsidR="00345141">
        <w:rPr>
          <w:color w:val="000000" w:themeColor="text1"/>
        </w:rPr>
        <w:t>r</w:t>
      </w:r>
      <w:r>
        <w:rPr>
          <w:color w:val="000000" w:themeColor="text1"/>
        </w:rPr>
        <w:t xml:space="preserve">tation des données dans un format compatible avec l'outil HAPT. </w:t>
      </w:r>
      <w:r w:rsidR="00345141">
        <w:rPr>
          <w:color w:val="000000" w:themeColor="text1"/>
        </w:rPr>
        <w:t xml:space="preserve">Les données ainsi saisies ont facilité </w:t>
      </w:r>
      <w:r w:rsidR="00CC7AEF">
        <w:rPr>
          <w:color w:val="000000" w:themeColor="text1"/>
        </w:rPr>
        <w:t>la conception  des différentes bases des données  pour chaque année de la période ciblée</w:t>
      </w:r>
      <w:r w:rsidR="00743CE9">
        <w:rPr>
          <w:color w:val="000000" w:themeColor="text1"/>
        </w:rPr>
        <w:t>  (2011-2015),</w:t>
      </w:r>
      <w:r w:rsidR="00CC7AEF">
        <w:rPr>
          <w:color w:val="000000" w:themeColor="text1"/>
        </w:rPr>
        <w:t xml:space="preserve"> tel que</w:t>
      </w:r>
      <w:r w:rsidR="00AC3E71" w:rsidRPr="008D45CE">
        <w:rPr>
          <w:color w:val="000000" w:themeColor="text1"/>
        </w:rPr>
        <w:t xml:space="preserve"> recommandé par l</w:t>
      </w:r>
      <w:r w:rsidR="00743CE9">
        <w:rPr>
          <w:color w:val="000000" w:themeColor="text1"/>
        </w:rPr>
        <w:t>a méthodologie</w:t>
      </w:r>
      <w:r w:rsidR="00461354">
        <w:rPr>
          <w:color w:val="000000" w:themeColor="text1"/>
        </w:rPr>
        <w:t xml:space="preserve"> SHA 2011</w:t>
      </w:r>
      <w:r w:rsidR="000E26DE">
        <w:rPr>
          <w:color w:val="000000" w:themeColor="text1"/>
        </w:rPr>
        <w:t xml:space="preserve">. </w:t>
      </w:r>
    </w:p>
    <w:p w:rsidR="00C158A2" w:rsidRDefault="00C158A2" w:rsidP="00AC3E71">
      <w:pPr>
        <w:jc w:val="both"/>
        <w:rPr>
          <w:color w:val="000000" w:themeColor="text1"/>
        </w:rPr>
      </w:pPr>
    </w:p>
    <w:p w:rsidR="00345141" w:rsidRDefault="00345141" w:rsidP="00C158A2">
      <w:pPr>
        <w:pStyle w:val="Titre2"/>
      </w:pPr>
    </w:p>
    <w:p w:rsidR="00345141" w:rsidRDefault="00345141">
      <w:pPr>
        <w:spacing w:after="200" w:line="20" w:lineRule="atLeast"/>
        <w:rPr>
          <w:b/>
          <w:bCs/>
          <w:color w:val="4F81BD"/>
          <w:sz w:val="22"/>
          <w:szCs w:val="26"/>
        </w:rPr>
      </w:pPr>
      <w:r>
        <w:br w:type="page"/>
      </w:r>
    </w:p>
    <w:p w:rsidR="00C158A2" w:rsidRPr="00345141" w:rsidRDefault="00C47E20" w:rsidP="00C158A2">
      <w:pPr>
        <w:pStyle w:val="Titre2"/>
      </w:pPr>
      <w:r>
        <w:lastRenderedPageBreak/>
        <w:t>1</w:t>
      </w:r>
      <w:r w:rsidR="00C158A2" w:rsidRPr="00345141">
        <w:t>.2.</w:t>
      </w:r>
      <w:r w:rsidR="00345141">
        <w:t>4</w:t>
      </w:r>
      <w:r w:rsidR="00C158A2" w:rsidRPr="00345141">
        <w:t>.  E</w:t>
      </w:r>
      <w:r w:rsidR="00345141" w:rsidRPr="00345141">
        <w:t>CODAGE DES DONNEES DANS L'OUTIL HAPT version 4.0.0.3</w:t>
      </w:r>
    </w:p>
    <w:p w:rsidR="00461354" w:rsidRDefault="00461354" w:rsidP="00AC3E71">
      <w:pPr>
        <w:jc w:val="both"/>
        <w:rPr>
          <w:color w:val="000000" w:themeColor="text1"/>
        </w:rPr>
      </w:pPr>
    </w:p>
    <w:p w:rsidR="00345141" w:rsidRPr="008F25E5" w:rsidRDefault="00345141" w:rsidP="00345141">
      <w:pPr>
        <w:spacing w:after="200" w:line="20" w:lineRule="atLeast"/>
        <w:jc w:val="both"/>
        <w:rPr>
          <w:color w:val="000000"/>
        </w:rPr>
      </w:pPr>
      <w:r>
        <w:rPr>
          <w:color w:val="000000"/>
        </w:rPr>
        <w:t xml:space="preserve">L'encodage </w:t>
      </w:r>
      <w:r w:rsidRPr="008F25E5">
        <w:rPr>
          <w:color w:val="000000"/>
        </w:rPr>
        <w:t xml:space="preserve">des données est l'étape de la codification proprement dite des données dans l'outil HAPT. La codification des données s’est faite dans la matrice de données à partir de la nomenclature du SHA 2011. Il s’agit des classifications : </w:t>
      </w:r>
    </w:p>
    <w:p w:rsidR="00345141" w:rsidRDefault="00345141" w:rsidP="006768F3">
      <w:pPr>
        <w:spacing w:after="200"/>
        <w:jc w:val="both"/>
        <w:rPr>
          <w:color w:val="000000"/>
        </w:rPr>
      </w:pPr>
      <w:r w:rsidRPr="00345141">
        <w:rPr>
          <w:color w:val="000000"/>
        </w:rPr>
        <w:t>FS. RI : Unités institutionnelles fournissant des revenus</w:t>
      </w:r>
      <w:r>
        <w:rPr>
          <w:color w:val="000000"/>
        </w:rPr>
        <w:t xml:space="preserve"> aux régimes de financement</w:t>
      </w:r>
    </w:p>
    <w:p w:rsidR="00345141" w:rsidRDefault="00345141" w:rsidP="006768F3">
      <w:pPr>
        <w:spacing w:after="200"/>
        <w:jc w:val="both"/>
        <w:rPr>
          <w:color w:val="000000"/>
        </w:rPr>
      </w:pPr>
      <w:r w:rsidRPr="00345141">
        <w:rPr>
          <w:color w:val="000000"/>
        </w:rPr>
        <w:t xml:space="preserve">FS : Recettes des régimes de financement des soins de santé ; </w:t>
      </w:r>
    </w:p>
    <w:p w:rsidR="00345141" w:rsidRDefault="00345141" w:rsidP="006768F3">
      <w:pPr>
        <w:spacing w:after="200"/>
        <w:jc w:val="both"/>
        <w:rPr>
          <w:color w:val="000000"/>
        </w:rPr>
      </w:pPr>
      <w:r>
        <w:rPr>
          <w:color w:val="000000"/>
        </w:rPr>
        <w:t xml:space="preserve">HF : Régimes de Financement ; </w:t>
      </w:r>
    </w:p>
    <w:p w:rsidR="00345141" w:rsidRDefault="00345141" w:rsidP="006768F3">
      <w:pPr>
        <w:spacing w:after="200"/>
        <w:jc w:val="both"/>
        <w:rPr>
          <w:color w:val="000000"/>
        </w:rPr>
      </w:pPr>
      <w:r>
        <w:rPr>
          <w:color w:val="000000"/>
        </w:rPr>
        <w:t xml:space="preserve">FA : Agents de Financement ; </w:t>
      </w:r>
    </w:p>
    <w:p w:rsidR="00345141" w:rsidRDefault="00345141" w:rsidP="006768F3">
      <w:pPr>
        <w:spacing w:after="200"/>
        <w:jc w:val="both"/>
        <w:rPr>
          <w:color w:val="000000"/>
        </w:rPr>
      </w:pPr>
      <w:r w:rsidRPr="00345141">
        <w:rPr>
          <w:color w:val="000000"/>
        </w:rPr>
        <w:t>HP : Prestataires de soins de s</w:t>
      </w:r>
      <w:r>
        <w:rPr>
          <w:color w:val="000000"/>
        </w:rPr>
        <w:t xml:space="preserve">anté ; </w:t>
      </w:r>
    </w:p>
    <w:p w:rsidR="00345141" w:rsidRDefault="00345141" w:rsidP="006768F3">
      <w:pPr>
        <w:spacing w:after="200"/>
        <w:jc w:val="both"/>
        <w:rPr>
          <w:color w:val="000000"/>
        </w:rPr>
      </w:pPr>
      <w:r w:rsidRPr="00345141">
        <w:rPr>
          <w:color w:val="000000"/>
        </w:rPr>
        <w:t>HK :</w:t>
      </w:r>
      <w:r>
        <w:rPr>
          <w:color w:val="000000"/>
        </w:rPr>
        <w:t xml:space="preserve"> Formation brute de capital ; </w:t>
      </w:r>
    </w:p>
    <w:p w:rsidR="00345141" w:rsidRDefault="00345141" w:rsidP="006768F3">
      <w:pPr>
        <w:spacing w:after="200"/>
        <w:jc w:val="both"/>
        <w:rPr>
          <w:color w:val="000000"/>
        </w:rPr>
      </w:pPr>
      <w:r w:rsidRPr="00345141">
        <w:rPr>
          <w:color w:val="000000"/>
        </w:rPr>
        <w:t>HC : F</w:t>
      </w:r>
      <w:r>
        <w:rPr>
          <w:color w:val="000000"/>
        </w:rPr>
        <w:t xml:space="preserve">onctions des soins de santé ; </w:t>
      </w:r>
    </w:p>
    <w:p w:rsidR="00345141" w:rsidRDefault="00345141" w:rsidP="006768F3">
      <w:pPr>
        <w:spacing w:after="200"/>
        <w:jc w:val="both"/>
        <w:rPr>
          <w:color w:val="000000"/>
        </w:rPr>
      </w:pPr>
      <w:r w:rsidRPr="00345141">
        <w:rPr>
          <w:color w:val="000000"/>
        </w:rPr>
        <w:t>FP : Facteurs de pr</w:t>
      </w:r>
      <w:r>
        <w:rPr>
          <w:color w:val="000000"/>
        </w:rPr>
        <w:t xml:space="preserve">estations de soins de santé ; </w:t>
      </w:r>
    </w:p>
    <w:p w:rsidR="00345141" w:rsidRDefault="00345141" w:rsidP="006768F3">
      <w:pPr>
        <w:spacing w:after="200"/>
        <w:jc w:val="both"/>
        <w:rPr>
          <w:color w:val="000000"/>
        </w:rPr>
      </w:pPr>
      <w:r w:rsidRPr="00345141">
        <w:rPr>
          <w:color w:val="000000"/>
        </w:rPr>
        <w:t>DIS : Classificatio</w:t>
      </w:r>
      <w:r>
        <w:rPr>
          <w:color w:val="000000"/>
        </w:rPr>
        <w:t xml:space="preserve">n des maladies / affections ; </w:t>
      </w:r>
    </w:p>
    <w:p w:rsidR="00345141" w:rsidRDefault="00345141" w:rsidP="006768F3">
      <w:pPr>
        <w:spacing w:after="200"/>
        <w:jc w:val="both"/>
        <w:rPr>
          <w:color w:val="000000"/>
        </w:rPr>
      </w:pPr>
      <w:r w:rsidRPr="00345141">
        <w:rPr>
          <w:color w:val="000000"/>
        </w:rPr>
        <w:t>AGE : Clas</w:t>
      </w:r>
      <w:r>
        <w:rPr>
          <w:color w:val="000000"/>
        </w:rPr>
        <w:t xml:space="preserve">sification par groupe d'âge ; </w:t>
      </w:r>
    </w:p>
    <w:p w:rsidR="00345141" w:rsidRPr="00345141" w:rsidRDefault="00345141" w:rsidP="006768F3">
      <w:pPr>
        <w:spacing w:after="200"/>
        <w:jc w:val="both"/>
        <w:rPr>
          <w:color w:val="000000"/>
        </w:rPr>
      </w:pPr>
      <w:r w:rsidRPr="00345141">
        <w:rPr>
          <w:color w:val="000000"/>
        </w:rPr>
        <w:t xml:space="preserve">SNL : Niveau Sous National (classification par </w:t>
      </w:r>
      <w:r>
        <w:rPr>
          <w:color w:val="000000"/>
        </w:rPr>
        <w:t>Département</w:t>
      </w:r>
      <w:r w:rsidRPr="00345141">
        <w:rPr>
          <w:color w:val="000000"/>
        </w:rPr>
        <w:t xml:space="preserve">) </w:t>
      </w:r>
    </w:p>
    <w:p w:rsidR="00345141" w:rsidRDefault="00345141" w:rsidP="006768F3">
      <w:pPr>
        <w:spacing w:after="200"/>
        <w:jc w:val="both"/>
        <w:rPr>
          <w:color w:val="000000"/>
        </w:rPr>
      </w:pPr>
      <w:r w:rsidRPr="008F25E5">
        <w:rPr>
          <w:color w:val="000000"/>
        </w:rPr>
        <w:t xml:space="preserve"> Les classifications sont fonctions des types de dépenses (dépenses courantes et dépenses d'investissement). </w:t>
      </w:r>
    </w:p>
    <w:p w:rsidR="00345141" w:rsidRPr="00345141" w:rsidRDefault="00345141" w:rsidP="00345141">
      <w:pPr>
        <w:pStyle w:val="Paragraphedeliste"/>
        <w:numPr>
          <w:ilvl w:val="0"/>
          <w:numId w:val="34"/>
        </w:numPr>
        <w:spacing w:after="200" w:line="20" w:lineRule="atLeast"/>
        <w:jc w:val="both"/>
        <w:rPr>
          <w:rFonts w:ascii="Times New Roman" w:hAnsi="Times New Roman"/>
          <w:color w:val="000000"/>
        </w:rPr>
      </w:pPr>
      <w:r w:rsidRPr="00345141">
        <w:rPr>
          <w:rFonts w:ascii="Times New Roman" w:hAnsi="Times New Roman"/>
          <w:color w:val="000000"/>
        </w:rPr>
        <w:t xml:space="preserve">Les dépenses courantes sont encodées avec les classifications FS.RI, FS, HF, FA, HP, HC, DIS, AGE et SNL, au niveau le plus désagrégé de la classification. </w:t>
      </w:r>
    </w:p>
    <w:p w:rsidR="00345141" w:rsidRDefault="00345141" w:rsidP="00345141">
      <w:pPr>
        <w:pStyle w:val="Paragraphedeliste"/>
        <w:numPr>
          <w:ilvl w:val="0"/>
          <w:numId w:val="34"/>
        </w:numPr>
        <w:spacing w:after="200" w:line="20" w:lineRule="atLeast"/>
        <w:jc w:val="both"/>
        <w:rPr>
          <w:rFonts w:ascii="Times New Roman" w:hAnsi="Times New Roman"/>
          <w:color w:val="000000"/>
        </w:rPr>
      </w:pPr>
      <w:r w:rsidRPr="00345141">
        <w:rPr>
          <w:rFonts w:ascii="Times New Roman" w:hAnsi="Times New Roman"/>
          <w:color w:val="000000"/>
        </w:rPr>
        <w:t>Les dépenses d'investissement sont encodées avec les classifications HK, FS.RI, FA, HP, DIS au niveau le plus agrégé de la classification.</w:t>
      </w:r>
    </w:p>
    <w:p w:rsidR="00345141" w:rsidRDefault="00345141" w:rsidP="00345141">
      <w:pPr>
        <w:pStyle w:val="Paragraphedeliste"/>
        <w:spacing w:after="200" w:line="20" w:lineRule="atLeast"/>
        <w:ind w:left="0"/>
        <w:jc w:val="both"/>
        <w:rPr>
          <w:rFonts w:ascii="Times New Roman" w:hAnsi="Times New Roman"/>
          <w:color w:val="000000"/>
        </w:rPr>
      </w:pPr>
    </w:p>
    <w:p w:rsidR="006768F3" w:rsidRDefault="00345141" w:rsidP="00345141">
      <w:pPr>
        <w:pStyle w:val="Paragraphedeliste"/>
        <w:spacing w:after="200" w:line="20" w:lineRule="atLeast"/>
        <w:ind w:left="0"/>
        <w:jc w:val="both"/>
        <w:rPr>
          <w:rFonts w:ascii="Times New Roman" w:hAnsi="Times New Roman"/>
          <w:color w:val="000000"/>
        </w:rPr>
      </w:pPr>
      <w:r>
        <w:rPr>
          <w:rFonts w:ascii="Times New Roman" w:hAnsi="Times New Roman"/>
          <w:color w:val="000000"/>
        </w:rPr>
        <w:t>A titre d'exemple, l'image</w:t>
      </w:r>
      <w:r w:rsidRPr="00345141">
        <w:rPr>
          <w:rFonts w:ascii="Times New Roman" w:hAnsi="Times New Roman"/>
          <w:color w:val="000000"/>
        </w:rPr>
        <w:t xml:space="preserve"> ci-dessous donne </w:t>
      </w:r>
      <w:r>
        <w:rPr>
          <w:rFonts w:ascii="Times New Roman" w:hAnsi="Times New Roman"/>
          <w:color w:val="000000"/>
        </w:rPr>
        <w:t xml:space="preserve">l'illustration de l'encodage </w:t>
      </w:r>
      <w:r w:rsidRPr="00345141">
        <w:rPr>
          <w:rFonts w:ascii="Times New Roman" w:hAnsi="Times New Roman"/>
          <w:color w:val="000000"/>
        </w:rPr>
        <w:t xml:space="preserve">d'une ligne budgétaire </w:t>
      </w:r>
      <w:r>
        <w:rPr>
          <w:rFonts w:ascii="Times New Roman" w:hAnsi="Times New Roman"/>
          <w:color w:val="000000"/>
        </w:rPr>
        <w:t>saisie dans l'outil.</w:t>
      </w:r>
    </w:p>
    <w:p w:rsidR="006768F3" w:rsidRDefault="006768F3" w:rsidP="00345141">
      <w:pPr>
        <w:pStyle w:val="Paragraphedeliste"/>
        <w:spacing w:after="200" w:line="20" w:lineRule="atLeast"/>
        <w:ind w:left="0"/>
        <w:jc w:val="both"/>
        <w:rPr>
          <w:rFonts w:ascii="Times New Roman" w:hAnsi="Times New Roman"/>
          <w:color w:val="000000"/>
        </w:rPr>
      </w:pPr>
    </w:p>
    <w:p w:rsidR="00345141" w:rsidRDefault="00345141" w:rsidP="00345141">
      <w:pPr>
        <w:pStyle w:val="Paragraphedeliste"/>
        <w:spacing w:after="200" w:line="20" w:lineRule="atLeast"/>
        <w:ind w:left="0"/>
        <w:jc w:val="both"/>
        <w:rPr>
          <w:rFonts w:ascii="Times New Roman" w:hAnsi="Times New Roman"/>
          <w:color w:val="000000"/>
        </w:rPr>
      </w:pPr>
      <w:r w:rsidRPr="00345141">
        <w:rPr>
          <w:noProof/>
          <w:lang w:eastAsia="fr-FR" w:bidi="ar-SA"/>
        </w:rPr>
        <w:t xml:space="preserve"> </w:t>
      </w:r>
      <w:r w:rsidRPr="00345141">
        <w:rPr>
          <w:rFonts w:ascii="Times New Roman" w:hAnsi="Times New Roman"/>
          <w:noProof/>
          <w:color w:val="000000"/>
          <w:lang w:eastAsia="fr-FR" w:bidi="ar-SA"/>
        </w:rPr>
        <w:drawing>
          <wp:inline distT="0" distB="0" distL="0" distR="0">
            <wp:extent cx="5232400" cy="1872524"/>
            <wp:effectExtent l="19050" t="0" r="6350" b="0"/>
            <wp:docPr id="26" name="Image 48"/>
            <wp:cNvGraphicFramePr/>
            <a:graphic xmlns:a="http://schemas.openxmlformats.org/drawingml/2006/main">
              <a:graphicData uri="http://schemas.openxmlformats.org/drawingml/2006/picture">
                <pic:pic xmlns:pic="http://schemas.openxmlformats.org/drawingml/2006/picture">
                  <pic:nvPicPr>
                    <pic:cNvPr id="2049" name="Picture 1"/>
                    <pic:cNvPicPr>
                      <a:picLocks noChangeAspect="1" noChangeArrowheads="1"/>
                    </pic:cNvPicPr>
                  </pic:nvPicPr>
                  <pic:blipFill>
                    <a:blip r:embed="rId13" cstate="print"/>
                    <a:srcRect l="4539" t="26823" r="7833" b="8073"/>
                    <a:stretch>
                      <a:fillRect/>
                    </a:stretch>
                  </pic:blipFill>
                  <pic:spPr bwMode="auto">
                    <a:xfrm>
                      <a:off x="0" y="0"/>
                      <a:ext cx="5233554" cy="1872937"/>
                    </a:xfrm>
                    <a:prstGeom prst="rect">
                      <a:avLst/>
                    </a:prstGeom>
                    <a:noFill/>
                    <a:ln w="1">
                      <a:noFill/>
                      <a:miter lim="800000"/>
                      <a:headEnd/>
                      <a:tailEnd type="none" w="med" len="med"/>
                    </a:ln>
                    <a:effectLst/>
                  </pic:spPr>
                </pic:pic>
              </a:graphicData>
            </a:graphic>
          </wp:inline>
        </w:drawing>
      </w:r>
    </w:p>
    <w:p w:rsidR="00345141" w:rsidRPr="00345141" w:rsidRDefault="00345141" w:rsidP="00345141">
      <w:pPr>
        <w:pStyle w:val="Paragraphedeliste"/>
        <w:spacing w:after="200" w:line="20" w:lineRule="atLeast"/>
        <w:ind w:left="0"/>
        <w:jc w:val="both"/>
        <w:rPr>
          <w:rFonts w:ascii="Times New Roman" w:hAnsi="Times New Roman"/>
          <w:color w:val="000000"/>
        </w:rPr>
      </w:pPr>
    </w:p>
    <w:p w:rsidR="00C46BA8" w:rsidRDefault="00C46BA8" w:rsidP="00AC3E71">
      <w:pPr>
        <w:jc w:val="both"/>
        <w:rPr>
          <w:color w:val="000000" w:themeColor="text1"/>
        </w:rPr>
      </w:pPr>
    </w:p>
    <w:p w:rsidR="00B776C3" w:rsidRPr="00EB0358" w:rsidRDefault="006768F3" w:rsidP="00AC3E71">
      <w:pPr>
        <w:jc w:val="both"/>
        <w:rPr>
          <w:color w:val="000000" w:themeColor="text1"/>
        </w:rPr>
      </w:pPr>
      <w:r>
        <w:rPr>
          <w:color w:val="000000" w:themeColor="text1"/>
        </w:rPr>
        <w:lastRenderedPageBreak/>
        <w:t xml:space="preserve">En ce qui concerne les données du gouvernement, elles ont été </w:t>
      </w:r>
      <w:r w:rsidR="003C6046">
        <w:rPr>
          <w:color w:val="000000" w:themeColor="text1"/>
        </w:rPr>
        <w:t xml:space="preserve">traitées </w:t>
      </w:r>
      <w:r w:rsidR="00C46BA8">
        <w:rPr>
          <w:color w:val="000000" w:themeColor="text1"/>
        </w:rPr>
        <w:t xml:space="preserve">de façon différente </w:t>
      </w:r>
      <w:r w:rsidR="003C6046">
        <w:rPr>
          <w:color w:val="000000" w:themeColor="text1"/>
        </w:rPr>
        <w:t xml:space="preserve">en </w:t>
      </w:r>
      <w:r w:rsidR="00C46BA8">
        <w:rPr>
          <w:color w:val="000000" w:themeColor="text1"/>
        </w:rPr>
        <w:t xml:space="preserve">un </w:t>
      </w:r>
      <w:r w:rsidR="003C6046">
        <w:rPr>
          <w:color w:val="000000" w:themeColor="text1"/>
        </w:rPr>
        <w:t>format</w:t>
      </w:r>
      <w:r w:rsidR="00C46BA8">
        <w:rPr>
          <w:color w:val="000000" w:themeColor="text1"/>
        </w:rPr>
        <w:t xml:space="preserve"> compatible à  </w:t>
      </w:r>
      <w:r>
        <w:rPr>
          <w:color w:val="000000" w:themeColor="text1"/>
        </w:rPr>
        <w:t>l’outil de production des HAPT</w:t>
      </w:r>
      <w:r w:rsidR="00784568">
        <w:rPr>
          <w:color w:val="000000" w:themeColor="text1"/>
        </w:rPr>
        <w:t>. Ainsi</w:t>
      </w:r>
      <w:r w:rsidR="003C6046">
        <w:rPr>
          <w:color w:val="000000" w:themeColor="text1"/>
        </w:rPr>
        <w:t xml:space="preserve">, le traitement s’est </w:t>
      </w:r>
      <w:r w:rsidR="00EB0358">
        <w:rPr>
          <w:color w:val="000000" w:themeColor="text1"/>
        </w:rPr>
        <w:t xml:space="preserve">fait sur base de la nomenclature budgétaire en utilisant une combinaison des </w:t>
      </w:r>
      <w:r>
        <w:rPr>
          <w:color w:val="000000" w:themeColor="text1"/>
        </w:rPr>
        <w:t>différents</w:t>
      </w:r>
      <w:r w:rsidR="00EB0358">
        <w:rPr>
          <w:color w:val="000000" w:themeColor="text1"/>
        </w:rPr>
        <w:t xml:space="preserve"> sous codes  formant ainsi un</w:t>
      </w:r>
      <w:r w:rsidR="003C6046">
        <w:rPr>
          <w:color w:val="000000" w:themeColor="text1"/>
        </w:rPr>
        <w:t xml:space="preserve"> code budgétaire. </w:t>
      </w:r>
      <w:r w:rsidR="00EB0358">
        <w:rPr>
          <w:color w:val="000000" w:themeColor="text1"/>
        </w:rPr>
        <w:t xml:space="preserve">Ces sous codes sont </w:t>
      </w:r>
      <w:r w:rsidR="00784568">
        <w:rPr>
          <w:color w:val="000000" w:themeColor="text1"/>
        </w:rPr>
        <w:t xml:space="preserve">: année, ministère, section-section, fonction, nature de dépense, et département. </w:t>
      </w:r>
      <w:r w:rsidR="00EB0358">
        <w:rPr>
          <w:color w:val="000000" w:themeColor="text1"/>
        </w:rPr>
        <w:t xml:space="preserve"> A titre d’e</w:t>
      </w:r>
      <w:r w:rsidR="00B776C3">
        <w:rPr>
          <w:color w:val="000000" w:themeColor="text1"/>
        </w:rPr>
        <w:t>xemple d</w:t>
      </w:r>
      <w:r w:rsidR="00EB0358">
        <w:rPr>
          <w:color w:val="000000" w:themeColor="text1"/>
        </w:rPr>
        <w:t>e</w:t>
      </w:r>
      <w:r w:rsidR="00B776C3">
        <w:rPr>
          <w:color w:val="000000" w:themeColor="text1"/>
        </w:rPr>
        <w:t xml:space="preserve">  code budgétaire</w:t>
      </w:r>
      <w:r w:rsidR="00EB0358">
        <w:rPr>
          <w:color w:val="000000" w:themeColor="text1"/>
        </w:rPr>
        <w:t xml:space="preserve"> : </w:t>
      </w:r>
      <w:r w:rsidR="00B776C3">
        <w:rPr>
          <w:color w:val="000000" w:themeColor="text1"/>
        </w:rPr>
        <w:t xml:space="preserve"> 2013</w:t>
      </w:r>
      <w:r w:rsidR="00B776C3" w:rsidRPr="00B776C3">
        <w:rPr>
          <w:color w:val="FF0000"/>
        </w:rPr>
        <w:t>71</w:t>
      </w:r>
      <w:r w:rsidR="00B776C3" w:rsidRPr="00E77F3A">
        <w:rPr>
          <w:color w:val="4F81BD" w:themeColor="accent1"/>
        </w:rPr>
        <w:t>811</w:t>
      </w:r>
      <w:r w:rsidR="00B776C3" w:rsidRPr="00B776C3">
        <w:rPr>
          <w:color w:val="C0504D" w:themeColor="accent2"/>
        </w:rPr>
        <w:t>1111</w:t>
      </w:r>
      <w:r w:rsidR="00B776C3" w:rsidRPr="00B776C3">
        <w:rPr>
          <w:color w:val="9BBB59" w:themeColor="accent3"/>
        </w:rPr>
        <w:t>076</w:t>
      </w:r>
      <w:r w:rsidR="00B776C3" w:rsidRPr="00B776C3">
        <w:rPr>
          <w:color w:val="7030A0"/>
        </w:rPr>
        <w:t>16111</w:t>
      </w:r>
      <w:r w:rsidR="00B776C3" w:rsidRPr="00B776C3">
        <w:rPr>
          <w:color w:val="4F81BD" w:themeColor="accent1"/>
        </w:rPr>
        <w:t>13</w:t>
      </w:r>
      <w:r w:rsidR="00B776C3">
        <w:rPr>
          <w:color w:val="4F81BD" w:themeColor="accent1"/>
        </w:rPr>
        <w:t xml:space="preserve"> </w:t>
      </w:r>
      <w:r>
        <w:t xml:space="preserve"> signifie</w:t>
      </w:r>
      <w:r w:rsidR="00B776C3" w:rsidRPr="00C46BA8">
        <w:t> </w:t>
      </w:r>
      <w:r w:rsidR="00B776C3">
        <w:rPr>
          <w:color w:val="4F81BD" w:themeColor="accent1"/>
        </w:rPr>
        <w:t xml:space="preserve">: </w:t>
      </w:r>
    </w:p>
    <w:p w:rsidR="00B776C3" w:rsidRPr="001F72D8" w:rsidRDefault="00B776C3" w:rsidP="006768F3">
      <w:pPr>
        <w:pStyle w:val="Paragraphedeliste"/>
        <w:numPr>
          <w:ilvl w:val="0"/>
          <w:numId w:val="11"/>
        </w:numPr>
        <w:tabs>
          <w:tab w:val="left" w:pos="1276"/>
        </w:tabs>
        <w:jc w:val="both"/>
        <w:rPr>
          <w:rFonts w:ascii="Times New Roman" w:hAnsi="Times New Roman"/>
          <w:color w:val="000000" w:themeColor="text1"/>
        </w:rPr>
      </w:pPr>
      <w:r w:rsidRPr="001F72D8">
        <w:rPr>
          <w:rFonts w:ascii="Times New Roman" w:hAnsi="Times New Roman"/>
        </w:rPr>
        <w:t>2013</w:t>
      </w:r>
      <w:r w:rsidRPr="001F72D8">
        <w:rPr>
          <w:rFonts w:ascii="Times New Roman" w:hAnsi="Times New Roman"/>
          <w:color w:val="4F81BD" w:themeColor="accent1"/>
        </w:rPr>
        <w:t> </w:t>
      </w:r>
      <w:r w:rsidRPr="001F72D8">
        <w:rPr>
          <w:rFonts w:ascii="Times New Roman" w:hAnsi="Times New Roman"/>
        </w:rPr>
        <w:t>: année concernée</w:t>
      </w:r>
    </w:p>
    <w:p w:rsidR="00B776C3" w:rsidRPr="001F72D8" w:rsidRDefault="00B776C3" w:rsidP="006768F3">
      <w:pPr>
        <w:pStyle w:val="Paragraphedeliste"/>
        <w:numPr>
          <w:ilvl w:val="0"/>
          <w:numId w:val="11"/>
        </w:numPr>
        <w:tabs>
          <w:tab w:val="left" w:pos="1276"/>
        </w:tabs>
        <w:jc w:val="both"/>
        <w:rPr>
          <w:rFonts w:ascii="Times New Roman" w:hAnsi="Times New Roman"/>
          <w:color w:val="000000" w:themeColor="text1"/>
        </w:rPr>
      </w:pPr>
      <w:r w:rsidRPr="001F72D8">
        <w:rPr>
          <w:rFonts w:ascii="Times New Roman" w:hAnsi="Times New Roman"/>
          <w:color w:val="C0504D" w:themeColor="accent2"/>
        </w:rPr>
        <w:t>71 </w:t>
      </w:r>
      <w:r w:rsidR="006768F3">
        <w:rPr>
          <w:rFonts w:ascii="Times New Roman" w:hAnsi="Times New Roman"/>
          <w:color w:val="C0504D" w:themeColor="accent2"/>
        </w:rPr>
        <w:tab/>
      </w:r>
      <w:r w:rsidR="006768F3">
        <w:rPr>
          <w:rFonts w:ascii="Times New Roman" w:hAnsi="Times New Roman"/>
          <w:color w:val="000000" w:themeColor="text1"/>
        </w:rPr>
        <w:t xml:space="preserve">: </w:t>
      </w:r>
      <w:r w:rsidRPr="001F72D8">
        <w:rPr>
          <w:rFonts w:ascii="Times New Roman" w:hAnsi="Times New Roman"/>
          <w:color w:val="000000" w:themeColor="text1"/>
        </w:rPr>
        <w:t xml:space="preserve"> code du ministère  dans la nomenclature budgétaire </w:t>
      </w:r>
    </w:p>
    <w:p w:rsidR="00E77F3A" w:rsidRPr="001F72D8" w:rsidRDefault="00B776C3" w:rsidP="006768F3">
      <w:pPr>
        <w:pStyle w:val="Paragraphedeliste"/>
        <w:numPr>
          <w:ilvl w:val="0"/>
          <w:numId w:val="11"/>
        </w:numPr>
        <w:tabs>
          <w:tab w:val="left" w:pos="1276"/>
        </w:tabs>
        <w:jc w:val="both"/>
        <w:rPr>
          <w:rFonts w:ascii="Times New Roman" w:hAnsi="Times New Roman"/>
          <w:color w:val="000000" w:themeColor="text1"/>
        </w:rPr>
      </w:pPr>
      <w:r w:rsidRPr="001F72D8">
        <w:rPr>
          <w:rFonts w:ascii="Times New Roman" w:hAnsi="Times New Roman"/>
          <w:color w:val="4F81BD" w:themeColor="accent1"/>
        </w:rPr>
        <w:t>811</w:t>
      </w:r>
      <w:r w:rsidRPr="001F72D8">
        <w:rPr>
          <w:rFonts w:ascii="Times New Roman" w:hAnsi="Times New Roman"/>
          <w:color w:val="9BBB59" w:themeColor="accent3"/>
        </w:rPr>
        <w:t> </w:t>
      </w:r>
      <w:r w:rsidR="006768F3">
        <w:rPr>
          <w:rFonts w:ascii="Times New Roman" w:hAnsi="Times New Roman"/>
          <w:color w:val="9BBB59" w:themeColor="accent3"/>
        </w:rPr>
        <w:tab/>
      </w:r>
      <w:r w:rsidR="006768F3">
        <w:rPr>
          <w:rFonts w:ascii="Times New Roman" w:hAnsi="Times New Roman"/>
          <w:color w:val="000000" w:themeColor="text1"/>
        </w:rPr>
        <w:t xml:space="preserve">: </w:t>
      </w:r>
      <w:r w:rsidR="00E77F3A" w:rsidRPr="001F72D8">
        <w:rPr>
          <w:rFonts w:ascii="Times New Roman" w:hAnsi="Times New Roman"/>
          <w:color w:val="000000" w:themeColor="text1"/>
        </w:rPr>
        <w:t>section de la structure par laquelle la dépense est effectuée</w:t>
      </w:r>
    </w:p>
    <w:p w:rsidR="00E77F3A" w:rsidRPr="001F72D8" w:rsidRDefault="00E77F3A" w:rsidP="006768F3">
      <w:pPr>
        <w:pStyle w:val="Paragraphedeliste"/>
        <w:numPr>
          <w:ilvl w:val="0"/>
          <w:numId w:val="11"/>
        </w:numPr>
        <w:tabs>
          <w:tab w:val="left" w:pos="1276"/>
        </w:tabs>
        <w:jc w:val="both"/>
        <w:rPr>
          <w:rFonts w:ascii="Times New Roman" w:hAnsi="Times New Roman"/>
          <w:color w:val="000000" w:themeColor="text1"/>
        </w:rPr>
      </w:pPr>
      <w:r w:rsidRPr="001F72D8">
        <w:rPr>
          <w:rFonts w:ascii="Times New Roman" w:hAnsi="Times New Roman"/>
          <w:color w:val="C0504D" w:themeColor="accent2"/>
        </w:rPr>
        <w:t>1111 :</w:t>
      </w:r>
      <w:r w:rsidR="006768F3">
        <w:rPr>
          <w:rFonts w:ascii="Times New Roman" w:hAnsi="Times New Roman"/>
          <w:color w:val="000000" w:themeColor="text1"/>
        </w:rPr>
        <w:t xml:space="preserve"> </w:t>
      </w:r>
      <w:r w:rsidRPr="001F72D8">
        <w:rPr>
          <w:rFonts w:ascii="Times New Roman" w:hAnsi="Times New Roman"/>
          <w:color w:val="000000" w:themeColor="text1"/>
        </w:rPr>
        <w:t xml:space="preserve">sous-section </w:t>
      </w:r>
      <w:r w:rsidR="00B776C3" w:rsidRPr="001F72D8">
        <w:rPr>
          <w:rFonts w:ascii="Times New Roman" w:hAnsi="Times New Roman"/>
          <w:color w:val="000000" w:themeColor="text1"/>
        </w:rPr>
        <w:t xml:space="preserve"> </w:t>
      </w:r>
      <w:r w:rsidRPr="001F72D8">
        <w:rPr>
          <w:rFonts w:ascii="Times New Roman" w:hAnsi="Times New Roman"/>
          <w:color w:val="000000" w:themeColor="text1"/>
        </w:rPr>
        <w:t xml:space="preserve"> de la même structure  par </w:t>
      </w:r>
      <w:r w:rsidR="001F72D8" w:rsidRPr="001F72D8">
        <w:rPr>
          <w:rFonts w:ascii="Times New Roman" w:hAnsi="Times New Roman"/>
          <w:color w:val="000000" w:themeColor="text1"/>
        </w:rPr>
        <w:t>laquelle</w:t>
      </w:r>
      <w:r w:rsidRPr="001F72D8">
        <w:rPr>
          <w:rFonts w:ascii="Times New Roman" w:hAnsi="Times New Roman"/>
          <w:color w:val="000000" w:themeColor="text1"/>
        </w:rPr>
        <w:t xml:space="preserve"> la dépense est effectuée </w:t>
      </w:r>
    </w:p>
    <w:p w:rsidR="00C46BA8" w:rsidRPr="001F72D8" w:rsidRDefault="00E77F3A" w:rsidP="006768F3">
      <w:pPr>
        <w:pStyle w:val="Paragraphedeliste"/>
        <w:numPr>
          <w:ilvl w:val="0"/>
          <w:numId w:val="11"/>
        </w:numPr>
        <w:tabs>
          <w:tab w:val="left" w:pos="1276"/>
        </w:tabs>
        <w:jc w:val="both"/>
        <w:rPr>
          <w:rFonts w:ascii="Times New Roman" w:hAnsi="Times New Roman"/>
          <w:color w:val="000000" w:themeColor="text1"/>
        </w:rPr>
      </w:pPr>
      <w:r w:rsidRPr="001F72D8">
        <w:rPr>
          <w:rFonts w:ascii="Times New Roman" w:hAnsi="Times New Roman"/>
          <w:color w:val="9BBB59" w:themeColor="accent3"/>
        </w:rPr>
        <w:t>0761 </w:t>
      </w:r>
      <w:r w:rsidR="006768F3">
        <w:rPr>
          <w:rFonts w:ascii="Times New Roman" w:hAnsi="Times New Roman"/>
          <w:color w:val="000000" w:themeColor="text1"/>
        </w:rPr>
        <w:t xml:space="preserve">: </w:t>
      </w:r>
      <w:r w:rsidRPr="001F72D8">
        <w:rPr>
          <w:rFonts w:ascii="Times New Roman" w:hAnsi="Times New Roman"/>
          <w:color w:val="000000" w:themeColor="text1"/>
        </w:rPr>
        <w:t xml:space="preserve">fonction </w:t>
      </w:r>
      <w:r w:rsidR="001F72D8" w:rsidRPr="001F72D8">
        <w:rPr>
          <w:rFonts w:ascii="Times New Roman" w:hAnsi="Times New Roman"/>
          <w:color w:val="000000" w:themeColor="text1"/>
        </w:rPr>
        <w:t>santé,</w:t>
      </w:r>
      <w:r w:rsidRPr="001F72D8">
        <w:rPr>
          <w:rFonts w:ascii="Times New Roman" w:hAnsi="Times New Roman"/>
          <w:color w:val="000000" w:themeColor="text1"/>
        </w:rPr>
        <w:t xml:space="preserve"> </w:t>
      </w:r>
      <w:r w:rsidRPr="001F72D8">
        <w:rPr>
          <w:rFonts w:ascii="Times New Roman" w:hAnsi="Times New Roman"/>
        </w:rPr>
        <w:t>n</w:t>
      </w:r>
      <w:r w:rsidR="001F72D8" w:rsidRPr="001F72D8">
        <w:rPr>
          <w:rFonts w:ascii="Times New Roman" w:hAnsi="Times New Roman"/>
        </w:rPr>
        <w:t>on classifié ailleurs</w:t>
      </w:r>
      <w:r w:rsidR="001F72D8">
        <w:rPr>
          <w:rFonts w:ascii="Times New Roman" w:hAnsi="Times New Roman"/>
        </w:rPr>
        <w:t xml:space="preserve"> (n</w:t>
      </w:r>
      <w:r w:rsidR="001F72D8">
        <w:rPr>
          <w:rFonts w:ascii="Times New Roman" w:hAnsi="Times New Roman"/>
          <w:b/>
        </w:rPr>
        <w:t xml:space="preserve">.c.a). </w:t>
      </w:r>
      <w:r w:rsidRPr="001F72D8">
        <w:rPr>
          <w:rFonts w:ascii="Times New Roman" w:hAnsi="Times New Roman"/>
          <w:color w:val="000000" w:themeColor="text1"/>
        </w:rPr>
        <w:t>Ici</w:t>
      </w:r>
      <w:r w:rsidR="001F72D8">
        <w:rPr>
          <w:rFonts w:ascii="Times New Roman" w:hAnsi="Times New Roman"/>
          <w:color w:val="000000" w:themeColor="text1"/>
        </w:rPr>
        <w:t xml:space="preserve"> le chiffre</w:t>
      </w:r>
      <w:r w:rsidR="006768F3">
        <w:rPr>
          <w:rFonts w:ascii="Times New Roman" w:hAnsi="Times New Roman"/>
          <w:color w:val="000000" w:themeColor="text1"/>
        </w:rPr>
        <w:t xml:space="preserve"> </w:t>
      </w:r>
      <w:r w:rsidRPr="001F72D8">
        <w:rPr>
          <w:rFonts w:ascii="Times New Roman" w:hAnsi="Times New Roman"/>
          <w:color w:val="4BACC6" w:themeColor="accent5"/>
        </w:rPr>
        <w:t>7</w:t>
      </w:r>
      <w:r w:rsidR="006768F3">
        <w:rPr>
          <w:rFonts w:ascii="Times New Roman" w:hAnsi="Times New Roman"/>
          <w:color w:val="4BACC6" w:themeColor="accent5"/>
        </w:rPr>
        <w:t xml:space="preserve"> </w:t>
      </w:r>
      <w:r w:rsidRPr="001F72D8">
        <w:rPr>
          <w:rFonts w:ascii="Times New Roman" w:hAnsi="Times New Roman"/>
          <w:color w:val="000000" w:themeColor="text1"/>
        </w:rPr>
        <w:t xml:space="preserve">représente </w:t>
      </w:r>
      <w:r w:rsidR="00C46BA8" w:rsidRPr="001F72D8">
        <w:rPr>
          <w:rFonts w:ascii="Times New Roman" w:hAnsi="Times New Roman"/>
          <w:color w:val="000000" w:themeColor="text1"/>
        </w:rPr>
        <w:t xml:space="preserve"> la fonction santé dans la nomenclature  fonctionnelle utilisée au niveau international ; </w:t>
      </w:r>
    </w:p>
    <w:p w:rsidR="00C46BA8" w:rsidRPr="001F72D8" w:rsidRDefault="00C46BA8" w:rsidP="006768F3">
      <w:pPr>
        <w:pStyle w:val="Paragraphedeliste"/>
        <w:numPr>
          <w:ilvl w:val="0"/>
          <w:numId w:val="11"/>
        </w:numPr>
        <w:tabs>
          <w:tab w:val="left" w:pos="1276"/>
        </w:tabs>
        <w:jc w:val="both"/>
        <w:rPr>
          <w:rFonts w:ascii="Times New Roman" w:hAnsi="Times New Roman"/>
          <w:color w:val="000000" w:themeColor="text1"/>
        </w:rPr>
      </w:pPr>
      <w:r w:rsidRPr="001F72D8">
        <w:rPr>
          <w:rFonts w:ascii="Times New Roman" w:hAnsi="Times New Roman"/>
          <w:color w:val="4F81BD" w:themeColor="accent1"/>
        </w:rPr>
        <w:t>6111 </w:t>
      </w:r>
      <w:r w:rsidR="006768F3">
        <w:rPr>
          <w:rFonts w:ascii="Times New Roman" w:hAnsi="Times New Roman"/>
          <w:color w:val="000000" w:themeColor="text1"/>
        </w:rPr>
        <w:t xml:space="preserve">: </w:t>
      </w:r>
      <w:r w:rsidRPr="001F72D8">
        <w:rPr>
          <w:rFonts w:ascii="Times New Roman" w:hAnsi="Times New Roman"/>
          <w:color w:val="000000" w:themeColor="text1"/>
        </w:rPr>
        <w:t>code de la nature de dépense « fournitures de bureau » dans la classification  économique du budget en ce qui concerne les dépenses courantes des biens et des services ;</w:t>
      </w:r>
    </w:p>
    <w:p w:rsidR="00C46BA8" w:rsidRDefault="00C46BA8" w:rsidP="006768F3">
      <w:pPr>
        <w:pStyle w:val="Paragraphedeliste"/>
        <w:numPr>
          <w:ilvl w:val="0"/>
          <w:numId w:val="11"/>
        </w:numPr>
        <w:tabs>
          <w:tab w:val="left" w:pos="1276"/>
        </w:tabs>
        <w:jc w:val="both"/>
        <w:rPr>
          <w:color w:val="000000" w:themeColor="text1"/>
        </w:rPr>
      </w:pPr>
      <w:r w:rsidRPr="001F72D8">
        <w:rPr>
          <w:rFonts w:ascii="Times New Roman" w:hAnsi="Times New Roman"/>
          <w:color w:val="4F81BD" w:themeColor="accent1"/>
        </w:rPr>
        <w:t>13 </w:t>
      </w:r>
      <w:r w:rsidR="006768F3">
        <w:rPr>
          <w:rFonts w:ascii="Times New Roman" w:hAnsi="Times New Roman"/>
          <w:color w:val="4F81BD" w:themeColor="accent1"/>
        </w:rPr>
        <w:tab/>
      </w:r>
      <w:r w:rsidR="006768F3">
        <w:rPr>
          <w:rFonts w:ascii="Times New Roman" w:hAnsi="Times New Roman"/>
          <w:color w:val="000000" w:themeColor="text1"/>
        </w:rPr>
        <w:t xml:space="preserve">: </w:t>
      </w:r>
      <w:r w:rsidRPr="001F72D8">
        <w:rPr>
          <w:rFonts w:ascii="Times New Roman" w:hAnsi="Times New Roman"/>
          <w:color w:val="000000" w:themeColor="text1"/>
        </w:rPr>
        <w:t>code du département au niveau central</w:t>
      </w:r>
      <w:r>
        <w:rPr>
          <w:color w:val="000000" w:themeColor="text1"/>
        </w:rPr>
        <w:t xml:space="preserve"> </w:t>
      </w:r>
    </w:p>
    <w:p w:rsidR="00AC3E71" w:rsidRPr="001F72D8" w:rsidRDefault="0015736E" w:rsidP="001F72D8">
      <w:pPr>
        <w:jc w:val="both"/>
        <w:rPr>
          <w:color w:val="000000" w:themeColor="text1"/>
        </w:rPr>
      </w:pPr>
      <w:r>
        <w:rPr>
          <w:color w:val="000000" w:themeColor="text1"/>
        </w:rPr>
        <w:t xml:space="preserve">                 </w:t>
      </w:r>
    </w:p>
    <w:p w:rsidR="00C57943" w:rsidRDefault="00AC3E71" w:rsidP="00C57943">
      <w:pPr>
        <w:jc w:val="both"/>
        <w:rPr>
          <w:color w:val="000000" w:themeColor="text1"/>
        </w:rPr>
      </w:pPr>
      <w:r w:rsidRPr="008D45CE">
        <w:rPr>
          <w:color w:val="000000" w:themeColor="text1"/>
        </w:rPr>
        <w:t xml:space="preserve">En croisant </w:t>
      </w:r>
      <w:r w:rsidR="000E26DE">
        <w:rPr>
          <w:color w:val="000000" w:themeColor="text1"/>
        </w:rPr>
        <w:t xml:space="preserve">les </w:t>
      </w:r>
      <w:r w:rsidRPr="008D45CE">
        <w:rPr>
          <w:color w:val="000000" w:themeColor="text1"/>
        </w:rPr>
        <w:t>différentes sources pour la même information, une attention particulière a été portée à la « triangulation » de toutes les données qui concernent un même acteur afin de vérifier l’exactitude de la dépense effectuée. Cet exercice a aussi permis d’identifier et d’éviter un certain nombre de « do</w:t>
      </w:r>
      <w:r w:rsidR="00D338DC">
        <w:rPr>
          <w:color w:val="000000" w:themeColor="text1"/>
        </w:rPr>
        <w:t>ublons »</w:t>
      </w:r>
      <w:r w:rsidR="00C57943">
        <w:rPr>
          <w:color w:val="000000" w:themeColor="text1"/>
        </w:rPr>
        <w:t xml:space="preserve">. </w:t>
      </w:r>
    </w:p>
    <w:p w:rsidR="00AC3E71" w:rsidRDefault="00AC3E71" w:rsidP="00C57943">
      <w:pPr>
        <w:jc w:val="both"/>
        <w:rPr>
          <w:color w:val="000000" w:themeColor="text1"/>
          <w:szCs w:val="16"/>
        </w:rPr>
      </w:pPr>
      <w:r w:rsidRPr="008D45CE">
        <w:rPr>
          <w:color w:val="000000" w:themeColor="text1"/>
        </w:rPr>
        <w:t xml:space="preserve"> </w:t>
      </w:r>
      <w:r w:rsidR="006768F3">
        <w:rPr>
          <w:color w:val="000000" w:themeColor="text1"/>
        </w:rPr>
        <w:t>En</w:t>
      </w:r>
      <w:r w:rsidR="00C57943">
        <w:rPr>
          <w:color w:val="000000" w:themeColor="text1"/>
        </w:rPr>
        <w:t xml:space="preserve">fin, la vérification de </w:t>
      </w:r>
      <w:r w:rsidR="00C57943">
        <w:rPr>
          <w:color w:val="000000" w:themeColor="text1"/>
          <w:szCs w:val="16"/>
        </w:rPr>
        <w:t>l</w:t>
      </w:r>
      <w:r w:rsidRPr="008D45CE">
        <w:rPr>
          <w:color w:val="000000" w:themeColor="text1"/>
          <w:szCs w:val="16"/>
        </w:rPr>
        <w:t>a cohérence</w:t>
      </w:r>
      <w:r w:rsidR="00C57943" w:rsidRPr="00C57943">
        <w:rPr>
          <w:color w:val="000000" w:themeColor="text1"/>
          <w:szCs w:val="16"/>
        </w:rPr>
        <w:t xml:space="preserve"> </w:t>
      </w:r>
      <w:r w:rsidR="00C57943" w:rsidRPr="008D45CE">
        <w:rPr>
          <w:color w:val="000000" w:themeColor="text1"/>
          <w:szCs w:val="16"/>
        </w:rPr>
        <w:t>interne</w:t>
      </w:r>
      <w:r w:rsidR="00C57943">
        <w:rPr>
          <w:color w:val="000000" w:themeColor="text1"/>
          <w:szCs w:val="16"/>
        </w:rPr>
        <w:t xml:space="preserve"> et la correction des erreurs identifiées</w:t>
      </w:r>
      <w:r w:rsidRPr="008D45CE">
        <w:rPr>
          <w:color w:val="000000" w:themeColor="text1"/>
          <w:szCs w:val="16"/>
        </w:rPr>
        <w:t xml:space="preserve"> </w:t>
      </w:r>
      <w:r w:rsidR="00C57943">
        <w:rPr>
          <w:color w:val="000000" w:themeColor="text1"/>
          <w:szCs w:val="16"/>
        </w:rPr>
        <w:t>entre différentes sources</w:t>
      </w:r>
      <w:r w:rsidRPr="008D45CE">
        <w:rPr>
          <w:color w:val="000000" w:themeColor="text1"/>
          <w:szCs w:val="16"/>
        </w:rPr>
        <w:t xml:space="preserve"> d</w:t>
      </w:r>
      <w:r w:rsidR="0015736E">
        <w:rPr>
          <w:color w:val="000000" w:themeColor="text1"/>
          <w:szCs w:val="16"/>
        </w:rPr>
        <w:t>es données encodées</w:t>
      </w:r>
      <w:r w:rsidR="00C57943">
        <w:rPr>
          <w:color w:val="000000" w:themeColor="text1"/>
          <w:szCs w:val="16"/>
        </w:rPr>
        <w:t xml:space="preserve"> ont  été effectué</w:t>
      </w:r>
      <w:r w:rsidR="006768F3">
        <w:rPr>
          <w:color w:val="000000" w:themeColor="text1"/>
          <w:szCs w:val="16"/>
        </w:rPr>
        <w:t>es</w:t>
      </w:r>
      <w:r w:rsidR="0015736E">
        <w:rPr>
          <w:color w:val="000000" w:themeColor="text1"/>
          <w:szCs w:val="16"/>
        </w:rPr>
        <w:t xml:space="preserve">  </w:t>
      </w:r>
      <w:r w:rsidR="00C57943">
        <w:rPr>
          <w:color w:val="000000" w:themeColor="text1"/>
          <w:szCs w:val="16"/>
        </w:rPr>
        <w:t xml:space="preserve">grâce </w:t>
      </w:r>
      <w:r w:rsidR="004145CB">
        <w:rPr>
          <w:color w:val="000000" w:themeColor="text1"/>
          <w:szCs w:val="16"/>
        </w:rPr>
        <w:t>aux outils</w:t>
      </w:r>
      <w:r w:rsidR="0015736E">
        <w:rPr>
          <w:color w:val="000000" w:themeColor="text1"/>
          <w:szCs w:val="16"/>
        </w:rPr>
        <w:t xml:space="preserve"> </w:t>
      </w:r>
      <w:r w:rsidR="008B6B00">
        <w:rPr>
          <w:color w:val="000000" w:themeColor="text1"/>
          <w:szCs w:val="16"/>
        </w:rPr>
        <w:t>de production</w:t>
      </w:r>
      <w:r w:rsidR="004145CB">
        <w:rPr>
          <w:color w:val="000000" w:themeColor="text1"/>
          <w:szCs w:val="16"/>
        </w:rPr>
        <w:t xml:space="preserve"> HAPT version 4.0.0.3 et d’analyse HAAT version 3.0.0.0</w:t>
      </w:r>
    </w:p>
    <w:p w:rsidR="00720166" w:rsidRDefault="00C47E20" w:rsidP="006768F3">
      <w:pPr>
        <w:pStyle w:val="Titre2"/>
      </w:pPr>
      <w:r>
        <w:t>1</w:t>
      </w:r>
      <w:r w:rsidR="006768F3">
        <w:t xml:space="preserve">.3. </w:t>
      </w:r>
      <w:r w:rsidR="00720166" w:rsidRPr="00720166">
        <w:t>INSTRUMENT DE COLLECTE DES DONNÉES</w:t>
      </w:r>
    </w:p>
    <w:p w:rsidR="006768F3" w:rsidRPr="00E941CD" w:rsidRDefault="006768F3" w:rsidP="006768F3">
      <w:pPr>
        <w:pStyle w:val="Style2"/>
        <w:rPr>
          <w:szCs w:val="16"/>
        </w:rPr>
      </w:pPr>
      <w:r w:rsidRPr="00E941CD">
        <w:rPr>
          <w:szCs w:val="16"/>
        </w:rPr>
        <w:t xml:space="preserve">Le questionnaire </w:t>
      </w:r>
      <w:r>
        <w:rPr>
          <w:szCs w:val="16"/>
        </w:rPr>
        <w:t>produit</w:t>
      </w:r>
      <w:r w:rsidRPr="00E941CD">
        <w:rPr>
          <w:szCs w:val="16"/>
        </w:rPr>
        <w:t xml:space="preserve"> directement à l</w:t>
      </w:r>
      <w:r>
        <w:rPr>
          <w:szCs w:val="16"/>
        </w:rPr>
        <w:t>’aide du logiciel HAPT version 4.0.0.3</w:t>
      </w:r>
      <w:r w:rsidRPr="00E941CD">
        <w:rPr>
          <w:szCs w:val="16"/>
        </w:rPr>
        <w:t xml:space="preserve"> de production des comptes de la santé </w:t>
      </w:r>
      <w:r w:rsidR="00A474D4">
        <w:rPr>
          <w:szCs w:val="16"/>
        </w:rPr>
        <w:t xml:space="preserve">a été préalablement adapté au contexte du Congo et </w:t>
      </w:r>
      <w:r w:rsidRPr="00E941CD">
        <w:rPr>
          <w:szCs w:val="16"/>
        </w:rPr>
        <w:t>a per</w:t>
      </w:r>
      <w:r>
        <w:rPr>
          <w:szCs w:val="16"/>
        </w:rPr>
        <w:t>mis de collecter les données de</w:t>
      </w:r>
      <w:r w:rsidRPr="00E941CD">
        <w:rPr>
          <w:szCs w:val="16"/>
        </w:rPr>
        <w:t xml:space="preserve"> dépenses de santé</w:t>
      </w:r>
      <w:r w:rsidR="00A474D4">
        <w:rPr>
          <w:szCs w:val="16"/>
        </w:rPr>
        <w:t xml:space="preserve"> de la période sous revue</w:t>
      </w:r>
      <w:r w:rsidRPr="00E941CD">
        <w:rPr>
          <w:szCs w:val="16"/>
        </w:rPr>
        <w:t xml:space="preserve">. C’est un outil international qui est utilisé dans </w:t>
      </w:r>
      <w:r w:rsidR="00A474D4">
        <w:rPr>
          <w:szCs w:val="16"/>
        </w:rPr>
        <w:t>tous les pays.</w:t>
      </w:r>
    </w:p>
    <w:p w:rsidR="00720166" w:rsidRDefault="00C47E20" w:rsidP="00A474D4">
      <w:pPr>
        <w:pStyle w:val="Titre2"/>
      </w:pPr>
      <w:r>
        <w:t>1</w:t>
      </w:r>
      <w:r w:rsidR="00A474D4">
        <w:t xml:space="preserve">.4. </w:t>
      </w:r>
      <w:r w:rsidR="00720166" w:rsidRPr="00720166">
        <w:t>LIMITE DE L'ETUDE</w:t>
      </w:r>
    </w:p>
    <w:p w:rsidR="00BC4F79" w:rsidRPr="00734115" w:rsidRDefault="00BC4F79" w:rsidP="00734115">
      <w:pPr>
        <w:pStyle w:val="Paragraphedeliste"/>
        <w:numPr>
          <w:ilvl w:val="0"/>
          <w:numId w:val="36"/>
        </w:numPr>
        <w:jc w:val="both"/>
        <w:rPr>
          <w:rFonts w:ascii="Times New Roman" w:hAnsi="Times New Roman"/>
        </w:rPr>
      </w:pPr>
      <w:r w:rsidRPr="00734115">
        <w:rPr>
          <w:rFonts w:ascii="Times New Roman" w:hAnsi="Times New Roman"/>
        </w:rPr>
        <w:t>Manque de complétude des données du Gouvernement en 2011, 2012 et 2013</w:t>
      </w:r>
      <w:r w:rsidR="00734115" w:rsidRPr="00734115">
        <w:rPr>
          <w:rFonts w:ascii="Times New Roman" w:hAnsi="Times New Roman"/>
        </w:rPr>
        <w:t>.</w:t>
      </w:r>
      <w:r w:rsidR="00646FD0">
        <w:rPr>
          <w:rFonts w:ascii="Times New Roman" w:hAnsi="Times New Roman"/>
        </w:rPr>
        <w:t xml:space="preserve">Par conséquent, les données du Gouvernement utilisées pendant cette période sont sous estimées. </w:t>
      </w:r>
    </w:p>
    <w:p w:rsidR="00734115" w:rsidRPr="00734115" w:rsidRDefault="00BC4F79" w:rsidP="00734115">
      <w:pPr>
        <w:pStyle w:val="Paragraphedeliste"/>
        <w:numPr>
          <w:ilvl w:val="0"/>
          <w:numId w:val="36"/>
        </w:numPr>
        <w:jc w:val="both"/>
        <w:rPr>
          <w:rFonts w:ascii="Times New Roman" w:hAnsi="Times New Roman"/>
        </w:rPr>
      </w:pPr>
      <w:r w:rsidRPr="00734115">
        <w:rPr>
          <w:rFonts w:ascii="Times New Roman" w:hAnsi="Times New Roman"/>
        </w:rPr>
        <w:t xml:space="preserve">Les données SNIS et des annuaires statistiques n'étant pas encore à jour. Le clés des répartitions de dépense de santé ont été créer à l'aide des données SNIS 2015. Par </w:t>
      </w:r>
      <w:r w:rsidR="00734115" w:rsidRPr="00734115">
        <w:rPr>
          <w:rFonts w:ascii="Times New Roman" w:hAnsi="Times New Roman"/>
        </w:rPr>
        <w:t>conséquent</w:t>
      </w:r>
      <w:r w:rsidRPr="00734115">
        <w:rPr>
          <w:rFonts w:ascii="Times New Roman" w:hAnsi="Times New Roman"/>
        </w:rPr>
        <w:t xml:space="preserve">, les </w:t>
      </w:r>
      <w:r w:rsidR="00734115" w:rsidRPr="00734115">
        <w:rPr>
          <w:rFonts w:ascii="Times New Roman" w:hAnsi="Times New Roman"/>
        </w:rPr>
        <w:t>mêmes</w:t>
      </w:r>
      <w:r w:rsidRPr="00734115">
        <w:rPr>
          <w:rFonts w:ascii="Times New Roman" w:hAnsi="Times New Roman"/>
        </w:rPr>
        <w:t xml:space="preserve"> clés  des répartitions des dépenses ont été a</w:t>
      </w:r>
      <w:r w:rsidR="00734115" w:rsidRPr="00734115">
        <w:rPr>
          <w:rFonts w:ascii="Times New Roman" w:hAnsi="Times New Roman"/>
        </w:rPr>
        <w:t xml:space="preserve">ppliqués pour </w:t>
      </w:r>
      <w:r w:rsidR="00734115">
        <w:rPr>
          <w:rFonts w:ascii="Times New Roman" w:hAnsi="Times New Roman"/>
        </w:rPr>
        <w:t xml:space="preserve">toutes les années de l'étude sans </w:t>
      </w:r>
      <w:r w:rsidR="00734115" w:rsidRPr="00734115">
        <w:rPr>
          <w:rFonts w:ascii="Times New Roman" w:hAnsi="Times New Roman"/>
        </w:rPr>
        <w:t>modification</w:t>
      </w:r>
      <w:r w:rsidR="00734115">
        <w:rPr>
          <w:rFonts w:ascii="Times New Roman" w:hAnsi="Times New Roman"/>
        </w:rPr>
        <w:t xml:space="preserve"> (2011, 2012,2013,2014 et 2015)</w:t>
      </w:r>
      <w:r w:rsidR="00734115" w:rsidRPr="00734115">
        <w:rPr>
          <w:rFonts w:ascii="Times New Roman" w:hAnsi="Times New Roman"/>
        </w:rPr>
        <w:t>.</w:t>
      </w:r>
    </w:p>
    <w:p w:rsidR="00734115" w:rsidRPr="00734115" w:rsidRDefault="00734115" w:rsidP="00734115">
      <w:pPr>
        <w:pStyle w:val="Paragraphedeliste"/>
        <w:numPr>
          <w:ilvl w:val="0"/>
          <w:numId w:val="36"/>
        </w:numPr>
        <w:jc w:val="both"/>
        <w:rPr>
          <w:rFonts w:ascii="Times New Roman" w:hAnsi="Times New Roman"/>
        </w:rPr>
      </w:pPr>
      <w:r w:rsidRPr="00734115">
        <w:rPr>
          <w:rFonts w:ascii="Times New Roman" w:hAnsi="Times New Roman"/>
        </w:rPr>
        <w:t>Non désagrégation des certaines données (bailleurs,</w:t>
      </w:r>
      <w:r>
        <w:rPr>
          <w:rFonts w:ascii="Times New Roman" w:hAnsi="Times New Roman"/>
        </w:rPr>
        <w:t xml:space="preserve"> </w:t>
      </w:r>
      <w:r w:rsidRPr="00734115">
        <w:rPr>
          <w:rFonts w:ascii="Times New Roman" w:hAnsi="Times New Roman"/>
        </w:rPr>
        <w:t>Gouvernement)</w:t>
      </w:r>
      <w:r w:rsidR="00BC4F79" w:rsidRPr="00734115">
        <w:rPr>
          <w:rFonts w:ascii="Times New Roman" w:hAnsi="Times New Roman"/>
        </w:rPr>
        <w:t xml:space="preserve"> </w:t>
      </w:r>
      <w:r w:rsidRPr="00734115">
        <w:rPr>
          <w:rFonts w:ascii="Times New Roman" w:hAnsi="Times New Roman"/>
        </w:rPr>
        <w:t>n'a pas permis de faires les analyses par niveau du pyramide sanitaire.</w:t>
      </w:r>
    </w:p>
    <w:p w:rsidR="00BC4F79" w:rsidRPr="00734115" w:rsidRDefault="00BC4F79" w:rsidP="001C25E7">
      <w:pPr>
        <w:pStyle w:val="Paragraphedeliste"/>
        <w:jc w:val="both"/>
        <w:rPr>
          <w:rFonts w:ascii="Times New Roman" w:hAnsi="Times New Roman"/>
        </w:rPr>
      </w:pPr>
    </w:p>
    <w:p w:rsidR="00BC4F79" w:rsidRDefault="00BC4F79" w:rsidP="00A474D4">
      <w:pPr>
        <w:jc w:val="both"/>
        <w:rPr>
          <w:highlight w:val="yellow"/>
        </w:rPr>
      </w:pPr>
    </w:p>
    <w:p w:rsidR="00BC4F79" w:rsidRDefault="00BC4F79" w:rsidP="00A474D4">
      <w:pPr>
        <w:jc w:val="both"/>
        <w:rPr>
          <w:highlight w:val="yellow"/>
        </w:rPr>
      </w:pPr>
    </w:p>
    <w:p w:rsidR="00A474D4" w:rsidRDefault="00CB55B0" w:rsidP="00A474D4">
      <w:pPr>
        <w:pStyle w:val="Titre2"/>
      </w:pPr>
      <w:bookmarkStart w:id="27" w:name="_Toc465262345"/>
      <w:bookmarkStart w:id="28" w:name="_Toc483474597"/>
      <w:r>
        <w:rPr>
          <w:color w:val="000000" w:themeColor="text1"/>
          <w:lang w:eastAsia="fr-FR"/>
        </w:rPr>
        <w:br w:type="page"/>
      </w:r>
      <w:r w:rsidR="00C47E20">
        <w:rPr>
          <w:color w:val="000000" w:themeColor="text1"/>
          <w:lang w:eastAsia="fr-FR"/>
        </w:rPr>
        <w:lastRenderedPageBreak/>
        <w:t>1</w:t>
      </w:r>
      <w:r w:rsidR="00A474D4">
        <w:rPr>
          <w:color w:val="000000" w:themeColor="text1"/>
          <w:lang w:eastAsia="fr-FR"/>
        </w:rPr>
        <w:t xml:space="preserve">.5 </w:t>
      </w:r>
      <w:r w:rsidR="00A474D4" w:rsidRPr="0090583F">
        <w:t>DIFFICULTES    RENCONTREES</w:t>
      </w:r>
    </w:p>
    <w:p w:rsidR="009C37DB" w:rsidRPr="009C37DB" w:rsidRDefault="009C37DB" w:rsidP="009C37DB"/>
    <w:p w:rsidR="00A474D4" w:rsidRDefault="00A474D4" w:rsidP="009C37DB">
      <w:pPr>
        <w:spacing w:line="276" w:lineRule="auto"/>
        <w:jc w:val="both"/>
        <w:rPr>
          <w:rFonts w:eastAsia="Calibri"/>
        </w:rPr>
      </w:pPr>
      <w:r w:rsidRPr="000C3580">
        <w:rPr>
          <w:rFonts w:eastAsia="Calibri"/>
        </w:rPr>
        <w:t>L’élaboration</w:t>
      </w:r>
      <w:r>
        <w:rPr>
          <w:rFonts w:eastAsia="Calibri"/>
        </w:rPr>
        <w:t xml:space="preserve">  des </w:t>
      </w:r>
      <w:r w:rsidRPr="000C3580">
        <w:rPr>
          <w:rFonts w:eastAsia="Calibri"/>
        </w:rPr>
        <w:t>comptes</w:t>
      </w:r>
      <w:r>
        <w:rPr>
          <w:rFonts w:eastAsia="Calibri"/>
        </w:rPr>
        <w:t xml:space="preserve">  nationaux  de santé </w:t>
      </w:r>
      <w:r w:rsidR="009C37DB">
        <w:rPr>
          <w:rFonts w:eastAsia="Calibri"/>
        </w:rPr>
        <w:t xml:space="preserve">avec le système des comptes de la santé 2011 </w:t>
      </w:r>
      <w:r>
        <w:rPr>
          <w:rFonts w:eastAsia="Calibri"/>
        </w:rPr>
        <w:t xml:space="preserve">sur une période de cinq ans est une première expérience </w:t>
      </w:r>
      <w:r w:rsidR="009C37DB">
        <w:rPr>
          <w:rFonts w:eastAsia="Calibri"/>
        </w:rPr>
        <w:t>pour le</w:t>
      </w:r>
      <w:r>
        <w:rPr>
          <w:rFonts w:eastAsia="Calibri"/>
        </w:rPr>
        <w:t xml:space="preserve"> Congo. Ell</w:t>
      </w:r>
      <w:r w:rsidR="009C37DB">
        <w:rPr>
          <w:rFonts w:eastAsia="Calibri"/>
        </w:rPr>
        <w:t>e a été complexe et chronophage. P</w:t>
      </w:r>
      <w:r>
        <w:rPr>
          <w:rFonts w:eastAsia="Calibri"/>
        </w:rPr>
        <w:t>lusieurs difficultés ont été rencontrées  au cours des différentes phases </w:t>
      </w:r>
      <w:r w:rsidR="009C37DB">
        <w:rPr>
          <w:rFonts w:eastAsia="Calibri"/>
        </w:rPr>
        <w:t xml:space="preserve">de production à savoir </w:t>
      </w:r>
      <w:r>
        <w:rPr>
          <w:rFonts w:eastAsia="Calibri"/>
        </w:rPr>
        <w:t xml:space="preserve">: </w:t>
      </w:r>
    </w:p>
    <w:p w:rsidR="009C37DB" w:rsidRDefault="009C37DB" w:rsidP="009C37DB">
      <w:pPr>
        <w:spacing w:line="276" w:lineRule="auto"/>
        <w:jc w:val="both"/>
        <w:rPr>
          <w:rFonts w:eastAsia="Calibri"/>
        </w:rPr>
      </w:pPr>
    </w:p>
    <w:p w:rsidR="009C37DB" w:rsidRPr="009C37DB" w:rsidRDefault="00A474D4" w:rsidP="009C37DB">
      <w:pPr>
        <w:pStyle w:val="Paragraphedeliste"/>
        <w:numPr>
          <w:ilvl w:val="0"/>
          <w:numId w:val="35"/>
        </w:numPr>
        <w:spacing w:line="276" w:lineRule="auto"/>
        <w:jc w:val="both"/>
        <w:rPr>
          <w:rFonts w:ascii="Times New Roman" w:eastAsia="Calibri" w:hAnsi="Times New Roman"/>
        </w:rPr>
      </w:pPr>
      <w:r w:rsidRPr="009C37DB">
        <w:rPr>
          <w:rFonts w:ascii="Times New Roman" w:eastAsia="Calibri" w:hAnsi="Times New Roman"/>
        </w:rPr>
        <w:t>Insuffisance des informations fournies par le SNIS pour permettre l’élaboration des clés de répartition par année ;</w:t>
      </w:r>
    </w:p>
    <w:p w:rsidR="009C37DB" w:rsidRPr="009C37DB" w:rsidRDefault="00A474D4" w:rsidP="009C37DB">
      <w:pPr>
        <w:pStyle w:val="Paragraphedeliste"/>
        <w:numPr>
          <w:ilvl w:val="0"/>
          <w:numId w:val="35"/>
        </w:numPr>
        <w:spacing w:line="276" w:lineRule="auto"/>
        <w:jc w:val="both"/>
        <w:rPr>
          <w:rFonts w:ascii="Times New Roman" w:eastAsia="Calibri" w:hAnsi="Times New Roman"/>
        </w:rPr>
      </w:pPr>
      <w:r w:rsidRPr="009C37DB">
        <w:rPr>
          <w:rFonts w:ascii="Times New Roman" w:eastAsia="Calibri" w:hAnsi="Times New Roman"/>
        </w:rPr>
        <w:t>Non implication de certaines parties prenantes du secteur de la santé (ONGs et fondations nationales, Compagnies d’assurance, les bailleurs, etc) ;</w:t>
      </w:r>
    </w:p>
    <w:p w:rsidR="009C37DB" w:rsidRPr="009C37DB" w:rsidRDefault="00A474D4" w:rsidP="009C37DB">
      <w:pPr>
        <w:pStyle w:val="Paragraphedeliste"/>
        <w:numPr>
          <w:ilvl w:val="0"/>
          <w:numId w:val="35"/>
        </w:numPr>
        <w:spacing w:line="276" w:lineRule="auto"/>
        <w:jc w:val="both"/>
        <w:rPr>
          <w:rFonts w:ascii="Times New Roman" w:eastAsia="Calibri" w:hAnsi="Times New Roman"/>
        </w:rPr>
      </w:pPr>
      <w:r w:rsidRPr="009C37DB">
        <w:rPr>
          <w:rFonts w:ascii="Times New Roman" w:eastAsia="Calibri" w:hAnsi="Times New Roman"/>
        </w:rPr>
        <w:t>Faible niveau de désagrégation des données des bailleurs, de l’administration publique, etc.</w:t>
      </w:r>
    </w:p>
    <w:p w:rsidR="009C37DB" w:rsidRPr="009C37DB" w:rsidRDefault="00A474D4" w:rsidP="009C37DB">
      <w:pPr>
        <w:pStyle w:val="Paragraphedeliste"/>
        <w:numPr>
          <w:ilvl w:val="0"/>
          <w:numId w:val="35"/>
        </w:numPr>
        <w:spacing w:line="276" w:lineRule="auto"/>
        <w:jc w:val="both"/>
        <w:rPr>
          <w:rFonts w:ascii="Times New Roman" w:eastAsia="Calibri" w:hAnsi="Times New Roman"/>
        </w:rPr>
      </w:pPr>
      <w:r w:rsidRPr="009C37DB">
        <w:rPr>
          <w:rFonts w:ascii="Times New Roman" w:eastAsia="Calibri" w:hAnsi="Times New Roman"/>
        </w:rPr>
        <w:t>Non-respect de la feuille route concernant la mobilisation de ressources indispensables ;</w:t>
      </w:r>
    </w:p>
    <w:p w:rsidR="009C37DB" w:rsidRPr="009C37DB" w:rsidRDefault="00A474D4" w:rsidP="009C37DB">
      <w:pPr>
        <w:pStyle w:val="Paragraphedeliste"/>
        <w:numPr>
          <w:ilvl w:val="0"/>
          <w:numId w:val="35"/>
        </w:numPr>
        <w:spacing w:line="276" w:lineRule="auto"/>
        <w:jc w:val="both"/>
        <w:rPr>
          <w:rFonts w:ascii="Times New Roman" w:eastAsia="Calibri" w:hAnsi="Times New Roman"/>
        </w:rPr>
      </w:pPr>
      <w:r w:rsidRPr="009C37DB">
        <w:rPr>
          <w:rFonts w:ascii="Times New Roman" w:eastAsia="Calibri" w:hAnsi="Times New Roman"/>
        </w:rPr>
        <w:t>Non actualisation  de la cartographie  des certaines sources de financement de la santé</w:t>
      </w:r>
    </w:p>
    <w:p w:rsidR="009C37DB" w:rsidRPr="009C37DB" w:rsidRDefault="00A474D4" w:rsidP="009C37DB">
      <w:pPr>
        <w:pStyle w:val="Paragraphedeliste"/>
        <w:numPr>
          <w:ilvl w:val="0"/>
          <w:numId w:val="35"/>
        </w:numPr>
        <w:spacing w:line="276" w:lineRule="auto"/>
        <w:jc w:val="both"/>
        <w:rPr>
          <w:rFonts w:ascii="Times New Roman" w:eastAsia="Calibri" w:hAnsi="Times New Roman"/>
        </w:rPr>
      </w:pPr>
      <w:r w:rsidRPr="009C37DB">
        <w:rPr>
          <w:rFonts w:ascii="Times New Roman" w:eastAsia="Calibri" w:hAnsi="Times New Roman"/>
        </w:rPr>
        <w:t>Non-respect de la nomenclature budgétaire des dépenses de santé du gouvernement sur les cinq ans sous revue ( pas de code  nature de dépenses, pas de code des départements)</w:t>
      </w:r>
    </w:p>
    <w:p w:rsidR="009C37DB" w:rsidRPr="009C37DB" w:rsidRDefault="00A474D4" w:rsidP="009C37DB">
      <w:pPr>
        <w:pStyle w:val="Paragraphedeliste"/>
        <w:numPr>
          <w:ilvl w:val="0"/>
          <w:numId w:val="35"/>
        </w:numPr>
        <w:spacing w:line="276" w:lineRule="auto"/>
        <w:jc w:val="both"/>
        <w:rPr>
          <w:rFonts w:ascii="Times New Roman" w:eastAsia="Calibri" w:hAnsi="Times New Roman"/>
        </w:rPr>
      </w:pPr>
      <w:r w:rsidRPr="009C37DB">
        <w:rPr>
          <w:rFonts w:ascii="Times New Roman" w:eastAsia="Calibri" w:hAnsi="Times New Roman"/>
        </w:rPr>
        <w:t xml:space="preserve">Instabilité de l’équipe technique ayant été formée </w:t>
      </w:r>
      <w:r w:rsidR="009C37DB" w:rsidRPr="009C37DB">
        <w:rPr>
          <w:rFonts w:ascii="Times New Roman" w:eastAsia="Calibri" w:hAnsi="Times New Roman"/>
        </w:rPr>
        <w:t xml:space="preserve">à </w:t>
      </w:r>
      <w:r w:rsidRPr="009C37DB">
        <w:rPr>
          <w:rFonts w:ascii="Times New Roman" w:eastAsia="Calibri" w:hAnsi="Times New Roman"/>
        </w:rPr>
        <w:t xml:space="preserve">l’élaboration des comptes </w:t>
      </w:r>
      <w:r w:rsidR="009C37DB" w:rsidRPr="009C37DB">
        <w:rPr>
          <w:rFonts w:ascii="Times New Roman" w:eastAsia="Calibri" w:hAnsi="Times New Roman"/>
        </w:rPr>
        <w:t>de la santé selon les SHA 2011</w:t>
      </w:r>
    </w:p>
    <w:p w:rsidR="009C37DB" w:rsidRPr="009C37DB" w:rsidRDefault="00A474D4" w:rsidP="009C37DB">
      <w:pPr>
        <w:pStyle w:val="Paragraphedeliste"/>
        <w:numPr>
          <w:ilvl w:val="0"/>
          <w:numId w:val="35"/>
        </w:numPr>
        <w:spacing w:line="276" w:lineRule="auto"/>
        <w:jc w:val="both"/>
        <w:rPr>
          <w:rFonts w:ascii="Times New Roman" w:eastAsia="Calibri" w:hAnsi="Times New Roman"/>
        </w:rPr>
      </w:pPr>
      <w:r w:rsidRPr="009C37DB">
        <w:rPr>
          <w:rFonts w:ascii="Times New Roman" w:eastAsia="Calibri" w:hAnsi="Times New Roman"/>
        </w:rPr>
        <w:t>Problèmes  d’archivage ayant occasionné les difficultés de reconstituer  les données sur les cinq années de l’étude ;</w:t>
      </w:r>
    </w:p>
    <w:p w:rsidR="00A474D4" w:rsidRPr="009C37DB" w:rsidRDefault="00A474D4" w:rsidP="009C37DB">
      <w:pPr>
        <w:pStyle w:val="Paragraphedeliste"/>
        <w:numPr>
          <w:ilvl w:val="0"/>
          <w:numId w:val="35"/>
        </w:numPr>
        <w:spacing w:line="276" w:lineRule="auto"/>
        <w:jc w:val="both"/>
        <w:rPr>
          <w:rFonts w:ascii="Times New Roman" w:eastAsia="Calibri" w:hAnsi="Times New Roman"/>
        </w:rPr>
      </w:pPr>
      <w:r w:rsidRPr="009C37DB">
        <w:rPr>
          <w:rFonts w:ascii="Times New Roman" w:eastAsia="Calibri" w:hAnsi="Times New Roman"/>
        </w:rPr>
        <w:t>Dépenses des entreprises non désagrégées par département, par service et par âge.</w:t>
      </w:r>
    </w:p>
    <w:p w:rsidR="00A474D4" w:rsidRDefault="00A474D4">
      <w:pPr>
        <w:spacing w:after="200" w:line="20" w:lineRule="atLeast"/>
        <w:rPr>
          <w:b/>
          <w:bCs/>
          <w:color w:val="000000" w:themeColor="text1"/>
          <w:kern w:val="32"/>
          <w:szCs w:val="32"/>
          <w:lang w:eastAsia="fr-FR"/>
        </w:rPr>
      </w:pPr>
      <w:r>
        <w:rPr>
          <w:b/>
          <w:bCs/>
          <w:color w:val="000000" w:themeColor="text1"/>
          <w:kern w:val="32"/>
          <w:szCs w:val="32"/>
          <w:lang w:eastAsia="fr-FR"/>
        </w:rPr>
        <w:br w:type="page"/>
      </w:r>
    </w:p>
    <w:p w:rsidR="00C41CEB" w:rsidRPr="00491A65" w:rsidRDefault="00704E95" w:rsidP="00682FE2">
      <w:pPr>
        <w:pStyle w:val="Titre1"/>
        <w:numPr>
          <w:ilvl w:val="0"/>
          <w:numId w:val="6"/>
        </w:numPr>
        <w:tabs>
          <w:tab w:val="left" w:pos="426"/>
        </w:tabs>
        <w:ind w:left="426" w:hanging="437"/>
        <w:rPr>
          <w:color w:val="000000" w:themeColor="text1"/>
          <w:lang w:eastAsia="fr-FR"/>
        </w:rPr>
      </w:pPr>
      <w:r>
        <w:rPr>
          <w:noProof/>
          <w:color w:val="000000" w:themeColor="text1"/>
          <w:lang w:eastAsia="fr-FR" w:bidi="ar-SA"/>
        </w:rPr>
        <w:lastRenderedPageBreak/>
        <mc:AlternateContent>
          <mc:Choice Requires="wps">
            <w:drawing>
              <wp:anchor distT="4294967291" distB="4294967291" distL="114300" distR="114300" simplePos="0" relativeHeight="251678720" behindDoc="0" locked="0" layoutInCell="1" allowOverlap="1">
                <wp:simplePos x="0" y="0"/>
                <wp:positionH relativeFrom="column">
                  <wp:posOffset>12065</wp:posOffset>
                </wp:positionH>
                <wp:positionV relativeFrom="paragraph">
                  <wp:posOffset>241934</wp:posOffset>
                </wp:positionV>
                <wp:extent cx="5760085" cy="0"/>
                <wp:effectExtent l="0" t="0" r="12065" b="19050"/>
                <wp:wrapNone/>
                <wp:docPr id="64" name="AutoShap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600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337EDE" id="AutoShape 71" o:spid="_x0000_s1026" type="#_x0000_t32" style="position:absolute;margin-left:.95pt;margin-top:19.05pt;width:453.55pt;height:0;flip:y;z-index:25167872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"/>
            </w:pict>
          </mc:Fallback>
        </mc:AlternateContent>
      </w:r>
      <w:r w:rsidR="00A10E04" w:rsidRPr="008D45CE">
        <w:rPr>
          <w:color w:val="000000" w:themeColor="text1"/>
          <w:lang w:eastAsia="fr-FR"/>
        </w:rPr>
        <w:t>AGREGATS GENERAUX DES COMPTES DE LA SANTE</w:t>
      </w:r>
      <w:bookmarkEnd w:id="27"/>
      <w:bookmarkEnd w:id="28"/>
    </w:p>
    <w:p w:rsidR="00A10E04" w:rsidRPr="009C37DB" w:rsidRDefault="00A10E04" w:rsidP="00A401E9">
      <w:pPr>
        <w:pStyle w:val="Style2"/>
        <w:rPr>
          <w:rFonts w:eastAsia="Calibri"/>
          <w:color w:val="000000" w:themeColor="text1"/>
          <w:lang w:bidi="ar-SA"/>
        </w:rPr>
      </w:pPr>
      <w:r w:rsidRPr="009C37DB">
        <w:rPr>
          <w:rFonts w:eastAsia="Calibri"/>
          <w:color w:val="000000" w:themeColor="text1"/>
          <w:lang w:bidi="ar-SA"/>
        </w:rPr>
        <w:t xml:space="preserve">Bien que les décideurs aient besoin d'informations assez détaillées sur </w:t>
      </w:r>
      <w:r w:rsidR="00491A65" w:rsidRPr="009C37DB">
        <w:rPr>
          <w:rFonts w:eastAsia="Calibri"/>
          <w:color w:val="000000" w:themeColor="text1"/>
          <w:lang w:bidi="ar-SA"/>
        </w:rPr>
        <w:t>la structure du financement pour</w:t>
      </w:r>
      <w:r w:rsidR="00AD5E84" w:rsidRPr="009C37DB">
        <w:rPr>
          <w:rFonts w:eastAsia="Calibri"/>
          <w:color w:val="000000" w:themeColor="text1"/>
          <w:lang w:bidi="ar-SA"/>
        </w:rPr>
        <w:t xml:space="preserve"> </w:t>
      </w:r>
      <w:r w:rsidRPr="009C37DB">
        <w:rPr>
          <w:rFonts w:eastAsia="Calibri"/>
          <w:color w:val="000000" w:themeColor="text1"/>
          <w:lang w:bidi="ar-SA"/>
        </w:rPr>
        <w:t>la production et l’utilisation des ser</w:t>
      </w:r>
      <w:r w:rsidR="00491A65" w:rsidRPr="009C37DB">
        <w:rPr>
          <w:rFonts w:eastAsia="Calibri"/>
          <w:color w:val="000000" w:themeColor="text1"/>
          <w:lang w:bidi="ar-SA"/>
        </w:rPr>
        <w:t>vices de santé dans leurs pays, il n’en demeure pas moins que les données d'ensemble soient  fournies</w:t>
      </w:r>
      <w:r w:rsidRPr="009C37DB">
        <w:rPr>
          <w:rFonts w:eastAsia="Calibri"/>
          <w:color w:val="000000" w:themeColor="text1"/>
          <w:lang w:bidi="ar-SA"/>
        </w:rPr>
        <w:t xml:space="preserve"> </w:t>
      </w:r>
      <w:r w:rsidR="00491A65" w:rsidRPr="009C37DB">
        <w:rPr>
          <w:rFonts w:eastAsia="Calibri"/>
          <w:color w:val="000000" w:themeColor="text1"/>
          <w:lang w:bidi="ar-SA"/>
        </w:rPr>
        <w:t xml:space="preserve"> de façon </w:t>
      </w:r>
      <w:r w:rsidRPr="009C37DB">
        <w:rPr>
          <w:rFonts w:eastAsia="Calibri"/>
          <w:color w:val="000000" w:themeColor="text1"/>
          <w:lang w:bidi="ar-SA"/>
        </w:rPr>
        <w:t xml:space="preserve">instantanée </w:t>
      </w:r>
      <w:r w:rsidR="00491A65" w:rsidRPr="009C37DB">
        <w:rPr>
          <w:rFonts w:eastAsia="Calibri"/>
          <w:color w:val="000000" w:themeColor="text1"/>
          <w:lang w:bidi="ar-SA"/>
        </w:rPr>
        <w:t xml:space="preserve">pour montrer le </w:t>
      </w:r>
      <w:r w:rsidRPr="009C37DB">
        <w:rPr>
          <w:rFonts w:eastAsia="Calibri"/>
          <w:color w:val="000000" w:themeColor="text1"/>
          <w:lang w:bidi="ar-SA"/>
        </w:rPr>
        <w:t xml:space="preserve">volume de financement et de l’amélioration conséquente de la fonctionnalité du système de santé. </w:t>
      </w:r>
    </w:p>
    <w:p w:rsidR="00A10E04" w:rsidRPr="008D45CE" w:rsidRDefault="00A10E04" w:rsidP="00A401E9">
      <w:pPr>
        <w:pStyle w:val="Titre2"/>
        <w:rPr>
          <w:rFonts w:eastAsia="Calibri"/>
          <w:color w:val="000000" w:themeColor="text1"/>
          <w:lang w:val="fr-CD" w:bidi="ar-SA"/>
        </w:rPr>
      </w:pPr>
      <w:bookmarkStart w:id="29" w:name="_Toc465262346"/>
      <w:bookmarkStart w:id="30" w:name="_Toc483474598"/>
      <w:r w:rsidRPr="008D45CE">
        <w:rPr>
          <w:rFonts w:eastAsia="Calibri"/>
          <w:color w:val="000000" w:themeColor="text1"/>
          <w:lang w:val="fr-CD" w:bidi="ar-SA"/>
        </w:rPr>
        <w:t>2.1. DÉPENSES COURANTES EN SANTÉ</w:t>
      </w:r>
      <w:bookmarkEnd w:id="29"/>
      <w:bookmarkEnd w:id="30"/>
    </w:p>
    <w:p w:rsidR="00A10E04" w:rsidRPr="009C37DB" w:rsidRDefault="00A10E04" w:rsidP="00A401E9">
      <w:pPr>
        <w:pStyle w:val="Style2"/>
        <w:rPr>
          <w:rFonts w:eastAsia="Calibri"/>
          <w:color w:val="000000" w:themeColor="text1"/>
          <w:lang w:bidi="ar-SA"/>
        </w:rPr>
      </w:pPr>
      <w:r w:rsidRPr="009C37DB">
        <w:rPr>
          <w:rFonts w:eastAsia="Calibri"/>
          <w:color w:val="000000" w:themeColor="text1"/>
          <w:lang w:bidi="ar-SA"/>
        </w:rPr>
        <w:t xml:space="preserve">Le Système de Comptes de la Santé (SCS) se préoccupe principalement des biens et services de santé consommés par les unités résidentes uniquement, quel que soit le lieu où la consommation a lieu dans le territoire économique ou dans le reste du monde. </w:t>
      </w:r>
    </w:p>
    <w:p w:rsidR="00A10E04" w:rsidRPr="009C37DB" w:rsidRDefault="00A10E04" w:rsidP="00A401E9">
      <w:pPr>
        <w:pStyle w:val="Style2"/>
        <w:rPr>
          <w:rFonts w:eastAsia="Calibri"/>
          <w:color w:val="000000" w:themeColor="text1"/>
          <w:lang w:bidi="ar-SA"/>
        </w:rPr>
      </w:pPr>
      <w:r w:rsidRPr="009C37DB">
        <w:rPr>
          <w:rFonts w:eastAsia="Calibri"/>
          <w:color w:val="000000" w:themeColor="text1"/>
          <w:lang w:bidi="ar-SA"/>
        </w:rPr>
        <w:t>Par conséquent, les exportations de biens et services de santé (fournis aux unités non résidentes), sont exclues, alors que les importations de biens et services de santé p</w:t>
      </w:r>
      <w:r w:rsidR="00491A65" w:rsidRPr="009C37DB">
        <w:rPr>
          <w:rFonts w:eastAsia="Calibri"/>
          <w:color w:val="000000" w:themeColor="text1"/>
          <w:lang w:bidi="ar-SA"/>
        </w:rPr>
        <w:t xml:space="preserve">our usage final sont incluses. </w:t>
      </w:r>
    </w:p>
    <w:p w:rsidR="00A10E04" w:rsidRPr="008D45CE" w:rsidRDefault="00A10E04" w:rsidP="00A401E9">
      <w:pPr>
        <w:pStyle w:val="Titre2"/>
        <w:rPr>
          <w:rFonts w:eastAsia="Calibri"/>
          <w:color w:val="000000" w:themeColor="text1"/>
          <w:lang w:val="fr-CD" w:bidi="ar-SA"/>
        </w:rPr>
      </w:pPr>
      <w:bookmarkStart w:id="31" w:name="_Toc465262347"/>
      <w:bookmarkStart w:id="32" w:name="_Toc483474599"/>
      <w:r w:rsidRPr="008D45CE">
        <w:rPr>
          <w:rFonts w:eastAsia="Calibri"/>
          <w:color w:val="000000" w:themeColor="text1"/>
          <w:lang w:val="fr-CD" w:bidi="ar-SA"/>
        </w:rPr>
        <w:t>2.2. DÉPENSES D’INVESTISSEMENT EN SANTÉ</w:t>
      </w:r>
      <w:bookmarkEnd w:id="31"/>
      <w:bookmarkEnd w:id="32"/>
    </w:p>
    <w:p w:rsidR="00285978" w:rsidRPr="00C47E20" w:rsidRDefault="00491A65" w:rsidP="00A401E9">
      <w:pPr>
        <w:pStyle w:val="Style2"/>
        <w:rPr>
          <w:rFonts w:eastAsia="Calibri"/>
          <w:color w:val="000000" w:themeColor="text1"/>
          <w:lang w:bidi="ar-SA"/>
        </w:rPr>
      </w:pPr>
      <w:r w:rsidRPr="00C47E20">
        <w:rPr>
          <w:rFonts w:eastAsia="Calibri"/>
          <w:color w:val="000000" w:themeColor="text1"/>
          <w:lang w:bidi="ar-SA"/>
        </w:rPr>
        <w:t>La différence</w:t>
      </w:r>
      <w:r w:rsidR="00A10E04" w:rsidRPr="00C47E20">
        <w:rPr>
          <w:rFonts w:eastAsia="Calibri"/>
          <w:color w:val="000000" w:themeColor="text1"/>
          <w:lang w:bidi="ar-SA"/>
        </w:rPr>
        <w:t xml:space="preserve"> entre les dépenses courantes en biens et services de santé et les dépenses en capital dans les industries de la santé est importante. Les biens d’équipement constituent une composante essentielle de la demande des prestataires de services de santé et jouent un rôle crucial dans la fourniture des services et biens de santé afin de maintenir ou a</w:t>
      </w:r>
      <w:r w:rsidR="00AD5E84" w:rsidRPr="00C47E20">
        <w:rPr>
          <w:rFonts w:eastAsia="Calibri"/>
          <w:color w:val="000000" w:themeColor="text1"/>
          <w:lang w:bidi="ar-SA"/>
        </w:rPr>
        <w:t>ccroitre</w:t>
      </w:r>
      <w:r w:rsidR="00A10E04" w:rsidRPr="00C47E20">
        <w:rPr>
          <w:rFonts w:eastAsia="Calibri"/>
          <w:color w:val="000000" w:themeColor="text1"/>
          <w:lang w:bidi="ar-SA"/>
        </w:rPr>
        <w:t xml:space="preserve"> leur production. </w:t>
      </w:r>
    </w:p>
    <w:p w:rsidR="00285978" w:rsidRPr="00C47E20" w:rsidRDefault="00285978" w:rsidP="00A401E9">
      <w:pPr>
        <w:pStyle w:val="Style2"/>
        <w:rPr>
          <w:rFonts w:eastAsia="Calibri"/>
          <w:color w:val="000000" w:themeColor="text1"/>
          <w:lang w:bidi="ar-SA"/>
        </w:rPr>
      </w:pPr>
    </w:p>
    <w:p w:rsidR="00A10E04" w:rsidRPr="00C47E20" w:rsidRDefault="00A10E04" w:rsidP="00A401E9">
      <w:pPr>
        <w:pStyle w:val="Style2"/>
        <w:rPr>
          <w:rFonts w:eastAsia="Calibri"/>
          <w:color w:val="000000" w:themeColor="text1"/>
          <w:lang w:bidi="ar-SA"/>
        </w:rPr>
      </w:pPr>
      <w:r w:rsidRPr="00C47E20">
        <w:rPr>
          <w:rFonts w:eastAsia="Calibri"/>
          <w:color w:val="000000" w:themeColor="text1"/>
          <w:lang w:bidi="ar-SA"/>
        </w:rPr>
        <w:t>La formation brute de capital dans le système de santé se mesure par la valeur totale des actifs que les prestataires ont acquis pendant l’ex</w:t>
      </w:r>
      <w:r w:rsidR="00AD5E84" w:rsidRPr="00C47E20">
        <w:rPr>
          <w:rFonts w:eastAsia="Calibri"/>
          <w:color w:val="000000" w:themeColor="text1"/>
          <w:lang w:bidi="ar-SA"/>
        </w:rPr>
        <w:t xml:space="preserve">ercice fiscal (moins la valeur </w:t>
      </w:r>
      <w:r w:rsidRPr="00C47E20">
        <w:rPr>
          <w:rFonts w:eastAsia="Calibri"/>
          <w:color w:val="000000" w:themeColor="text1"/>
          <w:lang w:bidi="ar-SA"/>
        </w:rPr>
        <w:t xml:space="preserve">de cession d’actifs de même nature) et qui sont utilisés fréquemment ou pendant plus d’une année dans la fourniture des services de santé. </w:t>
      </w:r>
    </w:p>
    <w:p w:rsidR="0013111F" w:rsidRPr="008D45CE" w:rsidRDefault="0013111F" w:rsidP="00A401E9">
      <w:pPr>
        <w:pStyle w:val="Style2"/>
        <w:rPr>
          <w:rFonts w:eastAsia="Calibri"/>
          <w:color w:val="000000" w:themeColor="text1"/>
          <w:sz w:val="23"/>
          <w:szCs w:val="23"/>
          <w:lang w:bidi="ar-SA"/>
        </w:rPr>
      </w:pPr>
    </w:p>
    <w:p w:rsidR="00A10E04" w:rsidRPr="008D45CE" w:rsidRDefault="00A10E04" w:rsidP="00A401E9">
      <w:pPr>
        <w:pStyle w:val="Titre2"/>
        <w:rPr>
          <w:rFonts w:eastAsia="Calibri"/>
          <w:color w:val="000000" w:themeColor="text1"/>
          <w:lang w:val="fr-CD" w:bidi="ar-SA"/>
        </w:rPr>
      </w:pPr>
      <w:bookmarkStart w:id="33" w:name="_Toc465262348"/>
      <w:bookmarkStart w:id="34" w:name="_Toc483474600"/>
      <w:r w:rsidRPr="008D45CE">
        <w:rPr>
          <w:rFonts w:eastAsia="Calibri"/>
          <w:color w:val="000000" w:themeColor="text1"/>
          <w:lang w:val="fr-CD" w:bidi="ar-SA"/>
        </w:rPr>
        <w:t xml:space="preserve">2.3. DÉPENSES TOTALES DE SANTÉ (SCS </w:t>
      </w:r>
      <w:r w:rsidR="009012AA" w:rsidRPr="008D45CE">
        <w:rPr>
          <w:rFonts w:eastAsia="Calibri"/>
          <w:color w:val="000000" w:themeColor="text1"/>
          <w:lang w:val="fr-CD" w:bidi="ar-SA"/>
        </w:rPr>
        <w:t>2011</w:t>
      </w:r>
      <w:r w:rsidRPr="008D45CE">
        <w:rPr>
          <w:rFonts w:eastAsia="Calibri"/>
          <w:color w:val="000000" w:themeColor="text1"/>
          <w:lang w:val="fr-CD" w:bidi="ar-SA"/>
        </w:rPr>
        <w:t>)</w:t>
      </w:r>
      <w:bookmarkEnd w:id="33"/>
      <w:bookmarkEnd w:id="34"/>
    </w:p>
    <w:p w:rsidR="00EC3E90" w:rsidRPr="00C47E20" w:rsidRDefault="006C1EA9" w:rsidP="00A401E9">
      <w:pPr>
        <w:pStyle w:val="Style2"/>
        <w:rPr>
          <w:rFonts w:eastAsia="Calibri"/>
          <w:color w:val="000000" w:themeColor="text1"/>
          <w:lang w:bidi="ar-SA"/>
        </w:rPr>
      </w:pPr>
      <w:r w:rsidRPr="00C47E20">
        <w:rPr>
          <w:rFonts w:eastAsia="Calibri"/>
          <w:color w:val="000000" w:themeColor="text1"/>
          <w:lang w:bidi="ar-SA"/>
        </w:rPr>
        <w:t xml:space="preserve">Contrairement aux dispositions de </w:t>
      </w:r>
      <w:r w:rsidR="00480D6D" w:rsidRPr="00C47E20">
        <w:rPr>
          <w:rFonts w:eastAsia="Calibri"/>
          <w:i/>
          <w:color w:val="000000" w:themeColor="text1"/>
          <w:lang w:bidi="ar-SA"/>
        </w:rPr>
        <w:t xml:space="preserve">Système des Comptes de la Santé </w:t>
      </w:r>
      <w:r w:rsidRPr="00C47E20">
        <w:rPr>
          <w:rFonts w:eastAsia="Calibri"/>
          <w:i/>
          <w:color w:val="000000" w:themeColor="text1"/>
          <w:lang w:bidi="ar-SA"/>
        </w:rPr>
        <w:t>1.0</w:t>
      </w:r>
      <w:r w:rsidRPr="00C47E20">
        <w:rPr>
          <w:rFonts w:eastAsia="Calibri"/>
          <w:color w:val="000000" w:themeColor="text1"/>
          <w:lang w:bidi="ar-SA"/>
        </w:rPr>
        <w:t xml:space="preserve"> (SHA 1.0)</w:t>
      </w:r>
      <w:r w:rsidR="00480D6D" w:rsidRPr="00C47E20">
        <w:rPr>
          <w:rFonts w:eastAsia="Calibri"/>
          <w:color w:val="000000" w:themeColor="text1"/>
          <w:lang w:bidi="ar-SA"/>
        </w:rPr>
        <w:t xml:space="preserve"> qui ne tenait pas compte de la distinction, entre les dépenses courantes et les dépenses en capital,  </w:t>
      </w:r>
      <w:r w:rsidRPr="00C47E20">
        <w:rPr>
          <w:rFonts w:eastAsia="Calibri"/>
          <w:color w:val="000000" w:themeColor="text1"/>
          <w:lang w:bidi="ar-SA"/>
        </w:rPr>
        <w:t xml:space="preserve"> le SHA 2011</w:t>
      </w:r>
      <w:r w:rsidR="00480D6D" w:rsidRPr="00C47E20">
        <w:rPr>
          <w:rFonts w:eastAsia="Calibri"/>
          <w:color w:val="000000" w:themeColor="text1"/>
          <w:lang w:bidi="ar-SA"/>
        </w:rPr>
        <w:t xml:space="preserve"> exige </w:t>
      </w:r>
      <w:r w:rsidRPr="00C47E20">
        <w:rPr>
          <w:rFonts w:eastAsia="Calibri"/>
          <w:color w:val="000000" w:themeColor="text1"/>
          <w:lang w:bidi="ar-SA"/>
        </w:rPr>
        <w:t xml:space="preserve">que </w:t>
      </w:r>
      <w:r w:rsidR="00480D6D" w:rsidRPr="00C47E20">
        <w:rPr>
          <w:rFonts w:eastAsia="Calibri"/>
          <w:color w:val="000000" w:themeColor="text1"/>
          <w:lang w:bidi="ar-SA"/>
        </w:rPr>
        <w:t>ces deux catégories de dépenses soient éclatées en 2 agrégats</w:t>
      </w:r>
      <w:r w:rsidRPr="00C47E20">
        <w:rPr>
          <w:rFonts w:eastAsia="Calibri"/>
          <w:color w:val="000000" w:themeColor="text1"/>
          <w:lang w:bidi="ar-SA"/>
        </w:rPr>
        <w:t>.</w:t>
      </w:r>
      <w:r w:rsidR="009012AA" w:rsidRPr="00C47E20">
        <w:rPr>
          <w:rFonts w:eastAsia="Calibri"/>
          <w:color w:val="000000" w:themeColor="text1"/>
          <w:lang w:bidi="ar-SA"/>
        </w:rPr>
        <w:t xml:space="preserve"> </w:t>
      </w:r>
    </w:p>
    <w:p w:rsidR="00A10E04" w:rsidRPr="00C47E20" w:rsidRDefault="00EC3E90" w:rsidP="00AE1584">
      <w:pPr>
        <w:spacing w:after="200" w:line="20" w:lineRule="atLeast"/>
        <w:rPr>
          <w:rFonts w:eastAsia="Calibri"/>
          <w:b/>
          <w:color w:val="000000" w:themeColor="text1"/>
          <w:szCs w:val="23"/>
          <w:lang w:bidi="ar-SA"/>
        </w:rPr>
      </w:pPr>
      <w:r w:rsidRPr="00C47E20">
        <w:rPr>
          <w:rFonts w:eastAsia="Calibri"/>
          <w:color w:val="000000" w:themeColor="text1"/>
          <w:lang w:bidi="ar-SA"/>
        </w:rPr>
        <w:br w:type="page"/>
      </w:r>
      <w:bookmarkStart w:id="35" w:name="_Toc465262349"/>
      <w:bookmarkStart w:id="36" w:name="_Toc483474601"/>
      <w:r w:rsidR="00704E95">
        <w:rPr>
          <w:rFonts w:eastAsia="Calibri"/>
          <w:b/>
          <w:noProof/>
          <w:color w:val="000000" w:themeColor="text1"/>
          <w:szCs w:val="32"/>
          <w:lang w:eastAsia="fr-FR" w:bidi="ar-SA"/>
        </w:rPr>
        <w:lastRenderedPageBreak/>
        <mc:AlternateContent>
          <mc:Choice Requires="wps">
            <w:drawing>
              <wp:anchor distT="4294967291" distB="4294967291" distL="114300" distR="114300" simplePos="0" relativeHeight="251676672" behindDoc="0" locked="0" layoutInCell="1" allowOverlap="1">
                <wp:simplePos x="0" y="0"/>
                <wp:positionH relativeFrom="column">
                  <wp:posOffset>12065</wp:posOffset>
                </wp:positionH>
                <wp:positionV relativeFrom="paragraph">
                  <wp:posOffset>201294</wp:posOffset>
                </wp:positionV>
                <wp:extent cx="5760085" cy="0"/>
                <wp:effectExtent l="0" t="0" r="12065" b="19050"/>
                <wp:wrapNone/>
                <wp:docPr id="78" name="AutoShap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600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E1D28A8" id="AutoShape 71" o:spid="_x0000_s1026" type="#_x0000_t32" style="position:absolute;margin-left:.95pt;margin-top:15.85pt;width:453.55pt;height:0;flip:y;z-index:25167667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"/>
            </w:pict>
          </mc:Fallback>
        </mc:AlternateContent>
      </w:r>
      <w:r w:rsidR="00C47E20" w:rsidRPr="00C47E20">
        <w:rPr>
          <w:rFonts w:eastAsia="Calibri"/>
          <w:b/>
          <w:color w:val="000000" w:themeColor="text1"/>
          <w:lang w:bidi="ar-SA"/>
        </w:rPr>
        <w:t xml:space="preserve">III. </w:t>
      </w:r>
      <w:r w:rsidR="00A10E04" w:rsidRPr="00C47E20">
        <w:rPr>
          <w:rFonts w:eastAsia="Calibri"/>
          <w:b/>
          <w:color w:val="000000" w:themeColor="text1"/>
          <w:lang w:bidi="ar-SA"/>
        </w:rPr>
        <w:t>DIMENSIONS ANALYTIQUES DES COMPTES DE LA SANTE</w:t>
      </w:r>
      <w:bookmarkEnd w:id="35"/>
      <w:bookmarkEnd w:id="36"/>
    </w:p>
    <w:p w:rsidR="00A10E04" w:rsidRPr="008D45CE" w:rsidRDefault="00A10E04" w:rsidP="00A401E9">
      <w:pPr>
        <w:pStyle w:val="Style2"/>
        <w:rPr>
          <w:color w:val="000000" w:themeColor="text1"/>
        </w:rPr>
      </w:pPr>
      <w:r w:rsidRPr="008D45CE">
        <w:rPr>
          <w:color w:val="000000" w:themeColor="text1"/>
        </w:rPr>
        <w:t xml:space="preserve">Les tableaux des Comptes de la Santé représentent une vision d’un même objet, la dépense nationale de santé (DNS), qui est analysée à travers les différentes relations qu’entretiennent les Fonctions de soins et les entités du système de santé que sont : les Sources de financement, les Agents de financement et les Prestataires de soins. </w:t>
      </w:r>
    </w:p>
    <w:p w:rsidR="00A10E04" w:rsidRPr="008D45CE" w:rsidRDefault="00A10E04" w:rsidP="00A401E9">
      <w:pPr>
        <w:pStyle w:val="Style2"/>
        <w:rPr>
          <w:color w:val="000000" w:themeColor="text1"/>
        </w:rPr>
      </w:pPr>
    </w:p>
    <w:p w:rsidR="00A10E04" w:rsidRPr="008D45CE" w:rsidRDefault="00A10E04" w:rsidP="00A401E9">
      <w:pPr>
        <w:pStyle w:val="Style2"/>
        <w:rPr>
          <w:color w:val="000000" w:themeColor="text1"/>
          <w:szCs w:val="18"/>
        </w:rPr>
      </w:pPr>
      <w:r w:rsidRPr="008D45CE">
        <w:rPr>
          <w:color w:val="000000" w:themeColor="text1"/>
        </w:rPr>
        <w:t>L</w:t>
      </w:r>
      <w:r w:rsidRPr="008D45CE">
        <w:rPr>
          <w:color w:val="000000" w:themeColor="text1"/>
          <w:szCs w:val="18"/>
        </w:rPr>
        <w:t>a mobilisation des ressources du secteur de la santé consiste à collecter des fonds qui peuvent provenir de différentes sources dont les principales sont : l’Etat à travers le budget de la santé et les budgets des provinces et bientôt ceux des ETD dans le cadre de la décentralisation en cours, les partenaires au développement, les ménages / communauté et les initiatives privées</w:t>
      </w:r>
    </w:p>
    <w:p w:rsidR="00A10E04" w:rsidRPr="008D45CE" w:rsidRDefault="00A10E04" w:rsidP="00A401E9">
      <w:pPr>
        <w:pStyle w:val="Style2"/>
        <w:rPr>
          <w:color w:val="000000" w:themeColor="text1"/>
        </w:rPr>
      </w:pPr>
    </w:p>
    <w:p w:rsidR="00A10E04" w:rsidRPr="008D45CE" w:rsidRDefault="00A10E04" w:rsidP="00A401E9">
      <w:pPr>
        <w:pStyle w:val="Style2"/>
        <w:rPr>
          <w:color w:val="000000" w:themeColor="text1"/>
        </w:rPr>
      </w:pPr>
      <w:r w:rsidRPr="00C47E20">
        <w:rPr>
          <w:b/>
          <w:color w:val="000000" w:themeColor="text1"/>
        </w:rPr>
        <w:t xml:space="preserve">3.1. </w:t>
      </w:r>
      <w:r w:rsidR="00C47E20" w:rsidRPr="00C47E20">
        <w:rPr>
          <w:b/>
          <w:color w:val="000000" w:themeColor="text1"/>
        </w:rPr>
        <w:t xml:space="preserve">RECETTES DES REGIMES DE FINANCEMENT </w:t>
      </w:r>
      <w:r w:rsidRPr="008D45CE">
        <w:rPr>
          <w:color w:val="000000" w:themeColor="text1"/>
        </w:rPr>
        <w:t xml:space="preserve">: Ce sont les organisations ou les entités qui fournissent les fonds utilisés par les agents de financement dans le système de santé. </w:t>
      </w:r>
    </w:p>
    <w:p w:rsidR="00A10E04" w:rsidRPr="008D45CE" w:rsidRDefault="00A10E04" w:rsidP="00A401E9">
      <w:pPr>
        <w:pStyle w:val="Style2"/>
        <w:rPr>
          <w:color w:val="000000" w:themeColor="text1"/>
        </w:rPr>
      </w:pPr>
    </w:p>
    <w:p w:rsidR="004E5733" w:rsidRPr="008D45CE" w:rsidRDefault="00A10E04" w:rsidP="00A401E9">
      <w:pPr>
        <w:pStyle w:val="Style2"/>
        <w:rPr>
          <w:color w:val="000000" w:themeColor="text1"/>
        </w:rPr>
      </w:pPr>
      <w:r w:rsidRPr="00C47E20">
        <w:rPr>
          <w:b/>
          <w:color w:val="000000" w:themeColor="text1"/>
        </w:rPr>
        <w:t xml:space="preserve">3.2. </w:t>
      </w:r>
      <w:r w:rsidR="00C47E20" w:rsidRPr="00C47E20">
        <w:rPr>
          <w:b/>
          <w:color w:val="000000" w:themeColor="text1"/>
        </w:rPr>
        <w:t xml:space="preserve">REGIMES DE FINANCEMENT </w:t>
      </w:r>
      <w:r w:rsidRPr="00C47E20">
        <w:rPr>
          <w:color w:val="000000" w:themeColor="text1"/>
        </w:rPr>
        <w:t>sont des mécanismes de financement à travers lesquels les services sont payés. Les régimes de</w:t>
      </w:r>
      <w:r w:rsidRPr="008D45CE">
        <w:rPr>
          <w:color w:val="000000" w:themeColor="text1"/>
        </w:rPr>
        <w:t xml:space="preserve"> financement de la santé mobilisent et allouent les ressources financières au sein du système de santé pour couvrir les besoins courants en santé des populations, (individuellement et collectivement), en tenant compte également des besoins futurs attendus. Les individus peuvent avoir accès aux soins au moyen de paiement direct des services et des biens ou à travers les dispositifs de financement d’une tierce partie</w:t>
      </w:r>
      <w:r w:rsidR="00C67099" w:rsidRPr="008D45CE">
        <w:rPr>
          <w:color w:val="000000" w:themeColor="text1"/>
        </w:rPr>
        <w:t>.</w:t>
      </w:r>
    </w:p>
    <w:p w:rsidR="00A10E04" w:rsidRPr="008D45CE" w:rsidRDefault="00A10E04" w:rsidP="00A401E9">
      <w:pPr>
        <w:pStyle w:val="Style2"/>
        <w:rPr>
          <w:color w:val="000000" w:themeColor="text1"/>
        </w:rPr>
      </w:pPr>
    </w:p>
    <w:p w:rsidR="00A10E04" w:rsidRPr="008D45CE" w:rsidRDefault="00A10E04" w:rsidP="00A401E9">
      <w:pPr>
        <w:pStyle w:val="Style2"/>
        <w:rPr>
          <w:color w:val="000000" w:themeColor="text1"/>
        </w:rPr>
      </w:pPr>
      <w:r w:rsidRPr="00C47E20">
        <w:rPr>
          <w:b/>
          <w:color w:val="000000" w:themeColor="text1"/>
        </w:rPr>
        <w:t>3.3.</w:t>
      </w:r>
      <w:r w:rsidRPr="008D45CE">
        <w:rPr>
          <w:color w:val="000000" w:themeColor="text1"/>
        </w:rPr>
        <w:t xml:space="preserve"> </w:t>
      </w:r>
      <w:r w:rsidR="00C47E20" w:rsidRPr="00C47E20">
        <w:rPr>
          <w:b/>
          <w:color w:val="000000" w:themeColor="text1"/>
        </w:rPr>
        <w:t>AGENTS DE FINANCEMENT</w:t>
      </w:r>
      <w:r w:rsidRPr="00C47E20">
        <w:rPr>
          <w:b/>
          <w:color w:val="000000" w:themeColor="text1"/>
        </w:rPr>
        <w:t xml:space="preserve"> </w:t>
      </w:r>
      <w:r w:rsidRPr="00C47E20">
        <w:rPr>
          <w:color w:val="000000" w:themeColor="text1"/>
        </w:rPr>
        <w:t>sont des unités institutionnelles gérant les régimes ou pourvoyeurs de fonds. Ils gèrent un ou plusieurs régimes de financement</w:t>
      </w:r>
      <w:r w:rsidRPr="008D45CE">
        <w:rPr>
          <w:color w:val="000000" w:themeColor="text1"/>
        </w:rPr>
        <w:t xml:space="preserve">. </w:t>
      </w:r>
    </w:p>
    <w:p w:rsidR="00A10E04" w:rsidRPr="008D45CE" w:rsidRDefault="00A10E04" w:rsidP="00A401E9">
      <w:pPr>
        <w:pStyle w:val="Style2"/>
        <w:rPr>
          <w:color w:val="000000" w:themeColor="text1"/>
        </w:rPr>
      </w:pPr>
    </w:p>
    <w:p w:rsidR="00A10E04" w:rsidRPr="008D45CE" w:rsidRDefault="00E2281D" w:rsidP="00A401E9">
      <w:pPr>
        <w:pStyle w:val="Style2"/>
        <w:rPr>
          <w:color w:val="000000" w:themeColor="text1"/>
        </w:rPr>
      </w:pPr>
      <w:r w:rsidRPr="00C47E20">
        <w:rPr>
          <w:b/>
          <w:color w:val="000000" w:themeColor="text1"/>
        </w:rPr>
        <w:t>3.</w:t>
      </w:r>
      <w:r w:rsidR="00C47E20">
        <w:rPr>
          <w:b/>
          <w:color w:val="000000" w:themeColor="text1"/>
        </w:rPr>
        <w:t xml:space="preserve">4.  </w:t>
      </w:r>
      <w:r w:rsidR="00C47E20" w:rsidRPr="00C47E20">
        <w:rPr>
          <w:b/>
          <w:color w:val="000000" w:themeColor="text1"/>
        </w:rPr>
        <w:t>PRESTATAIRES DE SOINS ET SERVICES DE SANTE</w:t>
      </w:r>
      <w:r w:rsidR="00C47E20" w:rsidRPr="008D45CE">
        <w:rPr>
          <w:color w:val="000000" w:themeColor="text1"/>
        </w:rPr>
        <w:t xml:space="preserve"> </w:t>
      </w:r>
      <w:r w:rsidR="00A10E04" w:rsidRPr="008D45CE">
        <w:rPr>
          <w:color w:val="000000" w:themeColor="text1"/>
        </w:rPr>
        <w:t xml:space="preserve">sont des entités qui reçoivent de l’argent en échange de quoi, ils réalisent un ensemble d'activités comprises dans le champ délimité des comptes de la santé. </w:t>
      </w:r>
    </w:p>
    <w:p w:rsidR="00A10E04" w:rsidRPr="008D45CE" w:rsidRDefault="00A10E04" w:rsidP="00A401E9">
      <w:pPr>
        <w:pStyle w:val="Style2"/>
        <w:rPr>
          <w:color w:val="000000" w:themeColor="text1"/>
        </w:rPr>
      </w:pPr>
    </w:p>
    <w:p w:rsidR="00A10E04" w:rsidRPr="008D45CE" w:rsidRDefault="00A10E04" w:rsidP="00A401E9">
      <w:pPr>
        <w:pStyle w:val="Style2"/>
        <w:rPr>
          <w:color w:val="000000" w:themeColor="text1"/>
        </w:rPr>
      </w:pPr>
      <w:r w:rsidRPr="00C47E20">
        <w:rPr>
          <w:b/>
          <w:color w:val="000000" w:themeColor="text1"/>
        </w:rPr>
        <w:t>3.5.</w:t>
      </w:r>
      <w:r w:rsidRPr="008D45CE">
        <w:rPr>
          <w:color w:val="000000" w:themeColor="text1"/>
        </w:rPr>
        <w:t xml:space="preserve"> </w:t>
      </w:r>
      <w:r w:rsidR="00C47E20">
        <w:rPr>
          <w:color w:val="000000" w:themeColor="text1"/>
        </w:rPr>
        <w:t xml:space="preserve"> </w:t>
      </w:r>
      <w:r w:rsidR="00C47E20" w:rsidRPr="00C47E20">
        <w:rPr>
          <w:b/>
          <w:color w:val="000000" w:themeColor="text1"/>
        </w:rPr>
        <w:t>FONCTIONS</w:t>
      </w:r>
      <w:r w:rsidR="00C47E20" w:rsidRPr="008D45CE">
        <w:rPr>
          <w:color w:val="000000" w:themeColor="text1"/>
        </w:rPr>
        <w:t xml:space="preserve"> </w:t>
      </w:r>
      <w:r w:rsidRPr="008D45CE">
        <w:rPr>
          <w:color w:val="000000" w:themeColor="text1"/>
        </w:rPr>
        <w:t>sont les types de biens et services fournis ainsi que les activités réalisées dans le champ délimité des comptes de la santé. (OMS, SHA 2011)</w:t>
      </w:r>
    </w:p>
    <w:p w:rsidR="00A10E04" w:rsidRPr="008D45CE" w:rsidRDefault="00A10E04" w:rsidP="00A401E9">
      <w:pPr>
        <w:pStyle w:val="Style2"/>
        <w:rPr>
          <w:color w:val="000000" w:themeColor="text1"/>
        </w:rPr>
      </w:pPr>
    </w:p>
    <w:p w:rsidR="00A10E04" w:rsidRPr="008D45CE" w:rsidRDefault="00C47E20" w:rsidP="00A401E9">
      <w:pPr>
        <w:pStyle w:val="Style2"/>
        <w:rPr>
          <w:color w:val="000000" w:themeColor="text1"/>
        </w:rPr>
      </w:pPr>
      <w:r>
        <w:rPr>
          <w:b/>
          <w:color w:val="000000" w:themeColor="text1"/>
        </w:rPr>
        <w:t xml:space="preserve">3.6.  </w:t>
      </w:r>
      <w:r w:rsidRPr="00C47E20">
        <w:rPr>
          <w:b/>
          <w:color w:val="000000" w:themeColor="text1"/>
        </w:rPr>
        <w:t>FACTEURS DE PRESTATION</w:t>
      </w:r>
      <w:r w:rsidRPr="008D45CE">
        <w:rPr>
          <w:color w:val="000000" w:themeColor="text1"/>
        </w:rPr>
        <w:t> </w:t>
      </w:r>
      <w:r w:rsidR="00A10E04" w:rsidRPr="008D45CE">
        <w:rPr>
          <w:color w:val="000000" w:themeColor="text1"/>
        </w:rPr>
        <w:t>: représentent la valeur totale des ressources, en espèces ou en nature utilisée dans la fourniture des biens et services de santé. Ils représentent la</w:t>
      </w:r>
      <w:r w:rsidR="00A10E04" w:rsidRPr="008D45CE">
        <w:rPr>
          <w:color w:val="000000" w:themeColor="text1"/>
        </w:rPr>
        <w:tab/>
        <w:t xml:space="preserve"> valeur du montant payé au prestataire des services et soins de santé à travers les régimes de financement. </w:t>
      </w:r>
    </w:p>
    <w:p w:rsidR="006E5994" w:rsidRPr="008D45CE" w:rsidRDefault="006E5994" w:rsidP="00A401E9">
      <w:pPr>
        <w:pStyle w:val="Style2"/>
        <w:rPr>
          <w:color w:val="000000" w:themeColor="text1"/>
        </w:rPr>
      </w:pPr>
    </w:p>
    <w:p w:rsidR="006E5994" w:rsidRPr="008D45CE" w:rsidRDefault="00A32555" w:rsidP="006147ED">
      <w:pPr>
        <w:spacing w:after="200" w:line="20" w:lineRule="atLeast"/>
        <w:rPr>
          <w:color w:val="000000" w:themeColor="text1"/>
        </w:rPr>
      </w:pPr>
      <w:r w:rsidRPr="008D45CE">
        <w:rPr>
          <w:color w:val="000000" w:themeColor="text1"/>
        </w:rPr>
        <w:br w:type="page"/>
      </w:r>
    </w:p>
    <w:p w:rsidR="00A10E04" w:rsidRPr="000E52BC" w:rsidRDefault="00A10E04" w:rsidP="00682FE2">
      <w:pPr>
        <w:pStyle w:val="Titre2"/>
        <w:numPr>
          <w:ilvl w:val="1"/>
          <w:numId w:val="5"/>
        </w:numPr>
        <w:tabs>
          <w:tab w:val="left" w:pos="426"/>
        </w:tabs>
        <w:spacing w:after="0"/>
        <w:rPr>
          <w:rFonts w:eastAsia="Calibri"/>
          <w:color w:val="000000" w:themeColor="text1"/>
          <w:lang w:bidi="ar-SA"/>
        </w:rPr>
      </w:pPr>
      <w:bookmarkStart w:id="37" w:name="_Toc465262350"/>
      <w:bookmarkStart w:id="38" w:name="_Toc483474602"/>
      <w:r w:rsidRPr="008D45CE">
        <w:rPr>
          <w:rFonts w:eastAsia="Calibri"/>
          <w:color w:val="000000" w:themeColor="text1"/>
          <w:lang w:bidi="ar-SA"/>
        </w:rPr>
        <w:lastRenderedPageBreak/>
        <w:t>CADRE DE FINANCEMENT DU SYSTEME DES COMPTES DE LA SANTE (SHA 2011)</w:t>
      </w:r>
      <w:bookmarkEnd w:id="37"/>
      <w:bookmarkEnd w:id="38"/>
    </w:p>
    <w:p w:rsidR="00341A57" w:rsidRPr="00E41AAC" w:rsidRDefault="00341A57" w:rsidP="00341A57">
      <w:pPr>
        <w:pStyle w:val="Titre7"/>
        <w:jc w:val="left"/>
        <w:rPr>
          <w:b w:val="0"/>
          <w:color w:val="000000" w:themeColor="text1"/>
          <w:sz w:val="24"/>
        </w:rPr>
      </w:pPr>
      <w:bookmarkStart w:id="39" w:name="_Toc459420764"/>
      <w:bookmarkStart w:id="40" w:name="_Toc483474483"/>
      <w:r w:rsidRPr="00E41AAC">
        <w:rPr>
          <w:color w:val="000000" w:themeColor="text1"/>
          <w:sz w:val="24"/>
        </w:rPr>
        <w:t xml:space="preserve">Figure </w:t>
      </w:r>
      <w:r w:rsidR="005B4D4B" w:rsidRPr="00E41AAC">
        <w:rPr>
          <w:color w:val="000000" w:themeColor="text1"/>
          <w:sz w:val="24"/>
        </w:rPr>
        <w:fldChar w:fldCharType="begin"/>
      </w:r>
      <w:r w:rsidRPr="00E41AAC">
        <w:rPr>
          <w:color w:val="000000" w:themeColor="text1"/>
          <w:sz w:val="24"/>
        </w:rPr>
        <w:instrText xml:space="preserve"> SEQ Figure \* ARABIC </w:instrText>
      </w:r>
      <w:r w:rsidR="005B4D4B" w:rsidRPr="00E41AAC">
        <w:rPr>
          <w:color w:val="000000" w:themeColor="text1"/>
          <w:sz w:val="24"/>
        </w:rPr>
        <w:fldChar w:fldCharType="separate"/>
      </w:r>
      <w:r w:rsidRPr="00E41AAC">
        <w:rPr>
          <w:noProof/>
          <w:color w:val="000000" w:themeColor="text1"/>
          <w:sz w:val="24"/>
        </w:rPr>
        <w:t>1</w:t>
      </w:r>
      <w:r w:rsidR="005B4D4B" w:rsidRPr="00E41AAC">
        <w:rPr>
          <w:color w:val="000000" w:themeColor="text1"/>
          <w:sz w:val="24"/>
        </w:rPr>
        <w:fldChar w:fldCharType="end"/>
      </w:r>
      <w:r w:rsidRPr="00E41AAC">
        <w:rPr>
          <w:bCs/>
          <w:color w:val="000000" w:themeColor="text1"/>
          <w:sz w:val="24"/>
        </w:rPr>
        <w:t xml:space="preserve">: </w:t>
      </w:r>
      <w:r w:rsidRPr="00E41AAC">
        <w:rPr>
          <w:b w:val="0"/>
          <w:color w:val="000000" w:themeColor="text1"/>
          <w:sz w:val="24"/>
        </w:rPr>
        <w:t>Schéma du cadre de financement du Système des Comptes de la Santé</w:t>
      </w:r>
      <w:bookmarkEnd w:id="39"/>
      <w:bookmarkEnd w:id="40"/>
    </w:p>
    <w:p w:rsidR="00341A57" w:rsidRPr="000E52BC" w:rsidRDefault="00341A57" w:rsidP="00341A57">
      <w:pPr>
        <w:rPr>
          <w:rFonts w:eastAsia="Calibri"/>
          <w:lang w:bidi="ar-SA"/>
        </w:rPr>
      </w:pPr>
    </w:p>
    <w:p w:rsidR="00341A57" w:rsidRPr="000E52BC" w:rsidRDefault="00341A57" w:rsidP="00341A57">
      <w:pPr>
        <w:rPr>
          <w:rFonts w:eastAsia="Calibri"/>
          <w:lang w:bidi="ar-SA"/>
        </w:rPr>
      </w:pPr>
    </w:p>
    <w:p w:rsidR="00A10E04" w:rsidRPr="008D45CE" w:rsidRDefault="00A10E04" w:rsidP="00A401E9">
      <w:pPr>
        <w:autoSpaceDE w:val="0"/>
        <w:autoSpaceDN w:val="0"/>
        <w:adjustRightInd w:val="0"/>
        <w:rPr>
          <w:rFonts w:eastAsia="Calibri"/>
          <w:color w:val="000000" w:themeColor="text1"/>
          <w:lang w:bidi="ar-SA"/>
        </w:rPr>
      </w:pPr>
    </w:p>
    <w:p w:rsidR="00A10E04" w:rsidRPr="008D45CE" w:rsidRDefault="00A10E04" w:rsidP="00A401E9">
      <w:pPr>
        <w:autoSpaceDE w:val="0"/>
        <w:autoSpaceDN w:val="0"/>
        <w:adjustRightInd w:val="0"/>
        <w:rPr>
          <w:rFonts w:eastAsia="Calibri"/>
          <w:color w:val="000000" w:themeColor="text1"/>
          <w:lang w:bidi="ar-SA"/>
        </w:rPr>
      </w:pPr>
      <w:r w:rsidRPr="008D45CE">
        <w:rPr>
          <w:noProof/>
          <w:color w:val="000000" w:themeColor="text1"/>
          <w:lang w:eastAsia="fr-FR" w:bidi="ar-SA"/>
        </w:rPr>
        <w:drawing>
          <wp:inline distT="0" distB="0" distL="0" distR="0">
            <wp:extent cx="5941695" cy="3366654"/>
            <wp:effectExtent l="0" t="0" r="0" b="0"/>
            <wp:docPr id="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4" cstate="print"/>
                    <a:srcRect/>
                    <a:stretch>
                      <a:fillRect/>
                    </a:stretch>
                  </pic:blipFill>
                  <pic:spPr bwMode="auto">
                    <a:xfrm>
                      <a:off x="0" y="0"/>
                      <a:ext cx="5986051" cy="3391787"/>
                    </a:xfrm>
                    <a:prstGeom prst="rect">
                      <a:avLst/>
                    </a:prstGeom>
                    <a:noFill/>
                    <a:ln w="9525">
                      <a:noFill/>
                      <a:miter lim="800000"/>
                      <a:headEnd/>
                      <a:tailEnd/>
                    </a:ln>
                  </pic:spPr>
                </pic:pic>
              </a:graphicData>
            </a:graphic>
          </wp:inline>
        </w:drawing>
      </w:r>
    </w:p>
    <w:p w:rsidR="00D11F8D" w:rsidRPr="008D45CE" w:rsidRDefault="00D11F8D" w:rsidP="00D11F8D">
      <w:pPr>
        <w:pStyle w:val="Default"/>
        <w:jc w:val="center"/>
        <w:rPr>
          <w:color w:val="000000" w:themeColor="text1"/>
          <w:sz w:val="18"/>
          <w:szCs w:val="18"/>
        </w:rPr>
      </w:pPr>
    </w:p>
    <w:p w:rsidR="008155AD" w:rsidRPr="008D45CE" w:rsidRDefault="008155AD" w:rsidP="00A32555">
      <w:pPr>
        <w:pStyle w:val="Style2"/>
        <w:rPr>
          <w:color w:val="000000" w:themeColor="text1"/>
        </w:rPr>
      </w:pPr>
      <w:r w:rsidRPr="008D45CE">
        <w:rPr>
          <w:color w:val="000000" w:themeColor="text1"/>
        </w:rPr>
        <w:t xml:space="preserve">Les concepts clés pour décrire la structure du système de financement de la santé du SCS 2011 sont basés sur la mesure </w:t>
      </w:r>
      <w:r w:rsidRPr="008D45CE">
        <w:rPr>
          <w:i/>
          <w:iCs/>
          <w:color w:val="000000" w:themeColor="text1"/>
        </w:rPr>
        <w:t xml:space="preserve">a) </w:t>
      </w:r>
      <w:r w:rsidRPr="008D45CE">
        <w:rPr>
          <w:color w:val="000000" w:themeColor="text1"/>
        </w:rPr>
        <w:t xml:space="preserve">des dépenses des </w:t>
      </w:r>
      <w:r w:rsidRPr="008D45CE">
        <w:rPr>
          <w:i/>
          <w:iCs/>
          <w:color w:val="000000" w:themeColor="text1"/>
        </w:rPr>
        <w:t xml:space="preserve">régimes de financement de la santé, </w:t>
      </w:r>
      <w:r w:rsidRPr="008D45CE">
        <w:rPr>
          <w:color w:val="000000" w:themeColor="text1"/>
        </w:rPr>
        <w:t>dans le</w:t>
      </w:r>
      <w:r w:rsidR="00C50EF2" w:rsidRPr="008D45CE">
        <w:rPr>
          <w:color w:val="000000" w:themeColor="text1"/>
        </w:rPr>
        <w:t>s</w:t>
      </w:r>
      <w:r w:rsidRPr="008D45CE">
        <w:rPr>
          <w:color w:val="000000" w:themeColor="text1"/>
        </w:rPr>
        <w:t>quel</w:t>
      </w:r>
      <w:r w:rsidR="00C50EF2" w:rsidRPr="008D45CE">
        <w:rPr>
          <w:color w:val="000000" w:themeColor="text1"/>
        </w:rPr>
        <w:t>s</w:t>
      </w:r>
      <w:r w:rsidRPr="008D45CE">
        <w:rPr>
          <w:color w:val="000000" w:themeColor="text1"/>
        </w:rPr>
        <w:t xml:space="preserve"> les biens et services sont achetés directement auprès des prestataires de soins de santé d’une part, et b) les types de revenus des régimes de financement de la santé d’autre part (tels que les revenus nationaux de l’administration publique, les cotisations de l’assurance sociale, les prépaiements volontaires, etc.). </w:t>
      </w:r>
    </w:p>
    <w:p w:rsidR="00E2281D" w:rsidRPr="008D45CE" w:rsidRDefault="00E2281D" w:rsidP="008155AD">
      <w:pPr>
        <w:jc w:val="both"/>
        <w:rPr>
          <w:color w:val="000000" w:themeColor="text1"/>
        </w:rPr>
      </w:pPr>
    </w:p>
    <w:p w:rsidR="008155AD" w:rsidRPr="008D45CE" w:rsidRDefault="008155AD" w:rsidP="00A32555">
      <w:pPr>
        <w:pStyle w:val="Style2"/>
        <w:rPr>
          <w:color w:val="000000" w:themeColor="text1"/>
        </w:rPr>
      </w:pPr>
      <w:r w:rsidRPr="008D45CE">
        <w:rPr>
          <w:color w:val="000000" w:themeColor="text1"/>
        </w:rPr>
        <w:t xml:space="preserve">Les régimes de financement de la santé sont perçus comme étant les principaux « fondements » du système de financement de la santé d’un pays : ce sont les principaux dispositifs de financement par lesquels les populations peuvent avoir accès aux soins de santé, par exemple : les systèmes publics, l’assurance sociale et l’assurance volontaire. </w:t>
      </w:r>
    </w:p>
    <w:p w:rsidR="008155AD" w:rsidRPr="008D45CE" w:rsidRDefault="008155AD" w:rsidP="008155AD">
      <w:pPr>
        <w:spacing w:line="276" w:lineRule="auto"/>
        <w:jc w:val="both"/>
        <w:rPr>
          <w:color w:val="000000" w:themeColor="text1"/>
        </w:rPr>
      </w:pPr>
      <w:r w:rsidRPr="008D45CE">
        <w:rPr>
          <w:color w:val="000000" w:themeColor="text1"/>
        </w:rPr>
        <w:t>Les agents de financement sont perçus ici comme étant les unités institutionnelles qui gèrent des systèmes de financement dans la pratique.</w:t>
      </w:r>
    </w:p>
    <w:p w:rsidR="00A32555" w:rsidRPr="008D45CE" w:rsidRDefault="00A32555" w:rsidP="008155AD">
      <w:pPr>
        <w:spacing w:line="276" w:lineRule="auto"/>
        <w:jc w:val="both"/>
        <w:rPr>
          <w:color w:val="000000" w:themeColor="text1"/>
        </w:rPr>
      </w:pPr>
    </w:p>
    <w:p w:rsidR="00A10E04" w:rsidRPr="008D45CE" w:rsidRDefault="00D11F8D" w:rsidP="00A32555">
      <w:pPr>
        <w:pStyle w:val="Style2"/>
        <w:rPr>
          <w:rFonts w:eastAsia="Calibri"/>
          <w:color w:val="000000" w:themeColor="text1"/>
        </w:rPr>
      </w:pPr>
      <w:r w:rsidRPr="008D45CE">
        <w:rPr>
          <w:color w:val="000000" w:themeColor="text1"/>
        </w:rPr>
        <w:t>Dans ce rapport, l</w:t>
      </w:r>
      <w:r w:rsidR="00A10E04" w:rsidRPr="008D45CE">
        <w:rPr>
          <w:color w:val="000000" w:themeColor="text1"/>
        </w:rPr>
        <w:t xml:space="preserve">a synthèse des informations sur les dépenses de santé est organisée à travers les </w:t>
      </w:r>
      <w:r w:rsidR="001E4F33" w:rsidRPr="008D45CE">
        <w:rPr>
          <w:b/>
          <w:i/>
          <w:color w:val="000000" w:themeColor="text1"/>
        </w:rPr>
        <w:t>quatre</w:t>
      </w:r>
      <w:r w:rsidR="00A10E04" w:rsidRPr="008D45CE">
        <w:rPr>
          <w:b/>
          <w:i/>
          <w:color w:val="000000" w:themeColor="text1"/>
        </w:rPr>
        <w:t xml:space="preserve"> croisements</w:t>
      </w:r>
      <w:r w:rsidR="00A10E04" w:rsidRPr="008D45CE">
        <w:rPr>
          <w:color w:val="000000" w:themeColor="text1"/>
        </w:rPr>
        <w:t xml:space="preserve"> suivants :</w:t>
      </w:r>
      <w:r w:rsidR="00120BC4" w:rsidRPr="008D45CE">
        <w:rPr>
          <w:color w:val="000000" w:themeColor="text1"/>
        </w:rPr>
        <w:t xml:space="preserve">(i) </w:t>
      </w:r>
      <w:r w:rsidR="00120BC4" w:rsidRPr="008D45CE">
        <w:rPr>
          <w:rFonts w:eastAsia="Calibri"/>
          <w:color w:val="000000" w:themeColor="text1"/>
        </w:rPr>
        <w:t>l</w:t>
      </w:r>
      <w:r w:rsidR="00A10E04" w:rsidRPr="008D45CE">
        <w:rPr>
          <w:rFonts w:eastAsia="Calibri"/>
          <w:color w:val="000000" w:themeColor="text1"/>
        </w:rPr>
        <w:t>es dépenses de santé des Sources de financement (FS) par Régime de financement (HF);</w:t>
      </w:r>
      <w:r w:rsidR="00C50EF2" w:rsidRPr="008D45CE">
        <w:rPr>
          <w:rFonts w:eastAsia="Calibri"/>
          <w:color w:val="000000" w:themeColor="text1"/>
        </w:rPr>
        <w:t xml:space="preserve"> </w:t>
      </w:r>
      <w:r w:rsidR="00120BC4" w:rsidRPr="008D45CE">
        <w:rPr>
          <w:rFonts w:eastAsia="Calibri"/>
          <w:color w:val="000000" w:themeColor="text1"/>
        </w:rPr>
        <w:t>l</w:t>
      </w:r>
      <w:r w:rsidR="00A10E04" w:rsidRPr="008D45CE">
        <w:rPr>
          <w:rFonts w:eastAsia="Calibri"/>
          <w:color w:val="000000" w:themeColor="text1"/>
        </w:rPr>
        <w:t>e tableau FS x HF présente la répartition des fonds par source de financement. Il répond à la</w:t>
      </w:r>
      <w:r w:rsidR="00120BC4" w:rsidRPr="008D45CE">
        <w:rPr>
          <w:rFonts w:eastAsia="Calibri"/>
          <w:color w:val="000000" w:themeColor="text1"/>
        </w:rPr>
        <w:t xml:space="preserve"> question « </w:t>
      </w:r>
      <w:r w:rsidR="00120BC4" w:rsidRPr="008D45CE">
        <w:rPr>
          <w:rFonts w:eastAsia="Calibri"/>
          <w:i/>
          <w:color w:val="000000" w:themeColor="text1"/>
        </w:rPr>
        <w:t>Qui finance qui ?</w:t>
      </w:r>
      <w:r w:rsidR="00120BC4" w:rsidRPr="008D45CE">
        <w:rPr>
          <w:rFonts w:eastAsia="Calibri"/>
          <w:color w:val="000000" w:themeColor="text1"/>
        </w:rPr>
        <w:t xml:space="preserve"> » ;</w:t>
      </w:r>
      <w:r w:rsidR="00C50EF2" w:rsidRPr="008D45CE">
        <w:rPr>
          <w:rFonts w:eastAsia="Calibri"/>
          <w:color w:val="000000" w:themeColor="text1"/>
        </w:rPr>
        <w:t xml:space="preserve"> (ii) </w:t>
      </w:r>
      <w:r w:rsidR="00120BC4" w:rsidRPr="008D45CE">
        <w:rPr>
          <w:rFonts w:eastAsia="Calibri"/>
          <w:color w:val="000000" w:themeColor="text1"/>
        </w:rPr>
        <w:t>l</w:t>
      </w:r>
      <w:r w:rsidR="00A10E04" w:rsidRPr="008D45CE">
        <w:rPr>
          <w:rFonts w:eastAsia="Calibri"/>
          <w:color w:val="000000" w:themeColor="text1"/>
        </w:rPr>
        <w:t xml:space="preserve">es dépenses de santé des Régimes (HF) de financement par Prestataires de soins (HP); </w:t>
      </w:r>
      <w:r w:rsidR="00120BC4" w:rsidRPr="008D45CE">
        <w:rPr>
          <w:rFonts w:eastAsia="Calibri"/>
          <w:color w:val="000000" w:themeColor="text1"/>
        </w:rPr>
        <w:t>l</w:t>
      </w:r>
      <w:r w:rsidR="00A10E04" w:rsidRPr="008D45CE">
        <w:rPr>
          <w:rFonts w:eastAsia="Calibri"/>
          <w:color w:val="000000" w:themeColor="text1"/>
        </w:rPr>
        <w:t xml:space="preserve">e tableau HF x HP présente l’affectation des ressources entre les prestataires. Il répond à la question </w:t>
      </w:r>
      <w:r w:rsidR="00A10E04" w:rsidRPr="008D45CE">
        <w:rPr>
          <w:rFonts w:eastAsia="Calibri"/>
          <w:i/>
          <w:color w:val="000000" w:themeColor="text1"/>
        </w:rPr>
        <w:t xml:space="preserve">« A quel </w:t>
      </w:r>
      <w:r w:rsidR="00A10E04" w:rsidRPr="008D45CE">
        <w:rPr>
          <w:rFonts w:eastAsia="Calibri"/>
          <w:i/>
          <w:color w:val="000000" w:themeColor="text1"/>
        </w:rPr>
        <w:lastRenderedPageBreak/>
        <w:t>type des prestataires, les Régimes de financement affectent les ressources financières du système ?»</w:t>
      </w:r>
      <w:r w:rsidR="00120BC4" w:rsidRPr="008D45CE">
        <w:rPr>
          <w:rFonts w:eastAsia="Calibri"/>
          <w:color w:val="000000" w:themeColor="text1"/>
        </w:rPr>
        <w:t> ;  (iii) l</w:t>
      </w:r>
      <w:r w:rsidR="00A10E04" w:rsidRPr="008D45CE">
        <w:rPr>
          <w:rFonts w:eastAsia="Calibri"/>
          <w:color w:val="000000" w:themeColor="text1"/>
        </w:rPr>
        <w:t xml:space="preserve">es dépenses de santé des Prestataires de soins (HP) par Fonction de soins (HC) ; </w:t>
      </w:r>
      <w:r w:rsidR="00120BC4" w:rsidRPr="008D45CE">
        <w:rPr>
          <w:rFonts w:eastAsia="Calibri"/>
          <w:color w:val="000000" w:themeColor="text1"/>
        </w:rPr>
        <w:t>l</w:t>
      </w:r>
      <w:r w:rsidR="00A10E04" w:rsidRPr="008D45CE">
        <w:rPr>
          <w:rFonts w:eastAsia="Calibri"/>
          <w:color w:val="000000" w:themeColor="text1"/>
        </w:rPr>
        <w:t xml:space="preserve">e tableau HP x HC répond à la question </w:t>
      </w:r>
      <w:r w:rsidR="00A10E04" w:rsidRPr="008D45CE">
        <w:rPr>
          <w:rFonts w:eastAsia="Calibri"/>
          <w:i/>
          <w:color w:val="000000" w:themeColor="text1"/>
        </w:rPr>
        <w:t>« Quelles activités ont été réalisées ou quel service a été acheté avec les fonds reçus par les prestataires de soins ?</w:t>
      </w:r>
      <w:r w:rsidR="00120BC4" w:rsidRPr="008D45CE">
        <w:rPr>
          <w:rFonts w:eastAsia="Calibri"/>
          <w:color w:val="000000" w:themeColor="text1"/>
        </w:rPr>
        <w:t xml:space="preserve"> » ;(iv) l</w:t>
      </w:r>
      <w:r w:rsidR="00A10E04" w:rsidRPr="008D45CE">
        <w:rPr>
          <w:rFonts w:eastAsia="Calibri"/>
          <w:color w:val="000000" w:themeColor="text1"/>
          <w:sz w:val="23"/>
        </w:rPr>
        <w:t>es dépenses de santé des Agents de financement (FA) par Fonction</w:t>
      </w:r>
      <w:r w:rsidR="00120BC4" w:rsidRPr="008D45CE">
        <w:rPr>
          <w:rFonts w:eastAsia="Calibri"/>
          <w:color w:val="000000" w:themeColor="text1"/>
          <w:sz w:val="23"/>
        </w:rPr>
        <w:t xml:space="preserve"> de soins (HC) et enfin, l</w:t>
      </w:r>
      <w:r w:rsidR="00A10E04" w:rsidRPr="008D45CE">
        <w:rPr>
          <w:color w:val="000000" w:themeColor="text1"/>
          <w:sz w:val="23"/>
        </w:rPr>
        <w:t xml:space="preserve">e tableau FA x HC répond à la question </w:t>
      </w:r>
      <w:r w:rsidR="00A10E04" w:rsidRPr="008D45CE">
        <w:rPr>
          <w:i/>
          <w:color w:val="000000" w:themeColor="text1"/>
          <w:sz w:val="23"/>
        </w:rPr>
        <w:t>« Quelles fonctions ont été achetées par les agents de financement ? »</w:t>
      </w:r>
      <w:r w:rsidR="00A10E04" w:rsidRPr="008D45CE">
        <w:rPr>
          <w:color w:val="000000" w:themeColor="text1"/>
          <w:sz w:val="23"/>
        </w:rPr>
        <w:t xml:space="preserve">. </w:t>
      </w:r>
      <w:r w:rsidR="00A10E04" w:rsidRPr="008D45CE">
        <w:rPr>
          <w:rFonts w:eastAsia="Calibri"/>
          <w:color w:val="000000" w:themeColor="text1"/>
        </w:rPr>
        <w:br w:type="page"/>
      </w:r>
    </w:p>
    <w:p w:rsidR="00A10E04" w:rsidRPr="00E540D9" w:rsidRDefault="00704E95" w:rsidP="00682FE2">
      <w:pPr>
        <w:pStyle w:val="Titre1"/>
        <w:numPr>
          <w:ilvl w:val="0"/>
          <w:numId w:val="6"/>
        </w:numPr>
        <w:tabs>
          <w:tab w:val="left" w:pos="426"/>
        </w:tabs>
        <w:ind w:left="426" w:hanging="437"/>
        <w:rPr>
          <w:color w:val="000000" w:themeColor="text1"/>
        </w:rPr>
      </w:pPr>
      <w:bookmarkStart w:id="41" w:name="_Toc465262351"/>
      <w:bookmarkStart w:id="42" w:name="_Toc483474603"/>
      <w:r>
        <w:rPr>
          <w:noProof/>
          <w:color w:val="000000" w:themeColor="text1"/>
          <w:lang w:eastAsia="fr-FR" w:bidi="ar-SA"/>
        </w:rPr>
        <w:lastRenderedPageBreak/>
        <mc:AlternateContent>
          <mc:Choice Requires="wps">
            <w:drawing>
              <wp:anchor distT="4294967291" distB="4294967291" distL="114300" distR="114300" simplePos="0" relativeHeight="251679744" behindDoc="0" locked="0" layoutInCell="1" allowOverlap="1">
                <wp:simplePos x="0" y="0"/>
                <wp:positionH relativeFrom="column">
                  <wp:posOffset>12065</wp:posOffset>
                </wp:positionH>
                <wp:positionV relativeFrom="paragraph">
                  <wp:posOffset>211454</wp:posOffset>
                </wp:positionV>
                <wp:extent cx="5760085" cy="0"/>
                <wp:effectExtent l="0" t="0" r="12065" b="19050"/>
                <wp:wrapNone/>
                <wp:docPr id="61" name="Auto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2BEF38" id="AutoShape 32" o:spid="_x0000_s1026" type="#_x0000_t32" style="position:absolute;margin-left:.95pt;margin-top:16.65pt;width:453.55pt;height:0;z-index:25167974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"/>
            </w:pict>
          </mc:Fallback>
        </mc:AlternateContent>
      </w:r>
      <w:r w:rsidR="00A10E04" w:rsidRPr="00E540D9">
        <w:rPr>
          <w:color w:val="000000" w:themeColor="text1"/>
        </w:rPr>
        <w:t>RESULTATS</w:t>
      </w:r>
      <w:bookmarkEnd w:id="41"/>
      <w:bookmarkEnd w:id="42"/>
      <w:r w:rsidR="00EC3E90" w:rsidRPr="00E540D9">
        <w:rPr>
          <w:color w:val="000000" w:themeColor="text1"/>
        </w:rPr>
        <w:t xml:space="preserve"> ET DISCUSSIONS 2011 A 2015</w:t>
      </w:r>
    </w:p>
    <w:p w:rsidR="001729EF" w:rsidRPr="00E540D9" w:rsidRDefault="001729EF" w:rsidP="001729EF">
      <w:pPr>
        <w:rPr>
          <w:color w:val="000000" w:themeColor="text1"/>
        </w:rPr>
      </w:pPr>
    </w:p>
    <w:p w:rsidR="00C41CEB" w:rsidRPr="00E540D9" w:rsidRDefault="00F25423" w:rsidP="00C41CEB">
      <w:pPr>
        <w:jc w:val="both"/>
        <w:rPr>
          <w:color w:val="000000" w:themeColor="text1"/>
        </w:rPr>
      </w:pPr>
      <w:r w:rsidRPr="00E540D9">
        <w:rPr>
          <w:color w:val="000000" w:themeColor="text1"/>
        </w:rPr>
        <w:t>Ce chapitre présente</w:t>
      </w:r>
      <w:r w:rsidR="00C41CEB" w:rsidRPr="00E540D9">
        <w:rPr>
          <w:color w:val="000000" w:themeColor="text1"/>
        </w:rPr>
        <w:t xml:space="preserve"> le volume du financement de la santé en République du Congo </w:t>
      </w:r>
      <w:r w:rsidR="00D152BF">
        <w:rPr>
          <w:color w:val="000000" w:themeColor="text1"/>
        </w:rPr>
        <w:t xml:space="preserve">de  2011 à </w:t>
      </w:r>
      <w:r w:rsidR="00C41CEB" w:rsidRPr="00E540D9">
        <w:rPr>
          <w:color w:val="000000" w:themeColor="text1"/>
        </w:rPr>
        <w:t>2015</w:t>
      </w:r>
      <w:r w:rsidR="00D152BF">
        <w:rPr>
          <w:color w:val="000000" w:themeColor="text1"/>
        </w:rPr>
        <w:t xml:space="preserve">. A travers ces résultats on peut apprécier les  dépenses courantes et les dépenses d’investissement encore appelées </w:t>
      </w:r>
      <w:r w:rsidR="00663FFD" w:rsidRPr="000E52BC">
        <w:rPr>
          <w:color w:val="000000" w:themeColor="text1"/>
        </w:rPr>
        <w:t>dépensent</w:t>
      </w:r>
      <w:r w:rsidR="009E4778">
        <w:rPr>
          <w:color w:val="000000" w:themeColor="text1"/>
        </w:rPr>
        <w:t xml:space="preserve"> en capital. Aussi, la catégorisation de ces dépenses tient</w:t>
      </w:r>
      <w:r w:rsidR="00D152BF">
        <w:rPr>
          <w:color w:val="000000" w:themeColor="text1"/>
        </w:rPr>
        <w:t xml:space="preserve"> compte de l’importance de </w:t>
      </w:r>
      <w:r w:rsidR="009E4778">
        <w:rPr>
          <w:color w:val="000000" w:themeColor="text1"/>
        </w:rPr>
        <w:t xml:space="preserve">la morbidité du pays, donc  </w:t>
      </w:r>
      <w:r w:rsidR="00D152BF">
        <w:rPr>
          <w:color w:val="000000" w:themeColor="text1"/>
        </w:rPr>
        <w:t>de la classification  in</w:t>
      </w:r>
      <w:r w:rsidR="009E4778">
        <w:rPr>
          <w:color w:val="000000" w:themeColor="text1"/>
        </w:rPr>
        <w:t xml:space="preserve">ternationale des maladies (CIM 10). </w:t>
      </w:r>
      <w:r w:rsidR="0013447B">
        <w:rPr>
          <w:color w:val="000000" w:themeColor="text1"/>
        </w:rPr>
        <w:t xml:space="preserve"> </w:t>
      </w:r>
      <w:r w:rsidR="009E4778">
        <w:rPr>
          <w:color w:val="000000" w:themeColor="text1"/>
        </w:rPr>
        <w:t>T</w:t>
      </w:r>
      <w:r w:rsidR="00B56074" w:rsidRPr="00E540D9">
        <w:rPr>
          <w:color w:val="000000" w:themeColor="text1"/>
        </w:rPr>
        <w:t>rois dimension</w:t>
      </w:r>
      <w:r w:rsidR="008D45CE" w:rsidRPr="00E540D9">
        <w:rPr>
          <w:color w:val="000000" w:themeColor="text1"/>
        </w:rPr>
        <w:t>s</w:t>
      </w:r>
      <w:r w:rsidR="00B56074" w:rsidRPr="00E540D9">
        <w:rPr>
          <w:color w:val="000000" w:themeColor="text1"/>
        </w:rPr>
        <w:t xml:space="preserve"> du </w:t>
      </w:r>
      <w:r w:rsidR="008D45CE" w:rsidRPr="00E540D9">
        <w:rPr>
          <w:color w:val="000000" w:themeColor="text1"/>
        </w:rPr>
        <w:t xml:space="preserve">système de financement </w:t>
      </w:r>
      <w:r w:rsidR="009E4778">
        <w:rPr>
          <w:color w:val="000000" w:themeColor="text1"/>
        </w:rPr>
        <w:t>de la santé ont été respectés dans le regroupement des dépenses  à</w:t>
      </w:r>
      <w:r w:rsidR="00D152BF">
        <w:rPr>
          <w:color w:val="000000" w:themeColor="text1"/>
        </w:rPr>
        <w:t xml:space="preserve"> savoir : (i) </w:t>
      </w:r>
      <w:r w:rsidR="00B56074" w:rsidRPr="00E540D9">
        <w:rPr>
          <w:color w:val="000000" w:themeColor="text1"/>
        </w:rPr>
        <w:t xml:space="preserve">la </w:t>
      </w:r>
      <w:r w:rsidR="008D45CE" w:rsidRPr="00E540D9">
        <w:rPr>
          <w:color w:val="000000" w:themeColor="text1"/>
        </w:rPr>
        <w:t>mobilisation,</w:t>
      </w:r>
      <w:r w:rsidR="00B56074" w:rsidRPr="00E540D9">
        <w:rPr>
          <w:color w:val="000000" w:themeColor="text1"/>
        </w:rPr>
        <w:t xml:space="preserve"> </w:t>
      </w:r>
      <w:r w:rsidR="00D152BF">
        <w:rPr>
          <w:color w:val="000000" w:themeColor="text1"/>
        </w:rPr>
        <w:t xml:space="preserve">(ii) </w:t>
      </w:r>
      <w:r w:rsidR="00B56074" w:rsidRPr="00E540D9">
        <w:rPr>
          <w:color w:val="000000" w:themeColor="text1"/>
        </w:rPr>
        <w:t xml:space="preserve">l’affectation et </w:t>
      </w:r>
      <w:r w:rsidR="00D152BF">
        <w:rPr>
          <w:color w:val="000000" w:themeColor="text1"/>
        </w:rPr>
        <w:t xml:space="preserve">(iii) </w:t>
      </w:r>
      <w:r w:rsidR="00B56074" w:rsidRPr="00E540D9">
        <w:rPr>
          <w:color w:val="000000" w:themeColor="text1"/>
        </w:rPr>
        <w:t>l’utilisation</w:t>
      </w:r>
      <w:r w:rsidR="008D45CE" w:rsidRPr="00E540D9">
        <w:rPr>
          <w:color w:val="000000" w:themeColor="text1"/>
        </w:rPr>
        <w:t>.</w:t>
      </w:r>
    </w:p>
    <w:p w:rsidR="00C41CEB" w:rsidRPr="00E540D9" w:rsidRDefault="00C41CEB" w:rsidP="00C41CEB">
      <w:pPr>
        <w:jc w:val="both"/>
        <w:rPr>
          <w:color w:val="000000" w:themeColor="text1"/>
        </w:rPr>
      </w:pPr>
    </w:p>
    <w:p w:rsidR="00B35C14" w:rsidRPr="00ED7535" w:rsidRDefault="00B35C14" w:rsidP="00C41CEB">
      <w:pPr>
        <w:jc w:val="both"/>
        <w:rPr>
          <w:b/>
          <w:color w:val="4F81BD" w:themeColor="accent1"/>
          <w:sz w:val="22"/>
          <w:szCs w:val="22"/>
        </w:rPr>
      </w:pPr>
      <w:r w:rsidRPr="00ED7535">
        <w:rPr>
          <w:b/>
          <w:color w:val="4F81BD" w:themeColor="accent1"/>
          <w:sz w:val="22"/>
          <w:szCs w:val="22"/>
        </w:rPr>
        <w:t>4.1. MOBILISATION DES RESSOURCES DE LA SANTÉ</w:t>
      </w:r>
    </w:p>
    <w:p w:rsidR="00BA392B" w:rsidRPr="008D45CE" w:rsidRDefault="00750A6E" w:rsidP="00B35C14">
      <w:pPr>
        <w:pStyle w:val="Titre3"/>
        <w:rPr>
          <w:b w:val="0"/>
          <w:bCs w:val="0"/>
          <w:color w:val="000000" w:themeColor="text1"/>
          <w:sz w:val="23"/>
          <w:szCs w:val="23"/>
        </w:rPr>
      </w:pPr>
      <w:bookmarkStart w:id="43" w:name="_Toc465262353"/>
      <w:bookmarkStart w:id="44" w:name="_Toc483474605"/>
      <w:r w:rsidRPr="008D45CE">
        <w:rPr>
          <w:i w:val="0"/>
          <w:color w:val="000000" w:themeColor="text1"/>
          <w:lang w:eastAsia="fr-FR" w:bidi="ar-SA"/>
        </w:rPr>
        <w:t xml:space="preserve">4.1.1. </w:t>
      </w:r>
      <w:bookmarkStart w:id="45" w:name="_Toc465262354"/>
      <w:bookmarkStart w:id="46" w:name="_Toc483474606"/>
      <w:bookmarkEnd w:id="43"/>
      <w:bookmarkEnd w:id="44"/>
      <w:r w:rsidRPr="008D45CE">
        <w:rPr>
          <w:bCs w:val="0"/>
          <w:i w:val="0"/>
          <w:color w:val="000000" w:themeColor="text1"/>
          <w:sz w:val="23"/>
          <w:szCs w:val="23"/>
        </w:rPr>
        <w:t>BUDGET DE L’ETAT CONSACRE A LA SANTE AU COURS DES DIX DERNIERES ANNEES</w:t>
      </w:r>
      <w:r w:rsidRPr="008D45CE">
        <w:rPr>
          <w:b w:val="0"/>
          <w:bCs w:val="0"/>
          <w:color w:val="000000" w:themeColor="text1"/>
          <w:sz w:val="23"/>
          <w:szCs w:val="23"/>
        </w:rPr>
        <w:t xml:space="preserve"> </w:t>
      </w:r>
    </w:p>
    <w:p w:rsidR="001A1C14" w:rsidRPr="00341A57" w:rsidRDefault="001A1C14" w:rsidP="001A1C14">
      <w:pPr>
        <w:autoSpaceDE w:val="0"/>
        <w:autoSpaceDN w:val="0"/>
        <w:adjustRightInd w:val="0"/>
        <w:rPr>
          <w:rFonts w:eastAsiaTheme="minorHAnsi"/>
          <w:color w:val="000000"/>
          <w:sz w:val="22"/>
          <w:szCs w:val="22"/>
          <w:lang w:bidi="ar-SA"/>
        </w:rPr>
      </w:pPr>
    </w:p>
    <w:p w:rsidR="001A1C14" w:rsidRPr="00663FFD" w:rsidRDefault="00341A57" w:rsidP="001A1C14">
      <w:pPr>
        <w:autoSpaceDE w:val="0"/>
        <w:autoSpaceDN w:val="0"/>
        <w:adjustRightInd w:val="0"/>
        <w:rPr>
          <w:rFonts w:eastAsiaTheme="minorHAnsi"/>
          <w:bCs/>
          <w:color w:val="000000"/>
          <w:lang w:bidi="ar-SA"/>
        </w:rPr>
      </w:pPr>
      <w:r w:rsidRPr="000E52BC">
        <w:rPr>
          <w:rFonts w:eastAsiaTheme="minorHAnsi"/>
          <w:b/>
          <w:bCs/>
          <w:color w:val="000000"/>
          <w:lang w:bidi="ar-SA"/>
        </w:rPr>
        <w:t>Graphique n°</w:t>
      </w:r>
      <w:r w:rsidR="00E41AAC" w:rsidRPr="000E52BC">
        <w:rPr>
          <w:rFonts w:eastAsiaTheme="minorHAnsi"/>
          <w:b/>
          <w:bCs/>
          <w:color w:val="000000"/>
          <w:lang w:bidi="ar-SA"/>
        </w:rPr>
        <w:t xml:space="preserve">1 </w:t>
      </w:r>
      <w:r w:rsidR="00E540D9" w:rsidRPr="00663FFD">
        <w:rPr>
          <w:rFonts w:eastAsiaTheme="minorHAnsi"/>
          <w:b/>
          <w:bCs/>
          <w:color w:val="000000"/>
          <w:lang w:bidi="ar-SA"/>
        </w:rPr>
        <w:t xml:space="preserve">: </w:t>
      </w:r>
      <w:r w:rsidR="00E540D9" w:rsidRPr="00663FFD">
        <w:rPr>
          <w:rFonts w:eastAsiaTheme="minorHAnsi"/>
          <w:bCs/>
          <w:color w:val="000000"/>
          <w:lang w:bidi="ar-SA"/>
        </w:rPr>
        <w:t>Comparaison entre les taux d’allocation budgétaire et le taux de décaissement</w:t>
      </w:r>
    </w:p>
    <w:p w:rsidR="001A1C14" w:rsidRPr="00663FFD" w:rsidRDefault="001A1C14" w:rsidP="001A1C14">
      <w:pPr>
        <w:autoSpaceDE w:val="0"/>
        <w:autoSpaceDN w:val="0"/>
        <w:adjustRightInd w:val="0"/>
        <w:rPr>
          <w:rFonts w:ascii="Gill Sans MT" w:eastAsiaTheme="minorHAnsi" w:hAnsi="Gill Sans MT" w:cs="Gill Sans MT"/>
          <w:color w:val="000000"/>
          <w:lang w:bidi="ar-SA"/>
        </w:rPr>
      </w:pPr>
    </w:p>
    <w:p w:rsidR="001A1C14" w:rsidRDefault="005F4297" w:rsidP="001A1C14">
      <w:pPr>
        <w:autoSpaceDE w:val="0"/>
        <w:autoSpaceDN w:val="0"/>
        <w:adjustRightInd w:val="0"/>
        <w:rPr>
          <w:rFonts w:ascii="Gill Sans MT" w:eastAsiaTheme="minorHAnsi" w:hAnsi="Gill Sans MT" w:cs="Gill Sans MT"/>
          <w:color w:val="000000"/>
          <w:lang w:bidi="ar-SA"/>
        </w:rPr>
      </w:pPr>
      <w:r>
        <w:rPr>
          <w:rFonts w:ascii="Gill Sans MT" w:eastAsiaTheme="minorHAnsi" w:hAnsi="Gill Sans MT" w:cs="Gill Sans MT"/>
          <w:noProof/>
          <w:color w:val="000000"/>
          <w:lang w:eastAsia="fr-FR" w:bidi="ar-SA"/>
        </w:rPr>
        <w:drawing>
          <wp:inline distT="0" distB="0" distL="0" distR="0">
            <wp:extent cx="5676900" cy="2608682"/>
            <wp:effectExtent l="19050" t="0" r="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5" cstate="print"/>
                    <a:srcRect/>
                    <a:stretch>
                      <a:fillRect/>
                    </a:stretch>
                  </pic:blipFill>
                  <pic:spPr bwMode="auto">
                    <a:xfrm>
                      <a:off x="0" y="0"/>
                      <a:ext cx="5680072" cy="2610140"/>
                    </a:xfrm>
                    <a:prstGeom prst="rect">
                      <a:avLst/>
                    </a:prstGeom>
                    <a:noFill/>
                  </pic:spPr>
                </pic:pic>
              </a:graphicData>
            </a:graphic>
          </wp:inline>
        </w:drawing>
      </w:r>
    </w:p>
    <w:p w:rsidR="001A1C14" w:rsidRPr="001A1C14" w:rsidRDefault="001A1C14" w:rsidP="001A1C14">
      <w:pPr>
        <w:autoSpaceDE w:val="0"/>
        <w:autoSpaceDN w:val="0"/>
        <w:adjustRightInd w:val="0"/>
        <w:rPr>
          <w:rFonts w:ascii="Gill Sans MT" w:eastAsiaTheme="minorHAnsi" w:hAnsi="Gill Sans MT" w:cs="Gill Sans MT"/>
          <w:color w:val="000000"/>
          <w:lang w:bidi="ar-SA"/>
        </w:rPr>
      </w:pPr>
    </w:p>
    <w:p w:rsidR="003122E8" w:rsidRDefault="003122E8" w:rsidP="009E4778">
      <w:pPr>
        <w:autoSpaceDE w:val="0"/>
        <w:autoSpaceDN w:val="0"/>
        <w:adjustRightInd w:val="0"/>
        <w:jc w:val="both"/>
        <w:rPr>
          <w:rFonts w:eastAsiaTheme="minorHAnsi"/>
          <w:color w:val="000000"/>
          <w:lang w:bidi="ar-SA"/>
        </w:rPr>
      </w:pPr>
      <w:r>
        <w:rPr>
          <w:rFonts w:eastAsiaTheme="minorHAnsi"/>
          <w:bCs/>
          <w:color w:val="000000"/>
          <w:lang w:bidi="ar-SA"/>
        </w:rPr>
        <w:t xml:space="preserve">Au Congo, </w:t>
      </w:r>
      <w:r w:rsidR="009E4778">
        <w:rPr>
          <w:rFonts w:eastAsiaTheme="minorHAnsi"/>
          <w:bCs/>
          <w:color w:val="000000"/>
          <w:lang w:bidi="ar-SA"/>
        </w:rPr>
        <w:t xml:space="preserve"> le </w:t>
      </w:r>
      <w:r w:rsidR="001A1C14" w:rsidRPr="009E4778">
        <w:rPr>
          <w:rFonts w:eastAsiaTheme="minorHAnsi"/>
          <w:bCs/>
          <w:color w:val="000000"/>
          <w:lang w:bidi="ar-SA"/>
        </w:rPr>
        <w:t>volume du budget</w:t>
      </w:r>
      <w:r w:rsidR="009E4778">
        <w:rPr>
          <w:rFonts w:eastAsiaTheme="minorHAnsi"/>
          <w:bCs/>
          <w:color w:val="000000"/>
          <w:lang w:bidi="ar-SA"/>
        </w:rPr>
        <w:t xml:space="preserve"> </w:t>
      </w:r>
      <w:r>
        <w:rPr>
          <w:rFonts w:eastAsiaTheme="minorHAnsi"/>
          <w:bCs/>
          <w:color w:val="000000"/>
          <w:lang w:bidi="ar-SA"/>
        </w:rPr>
        <w:t xml:space="preserve">alloué au secteur </w:t>
      </w:r>
      <w:r w:rsidR="009E4778">
        <w:rPr>
          <w:rFonts w:eastAsiaTheme="minorHAnsi"/>
          <w:bCs/>
          <w:color w:val="000000"/>
          <w:lang w:bidi="ar-SA"/>
        </w:rPr>
        <w:t>santé</w:t>
      </w:r>
      <w:r>
        <w:rPr>
          <w:rFonts w:eastAsiaTheme="minorHAnsi"/>
          <w:bCs/>
          <w:color w:val="000000"/>
          <w:lang w:bidi="ar-SA"/>
        </w:rPr>
        <w:t xml:space="preserve"> par rapport au budget national</w:t>
      </w:r>
      <w:r w:rsidR="009E4778">
        <w:rPr>
          <w:rFonts w:eastAsiaTheme="minorHAnsi"/>
          <w:bCs/>
          <w:color w:val="000000"/>
          <w:lang w:bidi="ar-SA"/>
        </w:rPr>
        <w:t xml:space="preserve">  a connu une augmentation</w:t>
      </w:r>
      <w:r>
        <w:rPr>
          <w:rFonts w:eastAsiaTheme="minorHAnsi"/>
          <w:bCs/>
          <w:color w:val="000000"/>
          <w:lang w:bidi="ar-SA"/>
        </w:rPr>
        <w:t xml:space="preserve"> ce</w:t>
      </w:r>
      <w:r w:rsidR="00A755D8">
        <w:rPr>
          <w:rFonts w:eastAsiaTheme="minorHAnsi"/>
          <w:bCs/>
          <w:color w:val="000000"/>
          <w:lang w:bidi="ar-SA"/>
        </w:rPr>
        <w:t xml:space="preserve">s dix dernières années, en </w:t>
      </w:r>
      <w:r>
        <w:rPr>
          <w:rFonts w:eastAsiaTheme="minorHAnsi"/>
          <w:bCs/>
          <w:color w:val="000000"/>
          <w:lang w:bidi="ar-SA"/>
        </w:rPr>
        <w:t xml:space="preserve">passant de 4%  en 2006  à 12% en 2015. </w:t>
      </w:r>
      <w:r>
        <w:rPr>
          <w:rFonts w:eastAsiaTheme="minorHAnsi"/>
          <w:color w:val="000000"/>
          <w:lang w:bidi="ar-SA"/>
        </w:rPr>
        <w:t xml:space="preserve">En moyenne, le budget du secteur santé </w:t>
      </w:r>
      <w:r w:rsidRPr="009E4778">
        <w:rPr>
          <w:rFonts w:eastAsiaTheme="minorHAnsi"/>
          <w:color w:val="000000"/>
          <w:lang w:bidi="ar-SA"/>
        </w:rPr>
        <w:t>a représent</w:t>
      </w:r>
      <w:r w:rsidR="00556C1E">
        <w:rPr>
          <w:rFonts w:eastAsiaTheme="minorHAnsi"/>
          <w:color w:val="000000"/>
          <w:lang w:bidi="ar-SA"/>
        </w:rPr>
        <w:t>é 6</w:t>
      </w:r>
      <w:r>
        <w:rPr>
          <w:rFonts w:eastAsiaTheme="minorHAnsi"/>
          <w:color w:val="000000"/>
          <w:lang w:bidi="ar-SA"/>
        </w:rPr>
        <w:t xml:space="preserve">% du budget national pendant cette période. </w:t>
      </w:r>
      <w:r>
        <w:rPr>
          <w:rFonts w:eastAsiaTheme="minorHAnsi"/>
          <w:bCs/>
          <w:color w:val="000000"/>
          <w:lang w:bidi="ar-SA"/>
        </w:rPr>
        <w:t>Malgré cet accroissement, le pays reste</w:t>
      </w:r>
      <w:r w:rsidR="001A1C14" w:rsidRPr="009E4778">
        <w:rPr>
          <w:rFonts w:eastAsiaTheme="minorHAnsi"/>
          <w:bCs/>
          <w:color w:val="000000"/>
          <w:lang w:bidi="ar-SA"/>
        </w:rPr>
        <w:t xml:space="preserve"> </w:t>
      </w:r>
      <w:r>
        <w:rPr>
          <w:rFonts w:eastAsiaTheme="minorHAnsi"/>
          <w:bCs/>
          <w:color w:val="000000"/>
          <w:lang w:bidi="ar-SA"/>
        </w:rPr>
        <w:t xml:space="preserve">en </w:t>
      </w:r>
      <w:r w:rsidR="00556C1E">
        <w:rPr>
          <w:rFonts w:eastAsiaTheme="minorHAnsi"/>
          <w:bCs/>
          <w:color w:val="000000"/>
          <w:lang w:bidi="ar-SA"/>
        </w:rPr>
        <w:t>deçà</w:t>
      </w:r>
      <w:r w:rsidR="001A1C14" w:rsidRPr="009E4778">
        <w:rPr>
          <w:rFonts w:eastAsiaTheme="minorHAnsi"/>
          <w:bCs/>
          <w:color w:val="000000"/>
          <w:lang w:bidi="ar-SA"/>
        </w:rPr>
        <w:t xml:space="preserve"> des engagements d’Abuja</w:t>
      </w:r>
      <w:r>
        <w:rPr>
          <w:rFonts w:eastAsiaTheme="minorHAnsi"/>
          <w:bCs/>
          <w:color w:val="000000"/>
          <w:lang w:bidi="ar-SA"/>
        </w:rPr>
        <w:t xml:space="preserve"> qui voudraient qu’il atteigne  15%</w:t>
      </w:r>
      <w:r w:rsidR="001A1C14" w:rsidRPr="009E4778">
        <w:rPr>
          <w:rFonts w:eastAsiaTheme="minorHAnsi"/>
          <w:bCs/>
          <w:color w:val="000000"/>
          <w:lang w:bidi="ar-SA"/>
        </w:rPr>
        <w:t xml:space="preserve">. </w:t>
      </w:r>
      <w:r>
        <w:rPr>
          <w:rFonts w:eastAsiaTheme="minorHAnsi"/>
          <w:bCs/>
          <w:color w:val="000000"/>
          <w:lang w:bidi="ar-SA"/>
        </w:rPr>
        <w:t xml:space="preserve"> </w:t>
      </w:r>
    </w:p>
    <w:p w:rsidR="003122E8" w:rsidRDefault="003122E8" w:rsidP="009E4778">
      <w:pPr>
        <w:autoSpaceDE w:val="0"/>
        <w:autoSpaceDN w:val="0"/>
        <w:adjustRightInd w:val="0"/>
        <w:jc w:val="both"/>
        <w:rPr>
          <w:rFonts w:eastAsiaTheme="minorHAnsi"/>
          <w:color w:val="000000"/>
          <w:lang w:bidi="ar-SA"/>
        </w:rPr>
      </w:pPr>
    </w:p>
    <w:p w:rsidR="00556C1E" w:rsidRDefault="006C4575" w:rsidP="006C4575">
      <w:pPr>
        <w:jc w:val="both"/>
        <w:rPr>
          <w:color w:val="000000" w:themeColor="text1"/>
        </w:rPr>
      </w:pPr>
      <w:r w:rsidRPr="006C4575">
        <w:rPr>
          <w:color w:val="000000" w:themeColor="text1"/>
        </w:rPr>
        <w:t>Le</w:t>
      </w:r>
      <w:r w:rsidR="00556C1E">
        <w:rPr>
          <w:color w:val="000000" w:themeColor="text1"/>
        </w:rPr>
        <w:t>s</w:t>
      </w:r>
      <w:r w:rsidRPr="006C4575">
        <w:rPr>
          <w:color w:val="000000" w:themeColor="text1"/>
        </w:rPr>
        <w:t xml:space="preserve"> taux d’exécution du budg</w:t>
      </w:r>
      <w:r w:rsidR="00556C1E">
        <w:rPr>
          <w:color w:val="000000" w:themeColor="text1"/>
        </w:rPr>
        <w:t xml:space="preserve">et de santé  de 2006 à 2011 sont satisfaisant car allant de 77% à 94%. Par contre ils ont connu une baisse  pendant la période  allant de 2012 à 2015,  </w:t>
      </w:r>
      <w:r w:rsidR="00A755D8">
        <w:rPr>
          <w:color w:val="000000" w:themeColor="text1"/>
        </w:rPr>
        <w:t>(</w:t>
      </w:r>
      <w:r w:rsidR="00556C1E">
        <w:rPr>
          <w:color w:val="000000" w:themeColor="text1"/>
        </w:rPr>
        <w:t xml:space="preserve"> </w:t>
      </w:r>
      <w:r w:rsidR="00A755D8">
        <w:rPr>
          <w:color w:val="000000" w:themeColor="text1"/>
        </w:rPr>
        <w:t xml:space="preserve">de 35% à </w:t>
      </w:r>
      <w:r w:rsidR="00556C1E">
        <w:rPr>
          <w:color w:val="000000" w:themeColor="text1"/>
        </w:rPr>
        <w:t>24%</w:t>
      </w:r>
      <w:r w:rsidR="00A755D8">
        <w:rPr>
          <w:color w:val="000000" w:themeColor="text1"/>
        </w:rPr>
        <w:t>)</w:t>
      </w:r>
      <w:r w:rsidR="00556C1E">
        <w:rPr>
          <w:color w:val="000000" w:themeColor="text1"/>
        </w:rPr>
        <w:t xml:space="preserve">. </w:t>
      </w:r>
      <w:r w:rsidR="00A755D8">
        <w:rPr>
          <w:color w:val="000000" w:themeColor="text1"/>
        </w:rPr>
        <w:t>Les raisons de cette</w:t>
      </w:r>
      <w:r w:rsidR="00556C1E" w:rsidRPr="00233C81">
        <w:rPr>
          <w:color w:val="000000" w:themeColor="text1"/>
        </w:rPr>
        <w:t xml:space="preserve"> </w:t>
      </w:r>
      <w:r w:rsidR="00A755D8">
        <w:rPr>
          <w:color w:val="000000" w:themeColor="text1"/>
        </w:rPr>
        <w:t>baisse</w:t>
      </w:r>
      <w:r w:rsidR="00556C1E" w:rsidRPr="00233C81">
        <w:rPr>
          <w:color w:val="000000" w:themeColor="text1"/>
        </w:rPr>
        <w:t xml:space="preserve"> </w:t>
      </w:r>
      <w:r w:rsidR="00233C81">
        <w:rPr>
          <w:color w:val="000000" w:themeColor="text1"/>
        </w:rPr>
        <w:t xml:space="preserve"> peuvent être attribuables à la complexité de la chaine de</w:t>
      </w:r>
      <w:r w:rsidR="00A755D8">
        <w:rPr>
          <w:color w:val="000000" w:themeColor="text1"/>
        </w:rPr>
        <w:t xml:space="preserve"> la dépense</w:t>
      </w:r>
      <w:r w:rsidR="00180760">
        <w:rPr>
          <w:color w:val="000000" w:themeColor="text1"/>
        </w:rPr>
        <w:t xml:space="preserve"> p</w:t>
      </w:r>
      <w:r w:rsidR="00A755D8">
        <w:rPr>
          <w:color w:val="000000" w:themeColor="text1"/>
        </w:rPr>
        <w:t>ublique</w:t>
      </w:r>
      <w:r w:rsidR="00233C81">
        <w:rPr>
          <w:color w:val="000000" w:themeColor="text1"/>
        </w:rPr>
        <w:t xml:space="preserve">.  </w:t>
      </w:r>
    </w:p>
    <w:p w:rsidR="005F4297" w:rsidRPr="008D45CE" w:rsidRDefault="005F4297" w:rsidP="006C4575">
      <w:pPr>
        <w:jc w:val="both"/>
        <w:rPr>
          <w:color w:val="000000" w:themeColor="text1"/>
        </w:rPr>
      </w:pPr>
    </w:p>
    <w:p w:rsidR="00180760" w:rsidRDefault="00180760">
      <w:pPr>
        <w:spacing w:after="200" w:line="20" w:lineRule="atLeast"/>
        <w:rPr>
          <w:b/>
          <w:bCs/>
          <w:color w:val="000000" w:themeColor="text1"/>
          <w:sz w:val="22"/>
          <w:szCs w:val="22"/>
        </w:rPr>
      </w:pPr>
      <w:r>
        <w:rPr>
          <w:b/>
          <w:bCs/>
          <w:color w:val="000000" w:themeColor="text1"/>
          <w:sz w:val="22"/>
          <w:szCs w:val="22"/>
        </w:rPr>
        <w:br w:type="page"/>
      </w:r>
    </w:p>
    <w:p w:rsidR="006C4575" w:rsidRDefault="00180760" w:rsidP="006C4575">
      <w:pPr>
        <w:rPr>
          <w:b/>
          <w:bCs/>
          <w:color w:val="000000" w:themeColor="text1"/>
          <w:sz w:val="22"/>
          <w:szCs w:val="22"/>
        </w:rPr>
      </w:pPr>
      <w:r w:rsidRPr="008D45CE">
        <w:rPr>
          <w:b/>
          <w:bCs/>
          <w:color w:val="000000" w:themeColor="text1"/>
          <w:sz w:val="22"/>
          <w:szCs w:val="22"/>
        </w:rPr>
        <w:lastRenderedPageBreak/>
        <w:t>4.1.2. EVOLUTION DE LA DEPENSE TOTALE DE SANTE DE 2011 A 2015</w:t>
      </w:r>
    </w:p>
    <w:p w:rsidR="006C758C" w:rsidRPr="008D45CE" w:rsidRDefault="006C758C" w:rsidP="006C4575">
      <w:pPr>
        <w:rPr>
          <w:b/>
          <w:bCs/>
          <w:color w:val="000000" w:themeColor="text1"/>
          <w:sz w:val="22"/>
          <w:szCs w:val="22"/>
        </w:rPr>
      </w:pPr>
    </w:p>
    <w:p w:rsidR="0081342A" w:rsidRDefault="008E0133" w:rsidP="000F5C82">
      <w:pPr>
        <w:jc w:val="both"/>
        <w:rPr>
          <w:color w:val="000000" w:themeColor="text1"/>
        </w:rPr>
      </w:pPr>
      <w:r w:rsidRPr="008E0133">
        <w:rPr>
          <w:color w:val="000000" w:themeColor="text1"/>
        </w:rPr>
        <w:t>Selo</w:t>
      </w:r>
      <w:r>
        <w:rPr>
          <w:color w:val="000000" w:themeColor="text1"/>
        </w:rPr>
        <w:t>n  les données collectées</w:t>
      </w:r>
      <w:r w:rsidR="00C43533">
        <w:rPr>
          <w:color w:val="000000" w:themeColor="text1"/>
        </w:rPr>
        <w:t xml:space="preserve">, le tableau n°2 relatif à l’évolution des dépenses totales de santé </w:t>
      </w:r>
      <w:r w:rsidR="002E01E3">
        <w:rPr>
          <w:color w:val="000000" w:themeColor="text1"/>
        </w:rPr>
        <w:t xml:space="preserve">présente </w:t>
      </w:r>
      <w:r w:rsidRPr="008E0133">
        <w:rPr>
          <w:color w:val="000000" w:themeColor="text1"/>
        </w:rPr>
        <w:t>deux catégories  des dép</w:t>
      </w:r>
      <w:r w:rsidR="002E01E3">
        <w:rPr>
          <w:color w:val="000000" w:themeColor="text1"/>
        </w:rPr>
        <w:t>enses</w:t>
      </w:r>
      <w:r w:rsidR="00180760">
        <w:rPr>
          <w:color w:val="000000" w:themeColor="text1"/>
        </w:rPr>
        <w:t xml:space="preserve"> de santé</w:t>
      </w:r>
      <w:r w:rsidR="002E01E3">
        <w:rPr>
          <w:color w:val="000000" w:themeColor="text1"/>
        </w:rPr>
        <w:t xml:space="preserve"> </w:t>
      </w:r>
      <w:r w:rsidRPr="008E0133">
        <w:rPr>
          <w:color w:val="000000" w:themeColor="text1"/>
        </w:rPr>
        <w:t xml:space="preserve">à savoir : </w:t>
      </w:r>
      <w:r w:rsidR="000F5C82" w:rsidRPr="008E0133">
        <w:rPr>
          <w:color w:val="000000" w:themeColor="text1"/>
        </w:rPr>
        <w:t>les dépenses en capital (dépenses d’investissement)</w:t>
      </w:r>
      <w:r w:rsidR="000F5C82">
        <w:rPr>
          <w:color w:val="000000" w:themeColor="text1"/>
        </w:rPr>
        <w:t xml:space="preserve"> et </w:t>
      </w:r>
      <w:r w:rsidRPr="008E0133">
        <w:rPr>
          <w:color w:val="000000" w:themeColor="text1"/>
        </w:rPr>
        <w:t>les dépenses courante</w:t>
      </w:r>
      <w:r w:rsidR="000F5C82">
        <w:rPr>
          <w:color w:val="000000" w:themeColor="text1"/>
        </w:rPr>
        <w:t xml:space="preserve">s. </w:t>
      </w:r>
    </w:p>
    <w:p w:rsidR="00180760" w:rsidRDefault="00180760" w:rsidP="000F5C82">
      <w:pPr>
        <w:jc w:val="both"/>
        <w:rPr>
          <w:color w:val="000000" w:themeColor="text1"/>
        </w:rPr>
      </w:pPr>
    </w:p>
    <w:p w:rsidR="000F5C82" w:rsidRDefault="0081342A" w:rsidP="000F5C82">
      <w:pPr>
        <w:jc w:val="both"/>
        <w:rPr>
          <w:color w:val="000000" w:themeColor="text1"/>
        </w:rPr>
      </w:pPr>
      <w:r w:rsidRPr="00AA4FAD">
        <w:rPr>
          <w:color w:val="000000" w:themeColor="text1"/>
        </w:rPr>
        <w:t xml:space="preserve">La </w:t>
      </w:r>
      <w:r>
        <w:rPr>
          <w:color w:val="000000" w:themeColor="text1"/>
        </w:rPr>
        <w:t>première</w:t>
      </w:r>
      <w:r w:rsidRPr="00AA4FAD">
        <w:rPr>
          <w:color w:val="000000" w:themeColor="text1"/>
        </w:rPr>
        <w:t xml:space="preserve"> catégorie</w:t>
      </w:r>
      <w:r>
        <w:rPr>
          <w:color w:val="000000" w:themeColor="text1"/>
        </w:rPr>
        <w:t xml:space="preserve"> des dépenses</w:t>
      </w:r>
      <w:r w:rsidRPr="00AA4FAD">
        <w:rPr>
          <w:color w:val="000000" w:themeColor="text1"/>
        </w:rPr>
        <w:t>, renvoie un peu plus au développement du système et à</w:t>
      </w:r>
      <w:r w:rsidR="003E01A6">
        <w:rPr>
          <w:color w:val="000000" w:themeColor="text1"/>
        </w:rPr>
        <w:t xml:space="preserve"> la planification des ressources</w:t>
      </w:r>
      <w:r w:rsidR="00233C81">
        <w:rPr>
          <w:color w:val="000000" w:themeColor="text1"/>
        </w:rPr>
        <w:t xml:space="preserve">, </w:t>
      </w:r>
      <w:r w:rsidR="003E01A6">
        <w:rPr>
          <w:color w:val="000000" w:themeColor="text1"/>
        </w:rPr>
        <w:t xml:space="preserve"> </w:t>
      </w:r>
      <w:r w:rsidRPr="00AA4FAD">
        <w:rPr>
          <w:color w:val="000000" w:themeColor="text1"/>
        </w:rPr>
        <w:t xml:space="preserve"> </w:t>
      </w:r>
      <w:r w:rsidR="003E01A6">
        <w:rPr>
          <w:color w:val="000000" w:themeColor="text1"/>
        </w:rPr>
        <w:t>tandis que la seconde</w:t>
      </w:r>
      <w:r w:rsidR="000F5C82" w:rsidRPr="00AA4FAD">
        <w:rPr>
          <w:color w:val="000000" w:themeColor="text1"/>
        </w:rPr>
        <w:t xml:space="preserve"> catégorie vise principalement les besoins immédiats de la population</w:t>
      </w:r>
      <w:r w:rsidR="00233C81">
        <w:rPr>
          <w:color w:val="000000" w:themeColor="text1"/>
        </w:rPr>
        <w:t xml:space="preserve">. Cette dernière catégorie </w:t>
      </w:r>
      <w:r w:rsidR="000F5C82" w:rsidRPr="00AA4FAD">
        <w:rPr>
          <w:color w:val="000000" w:themeColor="text1"/>
        </w:rPr>
        <w:t>agit par conséquent sur le contrôle des pathologies à travers des mesures curatives et préventives pour le maintien de l’état de santé.</w:t>
      </w:r>
    </w:p>
    <w:p w:rsidR="0013447B" w:rsidRPr="000F5C82" w:rsidRDefault="0013447B" w:rsidP="000F5C82">
      <w:pPr>
        <w:jc w:val="both"/>
        <w:rPr>
          <w:color w:val="000000" w:themeColor="text1"/>
        </w:rPr>
      </w:pPr>
    </w:p>
    <w:p w:rsidR="000F5C82" w:rsidRDefault="000F5C82" w:rsidP="006C4575">
      <w:pPr>
        <w:rPr>
          <w:color w:val="000000" w:themeColor="text1"/>
        </w:rPr>
      </w:pPr>
    </w:p>
    <w:p w:rsidR="008E0133" w:rsidRPr="00645BA9" w:rsidRDefault="00180760" w:rsidP="006C4575">
      <w:pPr>
        <w:rPr>
          <w:bCs/>
          <w:color w:val="000000" w:themeColor="text1"/>
        </w:rPr>
      </w:pPr>
      <w:r>
        <w:rPr>
          <w:b/>
          <w:bCs/>
          <w:color w:val="000000" w:themeColor="text1"/>
        </w:rPr>
        <w:t>Tableau n°1</w:t>
      </w:r>
      <w:r w:rsidR="00984433" w:rsidRPr="00645BA9">
        <w:rPr>
          <w:b/>
          <w:bCs/>
          <w:color w:val="000000" w:themeColor="text1"/>
        </w:rPr>
        <w:t> </w:t>
      </w:r>
      <w:r w:rsidR="00984433" w:rsidRPr="00645BA9">
        <w:rPr>
          <w:bCs/>
          <w:color w:val="000000" w:themeColor="text1"/>
        </w:rPr>
        <w:t xml:space="preserve">: </w:t>
      </w:r>
      <w:r w:rsidR="006C758C" w:rsidRPr="00645BA9">
        <w:rPr>
          <w:bCs/>
          <w:color w:val="000000" w:themeColor="text1"/>
        </w:rPr>
        <w:t xml:space="preserve"> </w:t>
      </w:r>
      <w:r w:rsidR="00984433" w:rsidRPr="00645BA9">
        <w:rPr>
          <w:bCs/>
          <w:color w:val="000000" w:themeColor="text1"/>
        </w:rPr>
        <w:t xml:space="preserve"> </w:t>
      </w:r>
      <w:r w:rsidR="00984433" w:rsidRPr="00180760">
        <w:rPr>
          <w:b/>
          <w:bCs/>
          <w:color w:val="000000" w:themeColor="text1"/>
        </w:rPr>
        <w:t xml:space="preserve">Evolution de la dépense totale </w:t>
      </w:r>
      <w:r w:rsidR="008E0133" w:rsidRPr="00180760">
        <w:rPr>
          <w:b/>
          <w:bCs/>
          <w:color w:val="000000" w:themeColor="text1"/>
        </w:rPr>
        <w:t xml:space="preserve"> de santé par catégorie de 2011-2015</w:t>
      </w:r>
    </w:p>
    <w:p w:rsidR="008E0133" w:rsidRPr="00645BA9" w:rsidRDefault="008E0133" w:rsidP="006C4575">
      <w:pPr>
        <w:rPr>
          <w:b/>
          <w:bCs/>
          <w:color w:val="000000" w:themeColor="text1"/>
        </w:rPr>
      </w:pPr>
    </w:p>
    <w:tbl>
      <w:tblPr>
        <w:tblStyle w:val="Grilleclaire-Accent11"/>
        <w:tblW w:w="8755" w:type="dxa"/>
        <w:jc w:val="center"/>
        <w:tblLayout w:type="fixed"/>
        <w:tblLook w:val="04A0" w:firstRow="1" w:lastRow="0" w:firstColumn="1" w:lastColumn="0" w:noHBand="0" w:noVBand="1"/>
      </w:tblPr>
      <w:tblGrid>
        <w:gridCol w:w="959"/>
        <w:gridCol w:w="992"/>
        <w:gridCol w:w="450"/>
        <w:gridCol w:w="1109"/>
        <w:gridCol w:w="575"/>
        <w:gridCol w:w="985"/>
        <w:gridCol w:w="575"/>
        <w:gridCol w:w="984"/>
        <w:gridCol w:w="575"/>
        <w:gridCol w:w="984"/>
        <w:gridCol w:w="567"/>
      </w:tblGrid>
      <w:tr w:rsidR="009E1E9B" w:rsidRPr="0013447B" w:rsidTr="009E1E9B">
        <w:trPr>
          <w:cnfStyle w:val="100000000000" w:firstRow="1" w:lastRow="0" w:firstColumn="0" w:lastColumn="0" w:oddVBand="0" w:evenVBand="0" w:oddHBand="0" w:evenHBand="0" w:firstRowFirstColumn="0" w:firstRowLastColumn="0" w:lastRowFirstColumn="0" w:lastRowLastColumn="0"/>
          <w:trHeight w:val="447"/>
          <w:jc w:val="center"/>
        </w:trPr>
        <w:tc>
          <w:tcPr>
            <w:cnfStyle w:val="001000000000" w:firstRow="0" w:lastRow="0" w:firstColumn="1" w:lastColumn="0" w:oddVBand="0" w:evenVBand="0" w:oddHBand="0" w:evenHBand="0" w:firstRowFirstColumn="0" w:firstRowLastColumn="0" w:lastRowFirstColumn="0" w:lastRowLastColumn="0"/>
            <w:tcW w:w="959" w:type="dxa"/>
            <w:vMerge w:val="restart"/>
            <w:shd w:val="clear" w:color="auto" w:fill="auto"/>
            <w:noWrap/>
            <w:hideMark/>
          </w:tcPr>
          <w:p w:rsidR="009E1E9B" w:rsidRPr="0013447B" w:rsidRDefault="009E1E9B" w:rsidP="009E1E9B">
            <w:pPr>
              <w:rPr>
                <w:color w:val="000000"/>
                <w:sz w:val="10"/>
                <w:szCs w:val="16"/>
                <w:lang w:bidi="ar-SA"/>
              </w:rPr>
            </w:pPr>
            <w:r w:rsidRPr="0013447B">
              <w:rPr>
                <w:color w:val="000000"/>
                <w:sz w:val="10"/>
                <w:szCs w:val="16"/>
                <w:lang w:bidi="ar-SA"/>
              </w:rPr>
              <w:t>Catégories</w:t>
            </w:r>
          </w:p>
        </w:tc>
        <w:tc>
          <w:tcPr>
            <w:tcW w:w="7796" w:type="dxa"/>
            <w:gridSpan w:val="10"/>
            <w:shd w:val="clear" w:color="auto" w:fill="auto"/>
            <w:noWrap/>
            <w:hideMark/>
          </w:tcPr>
          <w:p w:rsidR="009E1E9B" w:rsidRPr="0013447B" w:rsidRDefault="009E1E9B" w:rsidP="009E1E9B">
            <w:pPr>
              <w:jc w:val="center"/>
              <w:cnfStyle w:val="100000000000" w:firstRow="1" w:lastRow="0" w:firstColumn="0" w:lastColumn="0" w:oddVBand="0" w:evenVBand="0" w:oddHBand="0" w:evenHBand="0" w:firstRowFirstColumn="0" w:firstRowLastColumn="0" w:lastRowFirstColumn="0" w:lastRowLastColumn="0"/>
              <w:rPr>
                <w:color w:val="000000"/>
                <w:sz w:val="10"/>
                <w:szCs w:val="16"/>
                <w:lang w:bidi="ar-SA"/>
              </w:rPr>
            </w:pPr>
            <w:r w:rsidRPr="0013447B">
              <w:rPr>
                <w:color w:val="000000" w:themeColor="text1"/>
                <w:sz w:val="10"/>
                <w:szCs w:val="16"/>
                <w:lang w:bidi="ar-SA"/>
              </w:rPr>
              <w:t>Année</w:t>
            </w:r>
          </w:p>
        </w:tc>
      </w:tr>
      <w:tr w:rsidR="009E1E9B" w:rsidRPr="0013447B" w:rsidTr="009E1E9B">
        <w:trPr>
          <w:cnfStyle w:val="000000100000" w:firstRow="0" w:lastRow="0" w:firstColumn="0" w:lastColumn="0" w:oddVBand="0" w:evenVBand="0" w:oddHBand="1" w:evenHBand="0" w:firstRowFirstColumn="0" w:firstRowLastColumn="0" w:lastRowFirstColumn="0" w:lastRowLastColumn="0"/>
          <w:trHeight w:val="375"/>
          <w:jc w:val="center"/>
        </w:trPr>
        <w:tc>
          <w:tcPr>
            <w:cnfStyle w:val="001000000000" w:firstRow="0" w:lastRow="0" w:firstColumn="1" w:lastColumn="0" w:oddVBand="0" w:evenVBand="0" w:oddHBand="0" w:evenHBand="0" w:firstRowFirstColumn="0" w:firstRowLastColumn="0" w:lastRowFirstColumn="0" w:lastRowLastColumn="0"/>
            <w:tcW w:w="959" w:type="dxa"/>
            <w:vMerge/>
            <w:shd w:val="clear" w:color="auto" w:fill="auto"/>
            <w:hideMark/>
          </w:tcPr>
          <w:p w:rsidR="009E1E9B" w:rsidRPr="0013447B" w:rsidRDefault="009E1E9B" w:rsidP="009E1E9B">
            <w:pPr>
              <w:rPr>
                <w:color w:val="000000"/>
                <w:sz w:val="10"/>
                <w:szCs w:val="16"/>
                <w:lang w:bidi="ar-SA"/>
              </w:rPr>
            </w:pPr>
          </w:p>
        </w:tc>
        <w:tc>
          <w:tcPr>
            <w:tcW w:w="1442" w:type="dxa"/>
            <w:gridSpan w:val="2"/>
            <w:vMerge w:val="restart"/>
            <w:shd w:val="clear" w:color="auto" w:fill="auto"/>
            <w:noWrap/>
            <w:hideMark/>
          </w:tcPr>
          <w:p w:rsidR="009E1E9B" w:rsidRPr="0013447B" w:rsidRDefault="009E1E9B" w:rsidP="009E1E9B">
            <w:pPr>
              <w:jc w:val="center"/>
              <w:cnfStyle w:val="000000100000" w:firstRow="0" w:lastRow="0" w:firstColumn="0" w:lastColumn="0" w:oddVBand="0" w:evenVBand="0" w:oddHBand="1" w:evenHBand="0" w:firstRowFirstColumn="0" w:firstRowLastColumn="0" w:lastRowFirstColumn="0" w:lastRowLastColumn="0"/>
              <w:rPr>
                <w:b/>
                <w:bCs/>
                <w:color w:val="000000"/>
                <w:sz w:val="10"/>
                <w:szCs w:val="16"/>
                <w:lang w:bidi="ar-SA"/>
              </w:rPr>
            </w:pPr>
            <w:r w:rsidRPr="0013447B">
              <w:rPr>
                <w:b/>
                <w:bCs/>
                <w:color w:val="000000" w:themeColor="text1"/>
                <w:sz w:val="10"/>
                <w:szCs w:val="16"/>
                <w:lang w:bidi="ar-SA"/>
              </w:rPr>
              <w:t>2011</w:t>
            </w:r>
          </w:p>
        </w:tc>
        <w:tc>
          <w:tcPr>
            <w:tcW w:w="1684" w:type="dxa"/>
            <w:gridSpan w:val="2"/>
            <w:vMerge w:val="restart"/>
            <w:shd w:val="clear" w:color="auto" w:fill="auto"/>
            <w:noWrap/>
            <w:hideMark/>
          </w:tcPr>
          <w:p w:rsidR="009E1E9B" w:rsidRPr="0013447B" w:rsidRDefault="009E1E9B" w:rsidP="009E1E9B">
            <w:pPr>
              <w:jc w:val="center"/>
              <w:cnfStyle w:val="000000100000" w:firstRow="0" w:lastRow="0" w:firstColumn="0" w:lastColumn="0" w:oddVBand="0" w:evenVBand="0" w:oddHBand="1" w:evenHBand="0" w:firstRowFirstColumn="0" w:firstRowLastColumn="0" w:lastRowFirstColumn="0" w:lastRowLastColumn="0"/>
              <w:rPr>
                <w:b/>
                <w:bCs/>
                <w:color w:val="000000"/>
                <w:sz w:val="10"/>
                <w:szCs w:val="16"/>
                <w:lang w:bidi="ar-SA"/>
              </w:rPr>
            </w:pPr>
            <w:r w:rsidRPr="0013447B">
              <w:rPr>
                <w:b/>
                <w:bCs/>
                <w:color w:val="000000" w:themeColor="text1"/>
                <w:sz w:val="10"/>
                <w:szCs w:val="16"/>
                <w:lang w:bidi="ar-SA"/>
              </w:rPr>
              <w:t>2012</w:t>
            </w:r>
          </w:p>
        </w:tc>
        <w:tc>
          <w:tcPr>
            <w:tcW w:w="1560" w:type="dxa"/>
            <w:gridSpan w:val="2"/>
            <w:vMerge w:val="restart"/>
            <w:shd w:val="clear" w:color="auto" w:fill="auto"/>
            <w:noWrap/>
            <w:hideMark/>
          </w:tcPr>
          <w:p w:rsidR="009E1E9B" w:rsidRPr="0013447B" w:rsidRDefault="009E1E9B" w:rsidP="009E1E9B">
            <w:pPr>
              <w:jc w:val="center"/>
              <w:cnfStyle w:val="000000100000" w:firstRow="0" w:lastRow="0" w:firstColumn="0" w:lastColumn="0" w:oddVBand="0" w:evenVBand="0" w:oddHBand="1" w:evenHBand="0" w:firstRowFirstColumn="0" w:firstRowLastColumn="0" w:lastRowFirstColumn="0" w:lastRowLastColumn="0"/>
              <w:rPr>
                <w:b/>
                <w:bCs/>
                <w:color w:val="000000"/>
                <w:sz w:val="10"/>
                <w:szCs w:val="16"/>
                <w:lang w:bidi="ar-SA"/>
              </w:rPr>
            </w:pPr>
            <w:r w:rsidRPr="0013447B">
              <w:rPr>
                <w:b/>
                <w:bCs/>
                <w:color w:val="000000" w:themeColor="text1"/>
                <w:sz w:val="10"/>
                <w:szCs w:val="16"/>
                <w:lang w:bidi="ar-SA"/>
              </w:rPr>
              <w:t>2013</w:t>
            </w:r>
          </w:p>
        </w:tc>
        <w:tc>
          <w:tcPr>
            <w:tcW w:w="1559" w:type="dxa"/>
            <w:gridSpan w:val="2"/>
            <w:vMerge w:val="restart"/>
            <w:shd w:val="clear" w:color="auto" w:fill="auto"/>
            <w:noWrap/>
            <w:hideMark/>
          </w:tcPr>
          <w:p w:rsidR="009E1E9B" w:rsidRPr="0013447B" w:rsidRDefault="009E1E9B" w:rsidP="009E1E9B">
            <w:pPr>
              <w:jc w:val="center"/>
              <w:cnfStyle w:val="000000100000" w:firstRow="0" w:lastRow="0" w:firstColumn="0" w:lastColumn="0" w:oddVBand="0" w:evenVBand="0" w:oddHBand="1" w:evenHBand="0" w:firstRowFirstColumn="0" w:firstRowLastColumn="0" w:lastRowFirstColumn="0" w:lastRowLastColumn="0"/>
              <w:rPr>
                <w:b/>
                <w:bCs/>
                <w:color w:val="000000"/>
                <w:sz w:val="10"/>
                <w:szCs w:val="16"/>
                <w:lang w:bidi="ar-SA"/>
              </w:rPr>
            </w:pPr>
            <w:r w:rsidRPr="0013447B">
              <w:rPr>
                <w:b/>
                <w:bCs/>
                <w:color w:val="000000" w:themeColor="text1"/>
                <w:sz w:val="10"/>
                <w:szCs w:val="16"/>
                <w:lang w:bidi="ar-SA"/>
              </w:rPr>
              <w:t>2014</w:t>
            </w:r>
          </w:p>
        </w:tc>
        <w:tc>
          <w:tcPr>
            <w:tcW w:w="1551" w:type="dxa"/>
            <w:gridSpan w:val="2"/>
            <w:vMerge w:val="restart"/>
            <w:shd w:val="clear" w:color="auto" w:fill="auto"/>
            <w:noWrap/>
            <w:hideMark/>
          </w:tcPr>
          <w:p w:rsidR="009E1E9B" w:rsidRPr="0013447B" w:rsidRDefault="009E1E9B" w:rsidP="009E1E9B">
            <w:pPr>
              <w:jc w:val="center"/>
              <w:cnfStyle w:val="000000100000" w:firstRow="0" w:lastRow="0" w:firstColumn="0" w:lastColumn="0" w:oddVBand="0" w:evenVBand="0" w:oddHBand="1" w:evenHBand="0" w:firstRowFirstColumn="0" w:firstRowLastColumn="0" w:lastRowFirstColumn="0" w:lastRowLastColumn="0"/>
              <w:rPr>
                <w:b/>
                <w:bCs/>
                <w:color w:val="000000"/>
                <w:sz w:val="10"/>
                <w:szCs w:val="16"/>
                <w:lang w:bidi="ar-SA"/>
              </w:rPr>
            </w:pPr>
            <w:r w:rsidRPr="0013447B">
              <w:rPr>
                <w:b/>
                <w:bCs/>
                <w:color w:val="000000" w:themeColor="text1"/>
                <w:sz w:val="10"/>
                <w:szCs w:val="16"/>
                <w:lang w:bidi="ar-SA"/>
              </w:rPr>
              <w:t>2015</w:t>
            </w:r>
          </w:p>
        </w:tc>
      </w:tr>
      <w:tr w:rsidR="009E1E9B" w:rsidRPr="0013447B" w:rsidTr="009E1E9B">
        <w:trPr>
          <w:cnfStyle w:val="000000010000" w:firstRow="0" w:lastRow="0" w:firstColumn="0" w:lastColumn="0" w:oddVBand="0" w:evenVBand="0" w:oddHBand="0" w:evenHBand="1" w:firstRowFirstColumn="0" w:firstRowLastColumn="0" w:lastRowFirstColumn="0" w:lastRowLastColumn="0"/>
          <w:trHeight w:val="207"/>
          <w:jc w:val="center"/>
        </w:trPr>
        <w:tc>
          <w:tcPr>
            <w:cnfStyle w:val="001000000000" w:firstRow="0" w:lastRow="0" w:firstColumn="1" w:lastColumn="0" w:oddVBand="0" w:evenVBand="0" w:oddHBand="0" w:evenHBand="0" w:firstRowFirstColumn="0" w:firstRowLastColumn="0" w:lastRowFirstColumn="0" w:lastRowLastColumn="0"/>
            <w:tcW w:w="959" w:type="dxa"/>
            <w:vMerge/>
            <w:shd w:val="clear" w:color="auto" w:fill="auto"/>
            <w:hideMark/>
          </w:tcPr>
          <w:p w:rsidR="009E1E9B" w:rsidRPr="0013447B" w:rsidRDefault="009E1E9B" w:rsidP="009E1E9B">
            <w:pPr>
              <w:rPr>
                <w:color w:val="000000"/>
                <w:sz w:val="10"/>
                <w:szCs w:val="16"/>
                <w:lang w:bidi="ar-SA"/>
              </w:rPr>
            </w:pPr>
          </w:p>
        </w:tc>
        <w:tc>
          <w:tcPr>
            <w:tcW w:w="1442" w:type="dxa"/>
            <w:gridSpan w:val="2"/>
            <w:vMerge/>
            <w:shd w:val="clear" w:color="auto" w:fill="auto"/>
            <w:hideMark/>
          </w:tcPr>
          <w:p w:rsidR="009E1E9B" w:rsidRPr="0013447B" w:rsidRDefault="009E1E9B" w:rsidP="009E1E9B">
            <w:pPr>
              <w:cnfStyle w:val="000000010000" w:firstRow="0" w:lastRow="0" w:firstColumn="0" w:lastColumn="0" w:oddVBand="0" w:evenVBand="0" w:oddHBand="0" w:evenHBand="1" w:firstRowFirstColumn="0" w:firstRowLastColumn="0" w:lastRowFirstColumn="0" w:lastRowLastColumn="0"/>
              <w:rPr>
                <w:b/>
                <w:bCs/>
                <w:color w:val="000000"/>
                <w:sz w:val="10"/>
                <w:szCs w:val="16"/>
                <w:lang w:bidi="ar-SA"/>
              </w:rPr>
            </w:pPr>
          </w:p>
        </w:tc>
        <w:tc>
          <w:tcPr>
            <w:tcW w:w="1684" w:type="dxa"/>
            <w:gridSpan w:val="2"/>
            <w:vMerge/>
            <w:shd w:val="clear" w:color="auto" w:fill="auto"/>
            <w:hideMark/>
          </w:tcPr>
          <w:p w:rsidR="009E1E9B" w:rsidRPr="0013447B" w:rsidRDefault="009E1E9B" w:rsidP="009E1E9B">
            <w:pPr>
              <w:cnfStyle w:val="000000010000" w:firstRow="0" w:lastRow="0" w:firstColumn="0" w:lastColumn="0" w:oddVBand="0" w:evenVBand="0" w:oddHBand="0" w:evenHBand="1" w:firstRowFirstColumn="0" w:firstRowLastColumn="0" w:lastRowFirstColumn="0" w:lastRowLastColumn="0"/>
              <w:rPr>
                <w:b/>
                <w:bCs/>
                <w:color w:val="000000"/>
                <w:sz w:val="10"/>
                <w:szCs w:val="16"/>
                <w:lang w:bidi="ar-SA"/>
              </w:rPr>
            </w:pPr>
          </w:p>
        </w:tc>
        <w:tc>
          <w:tcPr>
            <w:tcW w:w="1560" w:type="dxa"/>
            <w:gridSpan w:val="2"/>
            <w:vMerge/>
            <w:shd w:val="clear" w:color="auto" w:fill="auto"/>
            <w:hideMark/>
          </w:tcPr>
          <w:p w:rsidR="009E1E9B" w:rsidRPr="0013447B" w:rsidRDefault="009E1E9B" w:rsidP="009E1E9B">
            <w:pPr>
              <w:cnfStyle w:val="000000010000" w:firstRow="0" w:lastRow="0" w:firstColumn="0" w:lastColumn="0" w:oddVBand="0" w:evenVBand="0" w:oddHBand="0" w:evenHBand="1" w:firstRowFirstColumn="0" w:firstRowLastColumn="0" w:lastRowFirstColumn="0" w:lastRowLastColumn="0"/>
              <w:rPr>
                <w:b/>
                <w:bCs/>
                <w:color w:val="000000"/>
                <w:sz w:val="10"/>
                <w:szCs w:val="16"/>
                <w:lang w:bidi="ar-SA"/>
              </w:rPr>
            </w:pPr>
          </w:p>
        </w:tc>
        <w:tc>
          <w:tcPr>
            <w:tcW w:w="1559" w:type="dxa"/>
            <w:gridSpan w:val="2"/>
            <w:vMerge/>
            <w:shd w:val="clear" w:color="auto" w:fill="auto"/>
            <w:hideMark/>
          </w:tcPr>
          <w:p w:rsidR="009E1E9B" w:rsidRPr="0013447B" w:rsidRDefault="009E1E9B" w:rsidP="009E1E9B">
            <w:pPr>
              <w:cnfStyle w:val="000000010000" w:firstRow="0" w:lastRow="0" w:firstColumn="0" w:lastColumn="0" w:oddVBand="0" w:evenVBand="0" w:oddHBand="0" w:evenHBand="1" w:firstRowFirstColumn="0" w:firstRowLastColumn="0" w:lastRowFirstColumn="0" w:lastRowLastColumn="0"/>
              <w:rPr>
                <w:b/>
                <w:bCs/>
                <w:color w:val="000000"/>
                <w:sz w:val="10"/>
                <w:szCs w:val="16"/>
                <w:lang w:bidi="ar-SA"/>
              </w:rPr>
            </w:pPr>
          </w:p>
        </w:tc>
        <w:tc>
          <w:tcPr>
            <w:tcW w:w="1551" w:type="dxa"/>
            <w:gridSpan w:val="2"/>
            <w:vMerge/>
            <w:shd w:val="clear" w:color="auto" w:fill="auto"/>
            <w:hideMark/>
          </w:tcPr>
          <w:p w:rsidR="009E1E9B" w:rsidRPr="0013447B" w:rsidRDefault="009E1E9B" w:rsidP="009E1E9B">
            <w:pPr>
              <w:cnfStyle w:val="000000010000" w:firstRow="0" w:lastRow="0" w:firstColumn="0" w:lastColumn="0" w:oddVBand="0" w:evenVBand="0" w:oddHBand="0" w:evenHBand="1" w:firstRowFirstColumn="0" w:firstRowLastColumn="0" w:lastRowFirstColumn="0" w:lastRowLastColumn="0"/>
              <w:rPr>
                <w:b/>
                <w:bCs/>
                <w:color w:val="000000"/>
                <w:sz w:val="10"/>
                <w:szCs w:val="16"/>
                <w:lang w:bidi="ar-SA"/>
              </w:rPr>
            </w:pPr>
          </w:p>
        </w:tc>
      </w:tr>
      <w:tr w:rsidR="009E1E9B" w:rsidRPr="0013447B" w:rsidTr="009E1E9B">
        <w:trPr>
          <w:cnfStyle w:val="000000100000" w:firstRow="0" w:lastRow="0" w:firstColumn="0" w:lastColumn="0" w:oddVBand="0" w:evenVBand="0" w:oddHBand="1" w:evenHBand="0" w:firstRowFirstColumn="0" w:firstRowLastColumn="0" w:lastRowFirstColumn="0" w:lastRowLastColumn="0"/>
          <w:trHeight w:val="275"/>
          <w:jc w:val="center"/>
        </w:trPr>
        <w:tc>
          <w:tcPr>
            <w:cnfStyle w:val="001000000000" w:firstRow="0" w:lastRow="0" w:firstColumn="1" w:lastColumn="0" w:oddVBand="0" w:evenVBand="0" w:oddHBand="0" w:evenHBand="0" w:firstRowFirstColumn="0" w:firstRowLastColumn="0" w:lastRowFirstColumn="0" w:lastRowLastColumn="0"/>
            <w:tcW w:w="959" w:type="dxa"/>
            <w:shd w:val="clear" w:color="auto" w:fill="auto"/>
            <w:hideMark/>
          </w:tcPr>
          <w:p w:rsidR="009E1E9B" w:rsidRPr="0013447B" w:rsidRDefault="009E1E9B" w:rsidP="009E1E9B">
            <w:pPr>
              <w:rPr>
                <w:color w:val="000000"/>
                <w:sz w:val="10"/>
                <w:szCs w:val="16"/>
                <w:lang w:bidi="ar-SA"/>
              </w:rPr>
            </w:pPr>
            <w:r w:rsidRPr="0013447B">
              <w:rPr>
                <w:color w:val="000000"/>
                <w:sz w:val="10"/>
                <w:szCs w:val="16"/>
                <w:lang w:bidi="ar-SA"/>
              </w:rPr>
              <w:t>Dépense d'investissement</w:t>
            </w:r>
          </w:p>
        </w:tc>
        <w:tc>
          <w:tcPr>
            <w:tcW w:w="992" w:type="dxa"/>
            <w:shd w:val="clear" w:color="auto" w:fill="auto"/>
            <w:hideMark/>
          </w:tcPr>
          <w:p w:rsidR="009E1E9B" w:rsidRPr="0013447B" w:rsidRDefault="009E1E9B" w:rsidP="009E1E9B">
            <w:pPr>
              <w:jc w:val="right"/>
              <w:cnfStyle w:val="000000100000" w:firstRow="0" w:lastRow="0" w:firstColumn="0" w:lastColumn="0" w:oddVBand="0" w:evenVBand="0" w:oddHBand="1" w:evenHBand="0" w:firstRowFirstColumn="0" w:firstRowLastColumn="0" w:lastRowFirstColumn="0" w:lastRowLastColumn="0"/>
              <w:rPr>
                <w:color w:val="000000"/>
                <w:sz w:val="10"/>
                <w:szCs w:val="12"/>
                <w:lang w:bidi="ar-SA"/>
              </w:rPr>
            </w:pPr>
            <w:r w:rsidRPr="0013447B">
              <w:rPr>
                <w:color w:val="000000"/>
                <w:sz w:val="10"/>
                <w:szCs w:val="12"/>
                <w:lang w:bidi="ar-SA"/>
              </w:rPr>
              <w:t>4 580 813 878</w:t>
            </w:r>
          </w:p>
        </w:tc>
        <w:tc>
          <w:tcPr>
            <w:tcW w:w="450" w:type="dxa"/>
            <w:shd w:val="clear" w:color="auto" w:fill="auto"/>
            <w:hideMark/>
          </w:tcPr>
          <w:p w:rsidR="009E1E9B" w:rsidRPr="0013447B" w:rsidRDefault="009E1E9B" w:rsidP="009E1E9B">
            <w:pPr>
              <w:jc w:val="right"/>
              <w:cnfStyle w:val="000000100000" w:firstRow="0" w:lastRow="0" w:firstColumn="0" w:lastColumn="0" w:oddVBand="0" w:evenVBand="0" w:oddHBand="1" w:evenHBand="0" w:firstRowFirstColumn="0" w:firstRowLastColumn="0" w:lastRowFirstColumn="0" w:lastRowLastColumn="0"/>
              <w:rPr>
                <w:color w:val="000000"/>
                <w:sz w:val="10"/>
                <w:szCs w:val="12"/>
                <w:lang w:bidi="ar-SA"/>
              </w:rPr>
            </w:pPr>
            <w:r w:rsidRPr="0013447B">
              <w:rPr>
                <w:color w:val="000000"/>
                <w:sz w:val="10"/>
                <w:szCs w:val="12"/>
                <w:lang w:bidi="ar-SA"/>
              </w:rPr>
              <w:t>4%</w:t>
            </w:r>
          </w:p>
        </w:tc>
        <w:tc>
          <w:tcPr>
            <w:tcW w:w="1109" w:type="dxa"/>
            <w:shd w:val="clear" w:color="auto" w:fill="auto"/>
            <w:hideMark/>
          </w:tcPr>
          <w:p w:rsidR="009E1E9B" w:rsidRPr="0013447B" w:rsidRDefault="009E1E9B" w:rsidP="009E1E9B">
            <w:pPr>
              <w:jc w:val="right"/>
              <w:cnfStyle w:val="000000100000" w:firstRow="0" w:lastRow="0" w:firstColumn="0" w:lastColumn="0" w:oddVBand="0" w:evenVBand="0" w:oddHBand="1" w:evenHBand="0" w:firstRowFirstColumn="0" w:firstRowLastColumn="0" w:lastRowFirstColumn="0" w:lastRowLastColumn="0"/>
              <w:rPr>
                <w:color w:val="000000"/>
                <w:sz w:val="10"/>
                <w:szCs w:val="12"/>
                <w:lang w:bidi="ar-SA"/>
              </w:rPr>
            </w:pPr>
            <w:r w:rsidRPr="0013447B">
              <w:rPr>
                <w:color w:val="000000"/>
                <w:sz w:val="10"/>
                <w:szCs w:val="12"/>
                <w:lang w:bidi="ar-SA"/>
              </w:rPr>
              <w:t>18 661 166 048</w:t>
            </w:r>
          </w:p>
        </w:tc>
        <w:tc>
          <w:tcPr>
            <w:tcW w:w="575" w:type="dxa"/>
            <w:shd w:val="clear" w:color="auto" w:fill="auto"/>
            <w:hideMark/>
          </w:tcPr>
          <w:p w:rsidR="009E1E9B" w:rsidRPr="0013447B" w:rsidRDefault="009E1E9B" w:rsidP="009E1E9B">
            <w:pPr>
              <w:jc w:val="right"/>
              <w:cnfStyle w:val="000000100000" w:firstRow="0" w:lastRow="0" w:firstColumn="0" w:lastColumn="0" w:oddVBand="0" w:evenVBand="0" w:oddHBand="1" w:evenHBand="0" w:firstRowFirstColumn="0" w:firstRowLastColumn="0" w:lastRowFirstColumn="0" w:lastRowLastColumn="0"/>
              <w:rPr>
                <w:color w:val="000000"/>
                <w:sz w:val="10"/>
                <w:szCs w:val="12"/>
                <w:lang w:bidi="ar-SA"/>
              </w:rPr>
            </w:pPr>
            <w:r w:rsidRPr="0013447B">
              <w:rPr>
                <w:color w:val="000000"/>
                <w:sz w:val="10"/>
                <w:szCs w:val="12"/>
                <w:lang w:bidi="ar-SA"/>
              </w:rPr>
              <w:t>12%</w:t>
            </w:r>
          </w:p>
        </w:tc>
        <w:tc>
          <w:tcPr>
            <w:tcW w:w="985" w:type="dxa"/>
            <w:shd w:val="clear" w:color="auto" w:fill="auto"/>
            <w:hideMark/>
          </w:tcPr>
          <w:p w:rsidR="009E1E9B" w:rsidRPr="0013447B" w:rsidRDefault="00CD172C" w:rsidP="009E1E9B">
            <w:pPr>
              <w:jc w:val="right"/>
              <w:cnfStyle w:val="000000100000" w:firstRow="0" w:lastRow="0" w:firstColumn="0" w:lastColumn="0" w:oddVBand="0" w:evenVBand="0" w:oddHBand="1" w:evenHBand="0" w:firstRowFirstColumn="0" w:firstRowLastColumn="0" w:lastRowFirstColumn="0" w:lastRowLastColumn="0"/>
              <w:rPr>
                <w:color w:val="000000"/>
                <w:sz w:val="10"/>
                <w:szCs w:val="12"/>
                <w:lang w:bidi="ar-SA"/>
              </w:rPr>
            </w:pPr>
            <w:r w:rsidRPr="00CD172C">
              <w:rPr>
                <w:color w:val="000000"/>
                <w:sz w:val="10"/>
                <w:szCs w:val="12"/>
                <w:lang w:bidi="ar-SA"/>
              </w:rPr>
              <w:t>5</w:t>
            </w:r>
            <w:r>
              <w:rPr>
                <w:color w:val="000000"/>
                <w:sz w:val="10"/>
                <w:szCs w:val="12"/>
                <w:lang w:bidi="ar-SA"/>
              </w:rPr>
              <w:t xml:space="preserve"> </w:t>
            </w:r>
            <w:r w:rsidRPr="00CD172C">
              <w:rPr>
                <w:color w:val="000000"/>
                <w:sz w:val="10"/>
                <w:szCs w:val="12"/>
                <w:lang w:bidi="ar-SA"/>
              </w:rPr>
              <w:t>836</w:t>
            </w:r>
            <w:r>
              <w:rPr>
                <w:color w:val="000000"/>
                <w:sz w:val="10"/>
                <w:szCs w:val="12"/>
                <w:lang w:bidi="ar-SA"/>
              </w:rPr>
              <w:t xml:space="preserve"> </w:t>
            </w:r>
            <w:r w:rsidRPr="00CD172C">
              <w:rPr>
                <w:color w:val="000000"/>
                <w:sz w:val="10"/>
                <w:szCs w:val="12"/>
                <w:lang w:bidi="ar-SA"/>
              </w:rPr>
              <w:t>928</w:t>
            </w:r>
            <w:r>
              <w:rPr>
                <w:color w:val="000000"/>
                <w:sz w:val="10"/>
                <w:szCs w:val="12"/>
                <w:lang w:bidi="ar-SA"/>
              </w:rPr>
              <w:t xml:space="preserve"> </w:t>
            </w:r>
            <w:r w:rsidRPr="00CD172C">
              <w:rPr>
                <w:color w:val="000000"/>
                <w:sz w:val="10"/>
                <w:szCs w:val="12"/>
                <w:lang w:bidi="ar-SA"/>
              </w:rPr>
              <w:t>79</w:t>
            </w:r>
            <w:r>
              <w:rPr>
                <w:color w:val="000000"/>
                <w:sz w:val="10"/>
                <w:szCs w:val="12"/>
                <w:lang w:bidi="ar-SA"/>
              </w:rPr>
              <w:t>2</w:t>
            </w:r>
          </w:p>
        </w:tc>
        <w:tc>
          <w:tcPr>
            <w:tcW w:w="575" w:type="dxa"/>
            <w:shd w:val="clear" w:color="auto" w:fill="auto"/>
            <w:hideMark/>
          </w:tcPr>
          <w:p w:rsidR="009E1E9B" w:rsidRPr="0013447B" w:rsidRDefault="009E1E9B" w:rsidP="009E1E9B">
            <w:pPr>
              <w:jc w:val="right"/>
              <w:cnfStyle w:val="000000100000" w:firstRow="0" w:lastRow="0" w:firstColumn="0" w:lastColumn="0" w:oddVBand="0" w:evenVBand="0" w:oddHBand="1" w:evenHBand="0" w:firstRowFirstColumn="0" w:firstRowLastColumn="0" w:lastRowFirstColumn="0" w:lastRowLastColumn="0"/>
              <w:rPr>
                <w:color w:val="000000"/>
                <w:sz w:val="10"/>
                <w:szCs w:val="12"/>
                <w:lang w:bidi="ar-SA"/>
              </w:rPr>
            </w:pPr>
            <w:r w:rsidRPr="0013447B">
              <w:rPr>
                <w:color w:val="000000"/>
                <w:sz w:val="10"/>
                <w:szCs w:val="12"/>
                <w:lang w:bidi="ar-SA"/>
              </w:rPr>
              <w:t>4%</w:t>
            </w:r>
          </w:p>
        </w:tc>
        <w:tc>
          <w:tcPr>
            <w:tcW w:w="984" w:type="dxa"/>
            <w:shd w:val="clear" w:color="auto" w:fill="auto"/>
            <w:hideMark/>
          </w:tcPr>
          <w:p w:rsidR="009E1E9B" w:rsidRPr="0013447B" w:rsidRDefault="009E1E9B" w:rsidP="009E1E9B">
            <w:pPr>
              <w:jc w:val="right"/>
              <w:cnfStyle w:val="000000100000" w:firstRow="0" w:lastRow="0" w:firstColumn="0" w:lastColumn="0" w:oddVBand="0" w:evenVBand="0" w:oddHBand="1" w:evenHBand="0" w:firstRowFirstColumn="0" w:firstRowLastColumn="0" w:lastRowFirstColumn="0" w:lastRowLastColumn="0"/>
              <w:rPr>
                <w:color w:val="000000"/>
                <w:sz w:val="10"/>
                <w:szCs w:val="12"/>
                <w:lang w:bidi="ar-SA"/>
              </w:rPr>
            </w:pPr>
            <w:r w:rsidRPr="0013447B">
              <w:rPr>
                <w:color w:val="000000"/>
                <w:sz w:val="10"/>
                <w:szCs w:val="12"/>
                <w:lang w:bidi="ar-SA"/>
              </w:rPr>
              <w:t>12 106 982 095</w:t>
            </w:r>
          </w:p>
        </w:tc>
        <w:tc>
          <w:tcPr>
            <w:tcW w:w="575" w:type="dxa"/>
            <w:shd w:val="clear" w:color="auto" w:fill="auto"/>
            <w:hideMark/>
          </w:tcPr>
          <w:p w:rsidR="009E1E9B" w:rsidRPr="0013447B" w:rsidRDefault="009E1E9B" w:rsidP="009E1E9B">
            <w:pPr>
              <w:jc w:val="right"/>
              <w:cnfStyle w:val="000000100000" w:firstRow="0" w:lastRow="0" w:firstColumn="0" w:lastColumn="0" w:oddVBand="0" w:evenVBand="0" w:oddHBand="1" w:evenHBand="0" w:firstRowFirstColumn="0" w:firstRowLastColumn="0" w:lastRowFirstColumn="0" w:lastRowLastColumn="0"/>
              <w:rPr>
                <w:color w:val="000000"/>
                <w:sz w:val="10"/>
                <w:szCs w:val="12"/>
                <w:lang w:bidi="ar-SA"/>
              </w:rPr>
            </w:pPr>
            <w:r w:rsidRPr="0013447B">
              <w:rPr>
                <w:color w:val="000000"/>
                <w:sz w:val="10"/>
                <w:szCs w:val="12"/>
                <w:lang w:bidi="ar-SA"/>
              </w:rPr>
              <w:t>7%</w:t>
            </w:r>
          </w:p>
        </w:tc>
        <w:tc>
          <w:tcPr>
            <w:tcW w:w="984" w:type="dxa"/>
            <w:shd w:val="clear" w:color="auto" w:fill="auto"/>
            <w:hideMark/>
          </w:tcPr>
          <w:p w:rsidR="009E1E9B" w:rsidRPr="0013447B" w:rsidRDefault="009E1E9B" w:rsidP="009E1E9B">
            <w:pPr>
              <w:jc w:val="right"/>
              <w:cnfStyle w:val="000000100000" w:firstRow="0" w:lastRow="0" w:firstColumn="0" w:lastColumn="0" w:oddVBand="0" w:evenVBand="0" w:oddHBand="1" w:evenHBand="0" w:firstRowFirstColumn="0" w:firstRowLastColumn="0" w:lastRowFirstColumn="0" w:lastRowLastColumn="0"/>
              <w:rPr>
                <w:color w:val="000000"/>
                <w:sz w:val="10"/>
                <w:szCs w:val="12"/>
                <w:lang w:bidi="ar-SA"/>
              </w:rPr>
            </w:pPr>
            <w:r w:rsidRPr="0013447B">
              <w:rPr>
                <w:color w:val="000000"/>
                <w:sz w:val="10"/>
                <w:szCs w:val="12"/>
                <w:lang w:bidi="ar-SA"/>
              </w:rPr>
              <w:t>18 104 818 173</w:t>
            </w:r>
          </w:p>
        </w:tc>
        <w:tc>
          <w:tcPr>
            <w:tcW w:w="567" w:type="dxa"/>
            <w:shd w:val="clear" w:color="auto" w:fill="auto"/>
            <w:hideMark/>
          </w:tcPr>
          <w:p w:rsidR="009E1E9B" w:rsidRPr="0013447B" w:rsidRDefault="009E1E9B" w:rsidP="009E1E9B">
            <w:pPr>
              <w:jc w:val="right"/>
              <w:cnfStyle w:val="000000100000" w:firstRow="0" w:lastRow="0" w:firstColumn="0" w:lastColumn="0" w:oddVBand="0" w:evenVBand="0" w:oddHBand="1" w:evenHBand="0" w:firstRowFirstColumn="0" w:firstRowLastColumn="0" w:lastRowFirstColumn="0" w:lastRowLastColumn="0"/>
              <w:rPr>
                <w:color w:val="000000"/>
                <w:sz w:val="10"/>
                <w:szCs w:val="12"/>
                <w:lang w:bidi="ar-SA"/>
              </w:rPr>
            </w:pPr>
            <w:r w:rsidRPr="0013447B">
              <w:rPr>
                <w:color w:val="000000"/>
                <w:sz w:val="10"/>
                <w:szCs w:val="12"/>
                <w:lang w:bidi="ar-SA"/>
              </w:rPr>
              <w:t>10%</w:t>
            </w:r>
          </w:p>
        </w:tc>
      </w:tr>
      <w:tr w:rsidR="009E1E9B" w:rsidRPr="0013447B" w:rsidTr="009E1E9B">
        <w:trPr>
          <w:cnfStyle w:val="000000010000" w:firstRow="0" w:lastRow="0" w:firstColumn="0" w:lastColumn="0" w:oddVBand="0" w:evenVBand="0" w:oddHBand="0" w:evenHBand="1" w:firstRowFirstColumn="0" w:firstRowLastColumn="0" w:lastRowFirstColumn="0" w:lastRowLastColumn="0"/>
          <w:trHeight w:val="266"/>
          <w:jc w:val="center"/>
        </w:trPr>
        <w:tc>
          <w:tcPr>
            <w:cnfStyle w:val="001000000000" w:firstRow="0" w:lastRow="0" w:firstColumn="1" w:lastColumn="0" w:oddVBand="0" w:evenVBand="0" w:oddHBand="0" w:evenHBand="0" w:firstRowFirstColumn="0" w:firstRowLastColumn="0" w:lastRowFirstColumn="0" w:lastRowLastColumn="0"/>
            <w:tcW w:w="959" w:type="dxa"/>
            <w:shd w:val="clear" w:color="auto" w:fill="auto"/>
            <w:hideMark/>
          </w:tcPr>
          <w:p w:rsidR="009E1E9B" w:rsidRPr="0013447B" w:rsidRDefault="009E1E9B" w:rsidP="009E1E9B">
            <w:pPr>
              <w:rPr>
                <w:color w:val="000000"/>
                <w:sz w:val="10"/>
                <w:szCs w:val="16"/>
                <w:lang w:bidi="ar-SA"/>
              </w:rPr>
            </w:pPr>
            <w:r w:rsidRPr="0013447B">
              <w:rPr>
                <w:color w:val="000000"/>
                <w:sz w:val="10"/>
                <w:szCs w:val="16"/>
                <w:lang w:bidi="ar-SA"/>
              </w:rPr>
              <w:t>Dépense Courante</w:t>
            </w:r>
          </w:p>
        </w:tc>
        <w:tc>
          <w:tcPr>
            <w:tcW w:w="992" w:type="dxa"/>
            <w:shd w:val="clear" w:color="auto" w:fill="auto"/>
            <w:hideMark/>
          </w:tcPr>
          <w:p w:rsidR="009E1E9B" w:rsidRPr="0013447B" w:rsidRDefault="009E1E9B" w:rsidP="009E1E9B">
            <w:pPr>
              <w:jc w:val="right"/>
              <w:cnfStyle w:val="000000010000" w:firstRow="0" w:lastRow="0" w:firstColumn="0" w:lastColumn="0" w:oddVBand="0" w:evenVBand="0" w:oddHBand="0" w:evenHBand="1" w:firstRowFirstColumn="0" w:firstRowLastColumn="0" w:lastRowFirstColumn="0" w:lastRowLastColumn="0"/>
              <w:rPr>
                <w:color w:val="000000"/>
                <w:sz w:val="10"/>
                <w:szCs w:val="12"/>
                <w:lang w:bidi="ar-SA"/>
              </w:rPr>
            </w:pPr>
            <w:r w:rsidRPr="0013447B">
              <w:rPr>
                <w:color w:val="000000"/>
                <w:sz w:val="10"/>
                <w:szCs w:val="12"/>
                <w:lang w:bidi="ar-SA"/>
              </w:rPr>
              <w:t>120 912 289 418</w:t>
            </w:r>
          </w:p>
        </w:tc>
        <w:tc>
          <w:tcPr>
            <w:tcW w:w="450" w:type="dxa"/>
            <w:shd w:val="clear" w:color="auto" w:fill="auto"/>
            <w:hideMark/>
          </w:tcPr>
          <w:p w:rsidR="009E1E9B" w:rsidRPr="0013447B" w:rsidRDefault="00341B8A" w:rsidP="009E1E9B">
            <w:pPr>
              <w:jc w:val="right"/>
              <w:cnfStyle w:val="000000010000" w:firstRow="0" w:lastRow="0" w:firstColumn="0" w:lastColumn="0" w:oddVBand="0" w:evenVBand="0" w:oddHBand="0" w:evenHBand="1" w:firstRowFirstColumn="0" w:firstRowLastColumn="0" w:lastRowFirstColumn="0" w:lastRowLastColumn="0"/>
              <w:rPr>
                <w:color w:val="000000"/>
                <w:sz w:val="10"/>
                <w:szCs w:val="12"/>
                <w:lang w:bidi="ar-SA"/>
              </w:rPr>
            </w:pPr>
            <w:r>
              <w:rPr>
                <w:color w:val="000000"/>
                <w:sz w:val="10"/>
                <w:szCs w:val="12"/>
                <w:lang w:bidi="ar-SA"/>
              </w:rPr>
              <w:t>96</w:t>
            </w:r>
            <w:r w:rsidR="009E1E9B" w:rsidRPr="0013447B">
              <w:rPr>
                <w:color w:val="000000"/>
                <w:sz w:val="10"/>
                <w:szCs w:val="12"/>
                <w:lang w:bidi="ar-SA"/>
              </w:rPr>
              <w:t>%</w:t>
            </w:r>
          </w:p>
        </w:tc>
        <w:tc>
          <w:tcPr>
            <w:tcW w:w="1109" w:type="dxa"/>
            <w:shd w:val="clear" w:color="auto" w:fill="auto"/>
            <w:hideMark/>
          </w:tcPr>
          <w:p w:rsidR="009E1E9B" w:rsidRPr="0013447B" w:rsidRDefault="009E1E9B" w:rsidP="009E1E9B">
            <w:pPr>
              <w:jc w:val="right"/>
              <w:cnfStyle w:val="000000010000" w:firstRow="0" w:lastRow="0" w:firstColumn="0" w:lastColumn="0" w:oddVBand="0" w:evenVBand="0" w:oddHBand="0" w:evenHBand="1" w:firstRowFirstColumn="0" w:firstRowLastColumn="0" w:lastRowFirstColumn="0" w:lastRowLastColumn="0"/>
              <w:rPr>
                <w:color w:val="000000"/>
                <w:sz w:val="10"/>
                <w:szCs w:val="12"/>
                <w:lang w:bidi="ar-SA"/>
              </w:rPr>
            </w:pPr>
            <w:r w:rsidRPr="0013447B">
              <w:rPr>
                <w:color w:val="000000"/>
                <w:sz w:val="10"/>
                <w:szCs w:val="12"/>
                <w:lang w:bidi="ar-SA"/>
              </w:rPr>
              <w:t>135 226 429 670</w:t>
            </w:r>
          </w:p>
        </w:tc>
        <w:tc>
          <w:tcPr>
            <w:tcW w:w="575" w:type="dxa"/>
            <w:shd w:val="clear" w:color="auto" w:fill="auto"/>
            <w:hideMark/>
          </w:tcPr>
          <w:p w:rsidR="009E1E9B" w:rsidRPr="0013447B" w:rsidRDefault="009E1E9B" w:rsidP="009E1E9B">
            <w:pPr>
              <w:jc w:val="right"/>
              <w:cnfStyle w:val="000000010000" w:firstRow="0" w:lastRow="0" w:firstColumn="0" w:lastColumn="0" w:oddVBand="0" w:evenVBand="0" w:oddHBand="0" w:evenHBand="1" w:firstRowFirstColumn="0" w:firstRowLastColumn="0" w:lastRowFirstColumn="0" w:lastRowLastColumn="0"/>
              <w:rPr>
                <w:color w:val="000000"/>
                <w:sz w:val="10"/>
                <w:szCs w:val="12"/>
                <w:lang w:bidi="ar-SA"/>
              </w:rPr>
            </w:pPr>
            <w:r w:rsidRPr="0013447B">
              <w:rPr>
                <w:color w:val="000000"/>
                <w:sz w:val="10"/>
                <w:szCs w:val="12"/>
                <w:lang w:bidi="ar-SA"/>
              </w:rPr>
              <w:t>88%</w:t>
            </w:r>
          </w:p>
        </w:tc>
        <w:tc>
          <w:tcPr>
            <w:tcW w:w="985" w:type="dxa"/>
            <w:shd w:val="clear" w:color="auto" w:fill="auto"/>
            <w:hideMark/>
          </w:tcPr>
          <w:p w:rsidR="009E1E9B" w:rsidRPr="0013447B" w:rsidRDefault="009E1E9B" w:rsidP="009E1E9B">
            <w:pPr>
              <w:jc w:val="right"/>
              <w:cnfStyle w:val="000000010000" w:firstRow="0" w:lastRow="0" w:firstColumn="0" w:lastColumn="0" w:oddVBand="0" w:evenVBand="0" w:oddHBand="0" w:evenHBand="1" w:firstRowFirstColumn="0" w:firstRowLastColumn="0" w:lastRowFirstColumn="0" w:lastRowLastColumn="0"/>
              <w:rPr>
                <w:color w:val="000000"/>
                <w:sz w:val="10"/>
                <w:szCs w:val="12"/>
                <w:lang w:bidi="ar-SA"/>
              </w:rPr>
            </w:pPr>
            <w:r w:rsidRPr="0013447B">
              <w:rPr>
                <w:color w:val="000000"/>
                <w:sz w:val="10"/>
                <w:szCs w:val="12"/>
                <w:lang w:bidi="ar-SA"/>
              </w:rPr>
              <w:t>144 460 710 304</w:t>
            </w:r>
          </w:p>
        </w:tc>
        <w:tc>
          <w:tcPr>
            <w:tcW w:w="575" w:type="dxa"/>
            <w:shd w:val="clear" w:color="auto" w:fill="auto"/>
            <w:hideMark/>
          </w:tcPr>
          <w:p w:rsidR="009E1E9B" w:rsidRPr="0013447B" w:rsidRDefault="009E1E9B" w:rsidP="009E1E9B">
            <w:pPr>
              <w:jc w:val="right"/>
              <w:cnfStyle w:val="000000010000" w:firstRow="0" w:lastRow="0" w:firstColumn="0" w:lastColumn="0" w:oddVBand="0" w:evenVBand="0" w:oddHBand="0" w:evenHBand="1" w:firstRowFirstColumn="0" w:firstRowLastColumn="0" w:lastRowFirstColumn="0" w:lastRowLastColumn="0"/>
              <w:rPr>
                <w:color w:val="000000"/>
                <w:sz w:val="10"/>
                <w:szCs w:val="12"/>
                <w:lang w:bidi="ar-SA"/>
              </w:rPr>
            </w:pPr>
            <w:r w:rsidRPr="0013447B">
              <w:rPr>
                <w:color w:val="000000"/>
                <w:sz w:val="10"/>
                <w:szCs w:val="12"/>
                <w:lang w:bidi="ar-SA"/>
              </w:rPr>
              <w:t>96%</w:t>
            </w:r>
          </w:p>
        </w:tc>
        <w:tc>
          <w:tcPr>
            <w:tcW w:w="984" w:type="dxa"/>
            <w:shd w:val="clear" w:color="auto" w:fill="auto"/>
            <w:hideMark/>
          </w:tcPr>
          <w:p w:rsidR="009E1E9B" w:rsidRPr="0013447B" w:rsidRDefault="009E1E9B" w:rsidP="009E1E9B">
            <w:pPr>
              <w:jc w:val="right"/>
              <w:cnfStyle w:val="000000010000" w:firstRow="0" w:lastRow="0" w:firstColumn="0" w:lastColumn="0" w:oddVBand="0" w:evenVBand="0" w:oddHBand="0" w:evenHBand="1" w:firstRowFirstColumn="0" w:firstRowLastColumn="0" w:lastRowFirstColumn="0" w:lastRowLastColumn="0"/>
              <w:rPr>
                <w:color w:val="000000"/>
                <w:sz w:val="10"/>
                <w:szCs w:val="12"/>
                <w:lang w:bidi="ar-SA"/>
              </w:rPr>
            </w:pPr>
            <w:r w:rsidRPr="0013447B">
              <w:rPr>
                <w:color w:val="000000"/>
                <w:sz w:val="10"/>
                <w:szCs w:val="12"/>
                <w:lang w:bidi="ar-SA"/>
              </w:rPr>
              <w:t>162 576 786 756</w:t>
            </w:r>
          </w:p>
        </w:tc>
        <w:tc>
          <w:tcPr>
            <w:tcW w:w="575" w:type="dxa"/>
            <w:shd w:val="clear" w:color="auto" w:fill="auto"/>
            <w:hideMark/>
          </w:tcPr>
          <w:p w:rsidR="009E1E9B" w:rsidRPr="0013447B" w:rsidRDefault="009E1E9B" w:rsidP="009E1E9B">
            <w:pPr>
              <w:jc w:val="right"/>
              <w:cnfStyle w:val="000000010000" w:firstRow="0" w:lastRow="0" w:firstColumn="0" w:lastColumn="0" w:oddVBand="0" w:evenVBand="0" w:oddHBand="0" w:evenHBand="1" w:firstRowFirstColumn="0" w:firstRowLastColumn="0" w:lastRowFirstColumn="0" w:lastRowLastColumn="0"/>
              <w:rPr>
                <w:color w:val="000000"/>
                <w:sz w:val="10"/>
                <w:szCs w:val="12"/>
                <w:lang w:bidi="ar-SA"/>
              </w:rPr>
            </w:pPr>
            <w:r w:rsidRPr="0013447B">
              <w:rPr>
                <w:color w:val="000000"/>
                <w:sz w:val="10"/>
                <w:szCs w:val="12"/>
                <w:lang w:bidi="ar-SA"/>
              </w:rPr>
              <w:t>93%</w:t>
            </w:r>
          </w:p>
        </w:tc>
        <w:tc>
          <w:tcPr>
            <w:tcW w:w="984" w:type="dxa"/>
            <w:shd w:val="clear" w:color="auto" w:fill="auto"/>
            <w:hideMark/>
          </w:tcPr>
          <w:p w:rsidR="009E1E9B" w:rsidRPr="0013447B" w:rsidRDefault="009E1E9B" w:rsidP="009E1E9B">
            <w:pPr>
              <w:jc w:val="right"/>
              <w:cnfStyle w:val="000000010000" w:firstRow="0" w:lastRow="0" w:firstColumn="0" w:lastColumn="0" w:oddVBand="0" w:evenVBand="0" w:oddHBand="0" w:evenHBand="1" w:firstRowFirstColumn="0" w:firstRowLastColumn="0" w:lastRowFirstColumn="0" w:lastRowLastColumn="0"/>
              <w:rPr>
                <w:color w:val="000000"/>
                <w:sz w:val="10"/>
                <w:szCs w:val="12"/>
                <w:lang w:bidi="ar-SA"/>
              </w:rPr>
            </w:pPr>
            <w:r w:rsidRPr="0013447B">
              <w:rPr>
                <w:color w:val="000000"/>
                <w:sz w:val="10"/>
                <w:szCs w:val="12"/>
                <w:lang w:bidi="ar-SA"/>
              </w:rPr>
              <w:t>165 125 147 056</w:t>
            </w:r>
          </w:p>
        </w:tc>
        <w:tc>
          <w:tcPr>
            <w:tcW w:w="567" w:type="dxa"/>
            <w:shd w:val="clear" w:color="auto" w:fill="auto"/>
            <w:hideMark/>
          </w:tcPr>
          <w:p w:rsidR="009E1E9B" w:rsidRPr="0013447B" w:rsidRDefault="009E1E9B" w:rsidP="009E1E9B">
            <w:pPr>
              <w:jc w:val="right"/>
              <w:cnfStyle w:val="000000010000" w:firstRow="0" w:lastRow="0" w:firstColumn="0" w:lastColumn="0" w:oddVBand="0" w:evenVBand="0" w:oddHBand="0" w:evenHBand="1" w:firstRowFirstColumn="0" w:firstRowLastColumn="0" w:lastRowFirstColumn="0" w:lastRowLastColumn="0"/>
              <w:rPr>
                <w:color w:val="000000"/>
                <w:sz w:val="10"/>
                <w:szCs w:val="12"/>
                <w:lang w:bidi="ar-SA"/>
              </w:rPr>
            </w:pPr>
            <w:r w:rsidRPr="0013447B">
              <w:rPr>
                <w:color w:val="000000"/>
                <w:sz w:val="10"/>
                <w:szCs w:val="12"/>
                <w:lang w:bidi="ar-SA"/>
              </w:rPr>
              <w:t>90%</w:t>
            </w:r>
          </w:p>
        </w:tc>
      </w:tr>
      <w:tr w:rsidR="009E1E9B" w:rsidRPr="0013447B" w:rsidTr="009E1E9B">
        <w:trPr>
          <w:cnfStyle w:val="000000100000" w:firstRow="0" w:lastRow="0" w:firstColumn="0" w:lastColumn="0" w:oddVBand="0" w:evenVBand="0" w:oddHBand="1" w:evenHBand="0" w:firstRowFirstColumn="0" w:firstRowLastColumn="0" w:lastRowFirstColumn="0" w:lastRowLastColumn="0"/>
          <w:trHeight w:val="269"/>
          <w:jc w:val="center"/>
        </w:trPr>
        <w:tc>
          <w:tcPr>
            <w:cnfStyle w:val="001000000000" w:firstRow="0" w:lastRow="0" w:firstColumn="1" w:lastColumn="0" w:oddVBand="0" w:evenVBand="0" w:oddHBand="0" w:evenHBand="0" w:firstRowFirstColumn="0" w:firstRowLastColumn="0" w:lastRowFirstColumn="0" w:lastRowLastColumn="0"/>
            <w:tcW w:w="959" w:type="dxa"/>
            <w:shd w:val="clear" w:color="auto" w:fill="auto"/>
            <w:hideMark/>
          </w:tcPr>
          <w:p w:rsidR="009E1E9B" w:rsidRPr="0013447B" w:rsidRDefault="009E1E9B" w:rsidP="009E1E9B">
            <w:pPr>
              <w:rPr>
                <w:color w:val="000000"/>
                <w:sz w:val="10"/>
                <w:szCs w:val="16"/>
                <w:lang w:bidi="ar-SA"/>
              </w:rPr>
            </w:pPr>
            <w:r w:rsidRPr="0013447B">
              <w:rPr>
                <w:color w:val="000000"/>
                <w:sz w:val="10"/>
                <w:szCs w:val="16"/>
                <w:lang w:bidi="ar-SA"/>
              </w:rPr>
              <w:t>Dépense Totale de Santé</w:t>
            </w:r>
          </w:p>
        </w:tc>
        <w:tc>
          <w:tcPr>
            <w:tcW w:w="992" w:type="dxa"/>
            <w:shd w:val="clear" w:color="auto" w:fill="auto"/>
            <w:hideMark/>
          </w:tcPr>
          <w:p w:rsidR="009E1E9B" w:rsidRPr="0013447B" w:rsidRDefault="009E1E9B" w:rsidP="009E1E9B">
            <w:pPr>
              <w:jc w:val="right"/>
              <w:cnfStyle w:val="000000100000" w:firstRow="0" w:lastRow="0" w:firstColumn="0" w:lastColumn="0" w:oddVBand="0" w:evenVBand="0" w:oddHBand="1" w:evenHBand="0" w:firstRowFirstColumn="0" w:firstRowLastColumn="0" w:lastRowFirstColumn="0" w:lastRowLastColumn="0"/>
              <w:rPr>
                <w:b/>
                <w:bCs/>
                <w:color w:val="000000"/>
                <w:sz w:val="10"/>
                <w:szCs w:val="12"/>
                <w:lang w:bidi="ar-SA"/>
              </w:rPr>
            </w:pPr>
            <w:r w:rsidRPr="0013447B">
              <w:rPr>
                <w:b/>
                <w:bCs/>
                <w:color w:val="000000"/>
                <w:sz w:val="10"/>
                <w:szCs w:val="12"/>
                <w:lang w:bidi="ar-SA"/>
              </w:rPr>
              <w:t>125 493 103 296</w:t>
            </w:r>
          </w:p>
        </w:tc>
        <w:tc>
          <w:tcPr>
            <w:tcW w:w="450" w:type="dxa"/>
            <w:shd w:val="clear" w:color="auto" w:fill="auto"/>
            <w:hideMark/>
          </w:tcPr>
          <w:p w:rsidR="009E1E9B" w:rsidRPr="0013447B" w:rsidRDefault="009E1E9B" w:rsidP="009E1E9B">
            <w:pPr>
              <w:jc w:val="right"/>
              <w:cnfStyle w:val="000000100000" w:firstRow="0" w:lastRow="0" w:firstColumn="0" w:lastColumn="0" w:oddVBand="0" w:evenVBand="0" w:oddHBand="1" w:evenHBand="0" w:firstRowFirstColumn="0" w:firstRowLastColumn="0" w:lastRowFirstColumn="0" w:lastRowLastColumn="0"/>
              <w:rPr>
                <w:color w:val="000000"/>
                <w:sz w:val="10"/>
                <w:szCs w:val="12"/>
                <w:lang w:bidi="ar-SA"/>
              </w:rPr>
            </w:pPr>
            <w:r w:rsidRPr="0013447B">
              <w:rPr>
                <w:color w:val="000000"/>
                <w:sz w:val="10"/>
                <w:szCs w:val="12"/>
                <w:lang w:bidi="ar-SA"/>
              </w:rPr>
              <w:t>100%</w:t>
            </w:r>
          </w:p>
        </w:tc>
        <w:tc>
          <w:tcPr>
            <w:tcW w:w="1109" w:type="dxa"/>
            <w:shd w:val="clear" w:color="auto" w:fill="auto"/>
            <w:hideMark/>
          </w:tcPr>
          <w:p w:rsidR="009E1E9B" w:rsidRPr="0013447B" w:rsidRDefault="009E1E9B" w:rsidP="009E1E9B">
            <w:pPr>
              <w:jc w:val="right"/>
              <w:cnfStyle w:val="000000100000" w:firstRow="0" w:lastRow="0" w:firstColumn="0" w:lastColumn="0" w:oddVBand="0" w:evenVBand="0" w:oddHBand="1" w:evenHBand="0" w:firstRowFirstColumn="0" w:firstRowLastColumn="0" w:lastRowFirstColumn="0" w:lastRowLastColumn="0"/>
              <w:rPr>
                <w:b/>
                <w:bCs/>
                <w:color w:val="000000"/>
                <w:sz w:val="10"/>
                <w:szCs w:val="12"/>
                <w:lang w:bidi="ar-SA"/>
              </w:rPr>
            </w:pPr>
            <w:r w:rsidRPr="0013447B">
              <w:rPr>
                <w:b/>
                <w:bCs/>
                <w:color w:val="000000"/>
                <w:sz w:val="10"/>
                <w:szCs w:val="12"/>
                <w:lang w:bidi="ar-SA"/>
              </w:rPr>
              <w:t>153 887 595 718</w:t>
            </w:r>
          </w:p>
        </w:tc>
        <w:tc>
          <w:tcPr>
            <w:tcW w:w="575" w:type="dxa"/>
            <w:shd w:val="clear" w:color="auto" w:fill="auto"/>
            <w:hideMark/>
          </w:tcPr>
          <w:p w:rsidR="009E1E9B" w:rsidRPr="0013447B" w:rsidRDefault="009E1E9B" w:rsidP="009E1E9B">
            <w:pPr>
              <w:jc w:val="right"/>
              <w:cnfStyle w:val="000000100000" w:firstRow="0" w:lastRow="0" w:firstColumn="0" w:lastColumn="0" w:oddVBand="0" w:evenVBand="0" w:oddHBand="1" w:evenHBand="0" w:firstRowFirstColumn="0" w:firstRowLastColumn="0" w:lastRowFirstColumn="0" w:lastRowLastColumn="0"/>
              <w:rPr>
                <w:color w:val="000000"/>
                <w:sz w:val="10"/>
                <w:szCs w:val="12"/>
                <w:lang w:bidi="ar-SA"/>
              </w:rPr>
            </w:pPr>
            <w:r w:rsidRPr="0013447B">
              <w:rPr>
                <w:color w:val="000000"/>
                <w:sz w:val="10"/>
                <w:szCs w:val="12"/>
                <w:lang w:bidi="ar-SA"/>
              </w:rPr>
              <w:t>100%</w:t>
            </w:r>
          </w:p>
        </w:tc>
        <w:tc>
          <w:tcPr>
            <w:tcW w:w="985" w:type="dxa"/>
            <w:shd w:val="clear" w:color="auto" w:fill="auto"/>
            <w:hideMark/>
          </w:tcPr>
          <w:p w:rsidR="009E1E9B" w:rsidRPr="0013447B" w:rsidRDefault="00CD172C" w:rsidP="009E1E9B">
            <w:pPr>
              <w:jc w:val="right"/>
              <w:cnfStyle w:val="000000100000" w:firstRow="0" w:lastRow="0" w:firstColumn="0" w:lastColumn="0" w:oddVBand="0" w:evenVBand="0" w:oddHBand="1" w:evenHBand="0" w:firstRowFirstColumn="0" w:firstRowLastColumn="0" w:lastRowFirstColumn="0" w:lastRowLastColumn="0"/>
              <w:rPr>
                <w:b/>
                <w:bCs/>
                <w:color w:val="000000"/>
                <w:sz w:val="10"/>
                <w:szCs w:val="12"/>
                <w:lang w:bidi="ar-SA"/>
              </w:rPr>
            </w:pPr>
            <w:r w:rsidRPr="00CD172C">
              <w:rPr>
                <w:b/>
                <w:bCs/>
                <w:color w:val="000000"/>
                <w:sz w:val="10"/>
                <w:szCs w:val="12"/>
                <w:lang w:bidi="ar-SA"/>
              </w:rPr>
              <w:t>150</w:t>
            </w:r>
            <w:r>
              <w:rPr>
                <w:b/>
                <w:bCs/>
                <w:color w:val="000000"/>
                <w:sz w:val="10"/>
                <w:szCs w:val="12"/>
                <w:lang w:bidi="ar-SA"/>
              </w:rPr>
              <w:t xml:space="preserve"> </w:t>
            </w:r>
            <w:r w:rsidRPr="00CD172C">
              <w:rPr>
                <w:b/>
                <w:bCs/>
                <w:color w:val="000000"/>
                <w:sz w:val="10"/>
                <w:szCs w:val="12"/>
                <w:lang w:bidi="ar-SA"/>
              </w:rPr>
              <w:t>297</w:t>
            </w:r>
            <w:r>
              <w:rPr>
                <w:b/>
                <w:bCs/>
                <w:color w:val="000000"/>
                <w:sz w:val="10"/>
                <w:szCs w:val="12"/>
                <w:lang w:bidi="ar-SA"/>
              </w:rPr>
              <w:t xml:space="preserve"> </w:t>
            </w:r>
            <w:r w:rsidRPr="00CD172C">
              <w:rPr>
                <w:b/>
                <w:bCs/>
                <w:color w:val="000000"/>
                <w:sz w:val="10"/>
                <w:szCs w:val="12"/>
                <w:lang w:bidi="ar-SA"/>
              </w:rPr>
              <w:t>639</w:t>
            </w:r>
            <w:r>
              <w:rPr>
                <w:b/>
                <w:bCs/>
                <w:color w:val="000000"/>
                <w:sz w:val="10"/>
                <w:szCs w:val="12"/>
                <w:lang w:bidi="ar-SA"/>
              </w:rPr>
              <w:t xml:space="preserve"> </w:t>
            </w:r>
            <w:r w:rsidRPr="00CD172C">
              <w:rPr>
                <w:b/>
                <w:bCs/>
                <w:color w:val="000000"/>
                <w:sz w:val="10"/>
                <w:szCs w:val="12"/>
                <w:lang w:bidi="ar-SA"/>
              </w:rPr>
              <w:t>09</w:t>
            </w:r>
            <w:r>
              <w:rPr>
                <w:b/>
                <w:bCs/>
                <w:color w:val="000000"/>
                <w:sz w:val="10"/>
                <w:szCs w:val="12"/>
                <w:lang w:bidi="ar-SA"/>
              </w:rPr>
              <w:t>7</w:t>
            </w:r>
          </w:p>
        </w:tc>
        <w:tc>
          <w:tcPr>
            <w:tcW w:w="575" w:type="dxa"/>
            <w:shd w:val="clear" w:color="auto" w:fill="auto"/>
            <w:hideMark/>
          </w:tcPr>
          <w:p w:rsidR="009E1E9B" w:rsidRPr="0013447B" w:rsidRDefault="009E1E9B" w:rsidP="009E1E9B">
            <w:pPr>
              <w:jc w:val="right"/>
              <w:cnfStyle w:val="000000100000" w:firstRow="0" w:lastRow="0" w:firstColumn="0" w:lastColumn="0" w:oddVBand="0" w:evenVBand="0" w:oddHBand="1" w:evenHBand="0" w:firstRowFirstColumn="0" w:firstRowLastColumn="0" w:lastRowFirstColumn="0" w:lastRowLastColumn="0"/>
              <w:rPr>
                <w:color w:val="000000"/>
                <w:sz w:val="10"/>
                <w:szCs w:val="12"/>
                <w:lang w:bidi="ar-SA"/>
              </w:rPr>
            </w:pPr>
            <w:r w:rsidRPr="0013447B">
              <w:rPr>
                <w:color w:val="000000"/>
                <w:sz w:val="10"/>
                <w:szCs w:val="12"/>
                <w:lang w:bidi="ar-SA"/>
              </w:rPr>
              <w:t>100,%</w:t>
            </w:r>
          </w:p>
        </w:tc>
        <w:tc>
          <w:tcPr>
            <w:tcW w:w="984" w:type="dxa"/>
            <w:shd w:val="clear" w:color="auto" w:fill="auto"/>
            <w:hideMark/>
          </w:tcPr>
          <w:p w:rsidR="009E1E9B" w:rsidRPr="0013447B" w:rsidRDefault="009E1E9B" w:rsidP="009E1E9B">
            <w:pPr>
              <w:jc w:val="right"/>
              <w:cnfStyle w:val="000000100000" w:firstRow="0" w:lastRow="0" w:firstColumn="0" w:lastColumn="0" w:oddVBand="0" w:evenVBand="0" w:oddHBand="1" w:evenHBand="0" w:firstRowFirstColumn="0" w:firstRowLastColumn="0" w:lastRowFirstColumn="0" w:lastRowLastColumn="0"/>
              <w:rPr>
                <w:b/>
                <w:bCs/>
                <w:color w:val="000000"/>
                <w:sz w:val="10"/>
                <w:szCs w:val="12"/>
                <w:lang w:bidi="ar-SA"/>
              </w:rPr>
            </w:pPr>
            <w:r w:rsidRPr="0013447B">
              <w:rPr>
                <w:b/>
                <w:bCs/>
                <w:color w:val="000000"/>
                <w:sz w:val="10"/>
                <w:szCs w:val="12"/>
                <w:lang w:bidi="ar-SA"/>
              </w:rPr>
              <w:t>174 683 768 851</w:t>
            </w:r>
          </w:p>
        </w:tc>
        <w:tc>
          <w:tcPr>
            <w:tcW w:w="575" w:type="dxa"/>
            <w:shd w:val="clear" w:color="auto" w:fill="auto"/>
            <w:hideMark/>
          </w:tcPr>
          <w:p w:rsidR="009E1E9B" w:rsidRPr="0013447B" w:rsidRDefault="009E1E9B" w:rsidP="009E1E9B">
            <w:pPr>
              <w:jc w:val="right"/>
              <w:cnfStyle w:val="000000100000" w:firstRow="0" w:lastRow="0" w:firstColumn="0" w:lastColumn="0" w:oddVBand="0" w:evenVBand="0" w:oddHBand="1" w:evenHBand="0" w:firstRowFirstColumn="0" w:firstRowLastColumn="0" w:lastRowFirstColumn="0" w:lastRowLastColumn="0"/>
              <w:rPr>
                <w:color w:val="000000"/>
                <w:sz w:val="10"/>
                <w:szCs w:val="12"/>
                <w:lang w:bidi="ar-SA"/>
              </w:rPr>
            </w:pPr>
            <w:r w:rsidRPr="0013447B">
              <w:rPr>
                <w:color w:val="000000"/>
                <w:sz w:val="10"/>
                <w:szCs w:val="12"/>
                <w:lang w:bidi="ar-SA"/>
              </w:rPr>
              <w:t>100%</w:t>
            </w:r>
          </w:p>
        </w:tc>
        <w:tc>
          <w:tcPr>
            <w:tcW w:w="984" w:type="dxa"/>
            <w:shd w:val="clear" w:color="auto" w:fill="auto"/>
            <w:hideMark/>
          </w:tcPr>
          <w:p w:rsidR="009E1E9B" w:rsidRPr="0013447B" w:rsidRDefault="009E1E9B" w:rsidP="009E1E9B">
            <w:pPr>
              <w:jc w:val="right"/>
              <w:cnfStyle w:val="000000100000" w:firstRow="0" w:lastRow="0" w:firstColumn="0" w:lastColumn="0" w:oddVBand="0" w:evenVBand="0" w:oddHBand="1" w:evenHBand="0" w:firstRowFirstColumn="0" w:firstRowLastColumn="0" w:lastRowFirstColumn="0" w:lastRowLastColumn="0"/>
              <w:rPr>
                <w:b/>
                <w:bCs/>
                <w:color w:val="000000"/>
                <w:sz w:val="10"/>
                <w:szCs w:val="12"/>
                <w:lang w:bidi="ar-SA"/>
              </w:rPr>
            </w:pPr>
            <w:r w:rsidRPr="0013447B">
              <w:rPr>
                <w:b/>
                <w:bCs/>
                <w:color w:val="000000"/>
                <w:sz w:val="10"/>
                <w:szCs w:val="12"/>
                <w:lang w:bidi="ar-SA"/>
              </w:rPr>
              <w:t>183 229 965 229</w:t>
            </w:r>
          </w:p>
        </w:tc>
        <w:tc>
          <w:tcPr>
            <w:tcW w:w="567" w:type="dxa"/>
            <w:shd w:val="clear" w:color="auto" w:fill="auto"/>
            <w:hideMark/>
          </w:tcPr>
          <w:p w:rsidR="009E1E9B" w:rsidRPr="0013447B" w:rsidRDefault="009E1E9B" w:rsidP="009E1E9B">
            <w:pPr>
              <w:jc w:val="right"/>
              <w:cnfStyle w:val="000000100000" w:firstRow="0" w:lastRow="0" w:firstColumn="0" w:lastColumn="0" w:oddVBand="0" w:evenVBand="0" w:oddHBand="1" w:evenHBand="0" w:firstRowFirstColumn="0" w:firstRowLastColumn="0" w:lastRowFirstColumn="0" w:lastRowLastColumn="0"/>
              <w:rPr>
                <w:color w:val="000000"/>
                <w:sz w:val="10"/>
                <w:szCs w:val="12"/>
                <w:lang w:bidi="ar-SA"/>
              </w:rPr>
            </w:pPr>
            <w:r w:rsidRPr="0013447B">
              <w:rPr>
                <w:color w:val="000000"/>
                <w:sz w:val="10"/>
                <w:szCs w:val="12"/>
                <w:lang w:bidi="ar-SA"/>
              </w:rPr>
              <w:t>100%</w:t>
            </w:r>
          </w:p>
        </w:tc>
      </w:tr>
    </w:tbl>
    <w:p w:rsidR="00984433" w:rsidRDefault="00984433" w:rsidP="00AA4FAD">
      <w:pPr>
        <w:jc w:val="both"/>
        <w:rPr>
          <w:color w:val="000000" w:themeColor="text1"/>
        </w:rPr>
      </w:pPr>
    </w:p>
    <w:p w:rsidR="00984433" w:rsidRDefault="00984433" w:rsidP="00984433">
      <w:pPr>
        <w:jc w:val="both"/>
        <w:rPr>
          <w:color w:val="000000" w:themeColor="text1"/>
        </w:rPr>
      </w:pPr>
      <w:r w:rsidRPr="00CB55B0">
        <w:rPr>
          <w:color w:val="000000" w:themeColor="text1"/>
        </w:rPr>
        <w:t xml:space="preserve">En valeur  absolue, les dépenses courantes en santé ont connu une augmentation </w:t>
      </w:r>
      <w:r w:rsidR="00180760">
        <w:rPr>
          <w:color w:val="000000" w:themeColor="text1"/>
        </w:rPr>
        <w:t xml:space="preserve">appréciable  </w:t>
      </w:r>
      <w:r w:rsidRPr="00CB55B0">
        <w:rPr>
          <w:color w:val="000000" w:themeColor="text1"/>
        </w:rPr>
        <w:t>passant de 120 912 289 418  en 2011 à 165 125 147 056 FCFA  en 2015,</w:t>
      </w:r>
      <w:r>
        <w:rPr>
          <w:color w:val="000000" w:themeColor="text1"/>
        </w:rPr>
        <w:t xml:space="preserve"> soit un accroissement  </w:t>
      </w:r>
      <w:r w:rsidRPr="00CB55B0">
        <w:rPr>
          <w:color w:val="000000" w:themeColor="text1"/>
        </w:rPr>
        <w:t xml:space="preserve"> </w:t>
      </w:r>
      <w:r>
        <w:rPr>
          <w:color w:val="000000" w:themeColor="text1"/>
        </w:rPr>
        <w:t>de 44. 212 .857 .638</w:t>
      </w:r>
      <w:r w:rsidRPr="00B94743">
        <w:rPr>
          <w:color w:val="000000" w:themeColor="text1"/>
        </w:rPr>
        <w:t xml:space="preserve"> </w:t>
      </w:r>
      <w:r w:rsidRPr="00CB55B0">
        <w:rPr>
          <w:color w:val="000000" w:themeColor="text1"/>
        </w:rPr>
        <w:t>FCFA</w:t>
      </w:r>
      <w:r>
        <w:rPr>
          <w:color w:val="000000" w:themeColor="text1"/>
        </w:rPr>
        <w:t xml:space="preserve">. </w:t>
      </w:r>
    </w:p>
    <w:p w:rsidR="00984433" w:rsidRDefault="00984433" w:rsidP="00984433">
      <w:pPr>
        <w:jc w:val="both"/>
        <w:rPr>
          <w:color w:val="000000" w:themeColor="text1"/>
        </w:rPr>
      </w:pPr>
    </w:p>
    <w:p w:rsidR="002019D6" w:rsidRPr="002019D6" w:rsidRDefault="00984433" w:rsidP="00AA4FAD">
      <w:pPr>
        <w:jc w:val="both"/>
        <w:rPr>
          <w:color w:val="000000" w:themeColor="text1"/>
        </w:rPr>
      </w:pPr>
      <w:r>
        <w:rPr>
          <w:color w:val="000000" w:themeColor="text1"/>
        </w:rPr>
        <w:t xml:space="preserve"> </w:t>
      </w:r>
    </w:p>
    <w:p w:rsidR="00434AD4" w:rsidRPr="006C758C" w:rsidRDefault="006C758C" w:rsidP="00AA4FAD">
      <w:pPr>
        <w:jc w:val="both"/>
        <w:rPr>
          <w:b/>
          <w:color w:val="000000" w:themeColor="text1"/>
          <w:sz w:val="20"/>
        </w:rPr>
      </w:pPr>
      <w:r w:rsidRPr="006C758C">
        <w:rPr>
          <w:b/>
          <w:color w:val="000000" w:themeColor="text1"/>
          <w:sz w:val="20"/>
        </w:rPr>
        <w:t>Figure n°2</w:t>
      </w:r>
      <w:r w:rsidR="002019D6">
        <w:rPr>
          <w:b/>
          <w:color w:val="000000" w:themeColor="text1"/>
          <w:sz w:val="20"/>
        </w:rPr>
        <w:t> </w:t>
      </w:r>
      <w:r w:rsidR="005C556B">
        <w:rPr>
          <w:b/>
          <w:color w:val="000000" w:themeColor="text1"/>
          <w:sz w:val="20"/>
        </w:rPr>
        <w:t xml:space="preserve">: </w:t>
      </w:r>
      <w:r w:rsidR="005C556B" w:rsidRPr="006C758C">
        <w:rPr>
          <w:b/>
          <w:color w:val="000000" w:themeColor="text1"/>
          <w:sz w:val="20"/>
        </w:rPr>
        <w:t>Evolution</w:t>
      </w:r>
      <w:r w:rsidR="002019D6">
        <w:rPr>
          <w:b/>
          <w:color w:val="000000" w:themeColor="text1"/>
          <w:sz w:val="20"/>
        </w:rPr>
        <w:t xml:space="preserve"> de la Dépense Totale </w:t>
      </w:r>
      <w:r w:rsidR="00434AD4" w:rsidRPr="006C758C">
        <w:rPr>
          <w:b/>
          <w:color w:val="000000" w:themeColor="text1"/>
          <w:sz w:val="20"/>
        </w:rPr>
        <w:t>en Santé de 2011 à 2015</w:t>
      </w:r>
    </w:p>
    <w:p w:rsidR="00434AD4" w:rsidRPr="008D45CE" w:rsidRDefault="00434AD4" w:rsidP="00AA4FAD">
      <w:pPr>
        <w:jc w:val="both"/>
        <w:rPr>
          <w:color w:val="000000" w:themeColor="text1"/>
        </w:rPr>
      </w:pPr>
    </w:p>
    <w:p w:rsidR="001A2A54" w:rsidRDefault="003B30AB" w:rsidP="00AA4FAD">
      <w:pPr>
        <w:jc w:val="both"/>
        <w:rPr>
          <w:color w:val="000000" w:themeColor="text1"/>
        </w:rPr>
      </w:pPr>
      <w:r w:rsidRPr="003B30AB">
        <w:rPr>
          <w:noProof/>
          <w:color w:val="000000" w:themeColor="text1"/>
          <w:lang w:eastAsia="fr-FR" w:bidi="ar-SA"/>
        </w:rPr>
        <w:drawing>
          <wp:inline distT="0" distB="0" distL="0" distR="0">
            <wp:extent cx="4944835" cy="1911928"/>
            <wp:effectExtent l="19050" t="0" r="27215" b="0"/>
            <wp:docPr id="1" name="Graphique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E540D9" w:rsidRDefault="00E540D9" w:rsidP="00E540D9">
      <w:pPr>
        <w:jc w:val="both"/>
        <w:rPr>
          <w:color w:val="000000" w:themeColor="text1"/>
        </w:rPr>
      </w:pPr>
    </w:p>
    <w:p w:rsidR="00EB0695" w:rsidRDefault="00EB0695" w:rsidP="00EB0695">
      <w:pPr>
        <w:jc w:val="both"/>
        <w:rPr>
          <w:color w:val="000000" w:themeColor="text1"/>
        </w:rPr>
      </w:pPr>
      <w:r>
        <w:rPr>
          <w:color w:val="000000" w:themeColor="text1"/>
        </w:rPr>
        <w:t>Les dépenses en capital ont connu une augmen</w:t>
      </w:r>
      <w:r w:rsidR="007E337E">
        <w:rPr>
          <w:color w:val="000000" w:themeColor="text1"/>
        </w:rPr>
        <w:t xml:space="preserve">tation non constante entre 2011 et </w:t>
      </w:r>
      <w:r>
        <w:rPr>
          <w:color w:val="000000" w:themeColor="text1"/>
        </w:rPr>
        <w:t xml:space="preserve"> 2012</w:t>
      </w:r>
      <w:r w:rsidR="007E337E">
        <w:rPr>
          <w:color w:val="000000" w:themeColor="text1"/>
        </w:rPr>
        <w:t xml:space="preserve"> (14 080 352 170). </w:t>
      </w:r>
      <w:r w:rsidR="00785553">
        <w:rPr>
          <w:color w:val="000000" w:themeColor="text1"/>
        </w:rPr>
        <w:t>Elles ont fortement baissé en 2013 avant de reprendre une progression à partir de 2014.</w:t>
      </w:r>
      <w:r>
        <w:rPr>
          <w:color w:val="000000" w:themeColor="text1"/>
        </w:rPr>
        <w:t xml:space="preserve"> </w:t>
      </w:r>
    </w:p>
    <w:p w:rsidR="00737C19" w:rsidRDefault="00737C19">
      <w:pPr>
        <w:spacing w:after="200" w:line="20" w:lineRule="atLeast"/>
        <w:rPr>
          <w:b/>
          <w:bCs/>
          <w:color w:val="000000" w:themeColor="text1"/>
          <w:lang w:eastAsia="fr-FR" w:bidi="ar-SA"/>
        </w:rPr>
      </w:pPr>
      <w:r w:rsidRPr="002F1C6E">
        <w:rPr>
          <w:i/>
          <w:color w:val="000000" w:themeColor="text1"/>
          <w:lang w:eastAsia="fr-FR" w:bidi="ar-SA"/>
        </w:rPr>
        <w:br w:type="page"/>
      </w:r>
    </w:p>
    <w:p w:rsidR="00ED2FA4" w:rsidRDefault="0088032B" w:rsidP="00ED2FA4">
      <w:pPr>
        <w:pStyle w:val="Titre3"/>
        <w:ind w:left="0" w:firstLine="0"/>
        <w:rPr>
          <w:i w:val="0"/>
          <w:color w:val="000000" w:themeColor="text1"/>
          <w:lang w:eastAsia="fr-FR" w:bidi="ar-SA"/>
        </w:rPr>
      </w:pPr>
      <w:r w:rsidRPr="008D45CE">
        <w:rPr>
          <w:i w:val="0"/>
          <w:color w:val="000000" w:themeColor="text1"/>
          <w:lang w:eastAsia="fr-FR" w:bidi="ar-SA"/>
        </w:rPr>
        <w:lastRenderedPageBreak/>
        <w:t>4.1.4. PRINCIPAUX  AGREGATS DES COMPTES DE LA SANTE DE 2011 A 2015</w:t>
      </w:r>
    </w:p>
    <w:p w:rsidR="0088032B" w:rsidRPr="0088032B" w:rsidRDefault="0088032B" w:rsidP="0088032B">
      <w:pPr>
        <w:rPr>
          <w:lang w:eastAsia="fr-FR" w:bidi="ar-SA"/>
        </w:rPr>
      </w:pPr>
    </w:p>
    <w:p w:rsidR="00ED2FA4" w:rsidRDefault="0088032B" w:rsidP="00F70F21">
      <w:pPr>
        <w:jc w:val="both"/>
        <w:rPr>
          <w:lang w:eastAsia="fr-FR" w:bidi="ar-SA"/>
        </w:rPr>
      </w:pPr>
      <w:r>
        <w:rPr>
          <w:lang w:eastAsia="fr-FR" w:bidi="ar-SA"/>
        </w:rPr>
        <w:t xml:space="preserve">Le tableau n°3 et 4 ci dessous présentent la </w:t>
      </w:r>
      <w:r w:rsidR="00ED2FA4">
        <w:rPr>
          <w:lang w:eastAsia="fr-FR" w:bidi="ar-SA"/>
        </w:rPr>
        <w:t>liste d’</w:t>
      </w:r>
      <w:r w:rsidR="00F70F21">
        <w:rPr>
          <w:lang w:eastAsia="fr-FR" w:bidi="ar-SA"/>
        </w:rPr>
        <w:t>indicateurs  traduisant  les  principaux agrégats utilisés dans les</w:t>
      </w:r>
      <w:r>
        <w:rPr>
          <w:lang w:eastAsia="fr-FR" w:bidi="ar-SA"/>
        </w:rPr>
        <w:t xml:space="preserve"> comptes de la santé de 2011 à 2015.</w:t>
      </w:r>
    </w:p>
    <w:p w:rsidR="0088032B" w:rsidRPr="00ED2FA4" w:rsidRDefault="0088032B" w:rsidP="00F70F21">
      <w:pPr>
        <w:jc w:val="both"/>
        <w:rPr>
          <w:lang w:eastAsia="fr-FR" w:bidi="ar-SA"/>
        </w:rPr>
      </w:pPr>
    </w:p>
    <w:p w:rsidR="00ED2FA4" w:rsidRPr="00F70F21" w:rsidRDefault="00ED2FA4" w:rsidP="00F70F21">
      <w:pPr>
        <w:pStyle w:val="Titre6"/>
        <w:rPr>
          <w:i w:val="0"/>
          <w:color w:val="000000" w:themeColor="text1"/>
        </w:rPr>
      </w:pPr>
      <w:r w:rsidRPr="006C758C">
        <w:rPr>
          <w:i w:val="0"/>
          <w:color w:val="000000" w:themeColor="text1"/>
          <w:lang w:eastAsia="fr-FR" w:bidi="ar-SA"/>
        </w:rPr>
        <w:t xml:space="preserve">Tableau </w:t>
      </w:r>
      <w:r w:rsidR="00F70F21">
        <w:rPr>
          <w:i w:val="0"/>
          <w:color w:val="000000" w:themeColor="text1"/>
          <w:lang w:eastAsia="fr-FR" w:bidi="ar-SA"/>
        </w:rPr>
        <w:t>n°</w:t>
      </w:r>
      <w:r w:rsidRPr="006C758C">
        <w:rPr>
          <w:i w:val="0"/>
          <w:color w:val="000000" w:themeColor="text1"/>
          <w:lang w:eastAsia="fr-FR" w:bidi="ar-SA"/>
        </w:rPr>
        <w:t>3</w:t>
      </w:r>
      <w:r w:rsidR="00F70F21">
        <w:rPr>
          <w:i w:val="0"/>
          <w:color w:val="000000" w:themeColor="text1"/>
          <w:lang w:eastAsia="fr-FR" w:bidi="ar-SA"/>
        </w:rPr>
        <w:t xml:space="preserve"> : </w:t>
      </w:r>
      <w:r w:rsidRPr="006C758C">
        <w:rPr>
          <w:bCs/>
          <w:i w:val="0"/>
          <w:color w:val="000000" w:themeColor="text1"/>
          <w:szCs w:val="22"/>
        </w:rPr>
        <w:t xml:space="preserve">Evolution de principaux agrégats des comptes de la santé de 2011 à 2015 </w:t>
      </w:r>
    </w:p>
    <w:tbl>
      <w:tblPr>
        <w:tblW w:w="7429" w:type="dxa"/>
        <w:jc w:val="center"/>
        <w:tblCellMar>
          <w:left w:w="70" w:type="dxa"/>
          <w:right w:w="70" w:type="dxa"/>
        </w:tblCellMar>
        <w:tblLook w:val="04A0" w:firstRow="1" w:lastRow="0" w:firstColumn="1" w:lastColumn="0" w:noHBand="0" w:noVBand="1"/>
      </w:tblPr>
      <w:tblGrid>
        <w:gridCol w:w="1801"/>
        <w:gridCol w:w="1170"/>
        <w:gridCol w:w="1080"/>
        <w:gridCol w:w="1108"/>
        <w:gridCol w:w="1121"/>
        <w:gridCol w:w="1149"/>
      </w:tblGrid>
      <w:tr w:rsidR="00F70F21" w:rsidRPr="00896E80" w:rsidTr="00737C19">
        <w:trPr>
          <w:trHeight w:val="255"/>
          <w:jc w:val="center"/>
        </w:trPr>
        <w:tc>
          <w:tcPr>
            <w:tcW w:w="1801" w:type="dxa"/>
            <w:vMerge w:val="restart"/>
            <w:tcBorders>
              <w:top w:val="single" w:sz="4" w:space="0" w:color="auto"/>
              <w:left w:val="single" w:sz="4" w:space="0" w:color="auto"/>
              <w:bottom w:val="single" w:sz="4" w:space="0" w:color="auto"/>
              <w:right w:val="nil"/>
            </w:tcBorders>
            <w:shd w:val="clear" w:color="auto" w:fill="D9D9D9" w:themeFill="background1" w:themeFillShade="D9"/>
            <w:noWrap/>
            <w:vAlign w:val="bottom"/>
            <w:hideMark/>
          </w:tcPr>
          <w:p w:rsidR="00F70F21" w:rsidRPr="00896E80" w:rsidRDefault="00F70F21" w:rsidP="00AE1584">
            <w:pPr>
              <w:rPr>
                <w:rFonts w:asciiTheme="minorHAnsi" w:hAnsiTheme="minorHAnsi" w:cs="Arial"/>
                <w:sz w:val="12"/>
                <w:szCs w:val="16"/>
                <w:lang w:eastAsia="fr-FR" w:bidi="ar-SA"/>
              </w:rPr>
            </w:pPr>
            <w:r w:rsidRPr="00896E80">
              <w:rPr>
                <w:rFonts w:asciiTheme="minorHAnsi" w:hAnsiTheme="minorHAnsi" w:cs="Arial"/>
                <w:b/>
                <w:bCs/>
                <w:sz w:val="12"/>
                <w:szCs w:val="16"/>
                <w:lang w:eastAsia="fr-FR" w:bidi="ar-SA"/>
              </w:rPr>
              <w:t>Libellé</w:t>
            </w:r>
          </w:p>
        </w:tc>
        <w:tc>
          <w:tcPr>
            <w:tcW w:w="562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rsidR="00F70F21" w:rsidRPr="00896E80" w:rsidRDefault="00F70F21" w:rsidP="00AE1584">
            <w:pPr>
              <w:jc w:val="center"/>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Années</w:t>
            </w:r>
          </w:p>
        </w:tc>
      </w:tr>
      <w:tr w:rsidR="00F70F21" w:rsidRPr="00896E80" w:rsidTr="00737C19">
        <w:trPr>
          <w:trHeight w:val="255"/>
          <w:jc w:val="center"/>
        </w:trPr>
        <w:tc>
          <w:tcPr>
            <w:tcW w:w="1801"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rsidR="00F70F21" w:rsidRPr="00896E80" w:rsidRDefault="00F70F21" w:rsidP="00AE1584">
            <w:pPr>
              <w:rPr>
                <w:rFonts w:asciiTheme="minorHAnsi" w:hAnsiTheme="minorHAnsi" w:cs="Arial"/>
                <w:b/>
                <w:bCs/>
                <w:sz w:val="12"/>
                <w:szCs w:val="16"/>
                <w:lang w:eastAsia="fr-FR" w:bidi="ar-SA"/>
              </w:rPr>
            </w:pPr>
          </w:p>
        </w:tc>
        <w:tc>
          <w:tcPr>
            <w:tcW w:w="1170" w:type="dxa"/>
            <w:tcBorders>
              <w:top w:val="nil"/>
              <w:left w:val="nil"/>
              <w:bottom w:val="single" w:sz="4" w:space="0" w:color="auto"/>
              <w:right w:val="single" w:sz="4" w:space="0" w:color="auto"/>
            </w:tcBorders>
            <w:shd w:val="clear" w:color="auto" w:fill="D9D9D9" w:themeFill="background1" w:themeFillShade="D9"/>
            <w:noWrap/>
            <w:vAlign w:val="bottom"/>
            <w:hideMark/>
          </w:tcPr>
          <w:p w:rsidR="00F70F21" w:rsidRPr="00896E80" w:rsidRDefault="00F70F21"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2011</w:t>
            </w:r>
          </w:p>
        </w:tc>
        <w:tc>
          <w:tcPr>
            <w:tcW w:w="1080" w:type="dxa"/>
            <w:tcBorders>
              <w:top w:val="nil"/>
              <w:left w:val="nil"/>
              <w:bottom w:val="single" w:sz="4" w:space="0" w:color="auto"/>
              <w:right w:val="single" w:sz="4" w:space="0" w:color="auto"/>
            </w:tcBorders>
            <w:shd w:val="clear" w:color="auto" w:fill="D9D9D9" w:themeFill="background1" w:themeFillShade="D9"/>
            <w:noWrap/>
            <w:vAlign w:val="bottom"/>
            <w:hideMark/>
          </w:tcPr>
          <w:p w:rsidR="00F70F21" w:rsidRPr="00896E80" w:rsidRDefault="00F70F21"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2012</w:t>
            </w:r>
          </w:p>
        </w:tc>
        <w:tc>
          <w:tcPr>
            <w:tcW w:w="1108" w:type="dxa"/>
            <w:tcBorders>
              <w:top w:val="nil"/>
              <w:left w:val="nil"/>
              <w:bottom w:val="single" w:sz="4" w:space="0" w:color="auto"/>
              <w:right w:val="single" w:sz="4" w:space="0" w:color="auto"/>
            </w:tcBorders>
            <w:shd w:val="clear" w:color="auto" w:fill="D9D9D9" w:themeFill="background1" w:themeFillShade="D9"/>
            <w:noWrap/>
            <w:vAlign w:val="bottom"/>
            <w:hideMark/>
          </w:tcPr>
          <w:p w:rsidR="00F70F21" w:rsidRPr="00896E80" w:rsidRDefault="00F70F21"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2013</w:t>
            </w:r>
          </w:p>
        </w:tc>
        <w:tc>
          <w:tcPr>
            <w:tcW w:w="1121" w:type="dxa"/>
            <w:tcBorders>
              <w:top w:val="nil"/>
              <w:left w:val="nil"/>
              <w:bottom w:val="single" w:sz="4" w:space="0" w:color="auto"/>
              <w:right w:val="single" w:sz="4" w:space="0" w:color="auto"/>
            </w:tcBorders>
            <w:shd w:val="clear" w:color="auto" w:fill="D9D9D9" w:themeFill="background1" w:themeFillShade="D9"/>
            <w:noWrap/>
            <w:vAlign w:val="bottom"/>
            <w:hideMark/>
          </w:tcPr>
          <w:p w:rsidR="00F70F21" w:rsidRPr="00896E80" w:rsidRDefault="00F70F21"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2014</w:t>
            </w:r>
          </w:p>
        </w:tc>
        <w:tc>
          <w:tcPr>
            <w:tcW w:w="1149" w:type="dxa"/>
            <w:tcBorders>
              <w:top w:val="nil"/>
              <w:left w:val="nil"/>
              <w:bottom w:val="single" w:sz="4" w:space="0" w:color="auto"/>
              <w:right w:val="single" w:sz="4" w:space="0" w:color="auto"/>
            </w:tcBorders>
            <w:shd w:val="clear" w:color="auto" w:fill="D9D9D9" w:themeFill="background1" w:themeFillShade="D9"/>
            <w:noWrap/>
            <w:vAlign w:val="bottom"/>
            <w:hideMark/>
          </w:tcPr>
          <w:p w:rsidR="00F70F21" w:rsidRPr="00896E80" w:rsidRDefault="00F70F21"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2015</w:t>
            </w:r>
          </w:p>
        </w:tc>
      </w:tr>
      <w:tr w:rsidR="00F70F21" w:rsidRPr="00896E80" w:rsidTr="00737C19">
        <w:trPr>
          <w:trHeight w:val="255"/>
          <w:jc w:val="center"/>
        </w:trPr>
        <w:tc>
          <w:tcPr>
            <w:tcW w:w="1801" w:type="dxa"/>
            <w:tcBorders>
              <w:top w:val="nil"/>
              <w:left w:val="single" w:sz="4" w:space="0" w:color="auto"/>
              <w:bottom w:val="single" w:sz="4" w:space="0" w:color="auto"/>
              <w:right w:val="single" w:sz="4" w:space="0" w:color="auto"/>
            </w:tcBorders>
            <w:shd w:val="clear" w:color="auto" w:fill="auto"/>
            <w:noWrap/>
            <w:vAlign w:val="bottom"/>
            <w:hideMark/>
          </w:tcPr>
          <w:p w:rsidR="00ED2FA4" w:rsidRPr="00896E80" w:rsidRDefault="00896E80" w:rsidP="00AE1584">
            <w:pPr>
              <w:rPr>
                <w:rFonts w:asciiTheme="minorHAnsi" w:hAnsiTheme="minorHAnsi" w:cs="Arial"/>
                <w:b/>
                <w:sz w:val="12"/>
                <w:szCs w:val="16"/>
                <w:lang w:eastAsia="fr-FR" w:bidi="ar-SA"/>
              </w:rPr>
            </w:pPr>
            <w:r w:rsidRPr="00896E80">
              <w:rPr>
                <w:rFonts w:asciiTheme="minorHAnsi" w:hAnsiTheme="minorHAnsi" w:cs="Arial"/>
                <w:b/>
                <w:sz w:val="12"/>
                <w:szCs w:val="16"/>
                <w:lang w:eastAsia="fr-FR" w:bidi="ar-SA"/>
              </w:rPr>
              <w:t>1. Population</w:t>
            </w:r>
            <w:r w:rsidRPr="00896E80">
              <w:rPr>
                <w:rStyle w:val="Appelnotedebasdep"/>
                <w:rFonts w:asciiTheme="minorHAnsi" w:hAnsiTheme="minorHAnsi" w:cs="Arial"/>
                <w:b/>
                <w:sz w:val="12"/>
                <w:szCs w:val="16"/>
                <w:lang w:eastAsia="fr-FR" w:bidi="ar-SA"/>
              </w:rPr>
              <w:footnoteReference w:id="1"/>
            </w:r>
          </w:p>
        </w:tc>
        <w:tc>
          <w:tcPr>
            <w:tcW w:w="1170"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4</w:t>
            </w:r>
            <w:r w:rsidR="00896E80" w:rsidRPr="00896E80">
              <w:rPr>
                <w:rFonts w:asciiTheme="minorHAnsi" w:hAnsiTheme="minorHAnsi" w:cs="Arial"/>
                <w:b/>
                <w:bCs/>
                <w:sz w:val="12"/>
                <w:szCs w:val="16"/>
                <w:lang w:eastAsia="fr-FR" w:bidi="ar-SA"/>
              </w:rPr>
              <w:t xml:space="preserve"> </w:t>
            </w:r>
            <w:r w:rsidRPr="00896E80">
              <w:rPr>
                <w:rFonts w:asciiTheme="minorHAnsi" w:hAnsiTheme="minorHAnsi" w:cs="Arial"/>
                <w:b/>
                <w:bCs/>
                <w:sz w:val="12"/>
                <w:szCs w:val="16"/>
                <w:lang w:eastAsia="fr-FR" w:bidi="ar-SA"/>
              </w:rPr>
              <w:t>257</w:t>
            </w:r>
            <w:r w:rsidR="00896E80" w:rsidRPr="00896E80">
              <w:rPr>
                <w:rFonts w:asciiTheme="minorHAnsi" w:hAnsiTheme="minorHAnsi" w:cs="Arial"/>
                <w:b/>
                <w:bCs/>
                <w:sz w:val="12"/>
                <w:szCs w:val="16"/>
                <w:lang w:eastAsia="fr-FR" w:bidi="ar-SA"/>
              </w:rPr>
              <w:t xml:space="preserve"> </w:t>
            </w:r>
            <w:r w:rsidRPr="00896E80">
              <w:rPr>
                <w:rFonts w:asciiTheme="minorHAnsi" w:hAnsiTheme="minorHAnsi" w:cs="Arial"/>
                <w:b/>
                <w:bCs/>
                <w:sz w:val="12"/>
                <w:szCs w:val="16"/>
                <w:lang w:eastAsia="fr-FR" w:bidi="ar-SA"/>
              </w:rPr>
              <w:t>195</w:t>
            </w:r>
          </w:p>
        </w:tc>
        <w:tc>
          <w:tcPr>
            <w:tcW w:w="1080"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4 394 327</w:t>
            </w:r>
          </w:p>
        </w:tc>
        <w:tc>
          <w:tcPr>
            <w:tcW w:w="1108"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4 530 366</w:t>
            </w:r>
          </w:p>
        </w:tc>
        <w:tc>
          <w:tcPr>
            <w:tcW w:w="1121"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4 666 379</w:t>
            </w:r>
          </w:p>
        </w:tc>
        <w:tc>
          <w:tcPr>
            <w:tcW w:w="1149"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4 801 684</w:t>
            </w:r>
          </w:p>
        </w:tc>
      </w:tr>
      <w:tr w:rsidR="00F70F21" w:rsidRPr="00896E80" w:rsidTr="00737C19">
        <w:trPr>
          <w:trHeight w:val="327"/>
          <w:jc w:val="center"/>
        </w:trPr>
        <w:tc>
          <w:tcPr>
            <w:tcW w:w="1801" w:type="dxa"/>
            <w:tcBorders>
              <w:top w:val="nil"/>
              <w:left w:val="single" w:sz="4" w:space="0" w:color="auto"/>
              <w:bottom w:val="single" w:sz="4" w:space="0" w:color="auto"/>
              <w:right w:val="single" w:sz="4" w:space="0" w:color="auto"/>
            </w:tcBorders>
            <w:shd w:val="clear" w:color="auto" w:fill="auto"/>
            <w:noWrap/>
            <w:vAlign w:val="bottom"/>
            <w:hideMark/>
          </w:tcPr>
          <w:p w:rsidR="00ED2FA4" w:rsidRPr="00896E80" w:rsidRDefault="00896E80" w:rsidP="00AE1584">
            <w:pPr>
              <w:rPr>
                <w:rFonts w:asciiTheme="minorHAnsi" w:hAnsiTheme="minorHAnsi" w:cs="Arial"/>
                <w:b/>
                <w:sz w:val="12"/>
                <w:szCs w:val="16"/>
                <w:lang w:eastAsia="fr-FR" w:bidi="ar-SA"/>
              </w:rPr>
            </w:pPr>
            <w:r w:rsidRPr="00896E80">
              <w:rPr>
                <w:rFonts w:asciiTheme="minorHAnsi" w:hAnsiTheme="minorHAnsi" w:cs="Arial"/>
                <w:b/>
                <w:sz w:val="12"/>
                <w:szCs w:val="16"/>
                <w:lang w:eastAsia="fr-FR" w:bidi="ar-SA"/>
              </w:rPr>
              <w:t>2. PIB</w:t>
            </w:r>
            <w:r w:rsidR="00ED2FA4" w:rsidRPr="00896E80">
              <w:rPr>
                <w:rFonts w:asciiTheme="minorHAnsi" w:hAnsiTheme="minorHAnsi" w:cs="Arial"/>
                <w:b/>
                <w:sz w:val="12"/>
                <w:szCs w:val="16"/>
                <w:lang w:eastAsia="fr-FR" w:bidi="ar-SA"/>
              </w:rPr>
              <w:t xml:space="preserve"> courant </w:t>
            </w:r>
            <w:r w:rsidRPr="00896E80">
              <w:rPr>
                <w:rStyle w:val="Appelnotedebasdep"/>
                <w:rFonts w:asciiTheme="minorHAnsi" w:hAnsiTheme="minorHAnsi" w:cs="Arial"/>
                <w:b/>
                <w:sz w:val="12"/>
                <w:szCs w:val="16"/>
                <w:lang w:eastAsia="fr-FR" w:bidi="ar-SA"/>
              </w:rPr>
              <w:footnoteReference w:id="2"/>
            </w:r>
          </w:p>
        </w:tc>
        <w:tc>
          <w:tcPr>
            <w:tcW w:w="1170"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6 982 500 000 000</w:t>
            </w:r>
          </w:p>
        </w:tc>
        <w:tc>
          <w:tcPr>
            <w:tcW w:w="1080"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F70F21">
            <w:pPr>
              <w:jc w:val="center"/>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6 971 900 000 000</w:t>
            </w:r>
          </w:p>
        </w:tc>
        <w:tc>
          <w:tcPr>
            <w:tcW w:w="1108"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6 927 200 000 000</w:t>
            </w:r>
          </w:p>
        </w:tc>
        <w:tc>
          <w:tcPr>
            <w:tcW w:w="1121"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6 959 900 000 000</w:t>
            </w:r>
          </w:p>
        </w:tc>
        <w:tc>
          <w:tcPr>
            <w:tcW w:w="1149"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5 056 400 000 000</w:t>
            </w:r>
          </w:p>
        </w:tc>
      </w:tr>
      <w:tr w:rsidR="00F70F21" w:rsidRPr="00896E80" w:rsidTr="00737C19">
        <w:trPr>
          <w:trHeight w:val="255"/>
          <w:jc w:val="center"/>
        </w:trPr>
        <w:tc>
          <w:tcPr>
            <w:tcW w:w="1801" w:type="dxa"/>
            <w:tcBorders>
              <w:top w:val="nil"/>
              <w:left w:val="single" w:sz="4" w:space="0" w:color="auto"/>
              <w:bottom w:val="single" w:sz="4" w:space="0" w:color="auto"/>
              <w:right w:val="single" w:sz="4" w:space="0" w:color="auto"/>
            </w:tcBorders>
            <w:shd w:val="clear" w:color="auto" w:fill="auto"/>
            <w:noWrap/>
            <w:vAlign w:val="bottom"/>
            <w:hideMark/>
          </w:tcPr>
          <w:p w:rsidR="00ED2FA4" w:rsidRPr="00896E80" w:rsidRDefault="00896E80" w:rsidP="00AE1584">
            <w:pPr>
              <w:rPr>
                <w:rFonts w:asciiTheme="minorHAnsi" w:hAnsiTheme="minorHAnsi" w:cs="Arial"/>
                <w:b/>
                <w:sz w:val="12"/>
                <w:szCs w:val="16"/>
                <w:lang w:eastAsia="fr-FR" w:bidi="ar-SA"/>
              </w:rPr>
            </w:pPr>
            <w:r w:rsidRPr="00896E80">
              <w:rPr>
                <w:rFonts w:asciiTheme="minorHAnsi" w:hAnsiTheme="minorHAnsi" w:cs="Arial"/>
                <w:b/>
                <w:sz w:val="12"/>
                <w:szCs w:val="16"/>
                <w:lang w:eastAsia="fr-FR" w:bidi="ar-SA"/>
              </w:rPr>
              <w:t>3. Dépense</w:t>
            </w:r>
            <w:r w:rsidR="00ED2FA4" w:rsidRPr="00896E80">
              <w:rPr>
                <w:rFonts w:asciiTheme="minorHAnsi" w:hAnsiTheme="minorHAnsi" w:cs="Arial"/>
                <w:b/>
                <w:sz w:val="12"/>
                <w:szCs w:val="16"/>
                <w:lang w:eastAsia="fr-FR" w:bidi="ar-SA"/>
              </w:rPr>
              <w:t xml:space="preserve"> Totale en Santé</w:t>
            </w:r>
          </w:p>
        </w:tc>
        <w:tc>
          <w:tcPr>
            <w:tcW w:w="1170" w:type="dxa"/>
            <w:tcBorders>
              <w:top w:val="nil"/>
              <w:left w:val="nil"/>
              <w:bottom w:val="single" w:sz="4" w:space="0" w:color="auto"/>
              <w:right w:val="single" w:sz="4" w:space="0" w:color="auto"/>
            </w:tcBorders>
            <w:shd w:val="clear" w:color="auto" w:fill="auto"/>
            <w:vAlign w:val="center"/>
            <w:hideMark/>
          </w:tcPr>
          <w:p w:rsidR="00ED2FA4" w:rsidRPr="00896E80" w:rsidRDefault="0088032B" w:rsidP="00AE1584">
            <w:pPr>
              <w:jc w:val="right"/>
              <w:rPr>
                <w:rFonts w:asciiTheme="minorHAnsi" w:hAnsiTheme="minorHAnsi" w:cs="Arial"/>
                <w:b/>
                <w:bCs/>
                <w:sz w:val="12"/>
                <w:szCs w:val="16"/>
                <w:lang w:eastAsia="fr-FR" w:bidi="ar-SA"/>
              </w:rPr>
            </w:pPr>
            <w:r w:rsidRPr="0088032B">
              <w:rPr>
                <w:rFonts w:asciiTheme="minorHAnsi" w:hAnsiTheme="minorHAnsi" w:cs="Arial"/>
                <w:b/>
                <w:bCs/>
                <w:sz w:val="12"/>
                <w:szCs w:val="16"/>
                <w:lang w:eastAsia="fr-FR" w:bidi="ar-SA"/>
              </w:rPr>
              <w:t>125</w:t>
            </w:r>
            <w:r>
              <w:rPr>
                <w:rFonts w:asciiTheme="minorHAnsi" w:hAnsiTheme="minorHAnsi" w:cs="Arial"/>
                <w:b/>
                <w:bCs/>
                <w:sz w:val="12"/>
                <w:szCs w:val="16"/>
                <w:lang w:eastAsia="fr-FR" w:bidi="ar-SA"/>
              </w:rPr>
              <w:t xml:space="preserve"> </w:t>
            </w:r>
            <w:r w:rsidRPr="0088032B">
              <w:rPr>
                <w:rFonts w:asciiTheme="minorHAnsi" w:hAnsiTheme="minorHAnsi" w:cs="Arial"/>
                <w:b/>
                <w:bCs/>
                <w:sz w:val="12"/>
                <w:szCs w:val="16"/>
                <w:lang w:eastAsia="fr-FR" w:bidi="ar-SA"/>
              </w:rPr>
              <w:t>493</w:t>
            </w:r>
            <w:r>
              <w:rPr>
                <w:rFonts w:asciiTheme="minorHAnsi" w:hAnsiTheme="minorHAnsi" w:cs="Arial"/>
                <w:b/>
                <w:bCs/>
                <w:sz w:val="12"/>
                <w:szCs w:val="16"/>
                <w:lang w:eastAsia="fr-FR" w:bidi="ar-SA"/>
              </w:rPr>
              <w:t xml:space="preserve"> </w:t>
            </w:r>
            <w:r w:rsidRPr="0088032B">
              <w:rPr>
                <w:rFonts w:asciiTheme="minorHAnsi" w:hAnsiTheme="minorHAnsi" w:cs="Arial"/>
                <w:b/>
                <w:bCs/>
                <w:sz w:val="12"/>
                <w:szCs w:val="16"/>
                <w:lang w:eastAsia="fr-FR" w:bidi="ar-SA"/>
              </w:rPr>
              <w:t>103</w:t>
            </w:r>
            <w:r>
              <w:rPr>
                <w:rFonts w:asciiTheme="minorHAnsi" w:hAnsiTheme="minorHAnsi" w:cs="Arial"/>
                <w:b/>
                <w:bCs/>
                <w:sz w:val="12"/>
                <w:szCs w:val="16"/>
                <w:lang w:eastAsia="fr-FR" w:bidi="ar-SA"/>
              </w:rPr>
              <w:t xml:space="preserve"> </w:t>
            </w:r>
            <w:r w:rsidRPr="0088032B">
              <w:rPr>
                <w:rFonts w:asciiTheme="minorHAnsi" w:hAnsiTheme="minorHAnsi" w:cs="Arial"/>
                <w:b/>
                <w:bCs/>
                <w:sz w:val="12"/>
                <w:szCs w:val="16"/>
                <w:lang w:eastAsia="fr-FR" w:bidi="ar-SA"/>
              </w:rPr>
              <w:t>296</w:t>
            </w:r>
          </w:p>
        </w:tc>
        <w:tc>
          <w:tcPr>
            <w:tcW w:w="1080" w:type="dxa"/>
            <w:tcBorders>
              <w:top w:val="nil"/>
              <w:left w:val="nil"/>
              <w:bottom w:val="single" w:sz="4" w:space="0" w:color="auto"/>
              <w:right w:val="single" w:sz="4" w:space="0" w:color="auto"/>
            </w:tcBorders>
            <w:shd w:val="clear" w:color="auto" w:fill="auto"/>
            <w:vAlign w:val="center"/>
            <w:hideMark/>
          </w:tcPr>
          <w:p w:rsidR="00ED2FA4" w:rsidRPr="00896E80" w:rsidRDefault="0088032B" w:rsidP="00AE1584">
            <w:pPr>
              <w:jc w:val="right"/>
              <w:rPr>
                <w:rFonts w:asciiTheme="minorHAnsi" w:hAnsiTheme="minorHAnsi" w:cs="Arial"/>
                <w:b/>
                <w:bCs/>
                <w:sz w:val="12"/>
                <w:szCs w:val="16"/>
                <w:lang w:eastAsia="fr-FR" w:bidi="ar-SA"/>
              </w:rPr>
            </w:pPr>
            <w:r w:rsidRPr="0088032B">
              <w:rPr>
                <w:rFonts w:asciiTheme="minorHAnsi" w:hAnsiTheme="minorHAnsi" w:cs="Arial"/>
                <w:b/>
                <w:bCs/>
                <w:sz w:val="12"/>
                <w:szCs w:val="16"/>
                <w:lang w:eastAsia="fr-FR" w:bidi="ar-SA"/>
              </w:rPr>
              <w:t>153</w:t>
            </w:r>
            <w:r>
              <w:rPr>
                <w:rFonts w:asciiTheme="minorHAnsi" w:hAnsiTheme="minorHAnsi" w:cs="Arial"/>
                <w:b/>
                <w:bCs/>
                <w:sz w:val="12"/>
                <w:szCs w:val="16"/>
                <w:lang w:eastAsia="fr-FR" w:bidi="ar-SA"/>
              </w:rPr>
              <w:t xml:space="preserve"> </w:t>
            </w:r>
            <w:r w:rsidRPr="0088032B">
              <w:rPr>
                <w:rFonts w:asciiTheme="minorHAnsi" w:hAnsiTheme="minorHAnsi" w:cs="Arial"/>
                <w:b/>
                <w:bCs/>
                <w:sz w:val="12"/>
                <w:szCs w:val="16"/>
                <w:lang w:eastAsia="fr-FR" w:bidi="ar-SA"/>
              </w:rPr>
              <w:t>887</w:t>
            </w:r>
            <w:r>
              <w:rPr>
                <w:rFonts w:asciiTheme="minorHAnsi" w:hAnsiTheme="minorHAnsi" w:cs="Arial"/>
                <w:b/>
                <w:bCs/>
                <w:sz w:val="12"/>
                <w:szCs w:val="16"/>
                <w:lang w:eastAsia="fr-FR" w:bidi="ar-SA"/>
              </w:rPr>
              <w:t xml:space="preserve"> </w:t>
            </w:r>
            <w:r w:rsidRPr="0088032B">
              <w:rPr>
                <w:rFonts w:asciiTheme="minorHAnsi" w:hAnsiTheme="minorHAnsi" w:cs="Arial"/>
                <w:b/>
                <w:bCs/>
                <w:sz w:val="12"/>
                <w:szCs w:val="16"/>
                <w:lang w:eastAsia="fr-FR" w:bidi="ar-SA"/>
              </w:rPr>
              <w:t>595</w:t>
            </w:r>
            <w:r>
              <w:rPr>
                <w:rFonts w:asciiTheme="minorHAnsi" w:hAnsiTheme="minorHAnsi" w:cs="Arial"/>
                <w:b/>
                <w:bCs/>
                <w:sz w:val="12"/>
                <w:szCs w:val="16"/>
                <w:lang w:eastAsia="fr-FR" w:bidi="ar-SA"/>
              </w:rPr>
              <w:t xml:space="preserve"> </w:t>
            </w:r>
            <w:r w:rsidRPr="0088032B">
              <w:rPr>
                <w:rFonts w:asciiTheme="minorHAnsi" w:hAnsiTheme="minorHAnsi" w:cs="Arial"/>
                <w:b/>
                <w:bCs/>
                <w:sz w:val="12"/>
                <w:szCs w:val="16"/>
                <w:lang w:eastAsia="fr-FR" w:bidi="ar-SA"/>
              </w:rPr>
              <w:t>718</w:t>
            </w:r>
          </w:p>
        </w:tc>
        <w:tc>
          <w:tcPr>
            <w:tcW w:w="1108" w:type="dxa"/>
            <w:tcBorders>
              <w:top w:val="nil"/>
              <w:left w:val="nil"/>
              <w:bottom w:val="single" w:sz="4" w:space="0" w:color="auto"/>
              <w:right w:val="single" w:sz="4" w:space="0" w:color="auto"/>
            </w:tcBorders>
            <w:shd w:val="clear" w:color="auto" w:fill="auto"/>
            <w:vAlign w:val="center"/>
            <w:hideMark/>
          </w:tcPr>
          <w:p w:rsidR="00ED2FA4" w:rsidRPr="00896E80" w:rsidRDefault="0088032B" w:rsidP="00AE1584">
            <w:pPr>
              <w:jc w:val="right"/>
              <w:rPr>
                <w:rFonts w:asciiTheme="minorHAnsi" w:hAnsiTheme="minorHAnsi" w:cs="Arial"/>
                <w:b/>
                <w:bCs/>
                <w:sz w:val="12"/>
                <w:szCs w:val="16"/>
                <w:lang w:eastAsia="fr-FR" w:bidi="ar-SA"/>
              </w:rPr>
            </w:pPr>
            <w:r w:rsidRPr="0088032B">
              <w:rPr>
                <w:rFonts w:asciiTheme="minorHAnsi" w:hAnsiTheme="minorHAnsi" w:cs="Arial"/>
                <w:b/>
                <w:bCs/>
                <w:sz w:val="12"/>
                <w:szCs w:val="16"/>
                <w:lang w:eastAsia="fr-FR" w:bidi="ar-SA"/>
              </w:rPr>
              <w:t>150</w:t>
            </w:r>
            <w:r>
              <w:rPr>
                <w:rFonts w:asciiTheme="minorHAnsi" w:hAnsiTheme="minorHAnsi" w:cs="Arial"/>
                <w:b/>
                <w:bCs/>
                <w:sz w:val="12"/>
                <w:szCs w:val="16"/>
                <w:lang w:eastAsia="fr-FR" w:bidi="ar-SA"/>
              </w:rPr>
              <w:t xml:space="preserve"> </w:t>
            </w:r>
            <w:r w:rsidRPr="0088032B">
              <w:rPr>
                <w:rFonts w:asciiTheme="minorHAnsi" w:hAnsiTheme="minorHAnsi" w:cs="Arial"/>
                <w:b/>
                <w:bCs/>
                <w:sz w:val="12"/>
                <w:szCs w:val="16"/>
                <w:lang w:eastAsia="fr-FR" w:bidi="ar-SA"/>
              </w:rPr>
              <w:t>297</w:t>
            </w:r>
            <w:r>
              <w:rPr>
                <w:rFonts w:asciiTheme="minorHAnsi" w:hAnsiTheme="minorHAnsi" w:cs="Arial"/>
                <w:b/>
                <w:bCs/>
                <w:sz w:val="12"/>
                <w:szCs w:val="16"/>
                <w:lang w:eastAsia="fr-FR" w:bidi="ar-SA"/>
              </w:rPr>
              <w:t xml:space="preserve"> </w:t>
            </w:r>
            <w:r w:rsidRPr="0088032B">
              <w:rPr>
                <w:rFonts w:asciiTheme="minorHAnsi" w:hAnsiTheme="minorHAnsi" w:cs="Arial"/>
                <w:b/>
                <w:bCs/>
                <w:sz w:val="12"/>
                <w:szCs w:val="16"/>
                <w:lang w:eastAsia="fr-FR" w:bidi="ar-SA"/>
              </w:rPr>
              <w:t>639</w:t>
            </w:r>
            <w:r>
              <w:rPr>
                <w:rFonts w:asciiTheme="minorHAnsi" w:hAnsiTheme="minorHAnsi" w:cs="Arial"/>
                <w:b/>
                <w:bCs/>
                <w:sz w:val="12"/>
                <w:szCs w:val="16"/>
                <w:lang w:eastAsia="fr-FR" w:bidi="ar-SA"/>
              </w:rPr>
              <w:t xml:space="preserve"> </w:t>
            </w:r>
            <w:r w:rsidRPr="0088032B">
              <w:rPr>
                <w:rFonts w:asciiTheme="minorHAnsi" w:hAnsiTheme="minorHAnsi" w:cs="Arial"/>
                <w:b/>
                <w:bCs/>
                <w:sz w:val="12"/>
                <w:szCs w:val="16"/>
                <w:lang w:eastAsia="fr-FR" w:bidi="ar-SA"/>
              </w:rPr>
              <w:t>096</w:t>
            </w:r>
          </w:p>
        </w:tc>
        <w:tc>
          <w:tcPr>
            <w:tcW w:w="1121" w:type="dxa"/>
            <w:tcBorders>
              <w:top w:val="nil"/>
              <w:left w:val="nil"/>
              <w:bottom w:val="single" w:sz="4" w:space="0" w:color="auto"/>
              <w:right w:val="single" w:sz="4" w:space="0" w:color="auto"/>
            </w:tcBorders>
            <w:shd w:val="clear" w:color="auto" w:fill="auto"/>
            <w:vAlign w:val="center"/>
            <w:hideMark/>
          </w:tcPr>
          <w:p w:rsidR="00ED2FA4" w:rsidRPr="00896E80" w:rsidRDefault="00341B8A" w:rsidP="00AE1584">
            <w:pPr>
              <w:jc w:val="right"/>
              <w:rPr>
                <w:rFonts w:asciiTheme="minorHAnsi" w:hAnsiTheme="minorHAnsi" w:cs="Arial"/>
                <w:b/>
                <w:bCs/>
                <w:sz w:val="12"/>
                <w:szCs w:val="16"/>
                <w:lang w:eastAsia="fr-FR" w:bidi="ar-SA"/>
              </w:rPr>
            </w:pPr>
            <w:r w:rsidRPr="00341B8A">
              <w:rPr>
                <w:rFonts w:asciiTheme="minorHAnsi" w:hAnsiTheme="minorHAnsi" w:cs="Arial"/>
                <w:b/>
                <w:bCs/>
                <w:sz w:val="12"/>
                <w:szCs w:val="16"/>
                <w:lang w:eastAsia="fr-FR" w:bidi="ar-SA"/>
              </w:rPr>
              <w:t>174</w:t>
            </w:r>
            <w:r>
              <w:rPr>
                <w:rFonts w:asciiTheme="minorHAnsi" w:hAnsiTheme="minorHAnsi" w:cs="Arial"/>
                <w:b/>
                <w:bCs/>
                <w:sz w:val="12"/>
                <w:szCs w:val="16"/>
                <w:lang w:eastAsia="fr-FR" w:bidi="ar-SA"/>
              </w:rPr>
              <w:t xml:space="preserve"> </w:t>
            </w:r>
            <w:r w:rsidRPr="00341B8A">
              <w:rPr>
                <w:rFonts w:asciiTheme="minorHAnsi" w:hAnsiTheme="minorHAnsi" w:cs="Arial"/>
                <w:b/>
                <w:bCs/>
                <w:sz w:val="12"/>
                <w:szCs w:val="16"/>
                <w:lang w:eastAsia="fr-FR" w:bidi="ar-SA"/>
              </w:rPr>
              <w:t>683</w:t>
            </w:r>
            <w:r>
              <w:rPr>
                <w:rFonts w:asciiTheme="minorHAnsi" w:hAnsiTheme="minorHAnsi" w:cs="Arial"/>
                <w:b/>
                <w:bCs/>
                <w:sz w:val="12"/>
                <w:szCs w:val="16"/>
                <w:lang w:eastAsia="fr-FR" w:bidi="ar-SA"/>
              </w:rPr>
              <w:t xml:space="preserve"> </w:t>
            </w:r>
            <w:r w:rsidRPr="00341B8A">
              <w:rPr>
                <w:rFonts w:asciiTheme="minorHAnsi" w:hAnsiTheme="minorHAnsi" w:cs="Arial"/>
                <w:b/>
                <w:bCs/>
                <w:sz w:val="12"/>
                <w:szCs w:val="16"/>
                <w:lang w:eastAsia="fr-FR" w:bidi="ar-SA"/>
              </w:rPr>
              <w:t>768</w:t>
            </w:r>
            <w:r>
              <w:rPr>
                <w:rFonts w:asciiTheme="minorHAnsi" w:hAnsiTheme="minorHAnsi" w:cs="Arial"/>
                <w:b/>
                <w:bCs/>
                <w:sz w:val="12"/>
                <w:szCs w:val="16"/>
                <w:lang w:eastAsia="fr-FR" w:bidi="ar-SA"/>
              </w:rPr>
              <w:t xml:space="preserve"> </w:t>
            </w:r>
            <w:r w:rsidRPr="00341B8A">
              <w:rPr>
                <w:rFonts w:asciiTheme="minorHAnsi" w:hAnsiTheme="minorHAnsi" w:cs="Arial"/>
                <w:b/>
                <w:bCs/>
                <w:sz w:val="12"/>
                <w:szCs w:val="16"/>
                <w:lang w:eastAsia="fr-FR" w:bidi="ar-SA"/>
              </w:rPr>
              <w:t>850</w:t>
            </w:r>
          </w:p>
        </w:tc>
        <w:tc>
          <w:tcPr>
            <w:tcW w:w="1149" w:type="dxa"/>
            <w:tcBorders>
              <w:top w:val="nil"/>
              <w:left w:val="nil"/>
              <w:bottom w:val="single" w:sz="4" w:space="0" w:color="auto"/>
              <w:right w:val="single" w:sz="4" w:space="0" w:color="auto"/>
            </w:tcBorders>
            <w:shd w:val="clear" w:color="auto" w:fill="auto"/>
            <w:vAlign w:val="center"/>
            <w:hideMark/>
          </w:tcPr>
          <w:p w:rsidR="00ED2FA4" w:rsidRPr="00896E80" w:rsidRDefault="00341B8A" w:rsidP="00AE1584">
            <w:pPr>
              <w:jc w:val="right"/>
              <w:rPr>
                <w:rFonts w:asciiTheme="minorHAnsi" w:hAnsiTheme="minorHAnsi" w:cs="Arial"/>
                <w:b/>
                <w:bCs/>
                <w:sz w:val="12"/>
                <w:szCs w:val="16"/>
                <w:lang w:eastAsia="fr-FR" w:bidi="ar-SA"/>
              </w:rPr>
            </w:pPr>
            <w:r w:rsidRPr="00341B8A">
              <w:rPr>
                <w:rFonts w:asciiTheme="minorHAnsi" w:hAnsiTheme="minorHAnsi" w:cs="Arial"/>
                <w:b/>
                <w:bCs/>
                <w:sz w:val="12"/>
                <w:szCs w:val="16"/>
                <w:lang w:eastAsia="fr-FR" w:bidi="ar-SA"/>
              </w:rPr>
              <w:t>183</w:t>
            </w:r>
            <w:r>
              <w:rPr>
                <w:rFonts w:asciiTheme="minorHAnsi" w:hAnsiTheme="minorHAnsi" w:cs="Arial"/>
                <w:b/>
                <w:bCs/>
                <w:sz w:val="12"/>
                <w:szCs w:val="16"/>
                <w:lang w:eastAsia="fr-FR" w:bidi="ar-SA"/>
              </w:rPr>
              <w:t xml:space="preserve"> </w:t>
            </w:r>
            <w:r w:rsidRPr="00341B8A">
              <w:rPr>
                <w:rFonts w:asciiTheme="minorHAnsi" w:hAnsiTheme="minorHAnsi" w:cs="Arial"/>
                <w:b/>
                <w:bCs/>
                <w:sz w:val="12"/>
                <w:szCs w:val="16"/>
                <w:lang w:eastAsia="fr-FR" w:bidi="ar-SA"/>
              </w:rPr>
              <w:t>229</w:t>
            </w:r>
            <w:r>
              <w:rPr>
                <w:rFonts w:asciiTheme="minorHAnsi" w:hAnsiTheme="minorHAnsi" w:cs="Arial"/>
                <w:b/>
                <w:bCs/>
                <w:sz w:val="12"/>
                <w:szCs w:val="16"/>
                <w:lang w:eastAsia="fr-FR" w:bidi="ar-SA"/>
              </w:rPr>
              <w:t xml:space="preserve"> </w:t>
            </w:r>
            <w:r w:rsidRPr="00341B8A">
              <w:rPr>
                <w:rFonts w:asciiTheme="minorHAnsi" w:hAnsiTheme="minorHAnsi" w:cs="Arial"/>
                <w:b/>
                <w:bCs/>
                <w:sz w:val="12"/>
                <w:szCs w:val="16"/>
                <w:lang w:eastAsia="fr-FR" w:bidi="ar-SA"/>
              </w:rPr>
              <w:t>965</w:t>
            </w:r>
            <w:r>
              <w:rPr>
                <w:rFonts w:asciiTheme="minorHAnsi" w:hAnsiTheme="minorHAnsi" w:cs="Arial"/>
                <w:b/>
                <w:bCs/>
                <w:sz w:val="12"/>
                <w:szCs w:val="16"/>
                <w:lang w:eastAsia="fr-FR" w:bidi="ar-SA"/>
              </w:rPr>
              <w:t xml:space="preserve"> </w:t>
            </w:r>
            <w:r w:rsidRPr="00341B8A">
              <w:rPr>
                <w:rFonts w:asciiTheme="minorHAnsi" w:hAnsiTheme="minorHAnsi" w:cs="Arial"/>
                <w:b/>
                <w:bCs/>
                <w:sz w:val="12"/>
                <w:szCs w:val="16"/>
                <w:lang w:eastAsia="fr-FR" w:bidi="ar-SA"/>
              </w:rPr>
              <w:t>228</w:t>
            </w:r>
          </w:p>
        </w:tc>
      </w:tr>
      <w:tr w:rsidR="00F70F21" w:rsidRPr="00896E80" w:rsidTr="00737C19">
        <w:trPr>
          <w:trHeight w:val="211"/>
          <w:jc w:val="center"/>
        </w:trPr>
        <w:tc>
          <w:tcPr>
            <w:tcW w:w="1801" w:type="dxa"/>
            <w:tcBorders>
              <w:top w:val="nil"/>
              <w:left w:val="single" w:sz="4" w:space="0" w:color="auto"/>
              <w:bottom w:val="single" w:sz="4" w:space="0" w:color="auto"/>
              <w:right w:val="single" w:sz="4" w:space="0" w:color="auto"/>
            </w:tcBorders>
            <w:shd w:val="clear" w:color="auto" w:fill="auto"/>
            <w:noWrap/>
            <w:vAlign w:val="bottom"/>
            <w:hideMark/>
          </w:tcPr>
          <w:p w:rsidR="00ED2FA4" w:rsidRPr="00896E80" w:rsidRDefault="00896E80" w:rsidP="00AE1584">
            <w:pPr>
              <w:rPr>
                <w:rFonts w:asciiTheme="minorHAnsi" w:hAnsiTheme="minorHAnsi" w:cs="Arial"/>
                <w:b/>
                <w:sz w:val="12"/>
                <w:szCs w:val="16"/>
                <w:lang w:eastAsia="fr-FR" w:bidi="ar-SA"/>
              </w:rPr>
            </w:pPr>
            <w:r w:rsidRPr="00896E80">
              <w:rPr>
                <w:rFonts w:asciiTheme="minorHAnsi" w:hAnsiTheme="minorHAnsi" w:cs="Arial"/>
                <w:b/>
                <w:sz w:val="12"/>
                <w:szCs w:val="16"/>
                <w:lang w:eastAsia="fr-FR" w:bidi="ar-SA"/>
              </w:rPr>
              <w:t>4. Dépense</w:t>
            </w:r>
            <w:r w:rsidR="00ED2FA4" w:rsidRPr="00896E80">
              <w:rPr>
                <w:rFonts w:asciiTheme="minorHAnsi" w:hAnsiTheme="minorHAnsi" w:cs="Arial"/>
                <w:b/>
                <w:sz w:val="12"/>
                <w:szCs w:val="16"/>
                <w:lang w:eastAsia="fr-FR" w:bidi="ar-SA"/>
              </w:rPr>
              <w:t xml:space="preserve"> Totale en Santé en % de PIB</w:t>
            </w:r>
          </w:p>
        </w:tc>
        <w:tc>
          <w:tcPr>
            <w:tcW w:w="1170" w:type="dxa"/>
            <w:tcBorders>
              <w:top w:val="nil"/>
              <w:left w:val="nil"/>
              <w:bottom w:val="single" w:sz="4" w:space="0" w:color="auto"/>
              <w:right w:val="single" w:sz="4" w:space="0" w:color="auto"/>
            </w:tcBorders>
            <w:shd w:val="clear" w:color="auto" w:fill="auto"/>
            <w:noWrap/>
            <w:vAlign w:val="bottom"/>
            <w:hideMark/>
          </w:tcPr>
          <w:p w:rsidR="00ED2FA4" w:rsidRPr="00896E80" w:rsidRDefault="00ED2FA4" w:rsidP="00AE1584">
            <w:pPr>
              <w:jc w:val="right"/>
              <w:rPr>
                <w:rFonts w:asciiTheme="minorHAnsi" w:hAnsiTheme="minorHAnsi" w:cs="Arial"/>
                <w:color w:val="FF0000"/>
                <w:sz w:val="12"/>
                <w:szCs w:val="16"/>
                <w:lang w:eastAsia="fr-FR" w:bidi="ar-SA"/>
              </w:rPr>
            </w:pPr>
            <w:r w:rsidRPr="00896E80">
              <w:rPr>
                <w:rFonts w:asciiTheme="minorHAnsi" w:hAnsiTheme="minorHAnsi" w:cs="Arial"/>
                <w:color w:val="FF0000"/>
                <w:sz w:val="12"/>
                <w:szCs w:val="16"/>
                <w:lang w:eastAsia="fr-FR" w:bidi="ar-SA"/>
              </w:rPr>
              <w:t>2%</w:t>
            </w:r>
          </w:p>
        </w:tc>
        <w:tc>
          <w:tcPr>
            <w:tcW w:w="1080" w:type="dxa"/>
            <w:tcBorders>
              <w:top w:val="nil"/>
              <w:left w:val="nil"/>
              <w:bottom w:val="single" w:sz="4" w:space="0" w:color="auto"/>
              <w:right w:val="single" w:sz="4" w:space="0" w:color="auto"/>
            </w:tcBorders>
            <w:shd w:val="clear" w:color="auto" w:fill="auto"/>
            <w:noWrap/>
            <w:vAlign w:val="bottom"/>
            <w:hideMark/>
          </w:tcPr>
          <w:p w:rsidR="00ED2FA4" w:rsidRPr="00896E80" w:rsidRDefault="00ED2FA4" w:rsidP="00AE1584">
            <w:pPr>
              <w:jc w:val="right"/>
              <w:rPr>
                <w:rFonts w:asciiTheme="minorHAnsi" w:hAnsiTheme="minorHAnsi" w:cs="Arial"/>
                <w:color w:val="FF0000"/>
                <w:sz w:val="12"/>
                <w:szCs w:val="16"/>
                <w:lang w:eastAsia="fr-FR" w:bidi="ar-SA"/>
              </w:rPr>
            </w:pPr>
            <w:r w:rsidRPr="00896E80">
              <w:rPr>
                <w:rFonts w:asciiTheme="minorHAnsi" w:hAnsiTheme="minorHAnsi" w:cs="Arial"/>
                <w:color w:val="FF0000"/>
                <w:sz w:val="12"/>
                <w:szCs w:val="16"/>
                <w:lang w:eastAsia="fr-FR" w:bidi="ar-SA"/>
              </w:rPr>
              <w:t>2%</w:t>
            </w:r>
          </w:p>
        </w:tc>
        <w:tc>
          <w:tcPr>
            <w:tcW w:w="1108" w:type="dxa"/>
            <w:tcBorders>
              <w:top w:val="nil"/>
              <w:left w:val="nil"/>
              <w:bottom w:val="single" w:sz="4" w:space="0" w:color="auto"/>
              <w:right w:val="single" w:sz="4" w:space="0" w:color="auto"/>
            </w:tcBorders>
            <w:shd w:val="clear" w:color="auto" w:fill="auto"/>
            <w:noWrap/>
            <w:vAlign w:val="bottom"/>
            <w:hideMark/>
          </w:tcPr>
          <w:p w:rsidR="00ED2FA4" w:rsidRPr="00896E80" w:rsidRDefault="00ED2FA4" w:rsidP="00AE1584">
            <w:pPr>
              <w:jc w:val="right"/>
              <w:rPr>
                <w:rFonts w:asciiTheme="minorHAnsi" w:hAnsiTheme="minorHAnsi" w:cs="Arial"/>
                <w:color w:val="FF0000"/>
                <w:sz w:val="12"/>
                <w:szCs w:val="16"/>
                <w:lang w:eastAsia="fr-FR" w:bidi="ar-SA"/>
              </w:rPr>
            </w:pPr>
            <w:r w:rsidRPr="00896E80">
              <w:rPr>
                <w:rFonts w:asciiTheme="minorHAnsi" w:hAnsiTheme="minorHAnsi" w:cs="Arial"/>
                <w:color w:val="FF0000"/>
                <w:sz w:val="12"/>
                <w:szCs w:val="16"/>
                <w:lang w:eastAsia="fr-FR" w:bidi="ar-SA"/>
              </w:rPr>
              <w:t>2%</w:t>
            </w:r>
          </w:p>
        </w:tc>
        <w:tc>
          <w:tcPr>
            <w:tcW w:w="1121" w:type="dxa"/>
            <w:tcBorders>
              <w:top w:val="nil"/>
              <w:left w:val="nil"/>
              <w:bottom w:val="single" w:sz="4" w:space="0" w:color="auto"/>
              <w:right w:val="single" w:sz="4" w:space="0" w:color="auto"/>
            </w:tcBorders>
            <w:shd w:val="clear" w:color="auto" w:fill="auto"/>
            <w:noWrap/>
            <w:vAlign w:val="bottom"/>
            <w:hideMark/>
          </w:tcPr>
          <w:p w:rsidR="00ED2FA4" w:rsidRPr="00896E80" w:rsidRDefault="00ED2FA4" w:rsidP="00AE1584">
            <w:pPr>
              <w:jc w:val="right"/>
              <w:rPr>
                <w:rFonts w:asciiTheme="minorHAnsi" w:hAnsiTheme="minorHAnsi" w:cs="Arial"/>
                <w:color w:val="FF0000"/>
                <w:sz w:val="12"/>
                <w:szCs w:val="16"/>
                <w:lang w:eastAsia="fr-FR" w:bidi="ar-SA"/>
              </w:rPr>
            </w:pPr>
            <w:r w:rsidRPr="00896E80">
              <w:rPr>
                <w:rFonts w:asciiTheme="minorHAnsi" w:hAnsiTheme="minorHAnsi" w:cs="Arial"/>
                <w:color w:val="FF0000"/>
                <w:sz w:val="12"/>
                <w:szCs w:val="16"/>
                <w:lang w:eastAsia="fr-FR" w:bidi="ar-SA"/>
              </w:rPr>
              <w:t>2%</w:t>
            </w:r>
          </w:p>
        </w:tc>
        <w:tc>
          <w:tcPr>
            <w:tcW w:w="1149" w:type="dxa"/>
            <w:tcBorders>
              <w:top w:val="nil"/>
              <w:left w:val="nil"/>
              <w:bottom w:val="single" w:sz="4" w:space="0" w:color="auto"/>
              <w:right w:val="single" w:sz="4" w:space="0" w:color="auto"/>
            </w:tcBorders>
            <w:shd w:val="clear" w:color="auto" w:fill="auto"/>
            <w:noWrap/>
            <w:vAlign w:val="bottom"/>
            <w:hideMark/>
          </w:tcPr>
          <w:p w:rsidR="00ED2FA4" w:rsidRPr="00896E80" w:rsidRDefault="00ED2FA4" w:rsidP="00AE1584">
            <w:pPr>
              <w:jc w:val="right"/>
              <w:rPr>
                <w:rFonts w:asciiTheme="minorHAnsi" w:hAnsiTheme="minorHAnsi" w:cs="Arial"/>
                <w:color w:val="FF0000"/>
                <w:sz w:val="12"/>
                <w:szCs w:val="16"/>
                <w:lang w:eastAsia="fr-FR" w:bidi="ar-SA"/>
              </w:rPr>
            </w:pPr>
            <w:r w:rsidRPr="00896E80">
              <w:rPr>
                <w:rFonts w:asciiTheme="minorHAnsi" w:hAnsiTheme="minorHAnsi" w:cs="Arial"/>
                <w:color w:val="FF0000"/>
                <w:sz w:val="12"/>
                <w:szCs w:val="16"/>
                <w:lang w:eastAsia="fr-FR" w:bidi="ar-SA"/>
              </w:rPr>
              <w:t>3%</w:t>
            </w:r>
          </w:p>
        </w:tc>
      </w:tr>
      <w:tr w:rsidR="00F70F21" w:rsidRPr="00896E80" w:rsidTr="00737C19">
        <w:trPr>
          <w:trHeight w:val="255"/>
          <w:jc w:val="center"/>
        </w:trPr>
        <w:tc>
          <w:tcPr>
            <w:tcW w:w="1801" w:type="dxa"/>
            <w:tcBorders>
              <w:top w:val="nil"/>
              <w:left w:val="single" w:sz="4" w:space="0" w:color="auto"/>
              <w:bottom w:val="single" w:sz="4" w:space="0" w:color="auto"/>
              <w:right w:val="single" w:sz="4" w:space="0" w:color="auto"/>
            </w:tcBorders>
            <w:shd w:val="clear" w:color="auto" w:fill="auto"/>
            <w:noWrap/>
            <w:vAlign w:val="bottom"/>
            <w:hideMark/>
          </w:tcPr>
          <w:p w:rsidR="00ED2FA4" w:rsidRPr="00896E80" w:rsidRDefault="00896E80" w:rsidP="00AE1584">
            <w:pPr>
              <w:rPr>
                <w:rFonts w:asciiTheme="minorHAnsi" w:hAnsiTheme="minorHAnsi" w:cs="Arial"/>
                <w:b/>
                <w:sz w:val="12"/>
                <w:szCs w:val="16"/>
                <w:lang w:eastAsia="fr-FR" w:bidi="ar-SA"/>
              </w:rPr>
            </w:pPr>
            <w:r w:rsidRPr="00896E80">
              <w:rPr>
                <w:rFonts w:asciiTheme="minorHAnsi" w:hAnsiTheme="minorHAnsi" w:cs="Arial"/>
                <w:b/>
                <w:sz w:val="12"/>
                <w:szCs w:val="16"/>
                <w:lang w:eastAsia="fr-FR" w:bidi="ar-SA"/>
              </w:rPr>
              <w:t>5. Dépense</w:t>
            </w:r>
            <w:r w:rsidR="00ED2FA4" w:rsidRPr="00896E80">
              <w:rPr>
                <w:rFonts w:asciiTheme="minorHAnsi" w:hAnsiTheme="minorHAnsi" w:cs="Arial"/>
                <w:b/>
                <w:sz w:val="12"/>
                <w:szCs w:val="16"/>
                <w:lang w:eastAsia="fr-FR" w:bidi="ar-SA"/>
              </w:rPr>
              <w:t xml:space="preserve"> Courante en Santé </w:t>
            </w:r>
          </w:p>
        </w:tc>
        <w:tc>
          <w:tcPr>
            <w:tcW w:w="1170"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120 912 289 418</w:t>
            </w:r>
          </w:p>
        </w:tc>
        <w:tc>
          <w:tcPr>
            <w:tcW w:w="1080"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135 226 429 670</w:t>
            </w:r>
          </w:p>
        </w:tc>
        <w:tc>
          <w:tcPr>
            <w:tcW w:w="1108"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144 460 710 304</w:t>
            </w:r>
          </w:p>
        </w:tc>
        <w:tc>
          <w:tcPr>
            <w:tcW w:w="1121"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162 576 786 756</w:t>
            </w:r>
          </w:p>
        </w:tc>
        <w:tc>
          <w:tcPr>
            <w:tcW w:w="1149"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165 125 147 056</w:t>
            </w:r>
          </w:p>
        </w:tc>
      </w:tr>
      <w:tr w:rsidR="00F70F21" w:rsidRPr="00896E80" w:rsidTr="00737C19">
        <w:trPr>
          <w:trHeight w:val="255"/>
          <w:jc w:val="center"/>
        </w:trPr>
        <w:tc>
          <w:tcPr>
            <w:tcW w:w="1801" w:type="dxa"/>
            <w:tcBorders>
              <w:top w:val="nil"/>
              <w:left w:val="single" w:sz="4" w:space="0" w:color="auto"/>
              <w:bottom w:val="single" w:sz="4" w:space="0" w:color="auto"/>
              <w:right w:val="single" w:sz="4" w:space="0" w:color="auto"/>
            </w:tcBorders>
            <w:shd w:val="clear" w:color="auto" w:fill="auto"/>
            <w:noWrap/>
            <w:vAlign w:val="bottom"/>
            <w:hideMark/>
          </w:tcPr>
          <w:p w:rsidR="00ED2FA4" w:rsidRPr="00896E80" w:rsidRDefault="00896E80" w:rsidP="00AE1584">
            <w:pPr>
              <w:rPr>
                <w:rFonts w:asciiTheme="minorHAnsi" w:hAnsiTheme="minorHAnsi" w:cs="Arial"/>
                <w:b/>
                <w:sz w:val="12"/>
                <w:szCs w:val="16"/>
                <w:lang w:eastAsia="fr-FR" w:bidi="ar-SA"/>
              </w:rPr>
            </w:pPr>
            <w:r w:rsidRPr="00896E80">
              <w:rPr>
                <w:rFonts w:asciiTheme="minorHAnsi" w:hAnsiTheme="minorHAnsi" w:cs="Arial"/>
                <w:b/>
                <w:sz w:val="12"/>
                <w:szCs w:val="16"/>
                <w:lang w:eastAsia="fr-FR" w:bidi="ar-SA"/>
              </w:rPr>
              <w:t>6. Dépense</w:t>
            </w:r>
            <w:r w:rsidR="00ED2FA4" w:rsidRPr="00896E80">
              <w:rPr>
                <w:rFonts w:asciiTheme="minorHAnsi" w:hAnsiTheme="minorHAnsi" w:cs="Arial"/>
                <w:b/>
                <w:sz w:val="12"/>
                <w:szCs w:val="16"/>
                <w:lang w:eastAsia="fr-FR" w:bidi="ar-SA"/>
              </w:rPr>
              <w:t xml:space="preserve"> Courante en Santé en % de la Dépense Totale de santé</w:t>
            </w:r>
          </w:p>
        </w:tc>
        <w:tc>
          <w:tcPr>
            <w:tcW w:w="1170" w:type="dxa"/>
            <w:tcBorders>
              <w:top w:val="nil"/>
              <w:left w:val="nil"/>
              <w:bottom w:val="single" w:sz="4" w:space="0" w:color="auto"/>
              <w:right w:val="single" w:sz="4" w:space="0" w:color="auto"/>
            </w:tcBorders>
            <w:shd w:val="clear" w:color="auto" w:fill="auto"/>
            <w:noWrap/>
            <w:vAlign w:val="bottom"/>
            <w:hideMark/>
          </w:tcPr>
          <w:p w:rsidR="00ED2FA4" w:rsidRPr="00896E80" w:rsidRDefault="00341B8A" w:rsidP="00AE1584">
            <w:pPr>
              <w:jc w:val="right"/>
              <w:rPr>
                <w:rFonts w:asciiTheme="minorHAnsi" w:hAnsiTheme="minorHAnsi" w:cs="Arial"/>
                <w:color w:val="FF0000"/>
                <w:sz w:val="12"/>
                <w:szCs w:val="16"/>
                <w:lang w:eastAsia="fr-FR" w:bidi="ar-SA"/>
              </w:rPr>
            </w:pPr>
            <w:r>
              <w:rPr>
                <w:rFonts w:asciiTheme="minorHAnsi" w:hAnsiTheme="minorHAnsi" w:cs="Arial"/>
                <w:color w:val="FF0000"/>
                <w:sz w:val="12"/>
                <w:szCs w:val="16"/>
                <w:lang w:eastAsia="fr-FR" w:bidi="ar-SA"/>
              </w:rPr>
              <w:t>96</w:t>
            </w:r>
            <w:r w:rsidR="00ED2FA4" w:rsidRPr="00896E80">
              <w:rPr>
                <w:rFonts w:asciiTheme="minorHAnsi" w:hAnsiTheme="minorHAnsi" w:cs="Arial"/>
                <w:color w:val="FF0000"/>
                <w:sz w:val="12"/>
                <w:szCs w:val="16"/>
                <w:lang w:eastAsia="fr-FR" w:bidi="ar-SA"/>
              </w:rPr>
              <w:t>%</w:t>
            </w:r>
          </w:p>
        </w:tc>
        <w:tc>
          <w:tcPr>
            <w:tcW w:w="1080" w:type="dxa"/>
            <w:tcBorders>
              <w:top w:val="nil"/>
              <w:left w:val="nil"/>
              <w:bottom w:val="single" w:sz="4" w:space="0" w:color="auto"/>
              <w:right w:val="single" w:sz="4" w:space="0" w:color="auto"/>
            </w:tcBorders>
            <w:shd w:val="clear" w:color="auto" w:fill="auto"/>
            <w:noWrap/>
            <w:vAlign w:val="bottom"/>
            <w:hideMark/>
          </w:tcPr>
          <w:p w:rsidR="00ED2FA4" w:rsidRPr="00896E80" w:rsidRDefault="00341B8A" w:rsidP="00AE1584">
            <w:pPr>
              <w:jc w:val="right"/>
              <w:rPr>
                <w:rFonts w:asciiTheme="minorHAnsi" w:hAnsiTheme="minorHAnsi" w:cs="Arial"/>
                <w:color w:val="FF0000"/>
                <w:sz w:val="12"/>
                <w:szCs w:val="16"/>
                <w:lang w:eastAsia="fr-FR" w:bidi="ar-SA"/>
              </w:rPr>
            </w:pPr>
            <w:r>
              <w:rPr>
                <w:rFonts w:asciiTheme="minorHAnsi" w:hAnsiTheme="minorHAnsi" w:cs="Arial"/>
                <w:color w:val="FF0000"/>
                <w:sz w:val="12"/>
                <w:szCs w:val="16"/>
                <w:lang w:eastAsia="fr-FR" w:bidi="ar-SA"/>
              </w:rPr>
              <w:t>88</w:t>
            </w:r>
            <w:r w:rsidR="00ED2FA4" w:rsidRPr="00896E80">
              <w:rPr>
                <w:rFonts w:asciiTheme="minorHAnsi" w:hAnsiTheme="minorHAnsi" w:cs="Arial"/>
                <w:color w:val="FF0000"/>
                <w:sz w:val="12"/>
                <w:szCs w:val="16"/>
                <w:lang w:eastAsia="fr-FR" w:bidi="ar-SA"/>
              </w:rPr>
              <w:t>%</w:t>
            </w:r>
          </w:p>
        </w:tc>
        <w:tc>
          <w:tcPr>
            <w:tcW w:w="1108" w:type="dxa"/>
            <w:tcBorders>
              <w:top w:val="nil"/>
              <w:left w:val="nil"/>
              <w:bottom w:val="single" w:sz="4" w:space="0" w:color="auto"/>
              <w:right w:val="single" w:sz="4" w:space="0" w:color="auto"/>
            </w:tcBorders>
            <w:shd w:val="clear" w:color="auto" w:fill="auto"/>
            <w:noWrap/>
            <w:vAlign w:val="bottom"/>
            <w:hideMark/>
          </w:tcPr>
          <w:p w:rsidR="00ED2FA4" w:rsidRPr="00896E80" w:rsidRDefault="00341B8A" w:rsidP="00AE1584">
            <w:pPr>
              <w:jc w:val="right"/>
              <w:rPr>
                <w:rFonts w:asciiTheme="minorHAnsi" w:hAnsiTheme="minorHAnsi" w:cs="Arial"/>
                <w:color w:val="FF0000"/>
                <w:sz w:val="12"/>
                <w:szCs w:val="16"/>
                <w:lang w:eastAsia="fr-FR" w:bidi="ar-SA"/>
              </w:rPr>
            </w:pPr>
            <w:r>
              <w:rPr>
                <w:rFonts w:asciiTheme="minorHAnsi" w:hAnsiTheme="minorHAnsi" w:cs="Arial"/>
                <w:color w:val="FF0000"/>
                <w:sz w:val="12"/>
                <w:szCs w:val="16"/>
                <w:lang w:eastAsia="fr-FR" w:bidi="ar-SA"/>
              </w:rPr>
              <w:t>96</w:t>
            </w:r>
            <w:r w:rsidR="00ED2FA4" w:rsidRPr="00896E80">
              <w:rPr>
                <w:rFonts w:asciiTheme="minorHAnsi" w:hAnsiTheme="minorHAnsi" w:cs="Arial"/>
                <w:color w:val="FF0000"/>
                <w:sz w:val="12"/>
                <w:szCs w:val="16"/>
                <w:lang w:eastAsia="fr-FR" w:bidi="ar-SA"/>
              </w:rPr>
              <w:t>%</w:t>
            </w:r>
          </w:p>
        </w:tc>
        <w:tc>
          <w:tcPr>
            <w:tcW w:w="1121" w:type="dxa"/>
            <w:tcBorders>
              <w:top w:val="nil"/>
              <w:left w:val="nil"/>
              <w:bottom w:val="single" w:sz="4" w:space="0" w:color="auto"/>
              <w:right w:val="single" w:sz="4" w:space="0" w:color="auto"/>
            </w:tcBorders>
            <w:shd w:val="clear" w:color="auto" w:fill="auto"/>
            <w:noWrap/>
            <w:vAlign w:val="bottom"/>
            <w:hideMark/>
          </w:tcPr>
          <w:p w:rsidR="00ED2FA4" w:rsidRPr="00896E80" w:rsidRDefault="00341B8A" w:rsidP="00AE1584">
            <w:pPr>
              <w:jc w:val="right"/>
              <w:rPr>
                <w:rFonts w:asciiTheme="minorHAnsi" w:hAnsiTheme="minorHAnsi" w:cs="Arial"/>
                <w:color w:val="FF0000"/>
                <w:sz w:val="12"/>
                <w:szCs w:val="16"/>
                <w:lang w:eastAsia="fr-FR" w:bidi="ar-SA"/>
              </w:rPr>
            </w:pPr>
            <w:r>
              <w:rPr>
                <w:rFonts w:asciiTheme="minorHAnsi" w:hAnsiTheme="minorHAnsi" w:cs="Arial"/>
                <w:color w:val="FF0000"/>
                <w:sz w:val="12"/>
                <w:szCs w:val="16"/>
                <w:lang w:eastAsia="fr-FR" w:bidi="ar-SA"/>
              </w:rPr>
              <w:t>93</w:t>
            </w:r>
            <w:r w:rsidR="00ED2FA4" w:rsidRPr="00896E80">
              <w:rPr>
                <w:rFonts w:asciiTheme="minorHAnsi" w:hAnsiTheme="minorHAnsi" w:cs="Arial"/>
                <w:color w:val="FF0000"/>
                <w:sz w:val="12"/>
                <w:szCs w:val="16"/>
                <w:lang w:eastAsia="fr-FR" w:bidi="ar-SA"/>
              </w:rPr>
              <w:t>%</w:t>
            </w:r>
          </w:p>
        </w:tc>
        <w:tc>
          <w:tcPr>
            <w:tcW w:w="1149" w:type="dxa"/>
            <w:tcBorders>
              <w:top w:val="nil"/>
              <w:left w:val="nil"/>
              <w:bottom w:val="single" w:sz="4" w:space="0" w:color="auto"/>
              <w:right w:val="single" w:sz="4" w:space="0" w:color="auto"/>
            </w:tcBorders>
            <w:shd w:val="clear" w:color="auto" w:fill="auto"/>
            <w:noWrap/>
            <w:vAlign w:val="bottom"/>
            <w:hideMark/>
          </w:tcPr>
          <w:p w:rsidR="00ED2FA4" w:rsidRPr="00896E80" w:rsidRDefault="00341B8A" w:rsidP="00AE1584">
            <w:pPr>
              <w:jc w:val="right"/>
              <w:rPr>
                <w:rFonts w:asciiTheme="minorHAnsi" w:hAnsiTheme="minorHAnsi" w:cs="Arial"/>
                <w:color w:val="FF0000"/>
                <w:sz w:val="12"/>
                <w:szCs w:val="16"/>
                <w:lang w:eastAsia="fr-FR" w:bidi="ar-SA"/>
              </w:rPr>
            </w:pPr>
            <w:r>
              <w:rPr>
                <w:rFonts w:asciiTheme="minorHAnsi" w:hAnsiTheme="minorHAnsi" w:cs="Arial"/>
                <w:color w:val="FF0000"/>
                <w:sz w:val="12"/>
                <w:szCs w:val="16"/>
                <w:lang w:eastAsia="fr-FR" w:bidi="ar-SA"/>
              </w:rPr>
              <w:t>90</w:t>
            </w:r>
            <w:r w:rsidR="00ED2FA4" w:rsidRPr="00896E80">
              <w:rPr>
                <w:rFonts w:asciiTheme="minorHAnsi" w:hAnsiTheme="minorHAnsi" w:cs="Arial"/>
                <w:color w:val="FF0000"/>
                <w:sz w:val="12"/>
                <w:szCs w:val="16"/>
                <w:lang w:eastAsia="fr-FR" w:bidi="ar-SA"/>
              </w:rPr>
              <w:t>%</w:t>
            </w:r>
          </w:p>
        </w:tc>
      </w:tr>
      <w:tr w:rsidR="00F70F21" w:rsidRPr="00896E80" w:rsidTr="00737C19">
        <w:trPr>
          <w:trHeight w:val="255"/>
          <w:jc w:val="center"/>
        </w:trPr>
        <w:tc>
          <w:tcPr>
            <w:tcW w:w="1801" w:type="dxa"/>
            <w:tcBorders>
              <w:top w:val="nil"/>
              <w:left w:val="single" w:sz="4" w:space="0" w:color="auto"/>
              <w:bottom w:val="single" w:sz="4" w:space="0" w:color="auto"/>
              <w:right w:val="single" w:sz="4" w:space="0" w:color="auto"/>
            </w:tcBorders>
            <w:shd w:val="clear" w:color="auto" w:fill="auto"/>
            <w:noWrap/>
            <w:vAlign w:val="bottom"/>
            <w:hideMark/>
          </w:tcPr>
          <w:p w:rsidR="00ED2FA4" w:rsidRPr="00896E80" w:rsidRDefault="00896E80" w:rsidP="00AE1584">
            <w:pPr>
              <w:rPr>
                <w:rFonts w:asciiTheme="minorHAnsi" w:hAnsiTheme="minorHAnsi" w:cs="Arial"/>
                <w:b/>
                <w:sz w:val="12"/>
                <w:szCs w:val="16"/>
                <w:lang w:eastAsia="fr-FR" w:bidi="ar-SA"/>
              </w:rPr>
            </w:pPr>
            <w:r w:rsidRPr="00896E80">
              <w:rPr>
                <w:rFonts w:asciiTheme="minorHAnsi" w:hAnsiTheme="minorHAnsi" w:cs="Arial"/>
                <w:b/>
                <w:sz w:val="12"/>
                <w:szCs w:val="16"/>
                <w:lang w:eastAsia="fr-FR" w:bidi="ar-SA"/>
              </w:rPr>
              <w:t>7. Dépense</w:t>
            </w:r>
            <w:r w:rsidR="00ED2FA4" w:rsidRPr="00896E80">
              <w:rPr>
                <w:rFonts w:asciiTheme="minorHAnsi" w:hAnsiTheme="minorHAnsi" w:cs="Arial"/>
                <w:b/>
                <w:sz w:val="12"/>
                <w:szCs w:val="16"/>
                <w:lang w:eastAsia="fr-FR" w:bidi="ar-SA"/>
              </w:rPr>
              <w:t xml:space="preserve"> D'investissement </w:t>
            </w:r>
          </w:p>
        </w:tc>
        <w:tc>
          <w:tcPr>
            <w:tcW w:w="1170" w:type="dxa"/>
            <w:tcBorders>
              <w:top w:val="nil"/>
              <w:left w:val="nil"/>
              <w:bottom w:val="single" w:sz="4" w:space="0" w:color="auto"/>
              <w:right w:val="single" w:sz="4" w:space="0" w:color="auto"/>
            </w:tcBorders>
            <w:shd w:val="clear" w:color="auto" w:fill="auto"/>
            <w:vAlign w:val="center"/>
            <w:hideMark/>
          </w:tcPr>
          <w:p w:rsidR="00ED2FA4" w:rsidRPr="00896E80" w:rsidRDefault="00341B8A" w:rsidP="00AE1584">
            <w:pPr>
              <w:jc w:val="right"/>
              <w:rPr>
                <w:rFonts w:asciiTheme="minorHAnsi" w:hAnsiTheme="minorHAnsi" w:cs="Arial"/>
                <w:b/>
                <w:bCs/>
                <w:sz w:val="12"/>
                <w:szCs w:val="16"/>
                <w:lang w:eastAsia="fr-FR" w:bidi="ar-SA"/>
              </w:rPr>
            </w:pPr>
            <w:r w:rsidRPr="00341B8A">
              <w:rPr>
                <w:rFonts w:asciiTheme="minorHAnsi" w:hAnsiTheme="minorHAnsi" w:cs="Arial"/>
                <w:b/>
                <w:bCs/>
                <w:sz w:val="12"/>
                <w:szCs w:val="16"/>
                <w:lang w:eastAsia="fr-FR" w:bidi="ar-SA"/>
              </w:rPr>
              <w:t>4</w:t>
            </w:r>
            <w:r>
              <w:rPr>
                <w:rFonts w:asciiTheme="minorHAnsi" w:hAnsiTheme="minorHAnsi" w:cs="Arial"/>
                <w:b/>
                <w:bCs/>
                <w:sz w:val="12"/>
                <w:szCs w:val="16"/>
                <w:lang w:eastAsia="fr-FR" w:bidi="ar-SA"/>
              </w:rPr>
              <w:t xml:space="preserve"> </w:t>
            </w:r>
            <w:r w:rsidRPr="00341B8A">
              <w:rPr>
                <w:rFonts w:asciiTheme="minorHAnsi" w:hAnsiTheme="minorHAnsi" w:cs="Arial"/>
                <w:b/>
                <w:bCs/>
                <w:sz w:val="12"/>
                <w:szCs w:val="16"/>
                <w:lang w:eastAsia="fr-FR" w:bidi="ar-SA"/>
              </w:rPr>
              <w:t>580</w:t>
            </w:r>
            <w:r>
              <w:rPr>
                <w:rFonts w:asciiTheme="minorHAnsi" w:hAnsiTheme="minorHAnsi" w:cs="Arial"/>
                <w:b/>
                <w:bCs/>
                <w:sz w:val="12"/>
                <w:szCs w:val="16"/>
                <w:lang w:eastAsia="fr-FR" w:bidi="ar-SA"/>
              </w:rPr>
              <w:t xml:space="preserve"> </w:t>
            </w:r>
            <w:r w:rsidRPr="00341B8A">
              <w:rPr>
                <w:rFonts w:asciiTheme="minorHAnsi" w:hAnsiTheme="minorHAnsi" w:cs="Arial"/>
                <w:b/>
                <w:bCs/>
                <w:sz w:val="12"/>
                <w:szCs w:val="16"/>
                <w:lang w:eastAsia="fr-FR" w:bidi="ar-SA"/>
              </w:rPr>
              <w:t>813</w:t>
            </w:r>
            <w:r>
              <w:rPr>
                <w:rFonts w:asciiTheme="minorHAnsi" w:hAnsiTheme="minorHAnsi" w:cs="Arial"/>
                <w:b/>
                <w:bCs/>
                <w:sz w:val="12"/>
                <w:szCs w:val="16"/>
                <w:lang w:eastAsia="fr-FR" w:bidi="ar-SA"/>
              </w:rPr>
              <w:t xml:space="preserve"> </w:t>
            </w:r>
            <w:r w:rsidRPr="00341B8A">
              <w:rPr>
                <w:rFonts w:asciiTheme="minorHAnsi" w:hAnsiTheme="minorHAnsi" w:cs="Arial"/>
                <w:b/>
                <w:bCs/>
                <w:sz w:val="12"/>
                <w:szCs w:val="16"/>
                <w:lang w:eastAsia="fr-FR" w:bidi="ar-SA"/>
              </w:rPr>
              <w:t>878</w:t>
            </w:r>
          </w:p>
        </w:tc>
        <w:tc>
          <w:tcPr>
            <w:tcW w:w="1080" w:type="dxa"/>
            <w:tcBorders>
              <w:top w:val="nil"/>
              <w:left w:val="nil"/>
              <w:bottom w:val="single" w:sz="4" w:space="0" w:color="auto"/>
              <w:right w:val="single" w:sz="4" w:space="0" w:color="auto"/>
            </w:tcBorders>
            <w:shd w:val="clear" w:color="auto" w:fill="auto"/>
            <w:vAlign w:val="center"/>
            <w:hideMark/>
          </w:tcPr>
          <w:p w:rsidR="00ED2FA4" w:rsidRPr="00896E80" w:rsidRDefault="00341B8A" w:rsidP="00AE1584">
            <w:pPr>
              <w:jc w:val="right"/>
              <w:rPr>
                <w:rFonts w:asciiTheme="minorHAnsi" w:hAnsiTheme="minorHAnsi" w:cs="Arial"/>
                <w:b/>
                <w:bCs/>
                <w:sz w:val="12"/>
                <w:szCs w:val="16"/>
                <w:lang w:eastAsia="fr-FR" w:bidi="ar-SA"/>
              </w:rPr>
            </w:pPr>
            <w:r w:rsidRPr="00341B8A">
              <w:rPr>
                <w:rFonts w:asciiTheme="minorHAnsi" w:hAnsiTheme="minorHAnsi" w:cs="Arial"/>
                <w:b/>
                <w:bCs/>
                <w:sz w:val="12"/>
                <w:szCs w:val="16"/>
                <w:lang w:eastAsia="fr-FR" w:bidi="ar-SA"/>
              </w:rPr>
              <w:t>18</w:t>
            </w:r>
            <w:r>
              <w:rPr>
                <w:rFonts w:asciiTheme="minorHAnsi" w:hAnsiTheme="minorHAnsi" w:cs="Arial"/>
                <w:b/>
                <w:bCs/>
                <w:sz w:val="12"/>
                <w:szCs w:val="16"/>
                <w:lang w:eastAsia="fr-FR" w:bidi="ar-SA"/>
              </w:rPr>
              <w:t xml:space="preserve"> </w:t>
            </w:r>
            <w:r w:rsidRPr="00341B8A">
              <w:rPr>
                <w:rFonts w:asciiTheme="minorHAnsi" w:hAnsiTheme="minorHAnsi" w:cs="Arial"/>
                <w:b/>
                <w:bCs/>
                <w:sz w:val="12"/>
                <w:szCs w:val="16"/>
                <w:lang w:eastAsia="fr-FR" w:bidi="ar-SA"/>
              </w:rPr>
              <w:t>661</w:t>
            </w:r>
            <w:r>
              <w:rPr>
                <w:rFonts w:asciiTheme="minorHAnsi" w:hAnsiTheme="minorHAnsi" w:cs="Arial"/>
                <w:b/>
                <w:bCs/>
                <w:sz w:val="12"/>
                <w:szCs w:val="16"/>
                <w:lang w:eastAsia="fr-FR" w:bidi="ar-SA"/>
              </w:rPr>
              <w:t xml:space="preserve"> </w:t>
            </w:r>
            <w:r w:rsidRPr="00341B8A">
              <w:rPr>
                <w:rFonts w:asciiTheme="minorHAnsi" w:hAnsiTheme="minorHAnsi" w:cs="Arial"/>
                <w:b/>
                <w:bCs/>
                <w:sz w:val="12"/>
                <w:szCs w:val="16"/>
                <w:lang w:eastAsia="fr-FR" w:bidi="ar-SA"/>
              </w:rPr>
              <w:t>166</w:t>
            </w:r>
            <w:r>
              <w:rPr>
                <w:rFonts w:asciiTheme="minorHAnsi" w:hAnsiTheme="minorHAnsi" w:cs="Arial"/>
                <w:b/>
                <w:bCs/>
                <w:sz w:val="12"/>
                <w:szCs w:val="16"/>
                <w:lang w:eastAsia="fr-FR" w:bidi="ar-SA"/>
              </w:rPr>
              <w:t xml:space="preserve"> </w:t>
            </w:r>
            <w:r w:rsidRPr="00341B8A">
              <w:rPr>
                <w:rFonts w:asciiTheme="minorHAnsi" w:hAnsiTheme="minorHAnsi" w:cs="Arial"/>
                <w:b/>
                <w:bCs/>
                <w:sz w:val="12"/>
                <w:szCs w:val="16"/>
                <w:lang w:eastAsia="fr-FR" w:bidi="ar-SA"/>
              </w:rPr>
              <w:t>048</w:t>
            </w:r>
          </w:p>
        </w:tc>
        <w:tc>
          <w:tcPr>
            <w:tcW w:w="1108" w:type="dxa"/>
            <w:tcBorders>
              <w:top w:val="nil"/>
              <w:left w:val="nil"/>
              <w:bottom w:val="single" w:sz="4" w:space="0" w:color="auto"/>
              <w:right w:val="single" w:sz="4" w:space="0" w:color="auto"/>
            </w:tcBorders>
            <w:shd w:val="clear" w:color="auto" w:fill="auto"/>
            <w:vAlign w:val="center"/>
            <w:hideMark/>
          </w:tcPr>
          <w:p w:rsidR="00ED2FA4" w:rsidRPr="00896E80" w:rsidRDefault="00341B8A" w:rsidP="00AE1584">
            <w:pPr>
              <w:jc w:val="right"/>
              <w:rPr>
                <w:rFonts w:asciiTheme="minorHAnsi" w:hAnsiTheme="minorHAnsi" w:cs="Arial"/>
                <w:b/>
                <w:bCs/>
                <w:sz w:val="12"/>
                <w:szCs w:val="16"/>
                <w:lang w:eastAsia="fr-FR" w:bidi="ar-SA"/>
              </w:rPr>
            </w:pPr>
            <w:r w:rsidRPr="00341B8A">
              <w:rPr>
                <w:rFonts w:asciiTheme="minorHAnsi" w:hAnsiTheme="minorHAnsi" w:cs="Arial"/>
                <w:b/>
                <w:bCs/>
                <w:sz w:val="12"/>
                <w:szCs w:val="16"/>
                <w:lang w:eastAsia="fr-FR" w:bidi="ar-SA"/>
              </w:rPr>
              <w:t>5</w:t>
            </w:r>
            <w:r>
              <w:rPr>
                <w:rFonts w:asciiTheme="minorHAnsi" w:hAnsiTheme="minorHAnsi" w:cs="Arial"/>
                <w:b/>
                <w:bCs/>
                <w:sz w:val="12"/>
                <w:szCs w:val="16"/>
                <w:lang w:eastAsia="fr-FR" w:bidi="ar-SA"/>
              </w:rPr>
              <w:t xml:space="preserve"> </w:t>
            </w:r>
            <w:r w:rsidRPr="00341B8A">
              <w:rPr>
                <w:rFonts w:asciiTheme="minorHAnsi" w:hAnsiTheme="minorHAnsi" w:cs="Arial"/>
                <w:b/>
                <w:bCs/>
                <w:sz w:val="12"/>
                <w:szCs w:val="16"/>
                <w:lang w:eastAsia="fr-FR" w:bidi="ar-SA"/>
              </w:rPr>
              <w:t>836</w:t>
            </w:r>
            <w:r>
              <w:rPr>
                <w:rFonts w:asciiTheme="minorHAnsi" w:hAnsiTheme="minorHAnsi" w:cs="Arial"/>
                <w:b/>
                <w:bCs/>
                <w:sz w:val="12"/>
                <w:szCs w:val="16"/>
                <w:lang w:eastAsia="fr-FR" w:bidi="ar-SA"/>
              </w:rPr>
              <w:t xml:space="preserve"> </w:t>
            </w:r>
            <w:r w:rsidRPr="00341B8A">
              <w:rPr>
                <w:rFonts w:asciiTheme="minorHAnsi" w:hAnsiTheme="minorHAnsi" w:cs="Arial"/>
                <w:b/>
                <w:bCs/>
                <w:sz w:val="12"/>
                <w:szCs w:val="16"/>
                <w:lang w:eastAsia="fr-FR" w:bidi="ar-SA"/>
              </w:rPr>
              <w:t>928</w:t>
            </w:r>
            <w:r>
              <w:rPr>
                <w:rFonts w:asciiTheme="minorHAnsi" w:hAnsiTheme="minorHAnsi" w:cs="Arial"/>
                <w:b/>
                <w:bCs/>
                <w:sz w:val="12"/>
                <w:szCs w:val="16"/>
                <w:lang w:eastAsia="fr-FR" w:bidi="ar-SA"/>
              </w:rPr>
              <w:t xml:space="preserve"> </w:t>
            </w:r>
            <w:r w:rsidRPr="00341B8A">
              <w:rPr>
                <w:rFonts w:asciiTheme="minorHAnsi" w:hAnsiTheme="minorHAnsi" w:cs="Arial"/>
                <w:b/>
                <w:bCs/>
                <w:sz w:val="12"/>
                <w:szCs w:val="16"/>
                <w:lang w:eastAsia="fr-FR" w:bidi="ar-SA"/>
              </w:rPr>
              <w:t>792</w:t>
            </w:r>
          </w:p>
        </w:tc>
        <w:tc>
          <w:tcPr>
            <w:tcW w:w="1121" w:type="dxa"/>
            <w:tcBorders>
              <w:top w:val="nil"/>
              <w:left w:val="nil"/>
              <w:bottom w:val="single" w:sz="4" w:space="0" w:color="auto"/>
              <w:right w:val="single" w:sz="4" w:space="0" w:color="auto"/>
            </w:tcBorders>
            <w:shd w:val="clear" w:color="auto" w:fill="auto"/>
            <w:vAlign w:val="center"/>
            <w:hideMark/>
          </w:tcPr>
          <w:p w:rsidR="00ED2FA4" w:rsidRPr="00896E80" w:rsidRDefault="00341B8A" w:rsidP="00AE1584">
            <w:pPr>
              <w:jc w:val="right"/>
              <w:rPr>
                <w:rFonts w:asciiTheme="minorHAnsi" w:hAnsiTheme="minorHAnsi" w:cs="Arial"/>
                <w:b/>
                <w:bCs/>
                <w:sz w:val="12"/>
                <w:szCs w:val="16"/>
                <w:lang w:eastAsia="fr-FR" w:bidi="ar-SA"/>
              </w:rPr>
            </w:pPr>
            <w:r w:rsidRPr="00341B8A">
              <w:rPr>
                <w:rFonts w:asciiTheme="minorHAnsi" w:hAnsiTheme="minorHAnsi" w:cs="Arial"/>
                <w:b/>
                <w:bCs/>
                <w:sz w:val="12"/>
                <w:szCs w:val="16"/>
                <w:lang w:eastAsia="fr-FR" w:bidi="ar-SA"/>
              </w:rPr>
              <w:t>12</w:t>
            </w:r>
            <w:r>
              <w:rPr>
                <w:rFonts w:asciiTheme="minorHAnsi" w:hAnsiTheme="minorHAnsi" w:cs="Arial"/>
                <w:b/>
                <w:bCs/>
                <w:sz w:val="12"/>
                <w:szCs w:val="16"/>
                <w:lang w:eastAsia="fr-FR" w:bidi="ar-SA"/>
              </w:rPr>
              <w:t xml:space="preserve"> </w:t>
            </w:r>
            <w:r w:rsidRPr="00341B8A">
              <w:rPr>
                <w:rFonts w:asciiTheme="minorHAnsi" w:hAnsiTheme="minorHAnsi" w:cs="Arial"/>
                <w:b/>
                <w:bCs/>
                <w:sz w:val="12"/>
                <w:szCs w:val="16"/>
                <w:lang w:eastAsia="fr-FR" w:bidi="ar-SA"/>
              </w:rPr>
              <w:t>106</w:t>
            </w:r>
            <w:r>
              <w:rPr>
                <w:rFonts w:asciiTheme="minorHAnsi" w:hAnsiTheme="minorHAnsi" w:cs="Arial"/>
                <w:b/>
                <w:bCs/>
                <w:sz w:val="12"/>
                <w:szCs w:val="16"/>
                <w:lang w:eastAsia="fr-FR" w:bidi="ar-SA"/>
              </w:rPr>
              <w:t xml:space="preserve"> </w:t>
            </w:r>
            <w:r w:rsidRPr="00341B8A">
              <w:rPr>
                <w:rFonts w:asciiTheme="minorHAnsi" w:hAnsiTheme="minorHAnsi" w:cs="Arial"/>
                <w:b/>
                <w:bCs/>
                <w:sz w:val="12"/>
                <w:szCs w:val="16"/>
                <w:lang w:eastAsia="fr-FR" w:bidi="ar-SA"/>
              </w:rPr>
              <w:t>982</w:t>
            </w:r>
            <w:r>
              <w:rPr>
                <w:rFonts w:asciiTheme="minorHAnsi" w:hAnsiTheme="minorHAnsi" w:cs="Arial"/>
                <w:b/>
                <w:bCs/>
                <w:sz w:val="12"/>
                <w:szCs w:val="16"/>
                <w:lang w:eastAsia="fr-FR" w:bidi="ar-SA"/>
              </w:rPr>
              <w:t xml:space="preserve"> </w:t>
            </w:r>
            <w:r w:rsidRPr="00341B8A">
              <w:rPr>
                <w:rFonts w:asciiTheme="minorHAnsi" w:hAnsiTheme="minorHAnsi" w:cs="Arial"/>
                <w:b/>
                <w:bCs/>
                <w:sz w:val="12"/>
                <w:szCs w:val="16"/>
                <w:lang w:eastAsia="fr-FR" w:bidi="ar-SA"/>
              </w:rPr>
              <w:t>095</w:t>
            </w:r>
          </w:p>
        </w:tc>
        <w:tc>
          <w:tcPr>
            <w:tcW w:w="1149" w:type="dxa"/>
            <w:tcBorders>
              <w:top w:val="nil"/>
              <w:left w:val="nil"/>
              <w:bottom w:val="single" w:sz="4" w:space="0" w:color="auto"/>
              <w:right w:val="single" w:sz="4" w:space="0" w:color="auto"/>
            </w:tcBorders>
            <w:shd w:val="clear" w:color="auto" w:fill="auto"/>
            <w:vAlign w:val="center"/>
            <w:hideMark/>
          </w:tcPr>
          <w:p w:rsidR="00ED2FA4" w:rsidRPr="00896E80" w:rsidRDefault="00341B8A" w:rsidP="00AE1584">
            <w:pPr>
              <w:jc w:val="right"/>
              <w:rPr>
                <w:rFonts w:asciiTheme="minorHAnsi" w:hAnsiTheme="minorHAnsi" w:cs="Arial"/>
                <w:b/>
                <w:bCs/>
                <w:sz w:val="12"/>
                <w:szCs w:val="16"/>
                <w:lang w:eastAsia="fr-FR" w:bidi="ar-SA"/>
              </w:rPr>
            </w:pPr>
            <w:r w:rsidRPr="00341B8A">
              <w:rPr>
                <w:rFonts w:asciiTheme="minorHAnsi" w:hAnsiTheme="minorHAnsi" w:cs="Arial"/>
                <w:b/>
                <w:bCs/>
                <w:sz w:val="12"/>
                <w:szCs w:val="16"/>
                <w:lang w:eastAsia="fr-FR" w:bidi="ar-SA"/>
              </w:rPr>
              <w:t>18</w:t>
            </w:r>
            <w:r>
              <w:rPr>
                <w:rFonts w:asciiTheme="minorHAnsi" w:hAnsiTheme="minorHAnsi" w:cs="Arial"/>
                <w:b/>
                <w:bCs/>
                <w:sz w:val="12"/>
                <w:szCs w:val="16"/>
                <w:lang w:eastAsia="fr-FR" w:bidi="ar-SA"/>
              </w:rPr>
              <w:t xml:space="preserve"> </w:t>
            </w:r>
            <w:r w:rsidRPr="00341B8A">
              <w:rPr>
                <w:rFonts w:asciiTheme="minorHAnsi" w:hAnsiTheme="minorHAnsi" w:cs="Arial"/>
                <w:b/>
                <w:bCs/>
                <w:sz w:val="12"/>
                <w:szCs w:val="16"/>
                <w:lang w:eastAsia="fr-FR" w:bidi="ar-SA"/>
              </w:rPr>
              <w:t>104</w:t>
            </w:r>
            <w:r>
              <w:rPr>
                <w:rFonts w:asciiTheme="minorHAnsi" w:hAnsiTheme="minorHAnsi" w:cs="Arial"/>
                <w:b/>
                <w:bCs/>
                <w:sz w:val="12"/>
                <w:szCs w:val="16"/>
                <w:lang w:eastAsia="fr-FR" w:bidi="ar-SA"/>
              </w:rPr>
              <w:t xml:space="preserve"> </w:t>
            </w:r>
            <w:r w:rsidRPr="00341B8A">
              <w:rPr>
                <w:rFonts w:asciiTheme="minorHAnsi" w:hAnsiTheme="minorHAnsi" w:cs="Arial"/>
                <w:b/>
                <w:bCs/>
                <w:sz w:val="12"/>
                <w:szCs w:val="16"/>
                <w:lang w:eastAsia="fr-FR" w:bidi="ar-SA"/>
              </w:rPr>
              <w:t>818</w:t>
            </w:r>
            <w:r>
              <w:rPr>
                <w:rFonts w:asciiTheme="minorHAnsi" w:hAnsiTheme="minorHAnsi" w:cs="Arial"/>
                <w:b/>
                <w:bCs/>
                <w:sz w:val="12"/>
                <w:szCs w:val="16"/>
                <w:lang w:eastAsia="fr-FR" w:bidi="ar-SA"/>
              </w:rPr>
              <w:t xml:space="preserve"> </w:t>
            </w:r>
            <w:r w:rsidRPr="00341B8A">
              <w:rPr>
                <w:rFonts w:asciiTheme="minorHAnsi" w:hAnsiTheme="minorHAnsi" w:cs="Arial"/>
                <w:b/>
                <w:bCs/>
                <w:sz w:val="12"/>
                <w:szCs w:val="16"/>
                <w:lang w:eastAsia="fr-FR" w:bidi="ar-SA"/>
              </w:rPr>
              <w:t>173</w:t>
            </w:r>
          </w:p>
        </w:tc>
      </w:tr>
      <w:tr w:rsidR="00F70F21" w:rsidRPr="00896E80" w:rsidTr="00737C19">
        <w:trPr>
          <w:trHeight w:val="255"/>
          <w:jc w:val="center"/>
        </w:trPr>
        <w:tc>
          <w:tcPr>
            <w:tcW w:w="1801" w:type="dxa"/>
            <w:tcBorders>
              <w:top w:val="nil"/>
              <w:left w:val="single" w:sz="4" w:space="0" w:color="auto"/>
              <w:bottom w:val="single" w:sz="4" w:space="0" w:color="auto"/>
              <w:right w:val="single" w:sz="4" w:space="0" w:color="auto"/>
            </w:tcBorders>
            <w:shd w:val="clear" w:color="auto" w:fill="auto"/>
            <w:noWrap/>
            <w:vAlign w:val="bottom"/>
            <w:hideMark/>
          </w:tcPr>
          <w:p w:rsidR="00ED2FA4" w:rsidRPr="00896E80" w:rsidRDefault="00896E80" w:rsidP="00AE1584">
            <w:pPr>
              <w:rPr>
                <w:rFonts w:asciiTheme="minorHAnsi" w:hAnsiTheme="minorHAnsi" w:cs="Arial"/>
                <w:b/>
                <w:sz w:val="12"/>
                <w:szCs w:val="16"/>
                <w:lang w:eastAsia="fr-FR" w:bidi="ar-SA"/>
              </w:rPr>
            </w:pPr>
            <w:r w:rsidRPr="00896E80">
              <w:rPr>
                <w:rFonts w:asciiTheme="minorHAnsi" w:hAnsiTheme="minorHAnsi" w:cs="Arial"/>
                <w:b/>
                <w:sz w:val="12"/>
                <w:szCs w:val="16"/>
                <w:lang w:eastAsia="fr-FR" w:bidi="ar-SA"/>
              </w:rPr>
              <w:t>8. Dépense</w:t>
            </w:r>
            <w:r w:rsidR="00ED2FA4" w:rsidRPr="00896E80">
              <w:rPr>
                <w:rFonts w:asciiTheme="minorHAnsi" w:hAnsiTheme="minorHAnsi" w:cs="Arial"/>
                <w:b/>
                <w:sz w:val="12"/>
                <w:szCs w:val="16"/>
                <w:lang w:eastAsia="fr-FR" w:bidi="ar-SA"/>
              </w:rPr>
              <w:t xml:space="preserve"> D'investissement en % de la Dépense Totale de santé</w:t>
            </w:r>
          </w:p>
        </w:tc>
        <w:tc>
          <w:tcPr>
            <w:tcW w:w="1170" w:type="dxa"/>
            <w:tcBorders>
              <w:top w:val="nil"/>
              <w:left w:val="nil"/>
              <w:bottom w:val="single" w:sz="4" w:space="0" w:color="auto"/>
              <w:right w:val="single" w:sz="4" w:space="0" w:color="auto"/>
            </w:tcBorders>
            <w:shd w:val="clear" w:color="auto" w:fill="auto"/>
            <w:noWrap/>
            <w:vAlign w:val="bottom"/>
            <w:hideMark/>
          </w:tcPr>
          <w:p w:rsidR="00ED2FA4" w:rsidRPr="00896E80" w:rsidRDefault="00341B8A" w:rsidP="00AE1584">
            <w:pPr>
              <w:jc w:val="right"/>
              <w:rPr>
                <w:rFonts w:asciiTheme="minorHAnsi" w:hAnsiTheme="minorHAnsi" w:cs="Arial"/>
                <w:color w:val="FF0000"/>
                <w:sz w:val="12"/>
                <w:szCs w:val="16"/>
                <w:lang w:eastAsia="fr-FR" w:bidi="ar-SA"/>
              </w:rPr>
            </w:pPr>
            <w:r>
              <w:rPr>
                <w:rFonts w:asciiTheme="minorHAnsi" w:hAnsiTheme="minorHAnsi" w:cs="Arial"/>
                <w:color w:val="FF0000"/>
                <w:sz w:val="12"/>
                <w:szCs w:val="16"/>
                <w:lang w:eastAsia="fr-FR" w:bidi="ar-SA"/>
              </w:rPr>
              <w:t>4</w:t>
            </w:r>
            <w:r w:rsidR="00ED2FA4" w:rsidRPr="00896E80">
              <w:rPr>
                <w:rFonts w:asciiTheme="minorHAnsi" w:hAnsiTheme="minorHAnsi" w:cs="Arial"/>
                <w:color w:val="FF0000"/>
                <w:sz w:val="12"/>
                <w:szCs w:val="16"/>
                <w:lang w:eastAsia="fr-FR" w:bidi="ar-SA"/>
              </w:rPr>
              <w:t>%</w:t>
            </w:r>
          </w:p>
        </w:tc>
        <w:tc>
          <w:tcPr>
            <w:tcW w:w="1080" w:type="dxa"/>
            <w:tcBorders>
              <w:top w:val="nil"/>
              <w:left w:val="nil"/>
              <w:bottom w:val="single" w:sz="4" w:space="0" w:color="auto"/>
              <w:right w:val="single" w:sz="4" w:space="0" w:color="auto"/>
            </w:tcBorders>
            <w:shd w:val="clear" w:color="auto" w:fill="auto"/>
            <w:noWrap/>
            <w:vAlign w:val="bottom"/>
            <w:hideMark/>
          </w:tcPr>
          <w:p w:rsidR="00ED2FA4" w:rsidRPr="00896E80" w:rsidRDefault="00341B8A" w:rsidP="00AE1584">
            <w:pPr>
              <w:jc w:val="right"/>
              <w:rPr>
                <w:rFonts w:asciiTheme="minorHAnsi" w:hAnsiTheme="minorHAnsi" w:cs="Arial"/>
                <w:color w:val="FF0000"/>
                <w:sz w:val="12"/>
                <w:szCs w:val="16"/>
                <w:lang w:eastAsia="fr-FR" w:bidi="ar-SA"/>
              </w:rPr>
            </w:pPr>
            <w:r>
              <w:rPr>
                <w:rFonts w:asciiTheme="minorHAnsi" w:hAnsiTheme="minorHAnsi" w:cs="Arial"/>
                <w:color w:val="FF0000"/>
                <w:sz w:val="12"/>
                <w:szCs w:val="16"/>
                <w:lang w:eastAsia="fr-FR" w:bidi="ar-SA"/>
              </w:rPr>
              <w:t>12</w:t>
            </w:r>
            <w:r w:rsidR="00ED2FA4" w:rsidRPr="00896E80">
              <w:rPr>
                <w:rFonts w:asciiTheme="minorHAnsi" w:hAnsiTheme="minorHAnsi" w:cs="Arial"/>
                <w:color w:val="FF0000"/>
                <w:sz w:val="12"/>
                <w:szCs w:val="16"/>
                <w:lang w:eastAsia="fr-FR" w:bidi="ar-SA"/>
              </w:rPr>
              <w:t>%</w:t>
            </w:r>
          </w:p>
        </w:tc>
        <w:tc>
          <w:tcPr>
            <w:tcW w:w="1108" w:type="dxa"/>
            <w:tcBorders>
              <w:top w:val="nil"/>
              <w:left w:val="nil"/>
              <w:bottom w:val="single" w:sz="4" w:space="0" w:color="auto"/>
              <w:right w:val="single" w:sz="4" w:space="0" w:color="auto"/>
            </w:tcBorders>
            <w:shd w:val="clear" w:color="auto" w:fill="auto"/>
            <w:noWrap/>
            <w:vAlign w:val="bottom"/>
            <w:hideMark/>
          </w:tcPr>
          <w:p w:rsidR="00ED2FA4" w:rsidRPr="00896E80" w:rsidRDefault="00341B8A" w:rsidP="00AE1584">
            <w:pPr>
              <w:jc w:val="right"/>
              <w:rPr>
                <w:rFonts w:asciiTheme="minorHAnsi" w:hAnsiTheme="minorHAnsi" w:cs="Arial"/>
                <w:color w:val="FF0000"/>
                <w:sz w:val="12"/>
                <w:szCs w:val="16"/>
                <w:lang w:eastAsia="fr-FR" w:bidi="ar-SA"/>
              </w:rPr>
            </w:pPr>
            <w:r>
              <w:rPr>
                <w:rFonts w:asciiTheme="minorHAnsi" w:hAnsiTheme="minorHAnsi" w:cs="Arial"/>
                <w:color w:val="FF0000"/>
                <w:sz w:val="12"/>
                <w:szCs w:val="16"/>
                <w:lang w:eastAsia="fr-FR" w:bidi="ar-SA"/>
              </w:rPr>
              <w:t>4</w:t>
            </w:r>
            <w:r w:rsidR="00ED2FA4" w:rsidRPr="00896E80">
              <w:rPr>
                <w:rFonts w:asciiTheme="minorHAnsi" w:hAnsiTheme="minorHAnsi" w:cs="Arial"/>
                <w:color w:val="FF0000"/>
                <w:sz w:val="12"/>
                <w:szCs w:val="16"/>
                <w:lang w:eastAsia="fr-FR" w:bidi="ar-SA"/>
              </w:rPr>
              <w:t>%</w:t>
            </w:r>
          </w:p>
        </w:tc>
        <w:tc>
          <w:tcPr>
            <w:tcW w:w="1121" w:type="dxa"/>
            <w:tcBorders>
              <w:top w:val="nil"/>
              <w:left w:val="nil"/>
              <w:bottom w:val="single" w:sz="4" w:space="0" w:color="auto"/>
              <w:right w:val="single" w:sz="4" w:space="0" w:color="auto"/>
            </w:tcBorders>
            <w:shd w:val="clear" w:color="auto" w:fill="auto"/>
            <w:noWrap/>
            <w:vAlign w:val="bottom"/>
            <w:hideMark/>
          </w:tcPr>
          <w:p w:rsidR="00ED2FA4" w:rsidRPr="00896E80" w:rsidRDefault="00341B8A" w:rsidP="00AE1584">
            <w:pPr>
              <w:jc w:val="right"/>
              <w:rPr>
                <w:rFonts w:asciiTheme="minorHAnsi" w:hAnsiTheme="minorHAnsi" w:cs="Arial"/>
                <w:color w:val="FF0000"/>
                <w:sz w:val="12"/>
                <w:szCs w:val="16"/>
                <w:lang w:eastAsia="fr-FR" w:bidi="ar-SA"/>
              </w:rPr>
            </w:pPr>
            <w:r>
              <w:rPr>
                <w:rFonts w:asciiTheme="minorHAnsi" w:hAnsiTheme="minorHAnsi" w:cs="Arial"/>
                <w:color w:val="FF0000"/>
                <w:sz w:val="12"/>
                <w:szCs w:val="16"/>
                <w:lang w:eastAsia="fr-FR" w:bidi="ar-SA"/>
              </w:rPr>
              <w:t>7</w:t>
            </w:r>
            <w:r w:rsidR="00ED2FA4" w:rsidRPr="00896E80">
              <w:rPr>
                <w:rFonts w:asciiTheme="minorHAnsi" w:hAnsiTheme="minorHAnsi" w:cs="Arial"/>
                <w:color w:val="FF0000"/>
                <w:sz w:val="12"/>
                <w:szCs w:val="16"/>
                <w:lang w:eastAsia="fr-FR" w:bidi="ar-SA"/>
              </w:rPr>
              <w:t>%</w:t>
            </w:r>
          </w:p>
        </w:tc>
        <w:tc>
          <w:tcPr>
            <w:tcW w:w="1149" w:type="dxa"/>
            <w:tcBorders>
              <w:top w:val="nil"/>
              <w:left w:val="nil"/>
              <w:bottom w:val="single" w:sz="4" w:space="0" w:color="auto"/>
              <w:right w:val="single" w:sz="4" w:space="0" w:color="auto"/>
            </w:tcBorders>
            <w:shd w:val="clear" w:color="auto" w:fill="auto"/>
            <w:noWrap/>
            <w:vAlign w:val="bottom"/>
            <w:hideMark/>
          </w:tcPr>
          <w:p w:rsidR="00ED2FA4" w:rsidRPr="00896E80" w:rsidRDefault="00341B8A" w:rsidP="00AE1584">
            <w:pPr>
              <w:jc w:val="right"/>
              <w:rPr>
                <w:rFonts w:asciiTheme="minorHAnsi" w:hAnsiTheme="minorHAnsi" w:cs="Arial"/>
                <w:color w:val="FF0000"/>
                <w:sz w:val="12"/>
                <w:szCs w:val="16"/>
                <w:lang w:eastAsia="fr-FR" w:bidi="ar-SA"/>
              </w:rPr>
            </w:pPr>
            <w:r>
              <w:rPr>
                <w:rFonts w:asciiTheme="minorHAnsi" w:hAnsiTheme="minorHAnsi" w:cs="Arial"/>
                <w:color w:val="FF0000"/>
                <w:sz w:val="12"/>
                <w:szCs w:val="16"/>
                <w:lang w:eastAsia="fr-FR" w:bidi="ar-SA"/>
              </w:rPr>
              <w:t>10</w:t>
            </w:r>
            <w:r w:rsidR="00ED2FA4" w:rsidRPr="00896E80">
              <w:rPr>
                <w:rFonts w:asciiTheme="minorHAnsi" w:hAnsiTheme="minorHAnsi" w:cs="Arial"/>
                <w:color w:val="FF0000"/>
                <w:sz w:val="12"/>
                <w:szCs w:val="16"/>
                <w:lang w:eastAsia="fr-FR" w:bidi="ar-SA"/>
              </w:rPr>
              <w:t>%</w:t>
            </w:r>
          </w:p>
        </w:tc>
      </w:tr>
      <w:tr w:rsidR="00F70F21" w:rsidRPr="00896E80" w:rsidTr="00737C19">
        <w:trPr>
          <w:trHeight w:val="255"/>
          <w:jc w:val="center"/>
        </w:trPr>
        <w:tc>
          <w:tcPr>
            <w:tcW w:w="1801" w:type="dxa"/>
            <w:tcBorders>
              <w:top w:val="nil"/>
              <w:left w:val="single" w:sz="4" w:space="0" w:color="auto"/>
              <w:bottom w:val="single" w:sz="4" w:space="0" w:color="auto"/>
              <w:right w:val="single" w:sz="4" w:space="0" w:color="auto"/>
            </w:tcBorders>
            <w:shd w:val="clear" w:color="auto" w:fill="auto"/>
            <w:noWrap/>
            <w:vAlign w:val="bottom"/>
            <w:hideMark/>
          </w:tcPr>
          <w:p w:rsidR="00ED2FA4" w:rsidRPr="00896E80" w:rsidRDefault="00896E80" w:rsidP="00AE1584">
            <w:pPr>
              <w:rPr>
                <w:rFonts w:asciiTheme="minorHAnsi" w:hAnsiTheme="minorHAnsi" w:cs="Arial"/>
                <w:b/>
                <w:sz w:val="12"/>
                <w:szCs w:val="16"/>
                <w:lang w:eastAsia="fr-FR" w:bidi="ar-SA"/>
              </w:rPr>
            </w:pPr>
            <w:r w:rsidRPr="00896E80">
              <w:rPr>
                <w:rFonts w:asciiTheme="minorHAnsi" w:hAnsiTheme="minorHAnsi" w:cs="Arial"/>
                <w:b/>
                <w:sz w:val="12"/>
                <w:szCs w:val="16"/>
                <w:lang w:eastAsia="fr-FR" w:bidi="ar-SA"/>
              </w:rPr>
              <w:t>9. Dépense</w:t>
            </w:r>
            <w:r w:rsidR="00ED2FA4" w:rsidRPr="00896E80">
              <w:rPr>
                <w:rFonts w:asciiTheme="minorHAnsi" w:hAnsiTheme="minorHAnsi" w:cs="Arial"/>
                <w:b/>
                <w:sz w:val="12"/>
                <w:szCs w:val="16"/>
                <w:lang w:eastAsia="fr-FR" w:bidi="ar-SA"/>
              </w:rPr>
              <w:t xml:space="preserve"> Courante en Santé du Gouvernement </w:t>
            </w:r>
          </w:p>
        </w:tc>
        <w:tc>
          <w:tcPr>
            <w:tcW w:w="1170"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11 550 193 449</w:t>
            </w:r>
            <w:r w:rsidRPr="00896E80">
              <w:rPr>
                <w:rFonts w:asciiTheme="minorHAnsi" w:hAnsiTheme="minorHAnsi" w:cs="Arial"/>
                <w:b/>
                <w:bCs/>
                <w:color w:val="FF0000"/>
                <w:sz w:val="12"/>
                <w:szCs w:val="16"/>
                <w:lang w:eastAsia="fr-FR" w:bidi="ar-SA"/>
              </w:rPr>
              <w:t>**</w:t>
            </w:r>
            <w:r w:rsidRPr="00896E80">
              <w:rPr>
                <w:rStyle w:val="Appelnotedebasdep"/>
                <w:rFonts w:asciiTheme="minorHAnsi" w:hAnsiTheme="minorHAnsi" w:cs="Arial"/>
                <w:b/>
                <w:bCs/>
                <w:color w:val="FF0000"/>
                <w:sz w:val="12"/>
                <w:szCs w:val="16"/>
                <w:lang w:eastAsia="fr-FR" w:bidi="ar-SA"/>
              </w:rPr>
              <w:footnoteReference w:id="3"/>
            </w:r>
          </w:p>
        </w:tc>
        <w:tc>
          <w:tcPr>
            <w:tcW w:w="1080"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36 972 836 059</w:t>
            </w:r>
            <w:r w:rsidRPr="00896E80">
              <w:rPr>
                <w:rFonts w:asciiTheme="minorHAnsi" w:hAnsiTheme="minorHAnsi" w:cs="Arial"/>
                <w:b/>
                <w:bCs/>
                <w:color w:val="FF0000"/>
                <w:sz w:val="12"/>
                <w:szCs w:val="16"/>
                <w:lang w:eastAsia="fr-FR" w:bidi="ar-SA"/>
              </w:rPr>
              <w:t>**</w:t>
            </w:r>
          </w:p>
        </w:tc>
        <w:tc>
          <w:tcPr>
            <w:tcW w:w="1108"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55 157 595 391</w:t>
            </w:r>
          </w:p>
        </w:tc>
        <w:tc>
          <w:tcPr>
            <w:tcW w:w="1121"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71 816 057 280</w:t>
            </w:r>
          </w:p>
        </w:tc>
        <w:tc>
          <w:tcPr>
            <w:tcW w:w="1149"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71 078 605 879</w:t>
            </w:r>
          </w:p>
        </w:tc>
      </w:tr>
      <w:tr w:rsidR="00F70F21" w:rsidRPr="00896E80" w:rsidTr="00737C19">
        <w:trPr>
          <w:trHeight w:val="255"/>
          <w:jc w:val="center"/>
        </w:trPr>
        <w:tc>
          <w:tcPr>
            <w:tcW w:w="1801" w:type="dxa"/>
            <w:tcBorders>
              <w:top w:val="nil"/>
              <w:left w:val="single" w:sz="4" w:space="0" w:color="auto"/>
              <w:bottom w:val="single" w:sz="4" w:space="0" w:color="auto"/>
              <w:right w:val="single" w:sz="4" w:space="0" w:color="auto"/>
            </w:tcBorders>
            <w:shd w:val="clear" w:color="auto" w:fill="auto"/>
            <w:noWrap/>
            <w:vAlign w:val="bottom"/>
            <w:hideMark/>
          </w:tcPr>
          <w:p w:rsidR="00ED2FA4" w:rsidRPr="00896E80" w:rsidRDefault="002B47C0" w:rsidP="00AE1584">
            <w:pPr>
              <w:rPr>
                <w:rFonts w:asciiTheme="minorHAnsi" w:hAnsiTheme="minorHAnsi" w:cs="Arial"/>
                <w:b/>
                <w:sz w:val="12"/>
                <w:szCs w:val="16"/>
                <w:lang w:eastAsia="fr-FR" w:bidi="ar-SA"/>
              </w:rPr>
            </w:pPr>
            <w:r w:rsidRPr="00896E80">
              <w:rPr>
                <w:rFonts w:asciiTheme="minorHAnsi" w:hAnsiTheme="minorHAnsi" w:cs="Arial"/>
                <w:b/>
                <w:sz w:val="12"/>
                <w:szCs w:val="16"/>
                <w:lang w:eastAsia="fr-FR" w:bidi="ar-SA"/>
              </w:rPr>
              <w:t>10</w:t>
            </w:r>
            <w:r w:rsidR="00896E80" w:rsidRPr="00896E80">
              <w:rPr>
                <w:rFonts w:asciiTheme="minorHAnsi" w:hAnsiTheme="minorHAnsi" w:cs="Arial"/>
                <w:b/>
                <w:sz w:val="12"/>
                <w:szCs w:val="16"/>
                <w:lang w:eastAsia="fr-FR" w:bidi="ar-SA"/>
              </w:rPr>
              <w:t>. Dépense</w:t>
            </w:r>
            <w:r w:rsidR="00ED2FA4" w:rsidRPr="00896E80">
              <w:rPr>
                <w:rFonts w:asciiTheme="minorHAnsi" w:hAnsiTheme="minorHAnsi" w:cs="Arial"/>
                <w:b/>
                <w:sz w:val="12"/>
                <w:szCs w:val="16"/>
                <w:lang w:eastAsia="fr-FR" w:bidi="ar-SA"/>
              </w:rPr>
              <w:t xml:space="preserve"> Courante en Santé du Gouvernement en % de la DCS</w:t>
            </w:r>
          </w:p>
        </w:tc>
        <w:tc>
          <w:tcPr>
            <w:tcW w:w="1170" w:type="dxa"/>
            <w:tcBorders>
              <w:top w:val="nil"/>
              <w:left w:val="nil"/>
              <w:bottom w:val="single" w:sz="4" w:space="0" w:color="auto"/>
              <w:right w:val="single" w:sz="4" w:space="0" w:color="auto"/>
            </w:tcBorders>
            <w:shd w:val="clear" w:color="auto" w:fill="auto"/>
            <w:noWrap/>
            <w:vAlign w:val="bottom"/>
            <w:hideMark/>
          </w:tcPr>
          <w:p w:rsidR="00ED2FA4" w:rsidRPr="00896E80" w:rsidRDefault="00ED2FA4" w:rsidP="00AE1584">
            <w:pPr>
              <w:jc w:val="right"/>
              <w:rPr>
                <w:rFonts w:asciiTheme="minorHAnsi" w:hAnsiTheme="minorHAnsi" w:cs="Arial"/>
                <w:color w:val="FF0000"/>
                <w:sz w:val="12"/>
                <w:szCs w:val="16"/>
                <w:lang w:eastAsia="fr-FR" w:bidi="ar-SA"/>
              </w:rPr>
            </w:pPr>
            <w:r w:rsidRPr="00896E80">
              <w:rPr>
                <w:rFonts w:asciiTheme="minorHAnsi" w:hAnsiTheme="minorHAnsi" w:cs="Arial"/>
                <w:color w:val="FF0000"/>
                <w:sz w:val="12"/>
                <w:szCs w:val="16"/>
                <w:lang w:eastAsia="fr-FR" w:bidi="ar-SA"/>
              </w:rPr>
              <w:t>10%</w:t>
            </w:r>
          </w:p>
        </w:tc>
        <w:tc>
          <w:tcPr>
            <w:tcW w:w="1080" w:type="dxa"/>
            <w:tcBorders>
              <w:top w:val="nil"/>
              <w:left w:val="nil"/>
              <w:bottom w:val="single" w:sz="4" w:space="0" w:color="auto"/>
              <w:right w:val="single" w:sz="4" w:space="0" w:color="auto"/>
            </w:tcBorders>
            <w:shd w:val="clear" w:color="auto" w:fill="auto"/>
            <w:noWrap/>
            <w:vAlign w:val="bottom"/>
            <w:hideMark/>
          </w:tcPr>
          <w:p w:rsidR="00ED2FA4" w:rsidRPr="00896E80" w:rsidRDefault="00ED2FA4" w:rsidP="00AE1584">
            <w:pPr>
              <w:jc w:val="right"/>
              <w:rPr>
                <w:rFonts w:asciiTheme="minorHAnsi" w:hAnsiTheme="minorHAnsi" w:cs="Arial"/>
                <w:color w:val="FF0000"/>
                <w:sz w:val="12"/>
                <w:szCs w:val="16"/>
                <w:lang w:eastAsia="fr-FR" w:bidi="ar-SA"/>
              </w:rPr>
            </w:pPr>
            <w:r w:rsidRPr="00896E80">
              <w:rPr>
                <w:rFonts w:asciiTheme="minorHAnsi" w:hAnsiTheme="minorHAnsi" w:cs="Arial"/>
                <w:color w:val="FF0000"/>
                <w:sz w:val="12"/>
                <w:szCs w:val="16"/>
                <w:lang w:eastAsia="fr-FR" w:bidi="ar-SA"/>
              </w:rPr>
              <w:t>27%</w:t>
            </w:r>
          </w:p>
        </w:tc>
        <w:tc>
          <w:tcPr>
            <w:tcW w:w="1108" w:type="dxa"/>
            <w:tcBorders>
              <w:top w:val="nil"/>
              <w:left w:val="nil"/>
              <w:bottom w:val="single" w:sz="4" w:space="0" w:color="auto"/>
              <w:right w:val="single" w:sz="4" w:space="0" w:color="auto"/>
            </w:tcBorders>
            <w:shd w:val="clear" w:color="auto" w:fill="auto"/>
            <w:noWrap/>
            <w:vAlign w:val="bottom"/>
            <w:hideMark/>
          </w:tcPr>
          <w:p w:rsidR="00ED2FA4" w:rsidRPr="00896E80" w:rsidRDefault="00ED2FA4" w:rsidP="00AE1584">
            <w:pPr>
              <w:jc w:val="right"/>
              <w:rPr>
                <w:rFonts w:asciiTheme="minorHAnsi" w:hAnsiTheme="minorHAnsi" w:cs="Arial"/>
                <w:color w:val="FF0000"/>
                <w:sz w:val="12"/>
                <w:szCs w:val="16"/>
                <w:lang w:eastAsia="fr-FR" w:bidi="ar-SA"/>
              </w:rPr>
            </w:pPr>
            <w:r w:rsidRPr="00896E80">
              <w:rPr>
                <w:rFonts w:asciiTheme="minorHAnsi" w:hAnsiTheme="minorHAnsi" w:cs="Arial"/>
                <w:color w:val="FF0000"/>
                <w:sz w:val="12"/>
                <w:szCs w:val="16"/>
                <w:lang w:eastAsia="fr-FR" w:bidi="ar-SA"/>
              </w:rPr>
              <w:t>38%</w:t>
            </w:r>
          </w:p>
        </w:tc>
        <w:tc>
          <w:tcPr>
            <w:tcW w:w="1121" w:type="dxa"/>
            <w:tcBorders>
              <w:top w:val="nil"/>
              <w:left w:val="nil"/>
              <w:bottom w:val="single" w:sz="4" w:space="0" w:color="auto"/>
              <w:right w:val="single" w:sz="4" w:space="0" w:color="auto"/>
            </w:tcBorders>
            <w:shd w:val="clear" w:color="auto" w:fill="auto"/>
            <w:noWrap/>
            <w:vAlign w:val="bottom"/>
            <w:hideMark/>
          </w:tcPr>
          <w:p w:rsidR="00ED2FA4" w:rsidRPr="00896E80" w:rsidRDefault="00ED2FA4" w:rsidP="00AE1584">
            <w:pPr>
              <w:jc w:val="right"/>
              <w:rPr>
                <w:rFonts w:asciiTheme="minorHAnsi" w:hAnsiTheme="minorHAnsi" w:cs="Arial"/>
                <w:color w:val="FF0000"/>
                <w:sz w:val="12"/>
                <w:szCs w:val="16"/>
                <w:lang w:eastAsia="fr-FR" w:bidi="ar-SA"/>
              </w:rPr>
            </w:pPr>
            <w:r w:rsidRPr="00896E80">
              <w:rPr>
                <w:rFonts w:asciiTheme="minorHAnsi" w:hAnsiTheme="minorHAnsi" w:cs="Arial"/>
                <w:color w:val="FF0000"/>
                <w:sz w:val="12"/>
                <w:szCs w:val="16"/>
                <w:lang w:eastAsia="fr-FR" w:bidi="ar-SA"/>
              </w:rPr>
              <w:t>44%</w:t>
            </w:r>
          </w:p>
        </w:tc>
        <w:tc>
          <w:tcPr>
            <w:tcW w:w="1149" w:type="dxa"/>
            <w:tcBorders>
              <w:top w:val="nil"/>
              <w:left w:val="nil"/>
              <w:bottom w:val="single" w:sz="4" w:space="0" w:color="auto"/>
              <w:right w:val="single" w:sz="4" w:space="0" w:color="auto"/>
            </w:tcBorders>
            <w:shd w:val="clear" w:color="auto" w:fill="auto"/>
            <w:noWrap/>
            <w:vAlign w:val="bottom"/>
            <w:hideMark/>
          </w:tcPr>
          <w:p w:rsidR="00ED2FA4" w:rsidRPr="00896E80" w:rsidRDefault="00ED2FA4" w:rsidP="00AE1584">
            <w:pPr>
              <w:jc w:val="right"/>
              <w:rPr>
                <w:rFonts w:asciiTheme="minorHAnsi" w:hAnsiTheme="minorHAnsi" w:cs="Arial"/>
                <w:color w:val="FF0000"/>
                <w:sz w:val="12"/>
                <w:szCs w:val="16"/>
                <w:lang w:eastAsia="fr-FR" w:bidi="ar-SA"/>
              </w:rPr>
            </w:pPr>
            <w:r w:rsidRPr="00896E80">
              <w:rPr>
                <w:rFonts w:asciiTheme="minorHAnsi" w:hAnsiTheme="minorHAnsi" w:cs="Arial"/>
                <w:color w:val="FF0000"/>
                <w:sz w:val="12"/>
                <w:szCs w:val="16"/>
                <w:lang w:eastAsia="fr-FR" w:bidi="ar-SA"/>
              </w:rPr>
              <w:t>43%</w:t>
            </w:r>
          </w:p>
        </w:tc>
      </w:tr>
      <w:tr w:rsidR="00F70F21" w:rsidRPr="00896E80" w:rsidTr="00737C19">
        <w:trPr>
          <w:trHeight w:val="255"/>
          <w:jc w:val="center"/>
        </w:trPr>
        <w:tc>
          <w:tcPr>
            <w:tcW w:w="1801" w:type="dxa"/>
            <w:tcBorders>
              <w:top w:val="nil"/>
              <w:left w:val="single" w:sz="4" w:space="0" w:color="auto"/>
              <w:bottom w:val="single" w:sz="4" w:space="0" w:color="auto"/>
              <w:right w:val="single" w:sz="4" w:space="0" w:color="auto"/>
            </w:tcBorders>
            <w:shd w:val="clear" w:color="auto" w:fill="auto"/>
            <w:noWrap/>
            <w:vAlign w:val="bottom"/>
            <w:hideMark/>
          </w:tcPr>
          <w:p w:rsidR="00ED2FA4" w:rsidRPr="00896E80" w:rsidRDefault="002B47C0" w:rsidP="00AE1584">
            <w:pPr>
              <w:rPr>
                <w:rFonts w:asciiTheme="minorHAnsi" w:hAnsiTheme="minorHAnsi" w:cs="Arial"/>
                <w:b/>
                <w:sz w:val="12"/>
                <w:szCs w:val="16"/>
                <w:lang w:eastAsia="fr-FR" w:bidi="ar-SA"/>
              </w:rPr>
            </w:pPr>
            <w:r w:rsidRPr="00896E80">
              <w:rPr>
                <w:rFonts w:asciiTheme="minorHAnsi" w:hAnsiTheme="minorHAnsi" w:cs="Arial"/>
                <w:b/>
                <w:sz w:val="12"/>
                <w:szCs w:val="16"/>
                <w:lang w:eastAsia="fr-FR" w:bidi="ar-SA"/>
              </w:rPr>
              <w:t>11</w:t>
            </w:r>
            <w:r w:rsidR="00896E80" w:rsidRPr="00896E80">
              <w:rPr>
                <w:rFonts w:asciiTheme="minorHAnsi" w:hAnsiTheme="minorHAnsi" w:cs="Arial"/>
                <w:b/>
                <w:sz w:val="12"/>
                <w:szCs w:val="16"/>
                <w:lang w:eastAsia="fr-FR" w:bidi="ar-SA"/>
              </w:rPr>
              <w:t>. Dépense</w:t>
            </w:r>
            <w:r w:rsidR="00ED2FA4" w:rsidRPr="00896E80">
              <w:rPr>
                <w:rFonts w:asciiTheme="minorHAnsi" w:hAnsiTheme="minorHAnsi" w:cs="Arial"/>
                <w:b/>
                <w:sz w:val="12"/>
                <w:szCs w:val="16"/>
                <w:lang w:eastAsia="fr-FR" w:bidi="ar-SA"/>
              </w:rPr>
              <w:t xml:space="preserve"> Courante en Santé des Ménages</w:t>
            </w:r>
          </w:p>
        </w:tc>
        <w:tc>
          <w:tcPr>
            <w:tcW w:w="1170"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49 806 377 367</w:t>
            </w:r>
          </w:p>
        </w:tc>
        <w:tc>
          <w:tcPr>
            <w:tcW w:w="1080"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51 300 568 688</w:t>
            </w:r>
          </w:p>
        </w:tc>
        <w:tc>
          <w:tcPr>
            <w:tcW w:w="1108"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52 839 585 748</w:t>
            </w:r>
          </w:p>
        </w:tc>
        <w:tc>
          <w:tcPr>
            <w:tcW w:w="1121"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54 424 773 321</w:t>
            </w:r>
          </w:p>
        </w:tc>
        <w:tc>
          <w:tcPr>
            <w:tcW w:w="1149"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56 057 516 520</w:t>
            </w:r>
          </w:p>
        </w:tc>
      </w:tr>
      <w:tr w:rsidR="00F70F21" w:rsidRPr="00896E80" w:rsidTr="00737C19">
        <w:trPr>
          <w:trHeight w:val="255"/>
          <w:jc w:val="center"/>
        </w:trPr>
        <w:tc>
          <w:tcPr>
            <w:tcW w:w="1801" w:type="dxa"/>
            <w:tcBorders>
              <w:top w:val="nil"/>
              <w:left w:val="single" w:sz="4" w:space="0" w:color="auto"/>
              <w:bottom w:val="single" w:sz="4" w:space="0" w:color="auto"/>
              <w:right w:val="single" w:sz="4" w:space="0" w:color="auto"/>
            </w:tcBorders>
            <w:shd w:val="clear" w:color="auto" w:fill="auto"/>
            <w:noWrap/>
            <w:vAlign w:val="bottom"/>
            <w:hideMark/>
          </w:tcPr>
          <w:p w:rsidR="00ED2FA4" w:rsidRPr="00896E80" w:rsidRDefault="002B47C0" w:rsidP="00AE1584">
            <w:pPr>
              <w:rPr>
                <w:rFonts w:asciiTheme="minorHAnsi" w:hAnsiTheme="minorHAnsi" w:cs="Arial"/>
                <w:b/>
                <w:sz w:val="12"/>
                <w:szCs w:val="16"/>
                <w:lang w:eastAsia="fr-FR" w:bidi="ar-SA"/>
              </w:rPr>
            </w:pPr>
            <w:r w:rsidRPr="00896E80">
              <w:rPr>
                <w:rFonts w:asciiTheme="minorHAnsi" w:hAnsiTheme="minorHAnsi" w:cs="Arial"/>
                <w:b/>
                <w:sz w:val="12"/>
                <w:szCs w:val="16"/>
                <w:lang w:eastAsia="fr-FR" w:bidi="ar-SA"/>
              </w:rPr>
              <w:t>12</w:t>
            </w:r>
            <w:r w:rsidR="00896E80" w:rsidRPr="00896E80">
              <w:rPr>
                <w:rFonts w:asciiTheme="minorHAnsi" w:hAnsiTheme="minorHAnsi" w:cs="Arial"/>
                <w:b/>
                <w:sz w:val="12"/>
                <w:szCs w:val="16"/>
                <w:lang w:eastAsia="fr-FR" w:bidi="ar-SA"/>
              </w:rPr>
              <w:t>. Dépense</w:t>
            </w:r>
            <w:r w:rsidR="00ED2FA4" w:rsidRPr="00896E80">
              <w:rPr>
                <w:rFonts w:asciiTheme="minorHAnsi" w:hAnsiTheme="minorHAnsi" w:cs="Arial"/>
                <w:b/>
                <w:sz w:val="12"/>
                <w:szCs w:val="16"/>
                <w:lang w:eastAsia="fr-FR" w:bidi="ar-SA"/>
              </w:rPr>
              <w:t xml:space="preserve"> Courante en Santé des Ménages en % des DCS</w:t>
            </w:r>
          </w:p>
        </w:tc>
        <w:tc>
          <w:tcPr>
            <w:tcW w:w="1170" w:type="dxa"/>
            <w:tcBorders>
              <w:top w:val="nil"/>
              <w:left w:val="nil"/>
              <w:bottom w:val="single" w:sz="4" w:space="0" w:color="auto"/>
              <w:right w:val="single" w:sz="4" w:space="0" w:color="auto"/>
            </w:tcBorders>
            <w:shd w:val="clear" w:color="auto" w:fill="auto"/>
            <w:noWrap/>
            <w:vAlign w:val="bottom"/>
            <w:hideMark/>
          </w:tcPr>
          <w:p w:rsidR="00ED2FA4" w:rsidRPr="00896E80" w:rsidRDefault="00ED2FA4" w:rsidP="00AE1584">
            <w:pPr>
              <w:jc w:val="right"/>
              <w:rPr>
                <w:rFonts w:asciiTheme="minorHAnsi" w:hAnsiTheme="minorHAnsi" w:cs="Arial"/>
                <w:color w:val="FF0000"/>
                <w:sz w:val="12"/>
                <w:szCs w:val="16"/>
                <w:lang w:eastAsia="fr-FR" w:bidi="ar-SA"/>
              </w:rPr>
            </w:pPr>
            <w:r w:rsidRPr="00896E80">
              <w:rPr>
                <w:rFonts w:asciiTheme="minorHAnsi" w:hAnsiTheme="minorHAnsi" w:cs="Arial"/>
                <w:color w:val="FF0000"/>
                <w:sz w:val="12"/>
                <w:szCs w:val="16"/>
                <w:lang w:eastAsia="fr-FR" w:bidi="ar-SA"/>
              </w:rPr>
              <w:t>41%</w:t>
            </w:r>
          </w:p>
        </w:tc>
        <w:tc>
          <w:tcPr>
            <w:tcW w:w="1080" w:type="dxa"/>
            <w:tcBorders>
              <w:top w:val="nil"/>
              <w:left w:val="nil"/>
              <w:bottom w:val="single" w:sz="4" w:space="0" w:color="auto"/>
              <w:right w:val="single" w:sz="4" w:space="0" w:color="auto"/>
            </w:tcBorders>
            <w:shd w:val="clear" w:color="auto" w:fill="auto"/>
            <w:noWrap/>
            <w:vAlign w:val="bottom"/>
            <w:hideMark/>
          </w:tcPr>
          <w:p w:rsidR="00ED2FA4" w:rsidRPr="00896E80" w:rsidRDefault="00ED2FA4" w:rsidP="00AE1584">
            <w:pPr>
              <w:jc w:val="right"/>
              <w:rPr>
                <w:rFonts w:asciiTheme="minorHAnsi" w:hAnsiTheme="minorHAnsi" w:cs="Arial"/>
                <w:color w:val="FF0000"/>
                <w:sz w:val="12"/>
                <w:szCs w:val="16"/>
                <w:lang w:eastAsia="fr-FR" w:bidi="ar-SA"/>
              </w:rPr>
            </w:pPr>
            <w:r w:rsidRPr="00896E80">
              <w:rPr>
                <w:rFonts w:asciiTheme="minorHAnsi" w:hAnsiTheme="minorHAnsi" w:cs="Arial"/>
                <w:color w:val="FF0000"/>
                <w:sz w:val="12"/>
                <w:szCs w:val="16"/>
                <w:lang w:eastAsia="fr-FR" w:bidi="ar-SA"/>
              </w:rPr>
              <w:t>38%</w:t>
            </w:r>
          </w:p>
        </w:tc>
        <w:tc>
          <w:tcPr>
            <w:tcW w:w="1108" w:type="dxa"/>
            <w:tcBorders>
              <w:top w:val="nil"/>
              <w:left w:val="nil"/>
              <w:bottom w:val="single" w:sz="4" w:space="0" w:color="auto"/>
              <w:right w:val="single" w:sz="4" w:space="0" w:color="auto"/>
            </w:tcBorders>
            <w:shd w:val="clear" w:color="auto" w:fill="auto"/>
            <w:noWrap/>
            <w:vAlign w:val="bottom"/>
            <w:hideMark/>
          </w:tcPr>
          <w:p w:rsidR="00ED2FA4" w:rsidRPr="00896E80" w:rsidRDefault="00ED2FA4" w:rsidP="00AE1584">
            <w:pPr>
              <w:jc w:val="right"/>
              <w:rPr>
                <w:rFonts w:asciiTheme="minorHAnsi" w:hAnsiTheme="minorHAnsi" w:cs="Arial"/>
                <w:color w:val="FF0000"/>
                <w:sz w:val="12"/>
                <w:szCs w:val="16"/>
                <w:lang w:eastAsia="fr-FR" w:bidi="ar-SA"/>
              </w:rPr>
            </w:pPr>
            <w:r w:rsidRPr="00896E80">
              <w:rPr>
                <w:rFonts w:asciiTheme="minorHAnsi" w:hAnsiTheme="minorHAnsi" w:cs="Arial"/>
                <w:color w:val="FF0000"/>
                <w:sz w:val="12"/>
                <w:szCs w:val="16"/>
                <w:lang w:eastAsia="fr-FR" w:bidi="ar-SA"/>
              </w:rPr>
              <w:t>37%</w:t>
            </w:r>
          </w:p>
        </w:tc>
        <w:tc>
          <w:tcPr>
            <w:tcW w:w="1121" w:type="dxa"/>
            <w:tcBorders>
              <w:top w:val="nil"/>
              <w:left w:val="nil"/>
              <w:bottom w:val="single" w:sz="4" w:space="0" w:color="auto"/>
              <w:right w:val="single" w:sz="4" w:space="0" w:color="auto"/>
            </w:tcBorders>
            <w:shd w:val="clear" w:color="auto" w:fill="auto"/>
            <w:noWrap/>
            <w:vAlign w:val="bottom"/>
            <w:hideMark/>
          </w:tcPr>
          <w:p w:rsidR="00ED2FA4" w:rsidRPr="00896E80" w:rsidRDefault="00ED2FA4" w:rsidP="00AE1584">
            <w:pPr>
              <w:jc w:val="right"/>
              <w:rPr>
                <w:rFonts w:asciiTheme="minorHAnsi" w:hAnsiTheme="minorHAnsi" w:cs="Arial"/>
                <w:color w:val="FF0000"/>
                <w:sz w:val="12"/>
                <w:szCs w:val="16"/>
                <w:lang w:eastAsia="fr-FR" w:bidi="ar-SA"/>
              </w:rPr>
            </w:pPr>
            <w:r w:rsidRPr="00896E80">
              <w:rPr>
                <w:rFonts w:asciiTheme="minorHAnsi" w:hAnsiTheme="minorHAnsi" w:cs="Arial"/>
                <w:color w:val="FF0000"/>
                <w:sz w:val="12"/>
                <w:szCs w:val="16"/>
                <w:lang w:eastAsia="fr-FR" w:bidi="ar-SA"/>
              </w:rPr>
              <w:t>33%</w:t>
            </w:r>
          </w:p>
        </w:tc>
        <w:tc>
          <w:tcPr>
            <w:tcW w:w="1149" w:type="dxa"/>
            <w:tcBorders>
              <w:top w:val="nil"/>
              <w:left w:val="nil"/>
              <w:bottom w:val="single" w:sz="4" w:space="0" w:color="auto"/>
              <w:right w:val="single" w:sz="4" w:space="0" w:color="auto"/>
            </w:tcBorders>
            <w:shd w:val="clear" w:color="auto" w:fill="auto"/>
            <w:noWrap/>
            <w:vAlign w:val="bottom"/>
            <w:hideMark/>
          </w:tcPr>
          <w:p w:rsidR="00ED2FA4" w:rsidRPr="00896E80" w:rsidRDefault="00ED2FA4" w:rsidP="00AE1584">
            <w:pPr>
              <w:jc w:val="right"/>
              <w:rPr>
                <w:rFonts w:asciiTheme="minorHAnsi" w:hAnsiTheme="minorHAnsi" w:cs="Arial"/>
                <w:color w:val="FF0000"/>
                <w:sz w:val="12"/>
                <w:szCs w:val="16"/>
                <w:lang w:eastAsia="fr-FR" w:bidi="ar-SA"/>
              </w:rPr>
            </w:pPr>
            <w:r w:rsidRPr="00896E80">
              <w:rPr>
                <w:rFonts w:asciiTheme="minorHAnsi" w:hAnsiTheme="minorHAnsi" w:cs="Arial"/>
                <w:color w:val="FF0000"/>
                <w:sz w:val="12"/>
                <w:szCs w:val="16"/>
                <w:lang w:eastAsia="fr-FR" w:bidi="ar-SA"/>
              </w:rPr>
              <w:t>34%</w:t>
            </w:r>
          </w:p>
        </w:tc>
      </w:tr>
      <w:tr w:rsidR="00F70F21" w:rsidRPr="00896E80" w:rsidTr="00737C19">
        <w:trPr>
          <w:trHeight w:val="255"/>
          <w:jc w:val="center"/>
        </w:trPr>
        <w:tc>
          <w:tcPr>
            <w:tcW w:w="1801" w:type="dxa"/>
            <w:tcBorders>
              <w:top w:val="nil"/>
              <w:left w:val="single" w:sz="4" w:space="0" w:color="auto"/>
              <w:bottom w:val="single" w:sz="4" w:space="0" w:color="auto"/>
              <w:right w:val="single" w:sz="4" w:space="0" w:color="auto"/>
            </w:tcBorders>
            <w:shd w:val="clear" w:color="auto" w:fill="auto"/>
            <w:noWrap/>
            <w:vAlign w:val="bottom"/>
            <w:hideMark/>
          </w:tcPr>
          <w:p w:rsidR="00ED2FA4" w:rsidRPr="00896E80" w:rsidRDefault="002B47C0" w:rsidP="00AE1584">
            <w:pPr>
              <w:rPr>
                <w:rFonts w:asciiTheme="minorHAnsi" w:hAnsiTheme="minorHAnsi" w:cs="Arial"/>
                <w:b/>
                <w:sz w:val="12"/>
                <w:szCs w:val="16"/>
                <w:lang w:eastAsia="fr-FR" w:bidi="ar-SA"/>
              </w:rPr>
            </w:pPr>
            <w:r w:rsidRPr="00896E80">
              <w:rPr>
                <w:rFonts w:asciiTheme="minorHAnsi" w:hAnsiTheme="minorHAnsi" w:cs="Arial"/>
                <w:b/>
                <w:sz w:val="12"/>
                <w:szCs w:val="16"/>
                <w:lang w:eastAsia="fr-FR" w:bidi="ar-SA"/>
              </w:rPr>
              <w:t>13</w:t>
            </w:r>
            <w:r w:rsidR="00896E80" w:rsidRPr="00896E80">
              <w:rPr>
                <w:rFonts w:asciiTheme="minorHAnsi" w:hAnsiTheme="minorHAnsi" w:cs="Arial"/>
                <w:b/>
                <w:sz w:val="12"/>
                <w:szCs w:val="16"/>
                <w:lang w:eastAsia="fr-FR" w:bidi="ar-SA"/>
              </w:rPr>
              <w:t>. Dépense</w:t>
            </w:r>
            <w:r w:rsidR="00ED2FA4" w:rsidRPr="00896E80">
              <w:rPr>
                <w:rFonts w:asciiTheme="minorHAnsi" w:hAnsiTheme="minorHAnsi" w:cs="Arial"/>
                <w:b/>
                <w:sz w:val="12"/>
                <w:szCs w:val="16"/>
                <w:lang w:eastAsia="fr-FR" w:bidi="ar-SA"/>
              </w:rPr>
              <w:t xml:space="preserve"> Courante en Santé des Bailleurs </w:t>
            </w:r>
          </w:p>
        </w:tc>
        <w:tc>
          <w:tcPr>
            <w:tcW w:w="1170"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57 435 084 957</w:t>
            </w:r>
          </w:p>
        </w:tc>
        <w:tc>
          <w:tcPr>
            <w:tcW w:w="1080"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45 194 268 352</w:t>
            </w:r>
          </w:p>
        </w:tc>
        <w:tc>
          <w:tcPr>
            <w:tcW w:w="1108"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34 207 648 096</w:t>
            </w:r>
          </w:p>
        </w:tc>
        <w:tc>
          <w:tcPr>
            <w:tcW w:w="1121"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31 715 024 298</w:t>
            </w:r>
          </w:p>
        </w:tc>
        <w:tc>
          <w:tcPr>
            <w:tcW w:w="1149" w:type="dxa"/>
            <w:tcBorders>
              <w:top w:val="nil"/>
              <w:left w:val="nil"/>
              <w:bottom w:val="single" w:sz="4" w:space="0" w:color="auto"/>
              <w:right w:val="single" w:sz="4" w:space="0" w:color="auto"/>
            </w:tcBorders>
            <w:shd w:val="clear" w:color="auto" w:fill="auto"/>
            <w:vAlign w:val="center"/>
            <w:hideMark/>
          </w:tcPr>
          <w:p w:rsidR="00ED2FA4" w:rsidRPr="00896E80" w:rsidRDefault="00ED2FA4" w:rsidP="00AE1584">
            <w:pPr>
              <w:jc w:val="right"/>
              <w:rPr>
                <w:rFonts w:asciiTheme="minorHAnsi" w:hAnsiTheme="minorHAnsi" w:cs="Arial"/>
                <w:b/>
                <w:bCs/>
                <w:sz w:val="12"/>
                <w:szCs w:val="16"/>
                <w:lang w:eastAsia="fr-FR" w:bidi="ar-SA"/>
              </w:rPr>
            </w:pPr>
            <w:r w:rsidRPr="00896E80">
              <w:rPr>
                <w:rFonts w:asciiTheme="minorHAnsi" w:hAnsiTheme="minorHAnsi" w:cs="Arial"/>
                <w:b/>
                <w:bCs/>
                <w:sz w:val="12"/>
                <w:szCs w:val="16"/>
                <w:lang w:eastAsia="fr-FR" w:bidi="ar-SA"/>
              </w:rPr>
              <w:t>32 664 460 195</w:t>
            </w:r>
          </w:p>
        </w:tc>
      </w:tr>
      <w:tr w:rsidR="00F70F21" w:rsidRPr="00896E80" w:rsidTr="00737C19">
        <w:trPr>
          <w:trHeight w:val="255"/>
          <w:jc w:val="center"/>
        </w:trPr>
        <w:tc>
          <w:tcPr>
            <w:tcW w:w="1801" w:type="dxa"/>
            <w:tcBorders>
              <w:top w:val="nil"/>
              <w:left w:val="single" w:sz="4" w:space="0" w:color="auto"/>
              <w:bottom w:val="single" w:sz="4" w:space="0" w:color="auto"/>
              <w:right w:val="single" w:sz="4" w:space="0" w:color="auto"/>
            </w:tcBorders>
            <w:shd w:val="clear" w:color="auto" w:fill="auto"/>
            <w:noWrap/>
            <w:vAlign w:val="bottom"/>
            <w:hideMark/>
          </w:tcPr>
          <w:p w:rsidR="00ED2FA4" w:rsidRPr="00896E80" w:rsidRDefault="002B47C0" w:rsidP="00AE1584">
            <w:pPr>
              <w:rPr>
                <w:rFonts w:asciiTheme="minorHAnsi" w:hAnsiTheme="minorHAnsi" w:cs="Arial"/>
                <w:b/>
                <w:sz w:val="12"/>
                <w:szCs w:val="16"/>
                <w:lang w:eastAsia="fr-FR" w:bidi="ar-SA"/>
              </w:rPr>
            </w:pPr>
            <w:r w:rsidRPr="00896E80">
              <w:rPr>
                <w:rFonts w:asciiTheme="minorHAnsi" w:hAnsiTheme="minorHAnsi" w:cs="Arial"/>
                <w:b/>
                <w:sz w:val="12"/>
                <w:szCs w:val="16"/>
                <w:lang w:eastAsia="fr-FR" w:bidi="ar-SA"/>
              </w:rPr>
              <w:t>14</w:t>
            </w:r>
            <w:r w:rsidR="00896E80" w:rsidRPr="00896E80">
              <w:rPr>
                <w:rFonts w:asciiTheme="minorHAnsi" w:hAnsiTheme="minorHAnsi" w:cs="Arial"/>
                <w:b/>
                <w:sz w:val="12"/>
                <w:szCs w:val="16"/>
                <w:lang w:eastAsia="fr-FR" w:bidi="ar-SA"/>
              </w:rPr>
              <w:t>. Dépense</w:t>
            </w:r>
            <w:r w:rsidR="00ED2FA4" w:rsidRPr="00896E80">
              <w:rPr>
                <w:rFonts w:asciiTheme="minorHAnsi" w:hAnsiTheme="minorHAnsi" w:cs="Arial"/>
                <w:b/>
                <w:sz w:val="12"/>
                <w:szCs w:val="16"/>
                <w:lang w:eastAsia="fr-FR" w:bidi="ar-SA"/>
              </w:rPr>
              <w:t xml:space="preserve"> Courante en Santé des Bailleurs  en % des DCS</w:t>
            </w:r>
          </w:p>
        </w:tc>
        <w:tc>
          <w:tcPr>
            <w:tcW w:w="1170" w:type="dxa"/>
            <w:tcBorders>
              <w:top w:val="nil"/>
              <w:left w:val="nil"/>
              <w:bottom w:val="single" w:sz="4" w:space="0" w:color="auto"/>
              <w:right w:val="single" w:sz="4" w:space="0" w:color="auto"/>
            </w:tcBorders>
            <w:shd w:val="clear" w:color="auto" w:fill="auto"/>
            <w:noWrap/>
            <w:vAlign w:val="bottom"/>
            <w:hideMark/>
          </w:tcPr>
          <w:p w:rsidR="00ED2FA4" w:rsidRPr="00896E80" w:rsidRDefault="00ED2FA4" w:rsidP="00AE1584">
            <w:pPr>
              <w:jc w:val="right"/>
              <w:rPr>
                <w:rFonts w:asciiTheme="minorHAnsi" w:hAnsiTheme="minorHAnsi" w:cs="Arial"/>
                <w:color w:val="FF0000"/>
                <w:sz w:val="12"/>
                <w:szCs w:val="16"/>
                <w:lang w:eastAsia="fr-FR" w:bidi="ar-SA"/>
              </w:rPr>
            </w:pPr>
            <w:r w:rsidRPr="00896E80">
              <w:rPr>
                <w:rFonts w:asciiTheme="minorHAnsi" w:hAnsiTheme="minorHAnsi" w:cs="Arial"/>
                <w:color w:val="FF0000"/>
                <w:sz w:val="12"/>
                <w:szCs w:val="16"/>
                <w:lang w:eastAsia="fr-FR" w:bidi="ar-SA"/>
              </w:rPr>
              <w:t>47%</w:t>
            </w:r>
          </w:p>
        </w:tc>
        <w:tc>
          <w:tcPr>
            <w:tcW w:w="1080" w:type="dxa"/>
            <w:tcBorders>
              <w:top w:val="nil"/>
              <w:left w:val="nil"/>
              <w:bottom w:val="single" w:sz="4" w:space="0" w:color="auto"/>
              <w:right w:val="single" w:sz="4" w:space="0" w:color="auto"/>
            </w:tcBorders>
            <w:shd w:val="clear" w:color="auto" w:fill="auto"/>
            <w:noWrap/>
            <w:vAlign w:val="bottom"/>
            <w:hideMark/>
          </w:tcPr>
          <w:p w:rsidR="00ED2FA4" w:rsidRPr="00896E80" w:rsidRDefault="00ED2FA4" w:rsidP="00AE1584">
            <w:pPr>
              <w:jc w:val="right"/>
              <w:rPr>
                <w:rFonts w:asciiTheme="minorHAnsi" w:hAnsiTheme="minorHAnsi" w:cs="Arial"/>
                <w:color w:val="FF0000"/>
                <w:sz w:val="12"/>
                <w:szCs w:val="16"/>
                <w:lang w:eastAsia="fr-FR" w:bidi="ar-SA"/>
              </w:rPr>
            </w:pPr>
            <w:r w:rsidRPr="00896E80">
              <w:rPr>
                <w:rFonts w:asciiTheme="minorHAnsi" w:hAnsiTheme="minorHAnsi" w:cs="Arial"/>
                <w:color w:val="FF0000"/>
                <w:sz w:val="12"/>
                <w:szCs w:val="16"/>
                <w:lang w:eastAsia="fr-FR" w:bidi="ar-SA"/>
              </w:rPr>
              <w:t>33%</w:t>
            </w:r>
          </w:p>
        </w:tc>
        <w:tc>
          <w:tcPr>
            <w:tcW w:w="1108" w:type="dxa"/>
            <w:tcBorders>
              <w:top w:val="nil"/>
              <w:left w:val="nil"/>
              <w:bottom w:val="single" w:sz="4" w:space="0" w:color="auto"/>
              <w:right w:val="single" w:sz="4" w:space="0" w:color="auto"/>
            </w:tcBorders>
            <w:shd w:val="clear" w:color="auto" w:fill="auto"/>
            <w:noWrap/>
            <w:vAlign w:val="bottom"/>
            <w:hideMark/>
          </w:tcPr>
          <w:p w:rsidR="00ED2FA4" w:rsidRPr="00896E80" w:rsidRDefault="00ED2FA4" w:rsidP="00AE1584">
            <w:pPr>
              <w:jc w:val="right"/>
              <w:rPr>
                <w:rFonts w:asciiTheme="minorHAnsi" w:hAnsiTheme="minorHAnsi" w:cs="Arial"/>
                <w:color w:val="FF0000"/>
                <w:sz w:val="12"/>
                <w:szCs w:val="16"/>
                <w:lang w:eastAsia="fr-FR" w:bidi="ar-SA"/>
              </w:rPr>
            </w:pPr>
            <w:r w:rsidRPr="00896E80">
              <w:rPr>
                <w:rFonts w:asciiTheme="minorHAnsi" w:hAnsiTheme="minorHAnsi" w:cs="Arial"/>
                <w:color w:val="FF0000"/>
                <w:sz w:val="12"/>
                <w:szCs w:val="16"/>
                <w:lang w:eastAsia="fr-FR" w:bidi="ar-SA"/>
              </w:rPr>
              <w:t>24%</w:t>
            </w:r>
          </w:p>
        </w:tc>
        <w:tc>
          <w:tcPr>
            <w:tcW w:w="1121" w:type="dxa"/>
            <w:tcBorders>
              <w:top w:val="nil"/>
              <w:left w:val="nil"/>
              <w:bottom w:val="single" w:sz="4" w:space="0" w:color="auto"/>
              <w:right w:val="single" w:sz="4" w:space="0" w:color="auto"/>
            </w:tcBorders>
            <w:shd w:val="clear" w:color="auto" w:fill="auto"/>
            <w:noWrap/>
            <w:vAlign w:val="bottom"/>
            <w:hideMark/>
          </w:tcPr>
          <w:p w:rsidR="00ED2FA4" w:rsidRPr="00896E80" w:rsidRDefault="00ED2FA4" w:rsidP="00AE1584">
            <w:pPr>
              <w:jc w:val="right"/>
              <w:rPr>
                <w:rFonts w:asciiTheme="minorHAnsi" w:hAnsiTheme="minorHAnsi" w:cs="Arial"/>
                <w:color w:val="FF0000"/>
                <w:sz w:val="12"/>
                <w:szCs w:val="16"/>
                <w:lang w:eastAsia="fr-FR" w:bidi="ar-SA"/>
              </w:rPr>
            </w:pPr>
            <w:r w:rsidRPr="00896E80">
              <w:rPr>
                <w:rFonts w:asciiTheme="minorHAnsi" w:hAnsiTheme="minorHAnsi" w:cs="Arial"/>
                <w:color w:val="FF0000"/>
                <w:sz w:val="12"/>
                <w:szCs w:val="16"/>
                <w:lang w:eastAsia="fr-FR" w:bidi="ar-SA"/>
              </w:rPr>
              <w:t>19%</w:t>
            </w:r>
          </w:p>
        </w:tc>
        <w:tc>
          <w:tcPr>
            <w:tcW w:w="1149" w:type="dxa"/>
            <w:tcBorders>
              <w:top w:val="nil"/>
              <w:left w:val="nil"/>
              <w:bottom w:val="single" w:sz="4" w:space="0" w:color="auto"/>
              <w:right w:val="single" w:sz="4" w:space="0" w:color="auto"/>
            </w:tcBorders>
            <w:shd w:val="clear" w:color="auto" w:fill="auto"/>
            <w:noWrap/>
            <w:vAlign w:val="bottom"/>
            <w:hideMark/>
          </w:tcPr>
          <w:p w:rsidR="00ED2FA4" w:rsidRPr="00896E80" w:rsidRDefault="005F12C9" w:rsidP="00AE1584">
            <w:pPr>
              <w:jc w:val="right"/>
              <w:rPr>
                <w:rFonts w:asciiTheme="minorHAnsi" w:hAnsiTheme="minorHAnsi" w:cs="Arial"/>
                <w:color w:val="FF0000"/>
                <w:sz w:val="12"/>
                <w:szCs w:val="16"/>
                <w:lang w:eastAsia="fr-FR" w:bidi="ar-SA"/>
              </w:rPr>
            </w:pPr>
            <w:r>
              <w:rPr>
                <w:rFonts w:asciiTheme="minorHAnsi" w:hAnsiTheme="minorHAnsi" w:cs="Arial"/>
                <w:color w:val="FF0000"/>
                <w:sz w:val="12"/>
                <w:szCs w:val="16"/>
                <w:lang w:eastAsia="fr-FR" w:bidi="ar-SA"/>
              </w:rPr>
              <w:t>20</w:t>
            </w:r>
            <w:r w:rsidR="00ED2FA4" w:rsidRPr="00896E80">
              <w:rPr>
                <w:rFonts w:asciiTheme="minorHAnsi" w:hAnsiTheme="minorHAnsi" w:cs="Arial"/>
                <w:color w:val="FF0000"/>
                <w:sz w:val="12"/>
                <w:szCs w:val="16"/>
                <w:lang w:eastAsia="fr-FR" w:bidi="ar-SA"/>
              </w:rPr>
              <w:t>%</w:t>
            </w:r>
          </w:p>
        </w:tc>
      </w:tr>
    </w:tbl>
    <w:p w:rsidR="00CA4B30" w:rsidRPr="00370648" w:rsidRDefault="0088032B" w:rsidP="00AA4FAD">
      <w:pPr>
        <w:jc w:val="both"/>
        <w:rPr>
          <w:color w:val="FF0000"/>
          <w:sz w:val="16"/>
        </w:rPr>
      </w:pPr>
      <w:r w:rsidRPr="00370648">
        <w:rPr>
          <w:color w:val="000000" w:themeColor="text1"/>
          <w:sz w:val="16"/>
        </w:rPr>
        <w:t xml:space="preserve">             </w:t>
      </w:r>
      <w:r w:rsidR="00370648" w:rsidRPr="00370648">
        <w:rPr>
          <w:color w:val="000000" w:themeColor="text1"/>
          <w:sz w:val="16"/>
        </w:rPr>
        <w:t xml:space="preserve">  </w:t>
      </w:r>
      <w:r w:rsidR="00370648">
        <w:rPr>
          <w:color w:val="000000" w:themeColor="text1"/>
          <w:sz w:val="16"/>
        </w:rPr>
        <w:t xml:space="preserve">    </w:t>
      </w:r>
      <w:r w:rsidR="00370648" w:rsidRPr="00370648">
        <w:rPr>
          <w:color w:val="000000" w:themeColor="text1"/>
          <w:sz w:val="16"/>
        </w:rPr>
        <w:t xml:space="preserve"> </w:t>
      </w:r>
      <w:r w:rsidRPr="00370648">
        <w:rPr>
          <w:color w:val="FF0000"/>
          <w:sz w:val="16"/>
        </w:rPr>
        <w:t>** données à actualiser</w:t>
      </w:r>
    </w:p>
    <w:p w:rsidR="0088032B" w:rsidRPr="0088032B" w:rsidRDefault="0088032B" w:rsidP="00AA4FAD">
      <w:pPr>
        <w:jc w:val="both"/>
        <w:rPr>
          <w:color w:val="FF0000"/>
          <w:sz w:val="22"/>
        </w:rPr>
      </w:pPr>
    </w:p>
    <w:p w:rsidR="002B47C0" w:rsidRDefault="00BB0813" w:rsidP="00AA4FAD">
      <w:pPr>
        <w:jc w:val="both"/>
        <w:rPr>
          <w:color w:val="000000" w:themeColor="text1"/>
        </w:rPr>
      </w:pPr>
      <w:r>
        <w:rPr>
          <w:color w:val="000000" w:themeColor="text1"/>
        </w:rPr>
        <w:t>Les dépenses par source</w:t>
      </w:r>
      <w:r w:rsidR="00737C19">
        <w:rPr>
          <w:color w:val="000000" w:themeColor="text1"/>
        </w:rPr>
        <w:t xml:space="preserve"> de financement par habitant </w:t>
      </w:r>
      <w:r>
        <w:rPr>
          <w:color w:val="000000" w:themeColor="text1"/>
        </w:rPr>
        <w:t xml:space="preserve">par an </w:t>
      </w:r>
      <w:r w:rsidR="000B7EFC">
        <w:rPr>
          <w:color w:val="000000" w:themeColor="text1"/>
        </w:rPr>
        <w:t xml:space="preserve">en </w:t>
      </w:r>
      <w:r>
        <w:rPr>
          <w:color w:val="000000" w:themeColor="text1"/>
        </w:rPr>
        <w:t>de 2011 à 2015</w:t>
      </w:r>
      <w:r w:rsidR="000B7EFC">
        <w:rPr>
          <w:color w:val="000000" w:themeColor="text1"/>
        </w:rPr>
        <w:t xml:space="preserve"> en USD</w:t>
      </w:r>
      <w:r>
        <w:rPr>
          <w:color w:val="000000" w:themeColor="text1"/>
        </w:rPr>
        <w:t xml:space="preserve"> </w:t>
      </w:r>
      <w:r w:rsidR="000B7EFC">
        <w:rPr>
          <w:color w:val="000000" w:themeColor="text1"/>
        </w:rPr>
        <w:t xml:space="preserve"> sont présentées dans c</w:t>
      </w:r>
      <w:r w:rsidR="00CA4B30">
        <w:rPr>
          <w:color w:val="000000" w:themeColor="text1"/>
        </w:rPr>
        <w:t>e tab</w:t>
      </w:r>
      <w:r w:rsidR="00C00664">
        <w:rPr>
          <w:color w:val="000000" w:themeColor="text1"/>
        </w:rPr>
        <w:t>leau n°4</w:t>
      </w:r>
      <w:r w:rsidR="00CA4B30">
        <w:rPr>
          <w:color w:val="000000" w:themeColor="text1"/>
        </w:rPr>
        <w:t>.</w:t>
      </w:r>
    </w:p>
    <w:p w:rsidR="000B7EFC" w:rsidRDefault="000B7EFC" w:rsidP="00AA4FAD">
      <w:pPr>
        <w:jc w:val="both"/>
        <w:rPr>
          <w:color w:val="000000" w:themeColor="text1"/>
        </w:rPr>
      </w:pPr>
    </w:p>
    <w:p w:rsidR="000B7EFC" w:rsidRPr="00C00664" w:rsidRDefault="000B7EFC" w:rsidP="00AA4FAD">
      <w:pPr>
        <w:jc w:val="both"/>
        <w:rPr>
          <w:b/>
          <w:color w:val="000000" w:themeColor="text1"/>
          <w:sz w:val="20"/>
        </w:rPr>
      </w:pPr>
      <w:r w:rsidRPr="00C00664">
        <w:rPr>
          <w:b/>
          <w:color w:val="000000" w:themeColor="text1"/>
          <w:sz w:val="20"/>
        </w:rPr>
        <w:t>Tableau n</w:t>
      </w:r>
      <w:r w:rsidR="00C00664" w:rsidRPr="00C00664">
        <w:rPr>
          <w:b/>
          <w:color w:val="000000" w:themeColor="text1"/>
          <w:sz w:val="20"/>
        </w:rPr>
        <w:t>°4</w:t>
      </w:r>
      <w:r w:rsidRPr="00C00664">
        <w:rPr>
          <w:b/>
          <w:color w:val="000000" w:themeColor="text1"/>
          <w:sz w:val="20"/>
        </w:rPr>
        <w:t xml:space="preserve"> Evolution des dépenses de santé par habitant par an et par source de financement </w:t>
      </w:r>
    </w:p>
    <w:p w:rsidR="000B7EFC" w:rsidRPr="00C00664" w:rsidRDefault="000B7EFC" w:rsidP="00AA4FAD">
      <w:pPr>
        <w:jc w:val="both"/>
        <w:rPr>
          <w:b/>
          <w:color w:val="000000" w:themeColor="text1"/>
          <w:sz w:val="20"/>
        </w:rPr>
      </w:pPr>
      <w:r w:rsidRPr="00C00664">
        <w:rPr>
          <w:b/>
          <w:color w:val="000000" w:themeColor="text1"/>
          <w:sz w:val="20"/>
        </w:rPr>
        <w:t>en USD</w:t>
      </w:r>
    </w:p>
    <w:p w:rsidR="000B7EFC" w:rsidRDefault="000B7EFC" w:rsidP="00AA4FAD">
      <w:pPr>
        <w:jc w:val="both"/>
        <w:rPr>
          <w:color w:val="000000" w:themeColor="text1"/>
        </w:rPr>
      </w:pPr>
    </w:p>
    <w:tbl>
      <w:tblPr>
        <w:tblStyle w:val="Grilleclaire-Accent13"/>
        <w:tblW w:w="7338" w:type="dxa"/>
        <w:jc w:val="center"/>
        <w:tblLook w:val="04A0" w:firstRow="1" w:lastRow="0" w:firstColumn="1" w:lastColumn="0" w:noHBand="0" w:noVBand="1"/>
      </w:tblPr>
      <w:tblGrid>
        <w:gridCol w:w="3699"/>
        <w:gridCol w:w="739"/>
        <w:gridCol w:w="739"/>
        <w:gridCol w:w="744"/>
        <w:gridCol w:w="708"/>
        <w:gridCol w:w="709"/>
      </w:tblGrid>
      <w:tr w:rsidR="000B7EFC" w:rsidTr="000B7EFC">
        <w:trPr>
          <w:cnfStyle w:val="100000000000" w:firstRow="1" w:lastRow="0" w:firstColumn="0" w:lastColumn="0" w:oddVBand="0" w:evenVBand="0" w:oddHBand="0"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3699" w:type="dxa"/>
            <w:shd w:val="clear" w:color="auto" w:fill="auto"/>
            <w:noWrap/>
            <w:hideMark/>
          </w:tcPr>
          <w:p w:rsidR="000B7EFC" w:rsidRPr="000B7EFC" w:rsidRDefault="000B7EFC">
            <w:pPr>
              <w:jc w:val="both"/>
              <w:rPr>
                <w:rFonts w:ascii="Arial" w:hAnsi="Arial" w:cs="Arial"/>
                <w:color w:val="000000"/>
                <w:sz w:val="16"/>
                <w:szCs w:val="16"/>
              </w:rPr>
            </w:pPr>
            <w:r w:rsidRPr="000B7EFC">
              <w:rPr>
                <w:rFonts w:ascii="Arial" w:hAnsi="Arial" w:cs="Arial"/>
                <w:bCs w:val="0"/>
                <w:color w:val="000000"/>
                <w:sz w:val="16"/>
                <w:szCs w:val="16"/>
              </w:rPr>
              <w:t> Indicateurs</w:t>
            </w:r>
          </w:p>
        </w:tc>
        <w:tc>
          <w:tcPr>
            <w:tcW w:w="739" w:type="dxa"/>
            <w:shd w:val="clear" w:color="auto" w:fill="auto"/>
            <w:noWrap/>
            <w:hideMark/>
          </w:tcPr>
          <w:p w:rsidR="000B7EFC" w:rsidRDefault="000B7EFC">
            <w:pPr>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sz w:val="16"/>
                <w:szCs w:val="16"/>
              </w:rPr>
            </w:pPr>
            <w:r>
              <w:rPr>
                <w:rFonts w:ascii="Arial" w:hAnsi="Arial" w:cs="Arial"/>
                <w:color w:val="000000"/>
                <w:sz w:val="16"/>
                <w:szCs w:val="16"/>
              </w:rPr>
              <w:t>2011</w:t>
            </w:r>
          </w:p>
        </w:tc>
        <w:tc>
          <w:tcPr>
            <w:tcW w:w="739" w:type="dxa"/>
            <w:shd w:val="clear" w:color="auto" w:fill="auto"/>
            <w:noWrap/>
            <w:hideMark/>
          </w:tcPr>
          <w:p w:rsidR="000B7EFC" w:rsidRDefault="000B7EFC">
            <w:pPr>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sz w:val="16"/>
                <w:szCs w:val="16"/>
              </w:rPr>
            </w:pPr>
            <w:r>
              <w:rPr>
                <w:rFonts w:ascii="Arial" w:hAnsi="Arial" w:cs="Arial"/>
                <w:color w:val="000000"/>
                <w:sz w:val="16"/>
                <w:szCs w:val="16"/>
              </w:rPr>
              <w:t>2012</w:t>
            </w:r>
          </w:p>
        </w:tc>
        <w:tc>
          <w:tcPr>
            <w:tcW w:w="744" w:type="dxa"/>
            <w:shd w:val="clear" w:color="auto" w:fill="auto"/>
            <w:noWrap/>
            <w:hideMark/>
          </w:tcPr>
          <w:p w:rsidR="000B7EFC" w:rsidRDefault="000B7EFC">
            <w:pPr>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sz w:val="16"/>
                <w:szCs w:val="16"/>
              </w:rPr>
            </w:pPr>
            <w:r>
              <w:rPr>
                <w:rFonts w:ascii="Arial" w:hAnsi="Arial" w:cs="Arial"/>
                <w:color w:val="000000"/>
                <w:sz w:val="16"/>
                <w:szCs w:val="16"/>
              </w:rPr>
              <w:t>2013</w:t>
            </w:r>
          </w:p>
        </w:tc>
        <w:tc>
          <w:tcPr>
            <w:tcW w:w="708" w:type="dxa"/>
            <w:shd w:val="clear" w:color="auto" w:fill="auto"/>
            <w:noWrap/>
            <w:hideMark/>
          </w:tcPr>
          <w:p w:rsidR="000B7EFC" w:rsidRDefault="000B7EFC">
            <w:pPr>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sz w:val="16"/>
                <w:szCs w:val="16"/>
              </w:rPr>
            </w:pPr>
            <w:r>
              <w:rPr>
                <w:rFonts w:ascii="Arial" w:hAnsi="Arial" w:cs="Arial"/>
                <w:color w:val="000000"/>
                <w:sz w:val="16"/>
                <w:szCs w:val="16"/>
              </w:rPr>
              <w:t>2014</w:t>
            </w:r>
          </w:p>
        </w:tc>
        <w:tc>
          <w:tcPr>
            <w:tcW w:w="709" w:type="dxa"/>
            <w:shd w:val="clear" w:color="auto" w:fill="auto"/>
            <w:noWrap/>
            <w:hideMark/>
          </w:tcPr>
          <w:p w:rsidR="000B7EFC" w:rsidRDefault="000B7EFC">
            <w:pPr>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sz w:val="16"/>
                <w:szCs w:val="16"/>
              </w:rPr>
            </w:pPr>
            <w:r>
              <w:rPr>
                <w:rFonts w:ascii="Arial" w:hAnsi="Arial" w:cs="Arial"/>
                <w:color w:val="000000"/>
                <w:sz w:val="16"/>
                <w:szCs w:val="16"/>
              </w:rPr>
              <w:t>2015</w:t>
            </w:r>
          </w:p>
        </w:tc>
      </w:tr>
      <w:tr w:rsidR="000B7EFC" w:rsidTr="000B7EFC">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3699" w:type="dxa"/>
            <w:shd w:val="clear" w:color="auto" w:fill="auto"/>
            <w:hideMark/>
          </w:tcPr>
          <w:p w:rsidR="000B7EFC" w:rsidRDefault="000B7EFC">
            <w:pPr>
              <w:jc w:val="both"/>
              <w:rPr>
                <w:rFonts w:ascii="Arial" w:hAnsi="Arial" w:cs="Arial"/>
                <w:color w:val="000000"/>
                <w:sz w:val="16"/>
                <w:szCs w:val="16"/>
              </w:rPr>
            </w:pPr>
            <w:r>
              <w:rPr>
                <w:rFonts w:ascii="Arial" w:hAnsi="Arial" w:cs="Arial"/>
                <w:b w:val="0"/>
                <w:bCs w:val="0"/>
                <w:color w:val="000000"/>
                <w:sz w:val="16"/>
                <w:szCs w:val="16"/>
              </w:rPr>
              <w:t>Dépenses totale de santé par habitant par an</w:t>
            </w:r>
          </w:p>
        </w:tc>
        <w:tc>
          <w:tcPr>
            <w:tcW w:w="739" w:type="dxa"/>
            <w:shd w:val="clear" w:color="auto" w:fill="auto"/>
            <w:noWrap/>
            <w:hideMark/>
          </w:tcPr>
          <w:p w:rsidR="000B7EFC" w:rsidRPr="000B7EFC" w:rsidRDefault="000B7EFC">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49,1</w:t>
            </w:r>
          </w:p>
        </w:tc>
        <w:tc>
          <w:tcPr>
            <w:tcW w:w="739" w:type="dxa"/>
            <w:shd w:val="clear" w:color="auto" w:fill="auto"/>
            <w:noWrap/>
            <w:hideMark/>
          </w:tcPr>
          <w:p w:rsidR="000B7EFC" w:rsidRPr="000B7EFC" w:rsidRDefault="000B7EFC">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58,4</w:t>
            </w:r>
          </w:p>
        </w:tc>
        <w:tc>
          <w:tcPr>
            <w:tcW w:w="744" w:type="dxa"/>
            <w:shd w:val="clear" w:color="auto" w:fill="auto"/>
            <w:noWrap/>
            <w:hideMark/>
          </w:tcPr>
          <w:p w:rsidR="000B7EFC" w:rsidRPr="000B7EFC" w:rsidRDefault="000B7EFC">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55,3</w:t>
            </w:r>
          </w:p>
        </w:tc>
        <w:tc>
          <w:tcPr>
            <w:tcW w:w="708" w:type="dxa"/>
            <w:shd w:val="clear" w:color="auto" w:fill="auto"/>
            <w:noWrap/>
            <w:hideMark/>
          </w:tcPr>
          <w:p w:rsidR="000B7EFC" w:rsidRPr="000B7EFC" w:rsidRDefault="000B7EFC">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62,4</w:t>
            </w:r>
          </w:p>
        </w:tc>
        <w:tc>
          <w:tcPr>
            <w:tcW w:w="709" w:type="dxa"/>
            <w:shd w:val="clear" w:color="auto" w:fill="auto"/>
            <w:noWrap/>
            <w:hideMark/>
          </w:tcPr>
          <w:p w:rsidR="000B7EFC" w:rsidRPr="000B7EFC" w:rsidRDefault="000B7EFC">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63,6</w:t>
            </w:r>
          </w:p>
        </w:tc>
      </w:tr>
      <w:tr w:rsidR="000B7EFC" w:rsidTr="000B7EFC">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3699" w:type="dxa"/>
            <w:shd w:val="clear" w:color="auto" w:fill="auto"/>
            <w:hideMark/>
          </w:tcPr>
          <w:p w:rsidR="000B7EFC" w:rsidRDefault="000B7EFC">
            <w:pPr>
              <w:jc w:val="both"/>
              <w:rPr>
                <w:rFonts w:ascii="Arial" w:hAnsi="Arial" w:cs="Arial"/>
                <w:color w:val="000000"/>
                <w:sz w:val="16"/>
                <w:szCs w:val="16"/>
              </w:rPr>
            </w:pPr>
            <w:r>
              <w:rPr>
                <w:rFonts w:ascii="Arial" w:hAnsi="Arial" w:cs="Arial"/>
                <w:b w:val="0"/>
                <w:bCs w:val="0"/>
                <w:color w:val="000000"/>
                <w:sz w:val="16"/>
                <w:szCs w:val="16"/>
              </w:rPr>
              <w:t>Dépenses courante de la santé par habitant par an</w:t>
            </w:r>
          </w:p>
        </w:tc>
        <w:tc>
          <w:tcPr>
            <w:tcW w:w="739" w:type="dxa"/>
            <w:shd w:val="clear" w:color="auto" w:fill="auto"/>
            <w:noWrap/>
            <w:hideMark/>
          </w:tcPr>
          <w:p w:rsidR="000B7EFC" w:rsidRPr="000B7EFC" w:rsidRDefault="000B7EFC">
            <w:pPr>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45,9</w:t>
            </w:r>
          </w:p>
        </w:tc>
        <w:tc>
          <w:tcPr>
            <w:tcW w:w="739" w:type="dxa"/>
            <w:shd w:val="clear" w:color="auto" w:fill="auto"/>
            <w:noWrap/>
            <w:hideMark/>
          </w:tcPr>
          <w:p w:rsidR="000B7EFC" w:rsidRPr="000B7EFC" w:rsidRDefault="000B7EFC">
            <w:pPr>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49,7</w:t>
            </w:r>
          </w:p>
        </w:tc>
        <w:tc>
          <w:tcPr>
            <w:tcW w:w="744" w:type="dxa"/>
            <w:shd w:val="clear" w:color="auto" w:fill="auto"/>
            <w:noWrap/>
            <w:hideMark/>
          </w:tcPr>
          <w:p w:rsidR="000B7EFC" w:rsidRPr="000B7EFC" w:rsidRDefault="000B7EFC">
            <w:pPr>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51,6</w:t>
            </w:r>
          </w:p>
        </w:tc>
        <w:tc>
          <w:tcPr>
            <w:tcW w:w="708" w:type="dxa"/>
            <w:shd w:val="clear" w:color="auto" w:fill="auto"/>
            <w:noWrap/>
            <w:hideMark/>
          </w:tcPr>
          <w:p w:rsidR="000B7EFC" w:rsidRPr="000B7EFC" w:rsidRDefault="000B7EFC">
            <w:pPr>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56,4</w:t>
            </w:r>
          </w:p>
        </w:tc>
        <w:tc>
          <w:tcPr>
            <w:tcW w:w="709" w:type="dxa"/>
            <w:shd w:val="clear" w:color="auto" w:fill="auto"/>
            <w:noWrap/>
            <w:hideMark/>
          </w:tcPr>
          <w:p w:rsidR="000B7EFC" w:rsidRPr="000B7EFC" w:rsidRDefault="000B7EFC">
            <w:pPr>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57,3</w:t>
            </w:r>
          </w:p>
        </w:tc>
      </w:tr>
      <w:tr w:rsidR="000B7EFC" w:rsidTr="000B7EFC">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3699" w:type="dxa"/>
            <w:shd w:val="clear" w:color="auto" w:fill="auto"/>
            <w:hideMark/>
          </w:tcPr>
          <w:p w:rsidR="000B7EFC" w:rsidRDefault="000B7EFC">
            <w:pPr>
              <w:jc w:val="both"/>
              <w:rPr>
                <w:rFonts w:ascii="Arial" w:hAnsi="Arial" w:cs="Arial"/>
                <w:color w:val="000000"/>
                <w:sz w:val="16"/>
                <w:szCs w:val="16"/>
              </w:rPr>
            </w:pPr>
            <w:r>
              <w:rPr>
                <w:rFonts w:ascii="Arial" w:hAnsi="Arial" w:cs="Arial"/>
                <w:b w:val="0"/>
                <w:bCs w:val="0"/>
                <w:color w:val="000000"/>
                <w:sz w:val="16"/>
                <w:szCs w:val="16"/>
              </w:rPr>
              <w:t>Dépenses d’investissement de la santé par habitant par an</w:t>
            </w:r>
          </w:p>
        </w:tc>
        <w:tc>
          <w:tcPr>
            <w:tcW w:w="739" w:type="dxa"/>
            <w:shd w:val="clear" w:color="auto" w:fill="auto"/>
            <w:noWrap/>
            <w:hideMark/>
          </w:tcPr>
          <w:p w:rsidR="000B7EFC" w:rsidRPr="000B7EFC" w:rsidRDefault="000B7EFC">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1,8</w:t>
            </w:r>
          </w:p>
        </w:tc>
        <w:tc>
          <w:tcPr>
            <w:tcW w:w="739" w:type="dxa"/>
            <w:shd w:val="clear" w:color="auto" w:fill="auto"/>
            <w:noWrap/>
            <w:hideMark/>
          </w:tcPr>
          <w:p w:rsidR="000B7EFC" w:rsidRPr="000B7EFC" w:rsidRDefault="000B7EFC">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7,1</w:t>
            </w:r>
          </w:p>
        </w:tc>
        <w:tc>
          <w:tcPr>
            <w:tcW w:w="744" w:type="dxa"/>
            <w:shd w:val="clear" w:color="auto" w:fill="auto"/>
            <w:noWrap/>
            <w:hideMark/>
          </w:tcPr>
          <w:p w:rsidR="000B7EFC" w:rsidRPr="000B7EFC" w:rsidRDefault="000B7EFC">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2,1</w:t>
            </w:r>
          </w:p>
        </w:tc>
        <w:tc>
          <w:tcPr>
            <w:tcW w:w="708" w:type="dxa"/>
            <w:shd w:val="clear" w:color="auto" w:fill="auto"/>
            <w:noWrap/>
            <w:hideMark/>
          </w:tcPr>
          <w:p w:rsidR="000B7EFC" w:rsidRPr="000B7EFC" w:rsidRDefault="000B7EFC">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4,3</w:t>
            </w:r>
          </w:p>
        </w:tc>
        <w:tc>
          <w:tcPr>
            <w:tcW w:w="709" w:type="dxa"/>
            <w:shd w:val="clear" w:color="auto" w:fill="auto"/>
            <w:noWrap/>
            <w:hideMark/>
          </w:tcPr>
          <w:p w:rsidR="000B7EFC" w:rsidRPr="000B7EFC" w:rsidRDefault="000B7EFC">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6,3</w:t>
            </w:r>
          </w:p>
        </w:tc>
      </w:tr>
      <w:tr w:rsidR="000B7EFC" w:rsidTr="000B7EFC">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3699" w:type="dxa"/>
            <w:shd w:val="clear" w:color="auto" w:fill="auto"/>
            <w:hideMark/>
          </w:tcPr>
          <w:p w:rsidR="000B7EFC" w:rsidRDefault="000B7EFC">
            <w:pPr>
              <w:jc w:val="both"/>
              <w:rPr>
                <w:rFonts w:ascii="Arial" w:hAnsi="Arial" w:cs="Arial"/>
                <w:color w:val="000000"/>
                <w:sz w:val="16"/>
                <w:szCs w:val="16"/>
              </w:rPr>
            </w:pPr>
            <w:r>
              <w:rPr>
                <w:rFonts w:ascii="Arial" w:hAnsi="Arial" w:cs="Arial"/>
                <w:b w:val="0"/>
                <w:bCs w:val="0"/>
                <w:color w:val="000000"/>
                <w:sz w:val="16"/>
                <w:szCs w:val="16"/>
              </w:rPr>
              <w:t>Dépenses du Gouvernement central par habitant par an</w:t>
            </w:r>
          </w:p>
        </w:tc>
        <w:tc>
          <w:tcPr>
            <w:tcW w:w="739" w:type="dxa"/>
            <w:shd w:val="clear" w:color="auto" w:fill="auto"/>
            <w:noWrap/>
            <w:hideMark/>
          </w:tcPr>
          <w:p w:rsidR="000B7EFC" w:rsidRPr="000B7EFC" w:rsidRDefault="000B7EFC">
            <w:pPr>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4,5</w:t>
            </w:r>
          </w:p>
        </w:tc>
        <w:tc>
          <w:tcPr>
            <w:tcW w:w="739" w:type="dxa"/>
            <w:shd w:val="clear" w:color="auto" w:fill="auto"/>
            <w:noWrap/>
            <w:hideMark/>
          </w:tcPr>
          <w:p w:rsidR="000B7EFC" w:rsidRPr="000B7EFC" w:rsidRDefault="000B7EFC">
            <w:pPr>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14,0</w:t>
            </w:r>
          </w:p>
        </w:tc>
        <w:tc>
          <w:tcPr>
            <w:tcW w:w="744" w:type="dxa"/>
            <w:shd w:val="clear" w:color="auto" w:fill="auto"/>
            <w:noWrap/>
            <w:hideMark/>
          </w:tcPr>
          <w:p w:rsidR="000B7EFC" w:rsidRPr="000B7EFC" w:rsidRDefault="000B7EFC">
            <w:pPr>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20,3</w:t>
            </w:r>
          </w:p>
        </w:tc>
        <w:tc>
          <w:tcPr>
            <w:tcW w:w="708" w:type="dxa"/>
            <w:shd w:val="clear" w:color="auto" w:fill="auto"/>
            <w:noWrap/>
            <w:hideMark/>
          </w:tcPr>
          <w:p w:rsidR="000B7EFC" w:rsidRPr="000B7EFC" w:rsidRDefault="000B7EFC">
            <w:pPr>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25,7</w:t>
            </w:r>
          </w:p>
        </w:tc>
        <w:tc>
          <w:tcPr>
            <w:tcW w:w="709" w:type="dxa"/>
            <w:shd w:val="clear" w:color="auto" w:fill="auto"/>
            <w:noWrap/>
            <w:hideMark/>
          </w:tcPr>
          <w:p w:rsidR="000B7EFC" w:rsidRPr="000B7EFC" w:rsidRDefault="000B7EFC">
            <w:pPr>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24,7</w:t>
            </w:r>
          </w:p>
        </w:tc>
      </w:tr>
      <w:tr w:rsidR="000B7EFC" w:rsidTr="000B7EFC">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3699" w:type="dxa"/>
            <w:shd w:val="clear" w:color="auto" w:fill="auto"/>
            <w:hideMark/>
          </w:tcPr>
          <w:p w:rsidR="000B7EFC" w:rsidRDefault="000B7EFC">
            <w:pPr>
              <w:jc w:val="both"/>
              <w:rPr>
                <w:rFonts w:ascii="Arial" w:hAnsi="Arial" w:cs="Arial"/>
                <w:color w:val="000000"/>
                <w:sz w:val="16"/>
                <w:szCs w:val="16"/>
              </w:rPr>
            </w:pPr>
            <w:r>
              <w:rPr>
                <w:rFonts w:ascii="Arial" w:hAnsi="Arial" w:cs="Arial"/>
                <w:b w:val="0"/>
                <w:bCs w:val="0"/>
                <w:color w:val="000000"/>
                <w:sz w:val="16"/>
                <w:szCs w:val="16"/>
              </w:rPr>
              <w:t>Entreprises par habitant par an</w:t>
            </w:r>
          </w:p>
        </w:tc>
        <w:tc>
          <w:tcPr>
            <w:tcW w:w="739" w:type="dxa"/>
            <w:shd w:val="clear" w:color="auto" w:fill="auto"/>
            <w:noWrap/>
            <w:hideMark/>
          </w:tcPr>
          <w:p w:rsidR="000B7EFC" w:rsidRPr="000B7EFC" w:rsidRDefault="000B7EFC">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0,7</w:t>
            </w:r>
          </w:p>
        </w:tc>
        <w:tc>
          <w:tcPr>
            <w:tcW w:w="739" w:type="dxa"/>
            <w:shd w:val="clear" w:color="auto" w:fill="auto"/>
            <w:noWrap/>
            <w:hideMark/>
          </w:tcPr>
          <w:p w:rsidR="000B7EFC" w:rsidRPr="000B7EFC" w:rsidRDefault="000B7EFC">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0,5</w:t>
            </w:r>
          </w:p>
        </w:tc>
        <w:tc>
          <w:tcPr>
            <w:tcW w:w="744" w:type="dxa"/>
            <w:shd w:val="clear" w:color="auto" w:fill="auto"/>
            <w:noWrap/>
            <w:hideMark/>
          </w:tcPr>
          <w:p w:rsidR="000B7EFC" w:rsidRPr="000B7EFC" w:rsidRDefault="000B7EFC">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0,7</w:t>
            </w:r>
          </w:p>
        </w:tc>
        <w:tc>
          <w:tcPr>
            <w:tcW w:w="708" w:type="dxa"/>
            <w:shd w:val="clear" w:color="auto" w:fill="auto"/>
            <w:noWrap/>
            <w:hideMark/>
          </w:tcPr>
          <w:p w:rsidR="000B7EFC" w:rsidRPr="000B7EFC" w:rsidRDefault="000B7EFC">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1,5</w:t>
            </w:r>
          </w:p>
        </w:tc>
        <w:tc>
          <w:tcPr>
            <w:tcW w:w="709" w:type="dxa"/>
            <w:shd w:val="clear" w:color="auto" w:fill="auto"/>
            <w:noWrap/>
            <w:hideMark/>
          </w:tcPr>
          <w:p w:rsidR="000B7EFC" w:rsidRPr="000B7EFC" w:rsidRDefault="000B7EFC">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1,6</w:t>
            </w:r>
          </w:p>
        </w:tc>
      </w:tr>
      <w:tr w:rsidR="000B7EFC" w:rsidTr="000B7EFC">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3699" w:type="dxa"/>
            <w:shd w:val="clear" w:color="auto" w:fill="auto"/>
            <w:hideMark/>
          </w:tcPr>
          <w:p w:rsidR="000B7EFC" w:rsidRDefault="000B7EFC">
            <w:pPr>
              <w:jc w:val="both"/>
              <w:rPr>
                <w:rFonts w:ascii="Arial" w:hAnsi="Arial" w:cs="Arial"/>
                <w:color w:val="000000"/>
                <w:sz w:val="16"/>
                <w:szCs w:val="16"/>
              </w:rPr>
            </w:pPr>
            <w:r>
              <w:rPr>
                <w:rFonts w:ascii="Arial" w:hAnsi="Arial" w:cs="Arial"/>
                <w:b w:val="0"/>
                <w:bCs w:val="0"/>
                <w:color w:val="000000"/>
                <w:sz w:val="16"/>
                <w:szCs w:val="16"/>
              </w:rPr>
              <w:t>Dépenses  de santé des ménages par habitant par an</w:t>
            </w:r>
          </w:p>
        </w:tc>
        <w:tc>
          <w:tcPr>
            <w:tcW w:w="739" w:type="dxa"/>
            <w:shd w:val="clear" w:color="auto" w:fill="auto"/>
            <w:noWrap/>
            <w:hideMark/>
          </w:tcPr>
          <w:p w:rsidR="000B7EFC" w:rsidRPr="000B7EFC" w:rsidRDefault="000B7EFC">
            <w:pPr>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19,5</w:t>
            </w:r>
          </w:p>
        </w:tc>
        <w:tc>
          <w:tcPr>
            <w:tcW w:w="739" w:type="dxa"/>
            <w:shd w:val="clear" w:color="auto" w:fill="auto"/>
            <w:noWrap/>
            <w:hideMark/>
          </w:tcPr>
          <w:p w:rsidR="000B7EFC" w:rsidRPr="000B7EFC" w:rsidRDefault="000B7EFC">
            <w:pPr>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19,5</w:t>
            </w:r>
          </w:p>
        </w:tc>
        <w:tc>
          <w:tcPr>
            <w:tcW w:w="744" w:type="dxa"/>
            <w:shd w:val="clear" w:color="auto" w:fill="auto"/>
            <w:noWrap/>
            <w:hideMark/>
          </w:tcPr>
          <w:p w:rsidR="000B7EFC" w:rsidRPr="000B7EFC" w:rsidRDefault="000B7EFC">
            <w:pPr>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19,4</w:t>
            </w:r>
          </w:p>
        </w:tc>
        <w:tc>
          <w:tcPr>
            <w:tcW w:w="708" w:type="dxa"/>
            <w:shd w:val="clear" w:color="auto" w:fill="auto"/>
            <w:noWrap/>
            <w:hideMark/>
          </w:tcPr>
          <w:p w:rsidR="000B7EFC" w:rsidRPr="000B7EFC" w:rsidRDefault="000B7EFC">
            <w:pPr>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19,4</w:t>
            </w:r>
          </w:p>
        </w:tc>
        <w:tc>
          <w:tcPr>
            <w:tcW w:w="709" w:type="dxa"/>
            <w:shd w:val="clear" w:color="auto" w:fill="auto"/>
            <w:noWrap/>
            <w:hideMark/>
          </w:tcPr>
          <w:p w:rsidR="000B7EFC" w:rsidRPr="000B7EFC" w:rsidRDefault="000B7EFC">
            <w:pPr>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19,5</w:t>
            </w:r>
          </w:p>
        </w:tc>
      </w:tr>
      <w:tr w:rsidR="000B7EFC" w:rsidTr="000B7EFC">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3699" w:type="dxa"/>
            <w:shd w:val="clear" w:color="auto" w:fill="auto"/>
            <w:hideMark/>
          </w:tcPr>
          <w:p w:rsidR="000B7EFC" w:rsidRDefault="000B7EFC">
            <w:pPr>
              <w:rPr>
                <w:rFonts w:ascii="Arial" w:hAnsi="Arial" w:cs="Arial"/>
                <w:sz w:val="16"/>
                <w:szCs w:val="16"/>
              </w:rPr>
            </w:pPr>
            <w:r>
              <w:rPr>
                <w:rFonts w:ascii="Arial" w:hAnsi="Arial" w:cs="Arial"/>
                <w:b w:val="0"/>
                <w:bCs w:val="0"/>
                <w:sz w:val="16"/>
                <w:szCs w:val="16"/>
              </w:rPr>
              <w:t>ONGS &amp; Fondations Nationales par habitant par an</w:t>
            </w:r>
          </w:p>
        </w:tc>
        <w:tc>
          <w:tcPr>
            <w:tcW w:w="739" w:type="dxa"/>
            <w:shd w:val="clear" w:color="auto" w:fill="auto"/>
            <w:noWrap/>
            <w:hideMark/>
          </w:tcPr>
          <w:p w:rsidR="000B7EFC" w:rsidRPr="000B7EFC" w:rsidRDefault="000B7EFC">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0,1</w:t>
            </w:r>
          </w:p>
        </w:tc>
        <w:tc>
          <w:tcPr>
            <w:tcW w:w="739" w:type="dxa"/>
            <w:shd w:val="clear" w:color="auto" w:fill="auto"/>
            <w:noWrap/>
            <w:hideMark/>
          </w:tcPr>
          <w:p w:rsidR="000B7EFC" w:rsidRPr="000B7EFC" w:rsidRDefault="000B7EFC">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0,2</w:t>
            </w:r>
          </w:p>
        </w:tc>
        <w:tc>
          <w:tcPr>
            <w:tcW w:w="744" w:type="dxa"/>
            <w:shd w:val="clear" w:color="auto" w:fill="auto"/>
            <w:noWrap/>
            <w:hideMark/>
          </w:tcPr>
          <w:p w:rsidR="000B7EFC" w:rsidRPr="000B7EFC" w:rsidRDefault="000B7EFC">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0,1</w:t>
            </w:r>
          </w:p>
        </w:tc>
        <w:tc>
          <w:tcPr>
            <w:tcW w:w="708" w:type="dxa"/>
            <w:shd w:val="clear" w:color="auto" w:fill="auto"/>
            <w:noWrap/>
            <w:hideMark/>
          </w:tcPr>
          <w:p w:rsidR="000B7EFC" w:rsidRPr="000B7EFC" w:rsidRDefault="000B7EFC">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0,1</w:t>
            </w:r>
          </w:p>
        </w:tc>
        <w:tc>
          <w:tcPr>
            <w:tcW w:w="709" w:type="dxa"/>
            <w:shd w:val="clear" w:color="auto" w:fill="auto"/>
            <w:noWrap/>
            <w:hideMark/>
          </w:tcPr>
          <w:p w:rsidR="000B7EFC" w:rsidRPr="000B7EFC" w:rsidRDefault="000B7EFC">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0,2</w:t>
            </w:r>
          </w:p>
        </w:tc>
      </w:tr>
      <w:tr w:rsidR="000B7EFC" w:rsidTr="000B7EFC">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3699" w:type="dxa"/>
            <w:shd w:val="clear" w:color="auto" w:fill="auto"/>
            <w:hideMark/>
          </w:tcPr>
          <w:p w:rsidR="000B7EFC" w:rsidRDefault="000B7EFC">
            <w:pPr>
              <w:rPr>
                <w:rFonts w:ascii="Arial" w:hAnsi="Arial" w:cs="Arial"/>
                <w:sz w:val="16"/>
                <w:szCs w:val="16"/>
              </w:rPr>
            </w:pPr>
            <w:r>
              <w:rPr>
                <w:rFonts w:ascii="Arial" w:hAnsi="Arial" w:cs="Arial"/>
                <w:b w:val="0"/>
                <w:bCs w:val="0"/>
                <w:sz w:val="16"/>
                <w:szCs w:val="16"/>
              </w:rPr>
              <w:t>Bailleurs bilatéraux par habitant par an</w:t>
            </w:r>
          </w:p>
        </w:tc>
        <w:tc>
          <w:tcPr>
            <w:tcW w:w="739" w:type="dxa"/>
            <w:shd w:val="clear" w:color="auto" w:fill="auto"/>
            <w:noWrap/>
            <w:hideMark/>
          </w:tcPr>
          <w:p w:rsidR="000B7EFC" w:rsidRPr="000B7EFC" w:rsidRDefault="000B7EFC">
            <w:pPr>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0,0</w:t>
            </w:r>
          </w:p>
        </w:tc>
        <w:tc>
          <w:tcPr>
            <w:tcW w:w="739" w:type="dxa"/>
            <w:shd w:val="clear" w:color="auto" w:fill="auto"/>
            <w:noWrap/>
            <w:hideMark/>
          </w:tcPr>
          <w:p w:rsidR="000B7EFC" w:rsidRPr="000B7EFC" w:rsidRDefault="000B7EFC">
            <w:pPr>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0,0</w:t>
            </w:r>
          </w:p>
        </w:tc>
        <w:tc>
          <w:tcPr>
            <w:tcW w:w="744" w:type="dxa"/>
            <w:shd w:val="clear" w:color="auto" w:fill="auto"/>
            <w:noWrap/>
            <w:hideMark/>
          </w:tcPr>
          <w:p w:rsidR="000B7EFC" w:rsidRPr="000B7EFC" w:rsidRDefault="000B7EFC">
            <w:pPr>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0,0</w:t>
            </w:r>
          </w:p>
        </w:tc>
        <w:tc>
          <w:tcPr>
            <w:tcW w:w="708" w:type="dxa"/>
            <w:shd w:val="clear" w:color="auto" w:fill="auto"/>
            <w:noWrap/>
            <w:hideMark/>
          </w:tcPr>
          <w:p w:rsidR="000B7EFC" w:rsidRPr="000B7EFC" w:rsidRDefault="000B7EFC">
            <w:pPr>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0,0</w:t>
            </w:r>
          </w:p>
        </w:tc>
        <w:tc>
          <w:tcPr>
            <w:tcW w:w="709" w:type="dxa"/>
            <w:shd w:val="clear" w:color="auto" w:fill="auto"/>
            <w:noWrap/>
            <w:hideMark/>
          </w:tcPr>
          <w:p w:rsidR="000B7EFC" w:rsidRPr="000B7EFC" w:rsidRDefault="000B7EFC">
            <w:pPr>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0,0</w:t>
            </w:r>
          </w:p>
        </w:tc>
      </w:tr>
      <w:tr w:rsidR="000B7EFC" w:rsidTr="000B7EFC">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3699" w:type="dxa"/>
            <w:shd w:val="clear" w:color="auto" w:fill="auto"/>
            <w:hideMark/>
          </w:tcPr>
          <w:p w:rsidR="000B7EFC" w:rsidRDefault="000B7EFC">
            <w:pPr>
              <w:rPr>
                <w:rFonts w:ascii="Arial" w:hAnsi="Arial" w:cs="Arial"/>
                <w:sz w:val="16"/>
                <w:szCs w:val="16"/>
              </w:rPr>
            </w:pPr>
            <w:r>
              <w:rPr>
                <w:rFonts w:ascii="Arial" w:hAnsi="Arial" w:cs="Arial"/>
                <w:b w:val="0"/>
                <w:bCs w:val="0"/>
                <w:sz w:val="16"/>
                <w:szCs w:val="16"/>
              </w:rPr>
              <w:t>Bailleurs multilatéraux par habitant par an</w:t>
            </w:r>
          </w:p>
        </w:tc>
        <w:tc>
          <w:tcPr>
            <w:tcW w:w="739" w:type="dxa"/>
            <w:shd w:val="clear" w:color="auto" w:fill="auto"/>
            <w:noWrap/>
            <w:hideMark/>
          </w:tcPr>
          <w:p w:rsidR="000B7EFC" w:rsidRPr="000B7EFC" w:rsidRDefault="000B7EFC">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21,5</w:t>
            </w:r>
          </w:p>
        </w:tc>
        <w:tc>
          <w:tcPr>
            <w:tcW w:w="739" w:type="dxa"/>
            <w:shd w:val="clear" w:color="auto" w:fill="auto"/>
            <w:noWrap/>
            <w:hideMark/>
          </w:tcPr>
          <w:p w:rsidR="000B7EFC" w:rsidRPr="000B7EFC" w:rsidRDefault="000B7EFC">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17,1</w:t>
            </w:r>
          </w:p>
        </w:tc>
        <w:tc>
          <w:tcPr>
            <w:tcW w:w="744" w:type="dxa"/>
            <w:shd w:val="clear" w:color="auto" w:fill="auto"/>
            <w:noWrap/>
            <w:hideMark/>
          </w:tcPr>
          <w:p w:rsidR="000B7EFC" w:rsidRPr="000B7EFC" w:rsidRDefault="000B7EFC">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12,5</w:t>
            </w:r>
          </w:p>
        </w:tc>
        <w:tc>
          <w:tcPr>
            <w:tcW w:w="708" w:type="dxa"/>
            <w:shd w:val="clear" w:color="auto" w:fill="auto"/>
            <w:noWrap/>
            <w:hideMark/>
          </w:tcPr>
          <w:p w:rsidR="000B7EFC" w:rsidRPr="000B7EFC" w:rsidRDefault="000B7EFC">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11,3</w:t>
            </w:r>
          </w:p>
        </w:tc>
        <w:tc>
          <w:tcPr>
            <w:tcW w:w="709" w:type="dxa"/>
            <w:shd w:val="clear" w:color="auto" w:fill="auto"/>
            <w:noWrap/>
            <w:hideMark/>
          </w:tcPr>
          <w:p w:rsidR="000B7EFC" w:rsidRPr="000B7EFC" w:rsidRDefault="000B7EFC">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11,3</w:t>
            </w:r>
          </w:p>
        </w:tc>
      </w:tr>
      <w:tr w:rsidR="000B7EFC" w:rsidTr="000B7EFC">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3699" w:type="dxa"/>
            <w:shd w:val="clear" w:color="auto" w:fill="auto"/>
            <w:hideMark/>
          </w:tcPr>
          <w:p w:rsidR="000B7EFC" w:rsidRDefault="000B7EFC">
            <w:pPr>
              <w:rPr>
                <w:rFonts w:ascii="Arial" w:hAnsi="Arial" w:cs="Arial"/>
                <w:sz w:val="16"/>
                <w:szCs w:val="16"/>
              </w:rPr>
            </w:pPr>
            <w:r>
              <w:rPr>
                <w:rFonts w:ascii="Arial" w:hAnsi="Arial" w:cs="Arial"/>
                <w:b w:val="0"/>
                <w:bCs w:val="0"/>
                <w:sz w:val="16"/>
                <w:szCs w:val="16"/>
              </w:rPr>
              <w:t>ONGs &amp; Fondations Internationales par habitant par an</w:t>
            </w:r>
          </w:p>
        </w:tc>
        <w:tc>
          <w:tcPr>
            <w:tcW w:w="739" w:type="dxa"/>
            <w:shd w:val="clear" w:color="auto" w:fill="auto"/>
            <w:noWrap/>
            <w:hideMark/>
          </w:tcPr>
          <w:p w:rsidR="000B7EFC" w:rsidRPr="000B7EFC" w:rsidRDefault="000B7EFC">
            <w:pPr>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0,0</w:t>
            </w:r>
          </w:p>
        </w:tc>
        <w:tc>
          <w:tcPr>
            <w:tcW w:w="739" w:type="dxa"/>
            <w:shd w:val="clear" w:color="auto" w:fill="auto"/>
            <w:noWrap/>
            <w:hideMark/>
          </w:tcPr>
          <w:p w:rsidR="000B7EFC" w:rsidRPr="000B7EFC" w:rsidRDefault="000B7EFC">
            <w:pPr>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0,0</w:t>
            </w:r>
          </w:p>
        </w:tc>
        <w:tc>
          <w:tcPr>
            <w:tcW w:w="744" w:type="dxa"/>
            <w:shd w:val="clear" w:color="auto" w:fill="auto"/>
            <w:noWrap/>
            <w:hideMark/>
          </w:tcPr>
          <w:p w:rsidR="000B7EFC" w:rsidRPr="000B7EFC" w:rsidRDefault="000B7EFC">
            <w:pPr>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0,0</w:t>
            </w:r>
          </w:p>
        </w:tc>
        <w:tc>
          <w:tcPr>
            <w:tcW w:w="708" w:type="dxa"/>
            <w:shd w:val="clear" w:color="auto" w:fill="auto"/>
            <w:noWrap/>
            <w:hideMark/>
          </w:tcPr>
          <w:p w:rsidR="000B7EFC" w:rsidRPr="000B7EFC" w:rsidRDefault="000B7EFC">
            <w:pPr>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0,0</w:t>
            </w:r>
          </w:p>
        </w:tc>
        <w:tc>
          <w:tcPr>
            <w:tcW w:w="709" w:type="dxa"/>
            <w:shd w:val="clear" w:color="auto" w:fill="auto"/>
            <w:noWrap/>
            <w:hideMark/>
          </w:tcPr>
          <w:p w:rsidR="000B7EFC" w:rsidRPr="000B7EFC" w:rsidRDefault="000B7EFC">
            <w:pPr>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sz w:val="14"/>
                <w:szCs w:val="16"/>
              </w:rPr>
            </w:pPr>
            <w:r w:rsidRPr="000B7EFC">
              <w:rPr>
                <w:rFonts w:ascii="Arial" w:hAnsi="Arial" w:cs="Arial"/>
                <w:color w:val="000000"/>
                <w:sz w:val="14"/>
                <w:szCs w:val="16"/>
              </w:rPr>
              <w:t>0,0</w:t>
            </w:r>
          </w:p>
        </w:tc>
      </w:tr>
    </w:tbl>
    <w:p w:rsidR="00B35C14" w:rsidRPr="00FB2D06" w:rsidRDefault="00FB2D06" w:rsidP="00FB2D06">
      <w:pPr>
        <w:spacing w:after="200" w:line="20" w:lineRule="atLeast"/>
        <w:rPr>
          <w:b/>
          <w:color w:val="000000" w:themeColor="text1"/>
          <w:lang w:eastAsia="fr-FR" w:bidi="ar-SA"/>
        </w:rPr>
      </w:pPr>
      <w:bookmarkStart w:id="47" w:name="_Toc465262356"/>
      <w:bookmarkStart w:id="48" w:name="_Toc483474608"/>
      <w:bookmarkEnd w:id="45"/>
      <w:bookmarkEnd w:id="46"/>
      <w:r w:rsidRPr="00FB2D06">
        <w:rPr>
          <w:b/>
          <w:color w:val="000000" w:themeColor="text1"/>
          <w:lang w:eastAsia="fr-FR" w:bidi="ar-SA"/>
        </w:rPr>
        <w:t xml:space="preserve">4.1.5. ANALYSE DE LA DEPENSE COURANTE </w:t>
      </w:r>
      <w:bookmarkEnd w:id="47"/>
      <w:bookmarkEnd w:id="48"/>
    </w:p>
    <w:p w:rsidR="00AA4FAD" w:rsidRPr="00FB2D06" w:rsidRDefault="00FB2D06" w:rsidP="00CA4B30">
      <w:pPr>
        <w:pStyle w:val="Titre3"/>
        <w:rPr>
          <w:i w:val="0"/>
          <w:color w:val="000000" w:themeColor="text1"/>
          <w:lang w:eastAsia="fr-FR" w:bidi="ar-SA"/>
        </w:rPr>
      </w:pPr>
      <w:r w:rsidRPr="00FB2D06">
        <w:rPr>
          <w:i w:val="0"/>
          <w:color w:val="000000" w:themeColor="text1"/>
          <w:lang w:eastAsia="fr-FR" w:bidi="ar-SA"/>
        </w:rPr>
        <w:lastRenderedPageBreak/>
        <w:t xml:space="preserve">4.1.5.1. EVOLUTION DE LA </w:t>
      </w:r>
      <w:r w:rsidR="000B7EFC">
        <w:rPr>
          <w:i w:val="0"/>
          <w:color w:val="000000" w:themeColor="text1"/>
          <w:lang w:eastAsia="fr-FR" w:bidi="ar-SA"/>
        </w:rPr>
        <w:t xml:space="preserve">DEPENSE COURANTE EN SANTE PAR SOURCE DE </w:t>
      </w:r>
      <w:r w:rsidRPr="00FB2D06">
        <w:rPr>
          <w:i w:val="0"/>
          <w:color w:val="000000" w:themeColor="text1"/>
          <w:lang w:eastAsia="fr-FR" w:bidi="ar-SA"/>
        </w:rPr>
        <w:t>FINANCEMENT DE 2011 A 2015</w:t>
      </w:r>
    </w:p>
    <w:p w:rsidR="00CA4B30" w:rsidRPr="00FB2D06" w:rsidRDefault="00A13438" w:rsidP="00CA4B30">
      <w:pPr>
        <w:jc w:val="both"/>
        <w:rPr>
          <w:color w:val="000000" w:themeColor="text1"/>
        </w:rPr>
      </w:pPr>
      <w:r w:rsidRPr="00FB2D06">
        <w:rPr>
          <w:color w:val="000000" w:themeColor="text1"/>
        </w:rPr>
        <w:t>Le financem</w:t>
      </w:r>
      <w:r w:rsidR="00CA4B30" w:rsidRPr="00FB2D06">
        <w:rPr>
          <w:color w:val="000000" w:themeColor="text1"/>
        </w:rPr>
        <w:t>ent de la santé  au</w:t>
      </w:r>
      <w:r w:rsidRPr="00FB2D06">
        <w:rPr>
          <w:color w:val="000000" w:themeColor="text1"/>
        </w:rPr>
        <w:t xml:space="preserve"> Congo est assuré par</w:t>
      </w:r>
      <w:r w:rsidR="00E60EF7">
        <w:rPr>
          <w:color w:val="000000" w:themeColor="text1"/>
        </w:rPr>
        <w:t xml:space="preserve"> </w:t>
      </w:r>
      <w:r w:rsidRPr="00FB2D06">
        <w:rPr>
          <w:color w:val="000000" w:themeColor="text1"/>
        </w:rPr>
        <w:t xml:space="preserve">: </w:t>
      </w:r>
      <w:r w:rsidR="00CA4B30" w:rsidRPr="00FB2D06">
        <w:rPr>
          <w:color w:val="000000" w:themeColor="text1"/>
        </w:rPr>
        <w:t xml:space="preserve">(i) </w:t>
      </w:r>
      <w:r w:rsidRPr="00FB2D06">
        <w:rPr>
          <w:color w:val="000000" w:themeColor="text1"/>
        </w:rPr>
        <w:t>le secteur public</w:t>
      </w:r>
      <w:r w:rsidR="00E60EF7">
        <w:rPr>
          <w:color w:val="000000" w:themeColor="text1"/>
        </w:rPr>
        <w:t xml:space="preserve"> (</w:t>
      </w:r>
      <w:r w:rsidR="00C00664">
        <w:rPr>
          <w:color w:val="000000" w:themeColor="text1"/>
        </w:rPr>
        <w:t>Administrations publiques)</w:t>
      </w:r>
      <w:r w:rsidRPr="00FB2D06">
        <w:rPr>
          <w:color w:val="000000" w:themeColor="text1"/>
        </w:rPr>
        <w:t xml:space="preserve">, </w:t>
      </w:r>
      <w:r w:rsidR="00CA4B30" w:rsidRPr="00FB2D06">
        <w:rPr>
          <w:color w:val="000000" w:themeColor="text1"/>
        </w:rPr>
        <w:t xml:space="preserve">(ii) </w:t>
      </w:r>
      <w:r w:rsidRPr="00FB2D06">
        <w:rPr>
          <w:color w:val="000000" w:themeColor="text1"/>
        </w:rPr>
        <w:t xml:space="preserve">le secteur privé (les ménages, </w:t>
      </w:r>
      <w:r w:rsidR="00CA4B30" w:rsidRPr="00FB2D06">
        <w:rPr>
          <w:color w:val="000000" w:themeColor="text1"/>
        </w:rPr>
        <w:t>les ONGS et fondations n</w:t>
      </w:r>
      <w:r w:rsidRPr="00FB2D06">
        <w:rPr>
          <w:color w:val="000000" w:themeColor="text1"/>
        </w:rPr>
        <w:t xml:space="preserve">ationales, et les entreprises) et </w:t>
      </w:r>
      <w:r w:rsidR="00CA4B30" w:rsidRPr="00FB2D06">
        <w:rPr>
          <w:color w:val="000000" w:themeColor="text1"/>
        </w:rPr>
        <w:t xml:space="preserve">(iii) </w:t>
      </w:r>
      <w:r w:rsidRPr="00FB2D06">
        <w:rPr>
          <w:color w:val="000000" w:themeColor="text1"/>
        </w:rPr>
        <w:t xml:space="preserve">le reste du monde (la coopération </w:t>
      </w:r>
      <w:r w:rsidR="00CA4B30" w:rsidRPr="00FB2D06">
        <w:rPr>
          <w:color w:val="000000" w:themeColor="text1"/>
        </w:rPr>
        <w:t>bi et multilatérale, les ONGs, fondations et initiatives i</w:t>
      </w:r>
      <w:r w:rsidRPr="00FB2D06">
        <w:rPr>
          <w:color w:val="000000" w:themeColor="text1"/>
        </w:rPr>
        <w:t>nternationales).</w:t>
      </w:r>
      <w:r w:rsidR="00CA4B30" w:rsidRPr="00FB2D06">
        <w:rPr>
          <w:color w:val="000000" w:themeColor="text1"/>
        </w:rPr>
        <w:t xml:space="preserve"> La part de financement de chaque secteur est</w:t>
      </w:r>
      <w:r w:rsidR="00FB2D06">
        <w:rPr>
          <w:color w:val="000000" w:themeColor="text1"/>
        </w:rPr>
        <w:t xml:space="preserve"> représentée  dans la figure ci dessous</w:t>
      </w:r>
      <w:r w:rsidR="00CA4B30" w:rsidRPr="00FB2D06">
        <w:rPr>
          <w:color w:val="000000" w:themeColor="text1"/>
        </w:rPr>
        <w:t>.</w:t>
      </w:r>
    </w:p>
    <w:p w:rsidR="00CA4B30" w:rsidRDefault="00CA4B30" w:rsidP="00CA4B30">
      <w:pPr>
        <w:jc w:val="both"/>
        <w:rPr>
          <w:color w:val="000000" w:themeColor="text1"/>
          <w:sz w:val="23"/>
          <w:szCs w:val="23"/>
        </w:rPr>
      </w:pPr>
    </w:p>
    <w:p w:rsidR="00CA4B30" w:rsidRPr="00C00664" w:rsidRDefault="00CA4B30" w:rsidP="00CA4B30">
      <w:pPr>
        <w:jc w:val="both"/>
        <w:rPr>
          <w:b/>
          <w:color w:val="000000" w:themeColor="text1"/>
          <w:sz w:val="20"/>
          <w:szCs w:val="23"/>
        </w:rPr>
      </w:pPr>
      <w:r w:rsidRPr="00C00664">
        <w:rPr>
          <w:b/>
          <w:color w:val="000000" w:themeColor="text1"/>
          <w:sz w:val="20"/>
          <w:szCs w:val="23"/>
        </w:rPr>
        <w:t>Figure n°</w:t>
      </w:r>
      <w:r w:rsidR="00C00664" w:rsidRPr="00C00664">
        <w:rPr>
          <w:b/>
          <w:color w:val="000000" w:themeColor="text1"/>
          <w:sz w:val="20"/>
          <w:szCs w:val="23"/>
        </w:rPr>
        <w:t>3</w:t>
      </w:r>
      <w:r w:rsidRPr="00C00664">
        <w:rPr>
          <w:b/>
          <w:color w:val="000000" w:themeColor="text1"/>
          <w:sz w:val="20"/>
          <w:szCs w:val="23"/>
        </w:rPr>
        <w:t> : Comparaison des différentes parts  de financement de la santé par secteur</w:t>
      </w:r>
    </w:p>
    <w:p w:rsidR="00737C19" w:rsidRPr="00737C19" w:rsidRDefault="00737C19" w:rsidP="00CA4B30">
      <w:pPr>
        <w:jc w:val="both"/>
        <w:rPr>
          <w:color w:val="000000" w:themeColor="text1"/>
          <w:sz w:val="20"/>
          <w:szCs w:val="23"/>
        </w:rPr>
      </w:pPr>
    </w:p>
    <w:p w:rsidR="00EB08F9" w:rsidRDefault="006B54AC" w:rsidP="00EB08F9">
      <w:pPr>
        <w:rPr>
          <w:lang w:eastAsia="fr-FR" w:bidi="ar-SA"/>
        </w:rPr>
      </w:pPr>
      <w:r>
        <w:rPr>
          <w:noProof/>
          <w:lang w:eastAsia="fr-FR" w:bidi="ar-SA"/>
        </w:rPr>
        <w:drawing>
          <wp:inline distT="0" distB="0" distL="0" distR="0">
            <wp:extent cx="5801097" cy="2018572"/>
            <wp:effectExtent l="19050" t="0" r="9153" b="0"/>
            <wp:docPr id="2"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srcRect/>
                    <a:stretch>
                      <a:fillRect/>
                    </a:stretch>
                  </pic:blipFill>
                  <pic:spPr bwMode="auto">
                    <a:xfrm>
                      <a:off x="0" y="0"/>
                      <a:ext cx="5811867" cy="2022320"/>
                    </a:xfrm>
                    <a:prstGeom prst="rect">
                      <a:avLst/>
                    </a:prstGeom>
                    <a:noFill/>
                  </pic:spPr>
                </pic:pic>
              </a:graphicData>
            </a:graphic>
          </wp:inline>
        </w:drawing>
      </w:r>
    </w:p>
    <w:p w:rsidR="00EB08F9" w:rsidRPr="00EB08F9" w:rsidRDefault="00EB08F9" w:rsidP="00EB08F9">
      <w:pPr>
        <w:rPr>
          <w:lang w:eastAsia="fr-FR" w:bidi="ar-SA"/>
        </w:rPr>
      </w:pPr>
    </w:p>
    <w:p w:rsidR="002F70D4" w:rsidRDefault="00C00664" w:rsidP="00D25851">
      <w:pPr>
        <w:jc w:val="both"/>
      </w:pPr>
      <w:r>
        <w:t>Le financement de</w:t>
      </w:r>
      <w:r w:rsidR="002F70D4">
        <w:t xml:space="preserve">s </w:t>
      </w:r>
      <w:r>
        <w:t>bailleurs bilatéraux, des ONGs</w:t>
      </w:r>
      <w:r w:rsidR="002F70D4">
        <w:t xml:space="preserve"> </w:t>
      </w:r>
      <w:r>
        <w:t>et fondations nationales et internationales ainsi que des</w:t>
      </w:r>
      <w:r w:rsidR="002F70D4">
        <w:t xml:space="preserve"> entreprises ont </w:t>
      </w:r>
      <w:r>
        <w:t>été faible</w:t>
      </w:r>
      <w:r w:rsidR="00B30F67">
        <w:t xml:space="preserve"> (moins de 5%)</w:t>
      </w:r>
      <w:r w:rsidR="002F70D4">
        <w:t xml:space="preserve">  durant le quinquennat considéré.</w:t>
      </w:r>
    </w:p>
    <w:p w:rsidR="002F70D4" w:rsidRDefault="002F70D4" w:rsidP="00D25851">
      <w:pPr>
        <w:jc w:val="both"/>
      </w:pPr>
    </w:p>
    <w:p w:rsidR="00626C05" w:rsidRDefault="00C00664" w:rsidP="00626C05">
      <w:pPr>
        <w:jc w:val="both"/>
      </w:pPr>
      <w:r>
        <w:t>En revanche, l</w:t>
      </w:r>
      <w:r w:rsidR="00B30F67">
        <w:t xml:space="preserve">’administration publique a contribué  entre 10%  en 2011 et  43% en 2015 </w:t>
      </w:r>
      <w:r w:rsidR="0060406A">
        <w:t xml:space="preserve">de la DCS </w:t>
      </w:r>
      <w:r w:rsidR="00B30F67">
        <w:t xml:space="preserve">avec un pic en 2014, année pendant laquelle </w:t>
      </w:r>
      <w:r w:rsidR="00EB7379">
        <w:t xml:space="preserve">il </w:t>
      </w:r>
      <w:r w:rsidR="00B30F67">
        <w:t xml:space="preserve">a atteint 44%. </w:t>
      </w:r>
      <w:r w:rsidR="0060406A">
        <w:t>Il convient de souligner qu'en ce qui concerne les années 2011, 2012 et 2013, les données relatives aux dépenses de santé du Gouvernement recueillies auprès du trésor public n'ont pas été exhaustives (sous estimées). C'est ce qui explique l'accroissement exponentiel du financement du gouvernement pendant cette période.</w:t>
      </w:r>
      <w:r w:rsidR="00626C05">
        <w:t xml:space="preserve"> </w:t>
      </w:r>
    </w:p>
    <w:p w:rsidR="00647BF7" w:rsidRDefault="00647BF7" w:rsidP="00626C05">
      <w:pPr>
        <w:jc w:val="both"/>
      </w:pPr>
    </w:p>
    <w:p w:rsidR="00EB7379" w:rsidRDefault="00B30F67" w:rsidP="00D25851">
      <w:pPr>
        <w:jc w:val="both"/>
      </w:pPr>
      <w:r>
        <w:t>S’</w:t>
      </w:r>
      <w:r w:rsidR="00EB7379">
        <w:t xml:space="preserve">agissant </w:t>
      </w:r>
      <w:r>
        <w:t>des ménages</w:t>
      </w:r>
      <w:r w:rsidR="00EB7379">
        <w:t xml:space="preserve">, leur apport a diminué, passant de 41%  en 2011 à 34% </w:t>
      </w:r>
      <w:r w:rsidR="0060406A">
        <w:t xml:space="preserve">de la DCS </w:t>
      </w:r>
      <w:r w:rsidR="00EB7379">
        <w:t>en 2015. Quant aux bailleurs multilatéraux, cette décroissance</w:t>
      </w:r>
      <w:r w:rsidR="0060406A">
        <w:t xml:space="preserve"> est plus significative, puisque leur contributions est passée </w:t>
      </w:r>
      <w:r w:rsidR="00EB7379">
        <w:t xml:space="preserve"> de 46% en 2011 à 20% </w:t>
      </w:r>
      <w:r w:rsidR="0060406A">
        <w:t xml:space="preserve"> de la DCS </w:t>
      </w:r>
      <w:r w:rsidR="00EB7379">
        <w:t xml:space="preserve">en 2015. </w:t>
      </w:r>
    </w:p>
    <w:p w:rsidR="002619E7" w:rsidRDefault="002619E7" w:rsidP="00D25851">
      <w:pPr>
        <w:jc w:val="both"/>
      </w:pPr>
    </w:p>
    <w:p w:rsidR="00EB7379" w:rsidRDefault="00EB7379" w:rsidP="00D25851">
      <w:pPr>
        <w:jc w:val="both"/>
      </w:pPr>
      <w:r>
        <w:t xml:space="preserve">En </w:t>
      </w:r>
      <w:r w:rsidR="00526352">
        <w:t>résume, le graphique n°4 ci dessous montre l'évolution de la DCS groupés en fonds externes , f</w:t>
      </w:r>
      <w:r w:rsidR="002619E7">
        <w:t xml:space="preserve">onds privés et </w:t>
      </w:r>
      <w:r w:rsidR="00526352">
        <w:t>fonds publics.</w:t>
      </w:r>
      <w:r w:rsidR="002619E7">
        <w:t xml:space="preserve">  </w:t>
      </w:r>
    </w:p>
    <w:p w:rsidR="00526352" w:rsidRDefault="00526352" w:rsidP="00D25851">
      <w:pPr>
        <w:jc w:val="both"/>
      </w:pPr>
    </w:p>
    <w:p w:rsidR="00526352" w:rsidRDefault="00EB7379" w:rsidP="00EB7379">
      <w:pPr>
        <w:jc w:val="both"/>
        <w:rPr>
          <w:i/>
        </w:rPr>
      </w:pPr>
      <w:r w:rsidRPr="002619E7">
        <w:rPr>
          <w:i/>
        </w:rPr>
        <w:t xml:space="preserve"> </w:t>
      </w:r>
    </w:p>
    <w:p w:rsidR="00526352" w:rsidRDefault="00526352" w:rsidP="00EB7379">
      <w:pPr>
        <w:jc w:val="both"/>
        <w:rPr>
          <w:i/>
        </w:rPr>
      </w:pPr>
    </w:p>
    <w:p w:rsidR="00526352" w:rsidRDefault="00526352" w:rsidP="00EB7379">
      <w:pPr>
        <w:jc w:val="both"/>
        <w:rPr>
          <w:i/>
        </w:rPr>
      </w:pPr>
    </w:p>
    <w:p w:rsidR="00526352" w:rsidRDefault="00526352" w:rsidP="00EB7379">
      <w:pPr>
        <w:jc w:val="both"/>
        <w:rPr>
          <w:i/>
        </w:rPr>
      </w:pPr>
    </w:p>
    <w:p w:rsidR="00526352" w:rsidRDefault="00526352" w:rsidP="00EB7379">
      <w:pPr>
        <w:jc w:val="both"/>
        <w:rPr>
          <w:i/>
        </w:rPr>
      </w:pPr>
    </w:p>
    <w:p w:rsidR="00526352" w:rsidRDefault="00526352" w:rsidP="00EB7379">
      <w:pPr>
        <w:jc w:val="both"/>
        <w:rPr>
          <w:i/>
        </w:rPr>
      </w:pPr>
    </w:p>
    <w:p w:rsidR="00526352" w:rsidRDefault="00526352" w:rsidP="00EB7379">
      <w:pPr>
        <w:jc w:val="both"/>
        <w:rPr>
          <w:i/>
        </w:rPr>
      </w:pPr>
    </w:p>
    <w:p w:rsidR="00526352" w:rsidRDefault="00526352" w:rsidP="00EB7379">
      <w:pPr>
        <w:jc w:val="both"/>
        <w:rPr>
          <w:i/>
        </w:rPr>
      </w:pPr>
    </w:p>
    <w:p w:rsidR="00526352" w:rsidRDefault="00526352" w:rsidP="00EB7379">
      <w:pPr>
        <w:jc w:val="both"/>
        <w:rPr>
          <w:i/>
        </w:rPr>
      </w:pPr>
    </w:p>
    <w:p w:rsidR="00526352" w:rsidRDefault="00526352" w:rsidP="00EB7379">
      <w:pPr>
        <w:jc w:val="both"/>
        <w:rPr>
          <w:i/>
        </w:rPr>
      </w:pPr>
    </w:p>
    <w:p w:rsidR="00C41CEB" w:rsidRPr="00526352" w:rsidRDefault="00526352" w:rsidP="00EB7379">
      <w:pPr>
        <w:jc w:val="both"/>
        <w:rPr>
          <w:b/>
        </w:rPr>
      </w:pPr>
      <w:r>
        <w:rPr>
          <w:b/>
        </w:rPr>
        <w:t>Graphique</w:t>
      </w:r>
      <w:r w:rsidR="002619E7" w:rsidRPr="00526352">
        <w:rPr>
          <w:b/>
        </w:rPr>
        <w:t xml:space="preserve"> n°</w:t>
      </w:r>
      <w:r w:rsidRPr="00526352">
        <w:rPr>
          <w:b/>
        </w:rPr>
        <w:t>4</w:t>
      </w:r>
      <w:r w:rsidR="002619E7" w:rsidRPr="00526352">
        <w:rPr>
          <w:b/>
        </w:rPr>
        <w:t> : Evolu</w:t>
      </w:r>
      <w:r w:rsidR="00EB0695" w:rsidRPr="00526352">
        <w:rPr>
          <w:b/>
        </w:rPr>
        <w:t>tion du financement par origine des</w:t>
      </w:r>
      <w:r w:rsidR="008E6D2E" w:rsidRPr="00526352">
        <w:rPr>
          <w:b/>
        </w:rPr>
        <w:t xml:space="preserve"> fonds</w:t>
      </w:r>
    </w:p>
    <w:p w:rsidR="00C0609E" w:rsidRPr="00C0609E" w:rsidRDefault="00C0609E" w:rsidP="00EB7379">
      <w:pPr>
        <w:jc w:val="both"/>
        <w:rPr>
          <w:sz w:val="22"/>
        </w:rPr>
      </w:pPr>
    </w:p>
    <w:p w:rsidR="00D25851" w:rsidRDefault="00C0609E">
      <w:pPr>
        <w:spacing w:after="200" w:line="20" w:lineRule="atLeast"/>
        <w:rPr>
          <w:b/>
          <w:bCs/>
          <w:iCs/>
          <w:color w:val="000000" w:themeColor="text1"/>
          <w:sz w:val="22"/>
        </w:rPr>
      </w:pPr>
      <w:bookmarkStart w:id="49" w:name="_Toc483474609"/>
      <w:r w:rsidRPr="00C0609E">
        <w:rPr>
          <w:b/>
          <w:bCs/>
          <w:iCs/>
          <w:noProof/>
          <w:color w:val="000000" w:themeColor="text1"/>
          <w:sz w:val="22"/>
          <w:lang w:eastAsia="fr-FR" w:bidi="ar-SA"/>
        </w:rPr>
        <w:drawing>
          <wp:inline distT="0" distB="0" distL="0" distR="0">
            <wp:extent cx="5295157" cy="1983180"/>
            <wp:effectExtent l="19050" t="0" r="19793" b="0"/>
            <wp:docPr id="3" name="Graphique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CC0159" w:rsidRPr="00CC0159" w:rsidRDefault="002619E7" w:rsidP="00CC0159">
      <w:pPr>
        <w:spacing w:after="200" w:line="20" w:lineRule="atLeast"/>
        <w:jc w:val="both"/>
        <w:rPr>
          <w:bCs/>
          <w:iCs/>
          <w:color w:val="000000" w:themeColor="text1"/>
          <w:sz w:val="22"/>
        </w:rPr>
      </w:pPr>
      <w:r w:rsidRPr="002619E7">
        <w:rPr>
          <w:bCs/>
          <w:iCs/>
          <w:color w:val="000000" w:themeColor="text1"/>
          <w:sz w:val="22"/>
        </w:rPr>
        <w:t>Ce graphique révèle le constat général suivant :</w:t>
      </w:r>
      <w:r>
        <w:rPr>
          <w:bCs/>
          <w:iCs/>
          <w:color w:val="000000" w:themeColor="text1"/>
          <w:sz w:val="22"/>
        </w:rPr>
        <w:t xml:space="preserve"> </w:t>
      </w:r>
      <w:r w:rsidR="00CC0159">
        <w:rPr>
          <w:bCs/>
          <w:iCs/>
          <w:color w:val="000000" w:themeColor="text1"/>
          <w:sz w:val="22"/>
        </w:rPr>
        <w:t>(i) l</w:t>
      </w:r>
      <w:r w:rsidR="00CC0159" w:rsidRPr="00CC0159">
        <w:rPr>
          <w:bCs/>
          <w:iCs/>
          <w:color w:val="000000" w:themeColor="text1"/>
          <w:sz w:val="22"/>
        </w:rPr>
        <w:t xml:space="preserve">es fonds </w:t>
      </w:r>
      <w:r w:rsidR="00C0609E">
        <w:rPr>
          <w:bCs/>
          <w:iCs/>
          <w:color w:val="000000" w:themeColor="text1"/>
          <w:sz w:val="22"/>
        </w:rPr>
        <w:t>des administrations publiques</w:t>
      </w:r>
      <w:r w:rsidR="00CC0159" w:rsidRPr="00CC0159">
        <w:rPr>
          <w:bCs/>
          <w:iCs/>
          <w:color w:val="000000" w:themeColor="text1"/>
          <w:sz w:val="22"/>
        </w:rPr>
        <w:t xml:space="preserve">  ont une tendance croissante</w:t>
      </w:r>
      <w:r w:rsidR="00CC0159">
        <w:rPr>
          <w:bCs/>
          <w:iCs/>
          <w:color w:val="000000" w:themeColor="text1"/>
          <w:sz w:val="22"/>
        </w:rPr>
        <w:t>, (ii) les fonds privés sont consta</w:t>
      </w:r>
      <w:r w:rsidR="00C0609E">
        <w:rPr>
          <w:bCs/>
          <w:iCs/>
          <w:color w:val="000000" w:themeColor="text1"/>
          <w:sz w:val="22"/>
        </w:rPr>
        <w:t>nt</w:t>
      </w:r>
      <w:r w:rsidR="00EB0695">
        <w:rPr>
          <w:bCs/>
          <w:iCs/>
          <w:color w:val="000000" w:themeColor="text1"/>
          <w:sz w:val="22"/>
        </w:rPr>
        <w:t>s, (iii) cependant les fonds</w:t>
      </w:r>
      <w:r w:rsidR="00C0609E">
        <w:rPr>
          <w:bCs/>
          <w:iCs/>
          <w:color w:val="000000" w:themeColor="text1"/>
          <w:sz w:val="22"/>
        </w:rPr>
        <w:t xml:space="preserve"> externes</w:t>
      </w:r>
      <w:r w:rsidR="00CC0159">
        <w:rPr>
          <w:bCs/>
          <w:iCs/>
          <w:color w:val="000000" w:themeColor="text1"/>
          <w:sz w:val="22"/>
        </w:rPr>
        <w:t xml:space="preserve"> ont une tendance décroissante.</w:t>
      </w:r>
      <w:r w:rsidR="00CC0159" w:rsidRPr="00CC0159">
        <w:rPr>
          <w:bCs/>
          <w:iCs/>
          <w:color w:val="000000" w:themeColor="text1"/>
          <w:sz w:val="22"/>
        </w:rPr>
        <w:t xml:space="preserve"> </w:t>
      </w:r>
      <w:r w:rsidR="00CC0159">
        <w:rPr>
          <w:bCs/>
          <w:iCs/>
          <w:color w:val="000000" w:themeColor="text1"/>
          <w:sz w:val="22"/>
        </w:rPr>
        <w:t xml:space="preserve">En </w:t>
      </w:r>
      <w:r w:rsidR="00526352">
        <w:rPr>
          <w:bCs/>
          <w:iCs/>
          <w:color w:val="000000" w:themeColor="text1"/>
          <w:sz w:val="22"/>
        </w:rPr>
        <w:t xml:space="preserve">de 2013 à </w:t>
      </w:r>
      <w:r w:rsidR="00CC0159">
        <w:rPr>
          <w:bCs/>
          <w:iCs/>
          <w:color w:val="000000" w:themeColor="text1"/>
          <w:sz w:val="22"/>
        </w:rPr>
        <w:t xml:space="preserve">2015, le Gouvernement est la source principale de financement avec </w:t>
      </w:r>
      <w:r w:rsidR="00526352">
        <w:rPr>
          <w:bCs/>
          <w:iCs/>
          <w:color w:val="000000" w:themeColor="text1"/>
          <w:sz w:val="22"/>
        </w:rPr>
        <w:t xml:space="preserve">respectivement 38% et </w:t>
      </w:r>
      <w:r w:rsidR="00CC0159">
        <w:rPr>
          <w:bCs/>
          <w:iCs/>
          <w:color w:val="000000" w:themeColor="text1"/>
          <w:sz w:val="22"/>
        </w:rPr>
        <w:t>43%</w:t>
      </w:r>
      <w:r w:rsidR="00751934" w:rsidRPr="00751934">
        <w:rPr>
          <w:bCs/>
          <w:iCs/>
          <w:color w:val="000000" w:themeColor="text1"/>
          <w:sz w:val="22"/>
        </w:rPr>
        <w:t xml:space="preserve"> </w:t>
      </w:r>
      <w:r w:rsidR="00751934">
        <w:rPr>
          <w:bCs/>
          <w:iCs/>
          <w:color w:val="000000" w:themeColor="text1"/>
          <w:sz w:val="22"/>
        </w:rPr>
        <w:t>de la DCS</w:t>
      </w:r>
      <w:r w:rsidR="00526352">
        <w:rPr>
          <w:bCs/>
          <w:iCs/>
          <w:color w:val="000000" w:themeColor="text1"/>
          <w:sz w:val="22"/>
        </w:rPr>
        <w:t xml:space="preserve">, suivi des fonds privés (38% en 2013 et </w:t>
      </w:r>
      <w:r w:rsidR="00751934">
        <w:rPr>
          <w:bCs/>
          <w:iCs/>
          <w:color w:val="000000" w:themeColor="text1"/>
          <w:sz w:val="22"/>
        </w:rPr>
        <w:t>37%</w:t>
      </w:r>
      <w:r w:rsidR="00526352">
        <w:rPr>
          <w:bCs/>
          <w:iCs/>
          <w:color w:val="000000" w:themeColor="text1"/>
          <w:sz w:val="22"/>
        </w:rPr>
        <w:t xml:space="preserve"> en 2015)</w:t>
      </w:r>
      <w:r w:rsidR="00751934">
        <w:rPr>
          <w:bCs/>
          <w:iCs/>
          <w:color w:val="000000" w:themeColor="text1"/>
          <w:sz w:val="22"/>
        </w:rPr>
        <w:t xml:space="preserve"> de la DCS et les fonds externes (reste du monde)</w:t>
      </w:r>
      <w:r w:rsidR="00CC0159">
        <w:rPr>
          <w:bCs/>
          <w:iCs/>
          <w:color w:val="000000" w:themeColor="text1"/>
          <w:sz w:val="22"/>
        </w:rPr>
        <w:t xml:space="preserve"> occupe</w:t>
      </w:r>
      <w:r w:rsidR="00751934">
        <w:rPr>
          <w:bCs/>
          <w:iCs/>
          <w:color w:val="000000" w:themeColor="text1"/>
          <w:sz w:val="22"/>
        </w:rPr>
        <w:t>nt</w:t>
      </w:r>
      <w:r w:rsidR="00CC0159">
        <w:rPr>
          <w:bCs/>
          <w:iCs/>
          <w:color w:val="000000" w:themeColor="text1"/>
          <w:sz w:val="22"/>
        </w:rPr>
        <w:t xml:space="preserve"> la dernière position avec 21%</w:t>
      </w:r>
      <w:r w:rsidR="00751934">
        <w:rPr>
          <w:bCs/>
          <w:iCs/>
          <w:color w:val="000000" w:themeColor="text1"/>
          <w:sz w:val="22"/>
        </w:rPr>
        <w:t xml:space="preserve"> de la DCS</w:t>
      </w:r>
      <w:r w:rsidR="00CC0159">
        <w:rPr>
          <w:bCs/>
          <w:iCs/>
          <w:color w:val="000000" w:themeColor="text1"/>
          <w:sz w:val="22"/>
        </w:rPr>
        <w:t xml:space="preserve">. </w:t>
      </w:r>
    </w:p>
    <w:p w:rsidR="00A10E04" w:rsidRDefault="00A10E04" w:rsidP="00A401E9">
      <w:pPr>
        <w:pStyle w:val="Titre4"/>
        <w:rPr>
          <w:i w:val="0"/>
          <w:color w:val="000000" w:themeColor="text1"/>
        </w:rPr>
      </w:pPr>
      <w:r w:rsidRPr="008D45CE">
        <w:rPr>
          <w:i w:val="0"/>
          <w:color w:val="000000" w:themeColor="text1"/>
        </w:rPr>
        <w:t>4.1.5.1.</w:t>
      </w:r>
      <w:r w:rsidR="00727286" w:rsidRPr="008D45CE">
        <w:rPr>
          <w:i w:val="0"/>
          <w:color w:val="000000" w:themeColor="text1"/>
        </w:rPr>
        <w:t>1</w:t>
      </w:r>
      <w:r w:rsidRPr="008D45CE">
        <w:rPr>
          <w:i w:val="0"/>
          <w:color w:val="000000" w:themeColor="text1"/>
        </w:rPr>
        <w:t xml:space="preserve"> Fonds Publics</w:t>
      </w:r>
      <w:bookmarkEnd w:id="49"/>
      <w:r w:rsidR="00727286" w:rsidRPr="008D45CE">
        <w:rPr>
          <w:i w:val="0"/>
          <w:color w:val="000000" w:themeColor="text1"/>
        </w:rPr>
        <w:t xml:space="preserve"> de 2011 à 2015</w:t>
      </w:r>
      <w:r w:rsidR="00940BE4">
        <w:rPr>
          <w:i w:val="0"/>
          <w:color w:val="000000" w:themeColor="text1"/>
        </w:rPr>
        <w:t xml:space="preserve"> </w:t>
      </w:r>
    </w:p>
    <w:p w:rsidR="00163C12" w:rsidRDefault="00ED6C95" w:rsidP="00940BE4">
      <w:r>
        <w:t>Le Fonds Publics comprend les dépenses courantes en santé domestiques effectuées par le Gouvernement au niveau central et au niveau départemental.</w:t>
      </w:r>
    </w:p>
    <w:p w:rsidR="00940BE4" w:rsidRPr="00940BE4" w:rsidRDefault="00163C12" w:rsidP="00940BE4">
      <w:r w:rsidRPr="002619E7">
        <w:rPr>
          <w:i/>
        </w:rPr>
        <w:t>Figure n°7</w:t>
      </w:r>
      <w:r>
        <w:t xml:space="preserve"> : </w:t>
      </w:r>
      <w:r w:rsidR="00ED6C95">
        <w:t xml:space="preserve"> </w:t>
      </w:r>
      <w:r>
        <w:t xml:space="preserve">                                                            </w:t>
      </w:r>
      <w:r>
        <w:rPr>
          <w:i/>
        </w:rPr>
        <w:t>Figure n°8</w:t>
      </w:r>
      <w:r>
        <w:t> :</w:t>
      </w:r>
    </w:p>
    <w:p w:rsidR="00DF11F9" w:rsidRDefault="00DF11F9" w:rsidP="00DF11F9">
      <w:pPr>
        <w:rPr>
          <w:color w:val="FF0000"/>
        </w:rPr>
      </w:pPr>
    </w:p>
    <w:p w:rsidR="00D25851" w:rsidRPr="00045FB8" w:rsidRDefault="002D69A6" w:rsidP="00DF11F9">
      <w:pPr>
        <w:rPr>
          <w:color w:val="FF0000"/>
        </w:rPr>
      </w:pPr>
      <w:r>
        <w:rPr>
          <w:noProof/>
          <w:color w:val="FF0000"/>
          <w:lang w:eastAsia="fr-FR" w:bidi="ar-SA"/>
        </w:rPr>
        <w:drawing>
          <wp:inline distT="0" distB="0" distL="0" distR="0">
            <wp:extent cx="2724150" cy="1886477"/>
            <wp:effectExtent l="19050" t="0" r="0" b="0"/>
            <wp:docPr id="15"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cstate="print"/>
                    <a:srcRect/>
                    <a:stretch>
                      <a:fillRect/>
                    </a:stretch>
                  </pic:blipFill>
                  <pic:spPr bwMode="auto">
                    <a:xfrm>
                      <a:off x="0" y="0"/>
                      <a:ext cx="2723663" cy="1886140"/>
                    </a:xfrm>
                    <a:prstGeom prst="rect">
                      <a:avLst/>
                    </a:prstGeom>
                    <a:noFill/>
                  </pic:spPr>
                </pic:pic>
              </a:graphicData>
            </a:graphic>
          </wp:inline>
        </w:drawing>
      </w:r>
      <w:r w:rsidR="00940BE4">
        <w:rPr>
          <w:color w:val="FF0000"/>
        </w:rPr>
        <w:t xml:space="preserve">  </w:t>
      </w:r>
      <w:r w:rsidR="00940BE4">
        <w:rPr>
          <w:noProof/>
          <w:color w:val="FF0000"/>
          <w:lang w:eastAsia="fr-FR" w:bidi="ar-SA"/>
        </w:rPr>
        <w:drawing>
          <wp:inline distT="0" distB="0" distL="0" distR="0">
            <wp:extent cx="2872592" cy="1886662"/>
            <wp:effectExtent l="19050" t="0" r="3958" b="0"/>
            <wp:docPr id="21"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cstate="print"/>
                    <a:srcRect/>
                    <a:stretch>
                      <a:fillRect/>
                    </a:stretch>
                  </pic:blipFill>
                  <pic:spPr bwMode="auto">
                    <a:xfrm>
                      <a:off x="0" y="0"/>
                      <a:ext cx="2878356" cy="1890448"/>
                    </a:xfrm>
                    <a:prstGeom prst="rect">
                      <a:avLst/>
                    </a:prstGeom>
                    <a:noFill/>
                  </pic:spPr>
                </pic:pic>
              </a:graphicData>
            </a:graphic>
          </wp:inline>
        </w:drawing>
      </w:r>
    </w:p>
    <w:p w:rsidR="00127CF1" w:rsidRPr="00127CF1" w:rsidRDefault="00127CF1" w:rsidP="00127CF1">
      <w:pPr>
        <w:autoSpaceDE w:val="0"/>
        <w:autoSpaceDN w:val="0"/>
        <w:adjustRightInd w:val="0"/>
        <w:rPr>
          <w:rFonts w:ascii="Gill Sans MT" w:eastAsiaTheme="minorHAnsi" w:hAnsi="Gill Sans MT" w:cs="Gill Sans MT"/>
          <w:color w:val="000000"/>
          <w:lang w:bidi="ar-SA"/>
        </w:rPr>
      </w:pPr>
    </w:p>
    <w:p w:rsidR="009C1580" w:rsidRDefault="009C1580" w:rsidP="0077480E">
      <w:pPr>
        <w:jc w:val="both"/>
      </w:pPr>
      <w:r>
        <w:rPr>
          <w:rFonts w:eastAsiaTheme="minorHAnsi"/>
          <w:bCs/>
          <w:color w:val="000000"/>
          <w:sz w:val="22"/>
          <w:szCs w:val="22"/>
          <w:lang w:bidi="ar-SA"/>
        </w:rPr>
        <w:t>L</w:t>
      </w:r>
      <w:r w:rsidR="00ED6C95">
        <w:rPr>
          <w:rFonts w:eastAsiaTheme="minorHAnsi"/>
          <w:bCs/>
          <w:color w:val="000000"/>
          <w:sz w:val="22"/>
          <w:szCs w:val="22"/>
          <w:lang w:bidi="ar-SA"/>
        </w:rPr>
        <w:t xml:space="preserve">e Gouvernement Congolais ne cesse de fournir des efforts </w:t>
      </w:r>
      <w:r>
        <w:rPr>
          <w:rFonts w:eastAsiaTheme="minorHAnsi"/>
          <w:bCs/>
          <w:color w:val="000000"/>
          <w:sz w:val="22"/>
          <w:szCs w:val="22"/>
          <w:lang w:bidi="ar-SA"/>
        </w:rPr>
        <w:t xml:space="preserve">considérables </w:t>
      </w:r>
      <w:r w:rsidR="00ED6C95">
        <w:rPr>
          <w:rFonts w:eastAsiaTheme="minorHAnsi"/>
          <w:bCs/>
          <w:color w:val="000000"/>
          <w:sz w:val="22"/>
          <w:szCs w:val="22"/>
          <w:lang w:bidi="ar-SA"/>
        </w:rPr>
        <w:t xml:space="preserve">pour accroitre son financement </w:t>
      </w:r>
      <w:r w:rsidR="00626C05">
        <w:rPr>
          <w:rFonts w:eastAsiaTheme="minorHAnsi"/>
          <w:bCs/>
          <w:color w:val="000000"/>
          <w:sz w:val="22"/>
          <w:szCs w:val="22"/>
          <w:lang w:bidi="ar-SA"/>
        </w:rPr>
        <w:t>alloué</w:t>
      </w:r>
      <w:r>
        <w:rPr>
          <w:rFonts w:eastAsiaTheme="minorHAnsi"/>
          <w:bCs/>
          <w:color w:val="000000"/>
          <w:sz w:val="22"/>
          <w:szCs w:val="22"/>
          <w:lang w:bidi="ar-SA"/>
        </w:rPr>
        <w:t xml:space="preserve"> au </w:t>
      </w:r>
      <w:r w:rsidR="00ED6C95">
        <w:rPr>
          <w:rFonts w:eastAsiaTheme="minorHAnsi"/>
          <w:bCs/>
          <w:color w:val="000000"/>
          <w:sz w:val="22"/>
          <w:szCs w:val="22"/>
          <w:lang w:bidi="ar-SA"/>
        </w:rPr>
        <w:t xml:space="preserve"> système de santé. </w:t>
      </w:r>
      <w:r w:rsidR="00591B30">
        <w:rPr>
          <w:rFonts w:eastAsiaTheme="minorHAnsi"/>
          <w:bCs/>
          <w:color w:val="000000"/>
          <w:sz w:val="22"/>
          <w:szCs w:val="22"/>
          <w:lang w:bidi="ar-SA"/>
        </w:rPr>
        <w:t xml:space="preserve"> Les dépenses per capita du gouvernement  sont </w:t>
      </w:r>
      <w:r w:rsidR="00EA4D51">
        <w:rPr>
          <w:rFonts w:eastAsiaTheme="minorHAnsi"/>
          <w:bCs/>
          <w:color w:val="000000"/>
          <w:sz w:val="22"/>
          <w:szCs w:val="22"/>
          <w:lang w:bidi="ar-SA"/>
        </w:rPr>
        <w:t>passées</w:t>
      </w:r>
      <w:r w:rsidR="00591B30">
        <w:rPr>
          <w:rFonts w:eastAsiaTheme="minorHAnsi"/>
          <w:bCs/>
          <w:color w:val="000000"/>
          <w:sz w:val="22"/>
          <w:szCs w:val="22"/>
          <w:lang w:bidi="ar-SA"/>
        </w:rPr>
        <w:t xml:space="preserve"> de 4,5  à 24.7 USD entre </w:t>
      </w:r>
      <w:r w:rsidR="00647BF7">
        <w:rPr>
          <w:rFonts w:eastAsiaTheme="minorHAnsi"/>
          <w:bCs/>
          <w:color w:val="000000"/>
          <w:sz w:val="22"/>
          <w:szCs w:val="22"/>
          <w:lang w:bidi="ar-SA"/>
        </w:rPr>
        <w:t xml:space="preserve">2011  et 2015. </w:t>
      </w:r>
    </w:p>
    <w:p w:rsidR="00BA392B" w:rsidRDefault="00BA392B" w:rsidP="00BA392B">
      <w:pPr>
        <w:pStyle w:val="Titre4"/>
        <w:rPr>
          <w:i w:val="0"/>
          <w:color w:val="000000" w:themeColor="text1"/>
        </w:rPr>
      </w:pPr>
      <w:bookmarkStart w:id="50" w:name="_Toc465262358"/>
      <w:bookmarkStart w:id="51" w:name="_Toc483474611"/>
      <w:r w:rsidRPr="008D45CE">
        <w:rPr>
          <w:i w:val="0"/>
          <w:color w:val="000000" w:themeColor="text1"/>
        </w:rPr>
        <w:t>4.1.5.</w:t>
      </w:r>
      <w:r w:rsidR="00727286" w:rsidRPr="008D45CE">
        <w:rPr>
          <w:i w:val="0"/>
          <w:color w:val="000000" w:themeColor="text1"/>
        </w:rPr>
        <w:t>1</w:t>
      </w:r>
      <w:r w:rsidRPr="008D45CE">
        <w:rPr>
          <w:i w:val="0"/>
          <w:color w:val="000000" w:themeColor="text1"/>
        </w:rPr>
        <w:t>.</w:t>
      </w:r>
      <w:r w:rsidR="00727286" w:rsidRPr="008D45CE">
        <w:rPr>
          <w:i w:val="0"/>
          <w:color w:val="000000" w:themeColor="text1"/>
        </w:rPr>
        <w:t xml:space="preserve">2. </w:t>
      </w:r>
      <w:r w:rsidRPr="008D45CE">
        <w:rPr>
          <w:i w:val="0"/>
          <w:color w:val="000000" w:themeColor="text1"/>
        </w:rPr>
        <w:t xml:space="preserve"> Fonds</w:t>
      </w:r>
      <w:bookmarkEnd w:id="50"/>
      <w:bookmarkEnd w:id="51"/>
      <w:r w:rsidR="00982AAF">
        <w:rPr>
          <w:i w:val="0"/>
          <w:color w:val="000000" w:themeColor="text1"/>
        </w:rPr>
        <w:t xml:space="preserve"> </w:t>
      </w:r>
      <w:r w:rsidR="009550C5">
        <w:rPr>
          <w:i w:val="0"/>
          <w:color w:val="000000" w:themeColor="text1"/>
        </w:rPr>
        <w:t>Privés</w:t>
      </w:r>
      <w:r w:rsidR="00982AAF">
        <w:rPr>
          <w:i w:val="0"/>
          <w:color w:val="000000" w:themeColor="text1"/>
        </w:rPr>
        <w:t xml:space="preserve"> </w:t>
      </w:r>
      <w:r w:rsidR="00727286" w:rsidRPr="008D45CE">
        <w:rPr>
          <w:i w:val="0"/>
          <w:color w:val="000000" w:themeColor="text1"/>
        </w:rPr>
        <w:t>de 2011 à</w:t>
      </w:r>
      <w:r w:rsidR="009550C5">
        <w:rPr>
          <w:i w:val="0"/>
          <w:color w:val="000000" w:themeColor="text1"/>
        </w:rPr>
        <w:t xml:space="preserve"> </w:t>
      </w:r>
      <w:r w:rsidR="00727286" w:rsidRPr="008D45CE">
        <w:rPr>
          <w:i w:val="0"/>
          <w:color w:val="000000" w:themeColor="text1"/>
        </w:rPr>
        <w:t>2015</w:t>
      </w:r>
    </w:p>
    <w:p w:rsidR="009550C5" w:rsidRDefault="00317BC8" w:rsidP="00EA4D51">
      <w:pPr>
        <w:jc w:val="both"/>
        <w:rPr>
          <w:color w:val="000000" w:themeColor="text1"/>
          <w:sz w:val="23"/>
          <w:szCs w:val="23"/>
        </w:rPr>
      </w:pPr>
      <w:r>
        <w:rPr>
          <w:color w:val="000000" w:themeColor="text1"/>
          <w:sz w:val="23"/>
          <w:szCs w:val="23"/>
        </w:rPr>
        <w:t xml:space="preserve">  </w:t>
      </w:r>
      <w:r w:rsidR="009550C5">
        <w:rPr>
          <w:color w:val="000000" w:themeColor="text1"/>
          <w:sz w:val="23"/>
          <w:szCs w:val="23"/>
        </w:rPr>
        <w:t>Les Fonds  p</w:t>
      </w:r>
      <w:r w:rsidR="00EA4D51">
        <w:rPr>
          <w:color w:val="000000" w:themeColor="text1"/>
          <w:sz w:val="23"/>
          <w:szCs w:val="23"/>
        </w:rPr>
        <w:t>rivés</w:t>
      </w:r>
      <w:r w:rsidRPr="00317BC8">
        <w:rPr>
          <w:color w:val="000000" w:themeColor="text1"/>
          <w:sz w:val="23"/>
          <w:szCs w:val="23"/>
        </w:rPr>
        <w:t xml:space="preserve"> </w:t>
      </w:r>
      <w:r>
        <w:rPr>
          <w:color w:val="000000" w:themeColor="text1"/>
          <w:sz w:val="23"/>
          <w:szCs w:val="23"/>
        </w:rPr>
        <w:t>englobent les dépenses des ménages</w:t>
      </w:r>
      <w:r w:rsidRPr="008D45CE">
        <w:rPr>
          <w:color w:val="000000" w:themeColor="text1"/>
          <w:sz w:val="23"/>
          <w:szCs w:val="23"/>
        </w:rPr>
        <w:t xml:space="preserve">, </w:t>
      </w:r>
      <w:r>
        <w:rPr>
          <w:color w:val="000000" w:themeColor="text1"/>
          <w:sz w:val="23"/>
          <w:szCs w:val="23"/>
        </w:rPr>
        <w:t xml:space="preserve">les dépenses des entreprises, et les dépenses des ONGS et fondations nationales. Ces fonds privés </w:t>
      </w:r>
      <w:r w:rsidR="00EA4D51">
        <w:rPr>
          <w:color w:val="000000" w:themeColor="text1"/>
          <w:sz w:val="23"/>
          <w:szCs w:val="23"/>
        </w:rPr>
        <w:t xml:space="preserve">constituent </w:t>
      </w:r>
      <w:r>
        <w:t xml:space="preserve"> la 2</w:t>
      </w:r>
      <w:r w:rsidRPr="00317BC8">
        <w:rPr>
          <w:vertAlign w:val="superscript"/>
        </w:rPr>
        <w:t>ème</w:t>
      </w:r>
      <w:r>
        <w:t xml:space="preserve"> </w:t>
      </w:r>
      <w:r w:rsidR="00EA4D51" w:rsidRPr="00C74367">
        <w:t xml:space="preserve"> source de financement du système de santé </w:t>
      </w:r>
      <w:r w:rsidR="00EA4D51">
        <w:t xml:space="preserve">congolais après celui du </w:t>
      </w:r>
      <w:r w:rsidR="00802E0C">
        <w:t>Gouvernement. Ils</w:t>
      </w:r>
      <w:r w:rsidR="00EA4D51">
        <w:t xml:space="preserve">  représentent en moyenne </w:t>
      </w:r>
      <w:r w:rsidR="00802E0C">
        <w:t>39</w:t>
      </w:r>
      <w:r w:rsidR="00EA4D51" w:rsidRPr="00C74367">
        <w:t>%</w:t>
      </w:r>
      <w:r w:rsidR="00EA4D51">
        <w:t xml:space="preserve"> de </w:t>
      </w:r>
      <w:r w:rsidR="00EA4D51" w:rsidRPr="00C74367">
        <w:t xml:space="preserve"> la dépense </w:t>
      </w:r>
      <w:r w:rsidR="00EA4D51">
        <w:t>courante</w:t>
      </w:r>
      <w:r w:rsidR="00EA4D51" w:rsidRPr="00C74367">
        <w:t xml:space="preserve"> de santé </w:t>
      </w:r>
      <w:r>
        <w:t>en République du</w:t>
      </w:r>
      <w:r w:rsidR="00EA4D51">
        <w:t xml:space="preserve"> Congo. </w:t>
      </w:r>
    </w:p>
    <w:p w:rsidR="009550C5" w:rsidRDefault="009550C5" w:rsidP="00C74367">
      <w:pPr>
        <w:rPr>
          <w:color w:val="000000" w:themeColor="text1"/>
          <w:sz w:val="23"/>
          <w:szCs w:val="23"/>
        </w:rPr>
      </w:pPr>
    </w:p>
    <w:p w:rsidR="005F12C9" w:rsidRDefault="005F12C9" w:rsidP="00C74367">
      <w:pPr>
        <w:rPr>
          <w:color w:val="000000" w:themeColor="text1"/>
          <w:sz w:val="23"/>
          <w:szCs w:val="23"/>
        </w:rPr>
      </w:pPr>
    </w:p>
    <w:p w:rsidR="005F12C9" w:rsidRDefault="005F12C9" w:rsidP="00C74367">
      <w:pPr>
        <w:rPr>
          <w:color w:val="000000" w:themeColor="text1"/>
          <w:sz w:val="23"/>
          <w:szCs w:val="23"/>
        </w:rPr>
      </w:pPr>
    </w:p>
    <w:p w:rsidR="005F12C9" w:rsidRDefault="005F12C9" w:rsidP="00C74367">
      <w:pPr>
        <w:rPr>
          <w:color w:val="000000" w:themeColor="text1"/>
          <w:sz w:val="23"/>
          <w:szCs w:val="23"/>
        </w:rPr>
      </w:pPr>
    </w:p>
    <w:p w:rsidR="005F12C9" w:rsidRDefault="005F12C9" w:rsidP="00C74367">
      <w:pPr>
        <w:rPr>
          <w:color w:val="000000" w:themeColor="text1"/>
          <w:sz w:val="23"/>
          <w:szCs w:val="23"/>
        </w:rPr>
      </w:pPr>
    </w:p>
    <w:p w:rsidR="009550C5" w:rsidRDefault="00402250" w:rsidP="00C74367">
      <w:r w:rsidRPr="00D658BB">
        <w:rPr>
          <w:i/>
          <w:color w:val="000000" w:themeColor="text1"/>
        </w:rPr>
        <w:t>4.1.5.1.2.1.</w:t>
      </w:r>
      <w:r w:rsidR="009550C5">
        <w:rPr>
          <w:color w:val="000000" w:themeColor="text1"/>
          <w:sz w:val="23"/>
          <w:szCs w:val="23"/>
        </w:rPr>
        <w:t xml:space="preserve"> </w:t>
      </w:r>
      <w:r w:rsidR="009550C5" w:rsidRPr="00402250">
        <w:rPr>
          <w:b/>
          <w:color w:val="000000" w:themeColor="text1"/>
          <w:sz w:val="23"/>
          <w:szCs w:val="23"/>
        </w:rPr>
        <w:t xml:space="preserve">Fonds des </w:t>
      </w:r>
      <w:r w:rsidR="00C74367" w:rsidRPr="00402250">
        <w:rPr>
          <w:b/>
        </w:rPr>
        <w:t>ménages</w:t>
      </w:r>
      <w:r w:rsidR="00C74367" w:rsidRPr="00C74367">
        <w:t xml:space="preserve"> </w:t>
      </w:r>
    </w:p>
    <w:p w:rsidR="009550C5" w:rsidRDefault="009550C5" w:rsidP="00C74367"/>
    <w:p w:rsidR="008339F9" w:rsidRPr="008D45CE" w:rsidRDefault="00402250" w:rsidP="008339F9">
      <w:pPr>
        <w:pStyle w:val="Style2"/>
        <w:rPr>
          <w:color w:val="000000" w:themeColor="text1"/>
          <w:szCs w:val="20"/>
        </w:rPr>
      </w:pPr>
      <w:r>
        <w:t>Avec une contribution d’environ</w:t>
      </w:r>
      <w:r w:rsidR="00C74367" w:rsidRPr="00C74367">
        <w:t xml:space="preserve"> </w:t>
      </w:r>
      <w:r w:rsidR="00C74367">
        <w:t>37</w:t>
      </w:r>
      <w:r w:rsidR="008339F9">
        <w:t>% de la DCS,</w:t>
      </w:r>
      <w:r w:rsidR="00C74367" w:rsidRPr="00C74367">
        <w:t xml:space="preserve"> le ménage </w:t>
      </w:r>
      <w:r w:rsidR="008339F9">
        <w:t>c</w:t>
      </w:r>
      <w:r w:rsidR="00C74367">
        <w:t>ongolais</w:t>
      </w:r>
      <w:r w:rsidR="00C74367" w:rsidRPr="00C74367">
        <w:t xml:space="preserve"> </w:t>
      </w:r>
      <w:r>
        <w:t>est</w:t>
      </w:r>
      <w:r w:rsidR="00C74367" w:rsidRPr="00C74367">
        <w:t xml:space="preserve"> un acteur clé dans le financement de l’accès aux soins. Toutefois</w:t>
      </w:r>
      <w:r w:rsidR="008339F9">
        <w:t>,</w:t>
      </w:r>
      <w:r w:rsidR="00C74367" w:rsidRPr="00C74367">
        <w:t xml:space="preserve"> il est à noter que l’essenti</w:t>
      </w:r>
      <w:r w:rsidR="008339F9">
        <w:t>el</w:t>
      </w:r>
      <w:r w:rsidR="00C74367" w:rsidRPr="00C74367">
        <w:t xml:space="preserve"> de cette dépense es</w:t>
      </w:r>
      <w:r w:rsidR="008339F9">
        <w:t>t réalisée par paiement directe</w:t>
      </w:r>
      <w:r w:rsidR="008339F9" w:rsidRPr="008339F9">
        <w:t>.</w:t>
      </w:r>
      <w:r w:rsidR="008339F9" w:rsidRPr="008339F9">
        <w:rPr>
          <w:color w:val="000000" w:themeColor="text1"/>
          <w:szCs w:val="20"/>
        </w:rPr>
        <w:t xml:space="preserve"> C'est-à-dire que lorsque la maladie survient, les ménages doivent y faire face par prélèvement direct sur leurs propres revenus ou sur leurs épargnes.</w:t>
      </w:r>
      <w:r w:rsidR="006E4240">
        <w:rPr>
          <w:color w:val="000000" w:themeColor="text1"/>
          <w:szCs w:val="20"/>
        </w:rPr>
        <w:t xml:space="preserve"> Cette situation  expose les ménages à effectuer les dépenses catastrophiques et appauvrissantes au regard du seuil de 20% fixé par les </w:t>
      </w:r>
      <w:r w:rsidR="006E4240" w:rsidRPr="00DA78F0">
        <w:rPr>
          <w:color w:val="000000" w:themeColor="text1"/>
          <w:szCs w:val="20"/>
        </w:rPr>
        <w:t>experts de haut niveau du  financement de la santé</w:t>
      </w:r>
      <w:r w:rsidR="00DA78F0">
        <w:rPr>
          <w:color w:val="000000" w:themeColor="text1"/>
          <w:szCs w:val="20"/>
        </w:rPr>
        <w:t>.</w:t>
      </w:r>
      <w:r w:rsidR="008339F9" w:rsidRPr="008D45CE">
        <w:rPr>
          <w:color w:val="000000" w:themeColor="text1"/>
          <w:szCs w:val="20"/>
        </w:rPr>
        <w:t xml:space="preserve"> </w:t>
      </w:r>
    </w:p>
    <w:p w:rsidR="008339F9" w:rsidRPr="008D45CE" w:rsidRDefault="008339F9" w:rsidP="008339F9">
      <w:pPr>
        <w:pStyle w:val="Style2"/>
        <w:rPr>
          <w:color w:val="000000" w:themeColor="text1"/>
          <w:szCs w:val="20"/>
        </w:rPr>
      </w:pPr>
    </w:p>
    <w:p w:rsidR="007F280E" w:rsidRDefault="00C74367" w:rsidP="00802E0C">
      <w:pPr>
        <w:jc w:val="both"/>
      </w:pPr>
      <w:r w:rsidRPr="00C74367">
        <w:t xml:space="preserve"> </w:t>
      </w:r>
      <w:r w:rsidR="007F280E">
        <w:t xml:space="preserve">Il sied de signaler qu’au Congo, une </w:t>
      </w:r>
      <w:r w:rsidRPr="00C74367">
        <w:t xml:space="preserve">très faible frange de la population </w:t>
      </w:r>
      <w:r w:rsidR="00402250">
        <w:t xml:space="preserve">active </w:t>
      </w:r>
      <w:r w:rsidR="00BF57C1">
        <w:t xml:space="preserve">est couverte par une </w:t>
      </w:r>
      <w:r w:rsidR="00393189">
        <w:t>assurance.</w:t>
      </w:r>
      <w:r w:rsidR="00802E0C">
        <w:t xml:space="preserve"> D’ailleurs, seuls les travailleurs des entreprises bénéficient de cette couverture</w:t>
      </w:r>
      <w:r w:rsidR="008062DF">
        <w:t xml:space="preserve">, contrairement aux Objectifs de Développement Durable (ODD) qui exigent que chaque Etat mette en place un système de couverture </w:t>
      </w:r>
      <w:r w:rsidR="00163C12">
        <w:t xml:space="preserve">maladie </w:t>
      </w:r>
      <w:r w:rsidR="008062DF">
        <w:t>universelle</w:t>
      </w:r>
      <w:r w:rsidR="00802E0C">
        <w:t xml:space="preserve"> </w:t>
      </w:r>
      <w:r w:rsidR="00163C12">
        <w:t xml:space="preserve"> comme principal mode de financement de la santé. </w:t>
      </w:r>
    </w:p>
    <w:p w:rsidR="007F280E" w:rsidRDefault="007F280E" w:rsidP="00802E0C">
      <w:pPr>
        <w:jc w:val="both"/>
      </w:pPr>
    </w:p>
    <w:p w:rsidR="00C74367" w:rsidRPr="00C74367" w:rsidRDefault="00163C12" w:rsidP="00802E0C">
      <w:pPr>
        <w:jc w:val="both"/>
      </w:pPr>
      <w:r>
        <w:t>Les graphiques n°10  et 11 illustrent les apports des ménages de 2011 à 2015.</w:t>
      </w:r>
    </w:p>
    <w:p w:rsidR="00982AAF" w:rsidRDefault="00982AAF" w:rsidP="00982AAF"/>
    <w:p w:rsidR="00982AAF" w:rsidRPr="00735594" w:rsidRDefault="00163C12" w:rsidP="00982AAF">
      <w:pPr>
        <w:rPr>
          <w:sz w:val="16"/>
          <w:szCs w:val="16"/>
        </w:rPr>
      </w:pPr>
      <w:r w:rsidRPr="00735594">
        <w:rPr>
          <w:i/>
          <w:sz w:val="16"/>
          <w:szCs w:val="16"/>
        </w:rPr>
        <w:t>Figure n°10</w:t>
      </w:r>
      <w:r w:rsidRPr="00735594">
        <w:rPr>
          <w:sz w:val="16"/>
          <w:szCs w:val="16"/>
        </w:rPr>
        <w:t xml:space="preserve"> :  </w:t>
      </w:r>
      <w:r w:rsidR="00735594" w:rsidRPr="00735594">
        <w:rPr>
          <w:sz w:val="16"/>
          <w:szCs w:val="16"/>
        </w:rPr>
        <w:t>Evolution des dépenses des ménages</w:t>
      </w:r>
      <w:r w:rsidRPr="00735594">
        <w:rPr>
          <w:sz w:val="16"/>
          <w:szCs w:val="16"/>
        </w:rPr>
        <w:t xml:space="preserve"> </w:t>
      </w:r>
      <w:r w:rsidR="00735594" w:rsidRPr="00735594">
        <w:rPr>
          <w:sz w:val="16"/>
          <w:szCs w:val="16"/>
        </w:rPr>
        <w:t xml:space="preserve">en FCFA par an  </w:t>
      </w:r>
      <w:r w:rsidR="00735594">
        <w:rPr>
          <w:sz w:val="16"/>
          <w:szCs w:val="16"/>
        </w:rPr>
        <w:t xml:space="preserve">       </w:t>
      </w:r>
      <w:r w:rsidRPr="00735594">
        <w:rPr>
          <w:i/>
          <w:sz w:val="16"/>
          <w:szCs w:val="16"/>
        </w:rPr>
        <w:t>Figure n°11</w:t>
      </w:r>
      <w:r w:rsidRPr="00735594">
        <w:rPr>
          <w:sz w:val="16"/>
          <w:szCs w:val="16"/>
        </w:rPr>
        <w:t>:</w:t>
      </w:r>
      <w:r w:rsidR="00735594" w:rsidRPr="00735594">
        <w:rPr>
          <w:sz w:val="16"/>
          <w:szCs w:val="16"/>
        </w:rPr>
        <w:t xml:space="preserve"> Evolution des dépenses </w:t>
      </w:r>
      <w:r w:rsidR="00735594">
        <w:rPr>
          <w:sz w:val="16"/>
          <w:szCs w:val="16"/>
        </w:rPr>
        <w:t xml:space="preserve"> courantes par habitant </w:t>
      </w:r>
      <w:r w:rsidR="00735594" w:rsidRPr="00735594">
        <w:rPr>
          <w:sz w:val="16"/>
          <w:szCs w:val="16"/>
        </w:rPr>
        <w:t xml:space="preserve"> par an  </w:t>
      </w:r>
    </w:p>
    <w:p w:rsidR="00727286" w:rsidRDefault="00131911" w:rsidP="00727286">
      <w:pPr>
        <w:rPr>
          <w:color w:val="000000" w:themeColor="text1"/>
        </w:rPr>
      </w:pPr>
      <w:r>
        <w:rPr>
          <w:color w:val="000000" w:themeColor="text1"/>
        </w:rPr>
        <w:t xml:space="preserve">        </w:t>
      </w:r>
      <w:r w:rsidR="00F676C8">
        <w:rPr>
          <w:noProof/>
          <w:color w:val="000000" w:themeColor="text1"/>
          <w:lang w:eastAsia="fr-FR" w:bidi="ar-SA"/>
        </w:rPr>
        <w:drawing>
          <wp:inline distT="0" distB="0" distL="0" distR="0">
            <wp:extent cx="2651745" cy="1484416"/>
            <wp:effectExtent l="19050" t="0" r="0" b="0"/>
            <wp:docPr id="5"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cstate="print"/>
                    <a:srcRect/>
                    <a:stretch>
                      <a:fillRect/>
                    </a:stretch>
                  </pic:blipFill>
                  <pic:spPr bwMode="auto">
                    <a:xfrm>
                      <a:off x="0" y="0"/>
                      <a:ext cx="2655614" cy="1486582"/>
                    </a:xfrm>
                    <a:prstGeom prst="rect">
                      <a:avLst/>
                    </a:prstGeom>
                    <a:noFill/>
                  </pic:spPr>
                </pic:pic>
              </a:graphicData>
            </a:graphic>
          </wp:inline>
        </w:drawing>
      </w:r>
      <w:r>
        <w:rPr>
          <w:color w:val="000000" w:themeColor="text1"/>
        </w:rPr>
        <w:t xml:space="preserve">       </w:t>
      </w:r>
      <w:r>
        <w:rPr>
          <w:noProof/>
          <w:color w:val="000000" w:themeColor="text1"/>
          <w:lang w:eastAsia="fr-FR" w:bidi="ar-SA"/>
        </w:rPr>
        <w:drawing>
          <wp:inline distT="0" distB="0" distL="0" distR="0">
            <wp:extent cx="2351314" cy="1488057"/>
            <wp:effectExtent l="19050" t="0" r="0" b="0"/>
            <wp:docPr id="19"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cstate="print"/>
                    <a:srcRect/>
                    <a:stretch>
                      <a:fillRect/>
                    </a:stretch>
                  </pic:blipFill>
                  <pic:spPr bwMode="auto">
                    <a:xfrm>
                      <a:off x="0" y="0"/>
                      <a:ext cx="2351314" cy="1488057"/>
                    </a:xfrm>
                    <a:prstGeom prst="rect">
                      <a:avLst/>
                    </a:prstGeom>
                    <a:noFill/>
                  </pic:spPr>
                </pic:pic>
              </a:graphicData>
            </a:graphic>
          </wp:inline>
        </w:drawing>
      </w:r>
    </w:p>
    <w:p w:rsidR="00982AAF" w:rsidRDefault="00982AAF" w:rsidP="00727286">
      <w:pPr>
        <w:rPr>
          <w:color w:val="000000" w:themeColor="text1"/>
        </w:rPr>
      </w:pPr>
    </w:p>
    <w:p w:rsidR="001868E7" w:rsidRDefault="00486641" w:rsidP="00486641">
      <w:pPr>
        <w:jc w:val="both"/>
        <w:rPr>
          <w:color w:val="000000" w:themeColor="text1"/>
        </w:rPr>
      </w:pPr>
      <w:r>
        <w:rPr>
          <w:color w:val="000000" w:themeColor="text1"/>
        </w:rPr>
        <w:t>Les graphiques ci-dessus montrent  que les dépenses c</w:t>
      </w:r>
      <w:r w:rsidR="00A13438">
        <w:rPr>
          <w:color w:val="000000" w:themeColor="text1"/>
        </w:rPr>
        <w:t>ourantes de santé des ménages on augmenté en valeur absolu</w:t>
      </w:r>
      <w:r>
        <w:rPr>
          <w:color w:val="000000" w:themeColor="text1"/>
        </w:rPr>
        <w:t xml:space="preserve">e </w:t>
      </w:r>
      <w:r w:rsidR="00402250">
        <w:rPr>
          <w:color w:val="000000" w:themeColor="text1"/>
        </w:rPr>
        <w:t>entre 2011 et 2015. Par contre</w:t>
      </w:r>
      <w:r>
        <w:rPr>
          <w:color w:val="000000" w:themeColor="text1"/>
        </w:rPr>
        <w:t xml:space="preserve">, les </w:t>
      </w:r>
      <w:r w:rsidR="00402250">
        <w:rPr>
          <w:color w:val="000000" w:themeColor="text1"/>
        </w:rPr>
        <w:t xml:space="preserve"> même</w:t>
      </w:r>
      <w:r>
        <w:rPr>
          <w:color w:val="000000" w:themeColor="text1"/>
        </w:rPr>
        <w:t>s</w:t>
      </w:r>
      <w:r w:rsidR="00402250">
        <w:rPr>
          <w:color w:val="000000" w:themeColor="text1"/>
        </w:rPr>
        <w:t xml:space="preserve"> </w:t>
      </w:r>
      <w:r w:rsidR="00C35C85">
        <w:rPr>
          <w:color w:val="000000" w:themeColor="text1"/>
        </w:rPr>
        <w:t>dépense</w:t>
      </w:r>
      <w:r>
        <w:rPr>
          <w:color w:val="000000" w:themeColor="text1"/>
        </w:rPr>
        <w:t>s</w:t>
      </w:r>
      <w:r w:rsidR="00402250">
        <w:rPr>
          <w:color w:val="000000" w:themeColor="text1"/>
        </w:rPr>
        <w:t xml:space="preserve"> </w:t>
      </w:r>
      <w:r w:rsidR="00A13438">
        <w:rPr>
          <w:color w:val="000000" w:themeColor="text1"/>
        </w:rPr>
        <w:t xml:space="preserve">par habitant par an </w:t>
      </w:r>
      <w:r>
        <w:rPr>
          <w:color w:val="000000" w:themeColor="text1"/>
        </w:rPr>
        <w:t>ont diminuées</w:t>
      </w:r>
      <w:r w:rsidR="00A13438">
        <w:rPr>
          <w:color w:val="000000" w:themeColor="text1"/>
        </w:rPr>
        <w:t xml:space="preserve"> au cours de la même période. </w:t>
      </w:r>
      <w:r w:rsidR="00402250">
        <w:rPr>
          <w:color w:val="000000" w:themeColor="text1"/>
        </w:rPr>
        <w:t>Plusieurs raison</w:t>
      </w:r>
      <w:r>
        <w:rPr>
          <w:color w:val="000000" w:themeColor="text1"/>
        </w:rPr>
        <w:t>s seraient à la base de cette baisse</w:t>
      </w:r>
      <w:r w:rsidR="00402250">
        <w:rPr>
          <w:color w:val="000000" w:themeColor="text1"/>
        </w:rPr>
        <w:t xml:space="preserve"> notamment :</w:t>
      </w:r>
      <w:r>
        <w:rPr>
          <w:color w:val="000000" w:themeColor="text1"/>
        </w:rPr>
        <w:t xml:space="preserve"> </w:t>
      </w:r>
    </w:p>
    <w:p w:rsidR="001868E7" w:rsidRPr="001868E7" w:rsidRDefault="001868E7" w:rsidP="001868E7">
      <w:pPr>
        <w:pStyle w:val="Paragraphedeliste"/>
        <w:jc w:val="both"/>
        <w:rPr>
          <w:rFonts w:ascii="Times New Roman" w:hAnsi="Times New Roman"/>
          <w:color w:val="000000" w:themeColor="text1"/>
        </w:rPr>
      </w:pPr>
      <w:r w:rsidRPr="001868E7">
        <w:rPr>
          <w:rFonts w:ascii="Times New Roman" w:hAnsi="Times New Roman"/>
          <w:b/>
          <w:color w:val="000000" w:themeColor="text1"/>
        </w:rPr>
        <w:t>i.</w:t>
      </w:r>
      <w:r w:rsidRPr="001868E7">
        <w:rPr>
          <w:rFonts w:ascii="Times New Roman" w:hAnsi="Times New Roman"/>
          <w:color w:val="000000" w:themeColor="text1"/>
        </w:rPr>
        <w:t xml:space="preserve"> </w:t>
      </w:r>
      <w:r w:rsidR="00486641" w:rsidRPr="001868E7">
        <w:rPr>
          <w:rFonts w:ascii="Times New Roman" w:hAnsi="Times New Roman"/>
          <w:color w:val="000000" w:themeColor="text1"/>
        </w:rPr>
        <w:t>la mise en œuvre des</w:t>
      </w:r>
      <w:r w:rsidR="00F81D8C" w:rsidRPr="001868E7">
        <w:rPr>
          <w:rFonts w:ascii="Times New Roman" w:hAnsi="Times New Roman"/>
          <w:color w:val="000000" w:themeColor="text1"/>
        </w:rPr>
        <w:t xml:space="preserve"> politique</w:t>
      </w:r>
      <w:r w:rsidR="00486641" w:rsidRPr="001868E7">
        <w:rPr>
          <w:rFonts w:ascii="Times New Roman" w:hAnsi="Times New Roman"/>
          <w:color w:val="000000" w:themeColor="text1"/>
        </w:rPr>
        <w:t xml:space="preserve">s de </w:t>
      </w:r>
      <w:r>
        <w:rPr>
          <w:rFonts w:ascii="Times New Roman" w:hAnsi="Times New Roman"/>
          <w:color w:val="000000" w:themeColor="text1"/>
        </w:rPr>
        <w:t>gratuité</w:t>
      </w:r>
      <w:r>
        <w:rPr>
          <w:rStyle w:val="Appelnotedebasdep"/>
          <w:rFonts w:ascii="Times New Roman" w:hAnsi="Times New Roman"/>
          <w:color w:val="000000" w:themeColor="text1"/>
        </w:rPr>
        <w:footnoteReference w:id="4"/>
      </w:r>
      <w:r>
        <w:rPr>
          <w:rFonts w:ascii="Times New Roman" w:hAnsi="Times New Roman"/>
          <w:color w:val="000000" w:themeColor="text1"/>
        </w:rPr>
        <w:t> ;</w:t>
      </w:r>
    </w:p>
    <w:p w:rsidR="001868E7" w:rsidRPr="001868E7" w:rsidRDefault="001868E7" w:rsidP="001868E7">
      <w:pPr>
        <w:pStyle w:val="Paragraphedeliste"/>
        <w:jc w:val="both"/>
        <w:rPr>
          <w:rFonts w:ascii="Times New Roman" w:hAnsi="Times New Roman"/>
          <w:color w:val="000000" w:themeColor="text1"/>
        </w:rPr>
      </w:pPr>
      <w:r w:rsidRPr="001868E7">
        <w:rPr>
          <w:rFonts w:ascii="Times New Roman" w:hAnsi="Times New Roman"/>
          <w:b/>
          <w:color w:val="000000" w:themeColor="text1"/>
        </w:rPr>
        <w:t>ii.</w:t>
      </w:r>
      <w:r w:rsidRPr="001868E7">
        <w:rPr>
          <w:rFonts w:ascii="Times New Roman" w:hAnsi="Times New Roman"/>
          <w:color w:val="000000" w:themeColor="text1"/>
        </w:rPr>
        <w:t xml:space="preserve"> </w:t>
      </w:r>
      <w:r w:rsidR="00486641" w:rsidRPr="001868E7">
        <w:rPr>
          <w:rFonts w:ascii="Times New Roman" w:hAnsi="Times New Roman"/>
          <w:color w:val="000000" w:themeColor="text1"/>
        </w:rPr>
        <w:t>les barrières à l’accès aux soins et services</w:t>
      </w:r>
      <w:r>
        <w:rPr>
          <w:rFonts w:ascii="Times New Roman" w:hAnsi="Times New Roman"/>
          <w:color w:val="000000" w:themeColor="text1"/>
        </w:rPr>
        <w:t> ;</w:t>
      </w:r>
      <w:r w:rsidRPr="001868E7">
        <w:rPr>
          <w:rFonts w:ascii="Times New Roman" w:hAnsi="Times New Roman"/>
          <w:color w:val="000000" w:themeColor="text1"/>
        </w:rPr>
        <w:t xml:space="preserve"> </w:t>
      </w:r>
    </w:p>
    <w:p w:rsidR="001868E7" w:rsidRPr="001868E7" w:rsidRDefault="001868E7" w:rsidP="001868E7">
      <w:pPr>
        <w:pStyle w:val="Paragraphedeliste"/>
        <w:jc w:val="both"/>
        <w:rPr>
          <w:rFonts w:ascii="Times New Roman" w:hAnsi="Times New Roman"/>
          <w:color w:val="000000" w:themeColor="text1"/>
        </w:rPr>
      </w:pPr>
      <w:r w:rsidRPr="001868E7">
        <w:rPr>
          <w:rFonts w:ascii="Times New Roman" w:hAnsi="Times New Roman"/>
          <w:b/>
          <w:color w:val="000000" w:themeColor="text1"/>
        </w:rPr>
        <w:t>iii</w:t>
      </w:r>
      <w:r w:rsidRPr="001868E7">
        <w:rPr>
          <w:rFonts w:ascii="Times New Roman" w:hAnsi="Times New Roman"/>
          <w:color w:val="000000" w:themeColor="text1"/>
        </w:rPr>
        <w:t>.</w:t>
      </w:r>
      <w:r w:rsidR="00F81D8C" w:rsidRPr="001868E7">
        <w:rPr>
          <w:rFonts w:ascii="Times New Roman" w:hAnsi="Times New Roman"/>
          <w:color w:val="000000" w:themeColor="text1"/>
        </w:rPr>
        <w:t>l</w:t>
      </w:r>
      <w:r w:rsidRPr="001868E7">
        <w:rPr>
          <w:rFonts w:ascii="Times New Roman" w:hAnsi="Times New Roman"/>
          <w:color w:val="000000" w:themeColor="text1"/>
        </w:rPr>
        <w:t>a disproportion entre l’augmentation de la population et celle de la dépense</w:t>
      </w:r>
      <w:r>
        <w:rPr>
          <w:rFonts w:ascii="Times New Roman" w:hAnsi="Times New Roman"/>
          <w:color w:val="000000" w:themeColor="text1"/>
        </w:rPr>
        <w:t xml:space="preserve"> de santé du pays ;</w:t>
      </w:r>
    </w:p>
    <w:p w:rsidR="001868E7" w:rsidRPr="001868E7" w:rsidRDefault="001868E7" w:rsidP="001868E7">
      <w:pPr>
        <w:pStyle w:val="Paragraphedeliste"/>
        <w:jc w:val="both"/>
        <w:rPr>
          <w:rFonts w:ascii="Times New Roman" w:hAnsi="Times New Roman"/>
          <w:color w:val="000000" w:themeColor="text1"/>
        </w:rPr>
      </w:pPr>
      <w:r w:rsidRPr="001868E7">
        <w:rPr>
          <w:rFonts w:ascii="Times New Roman" w:hAnsi="Times New Roman"/>
          <w:b/>
          <w:color w:val="000000" w:themeColor="text1"/>
        </w:rPr>
        <w:t>iv.</w:t>
      </w:r>
      <w:r w:rsidRPr="001868E7">
        <w:rPr>
          <w:rFonts w:ascii="Times New Roman" w:hAnsi="Times New Roman"/>
          <w:color w:val="000000" w:themeColor="text1"/>
        </w:rPr>
        <w:t xml:space="preserve"> </w:t>
      </w:r>
      <w:r w:rsidR="0096086E" w:rsidRPr="001868E7">
        <w:rPr>
          <w:rFonts w:ascii="Times New Roman" w:hAnsi="Times New Roman"/>
          <w:color w:val="000000" w:themeColor="text1"/>
        </w:rPr>
        <w:t xml:space="preserve">les dépenses des </w:t>
      </w:r>
      <w:r w:rsidRPr="001868E7">
        <w:rPr>
          <w:rFonts w:ascii="Times New Roman" w:hAnsi="Times New Roman"/>
          <w:color w:val="000000" w:themeColor="text1"/>
        </w:rPr>
        <w:t>catastrophes et urgences en santé (</w:t>
      </w:r>
      <w:r w:rsidR="0096086E" w:rsidRPr="001868E7">
        <w:rPr>
          <w:rFonts w:ascii="Times New Roman" w:hAnsi="Times New Roman"/>
          <w:color w:val="000000" w:themeColor="text1"/>
        </w:rPr>
        <w:t>victimes du « 4 mars » se diluent dans la masse de la populatio</w:t>
      </w:r>
      <w:r>
        <w:rPr>
          <w:rFonts w:ascii="Times New Roman" w:hAnsi="Times New Roman"/>
          <w:color w:val="000000" w:themeColor="text1"/>
        </w:rPr>
        <w:t>n nationale</w:t>
      </w:r>
      <w:r w:rsidR="0096086E" w:rsidRPr="001868E7">
        <w:rPr>
          <w:rFonts w:ascii="Times New Roman" w:hAnsi="Times New Roman"/>
          <w:color w:val="000000" w:themeColor="text1"/>
        </w:rPr>
        <w:t xml:space="preserve">; </w:t>
      </w:r>
    </w:p>
    <w:p w:rsidR="00940BE4" w:rsidRPr="001868E7" w:rsidRDefault="001868E7" w:rsidP="001868E7">
      <w:pPr>
        <w:pStyle w:val="Paragraphedeliste"/>
        <w:jc w:val="both"/>
        <w:rPr>
          <w:rFonts w:ascii="Times New Roman" w:hAnsi="Times New Roman"/>
          <w:color w:val="000000" w:themeColor="text1"/>
        </w:rPr>
      </w:pPr>
      <w:r w:rsidRPr="001868E7">
        <w:rPr>
          <w:rFonts w:ascii="Times New Roman" w:hAnsi="Times New Roman"/>
          <w:b/>
          <w:color w:val="000000" w:themeColor="text1"/>
        </w:rPr>
        <w:t>v.</w:t>
      </w:r>
      <w:r w:rsidRPr="001868E7">
        <w:rPr>
          <w:rFonts w:ascii="Times New Roman" w:hAnsi="Times New Roman"/>
          <w:color w:val="000000" w:themeColor="text1"/>
        </w:rPr>
        <w:t xml:space="preserve"> autres</w:t>
      </w:r>
      <w:r w:rsidR="0096086E" w:rsidRPr="001868E7">
        <w:rPr>
          <w:rFonts w:ascii="Times New Roman" w:hAnsi="Times New Roman"/>
          <w:color w:val="000000" w:themeColor="text1"/>
        </w:rPr>
        <w:t xml:space="preserve"> facteurs non maitrisés.</w:t>
      </w:r>
    </w:p>
    <w:p w:rsidR="00940BE4" w:rsidRDefault="00940BE4" w:rsidP="00727286">
      <w:pPr>
        <w:rPr>
          <w:color w:val="000000" w:themeColor="text1"/>
        </w:rPr>
      </w:pPr>
    </w:p>
    <w:p w:rsidR="001C3AB8" w:rsidRPr="008339F9" w:rsidRDefault="008339F9" w:rsidP="008339F9">
      <w:r w:rsidRPr="00D658BB">
        <w:rPr>
          <w:i/>
          <w:color w:val="000000" w:themeColor="text1"/>
        </w:rPr>
        <w:t>4.1.5.1.2.2.</w:t>
      </w:r>
      <w:r>
        <w:rPr>
          <w:color w:val="000000" w:themeColor="text1"/>
          <w:sz w:val="23"/>
          <w:szCs w:val="23"/>
        </w:rPr>
        <w:t xml:space="preserve"> </w:t>
      </w:r>
      <w:r w:rsidR="00982AAF" w:rsidRPr="00982AAF">
        <w:rPr>
          <w:b/>
          <w:color w:val="000000" w:themeColor="text1"/>
        </w:rPr>
        <w:t>Entreprises</w:t>
      </w:r>
    </w:p>
    <w:p w:rsidR="001C3AB8" w:rsidRDefault="001C3AB8" w:rsidP="001C3AB8">
      <w:pPr>
        <w:autoSpaceDE w:val="0"/>
        <w:autoSpaceDN w:val="0"/>
        <w:adjustRightInd w:val="0"/>
        <w:jc w:val="both"/>
      </w:pPr>
      <w:r w:rsidRPr="001C3AB8">
        <w:t xml:space="preserve">Le code du travail congolais en son article 142, stipule que toute entreprise ou établissement doit obligatoirement assurer un service médical ou sanitaire à ses travailleurs et aux membres de leur famille reconnus par la Caisse Nationale de Prévoyance Sociale. </w:t>
      </w:r>
      <w:r w:rsidR="00CF1891">
        <w:t xml:space="preserve">Cette contribution des entreprises représente en moyenne 1,9% de la DCS. L’évolution de ces dépenses de 2011 à 2015 est </w:t>
      </w:r>
      <w:r w:rsidR="00E74E0E">
        <w:t>présentée</w:t>
      </w:r>
      <w:r w:rsidR="00CF1891">
        <w:t xml:space="preserve"> dans le graphique n°12</w:t>
      </w:r>
      <w:r w:rsidR="00E74E0E">
        <w:t>.</w:t>
      </w:r>
    </w:p>
    <w:p w:rsidR="00940BE4" w:rsidRPr="00E74E0E" w:rsidRDefault="009B1F42" w:rsidP="00727286">
      <w:pPr>
        <w:rPr>
          <w:b/>
          <w:color w:val="000000" w:themeColor="text1"/>
          <w:sz w:val="18"/>
          <w:szCs w:val="18"/>
        </w:rPr>
      </w:pPr>
      <w:r w:rsidRPr="00E74E0E">
        <w:rPr>
          <w:b/>
          <w:color w:val="000000" w:themeColor="text1"/>
          <w:sz w:val="18"/>
          <w:szCs w:val="18"/>
        </w:rPr>
        <w:t>Figure n°</w:t>
      </w:r>
      <w:r w:rsidR="00E74E0E" w:rsidRPr="00E74E0E">
        <w:rPr>
          <w:b/>
          <w:color w:val="000000" w:themeColor="text1"/>
          <w:sz w:val="18"/>
          <w:szCs w:val="18"/>
        </w:rPr>
        <w:t>12 :</w:t>
      </w:r>
      <w:r w:rsidRPr="00E74E0E">
        <w:rPr>
          <w:b/>
          <w:color w:val="000000" w:themeColor="text1"/>
          <w:sz w:val="18"/>
          <w:szCs w:val="18"/>
        </w:rPr>
        <w:t xml:space="preserve"> </w:t>
      </w:r>
      <w:r w:rsidR="00940BE4" w:rsidRPr="00E74E0E">
        <w:rPr>
          <w:b/>
          <w:color w:val="000000" w:themeColor="text1"/>
          <w:sz w:val="18"/>
          <w:szCs w:val="18"/>
        </w:rPr>
        <w:t xml:space="preserve">Evolution de la dépense Courante </w:t>
      </w:r>
      <w:r w:rsidR="004121AD" w:rsidRPr="00E74E0E">
        <w:rPr>
          <w:b/>
          <w:color w:val="000000" w:themeColor="text1"/>
          <w:sz w:val="18"/>
          <w:szCs w:val="18"/>
        </w:rPr>
        <w:t xml:space="preserve">des Entreprises </w:t>
      </w:r>
    </w:p>
    <w:p w:rsidR="00940BE4" w:rsidRPr="00E74E0E" w:rsidRDefault="00940BE4" w:rsidP="00727286">
      <w:pPr>
        <w:rPr>
          <w:b/>
          <w:color w:val="000000" w:themeColor="text1"/>
          <w:sz w:val="18"/>
          <w:szCs w:val="18"/>
        </w:rPr>
      </w:pPr>
    </w:p>
    <w:p w:rsidR="00940BE4" w:rsidRDefault="009E6D4E" w:rsidP="00727286">
      <w:pPr>
        <w:rPr>
          <w:b/>
          <w:color w:val="000000" w:themeColor="text1"/>
        </w:rPr>
      </w:pPr>
      <w:r>
        <w:rPr>
          <w:b/>
          <w:noProof/>
          <w:color w:val="000000" w:themeColor="text1"/>
          <w:lang w:eastAsia="fr-FR" w:bidi="ar-SA"/>
        </w:rPr>
        <w:lastRenderedPageBreak/>
        <w:drawing>
          <wp:inline distT="0" distB="0" distL="0" distR="0">
            <wp:extent cx="4994031" cy="1641034"/>
            <wp:effectExtent l="0" t="0" r="0" b="0"/>
            <wp:docPr id="4"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cstate="print"/>
                    <a:srcRect/>
                    <a:stretch>
                      <a:fillRect/>
                    </a:stretch>
                  </pic:blipFill>
                  <pic:spPr bwMode="auto">
                    <a:xfrm>
                      <a:off x="0" y="0"/>
                      <a:ext cx="4999492" cy="1642828"/>
                    </a:xfrm>
                    <a:prstGeom prst="rect">
                      <a:avLst/>
                    </a:prstGeom>
                    <a:noFill/>
                  </pic:spPr>
                </pic:pic>
              </a:graphicData>
            </a:graphic>
          </wp:inline>
        </w:drawing>
      </w:r>
    </w:p>
    <w:p w:rsidR="00B356E8" w:rsidRDefault="00B356E8" w:rsidP="00727286">
      <w:pPr>
        <w:rPr>
          <w:b/>
          <w:color w:val="000000" w:themeColor="text1"/>
        </w:rPr>
      </w:pPr>
    </w:p>
    <w:p w:rsidR="00B356E8" w:rsidRPr="004A75E9" w:rsidRDefault="00CF1891" w:rsidP="004A75E9">
      <w:pPr>
        <w:jc w:val="both"/>
        <w:rPr>
          <w:color w:val="000000" w:themeColor="text1"/>
        </w:rPr>
      </w:pPr>
      <w:r w:rsidRPr="004A75E9">
        <w:t>La contribution des entreprises au financement des services de santé, pourrait donc se révéler non négligeable.</w:t>
      </w:r>
    </w:p>
    <w:p w:rsidR="00C0609E" w:rsidRDefault="00E74E0E" w:rsidP="004A75E9">
      <w:pPr>
        <w:jc w:val="both"/>
        <w:rPr>
          <w:color w:val="000000" w:themeColor="text1"/>
        </w:rPr>
      </w:pPr>
      <w:r>
        <w:rPr>
          <w:color w:val="000000" w:themeColor="text1"/>
        </w:rPr>
        <w:t xml:space="preserve">Pendant la période allant de </w:t>
      </w:r>
      <w:r w:rsidR="00CF1891" w:rsidRPr="004A75E9">
        <w:rPr>
          <w:color w:val="000000" w:themeColor="text1"/>
        </w:rPr>
        <w:t>2011</w:t>
      </w:r>
      <w:r w:rsidR="00243F3B" w:rsidRPr="004A75E9">
        <w:rPr>
          <w:color w:val="000000" w:themeColor="text1"/>
        </w:rPr>
        <w:t xml:space="preserve"> à 2</w:t>
      </w:r>
      <w:r w:rsidR="00CF1891" w:rsidRPr="004A75E9">
        <w:rPr>
          <w:color w:val="000000" w:themeColor="text1"/>
        </w:rPr>
        <w:t>013</w:t>
      </w:r>
      <w:r>
        <w:rPr>
          <w:color w:val="000000" w:themeColor="text1"/>
        </w:rPr>
        <w:t>,</w:t>
      </w:r>
      <w:r w:rsidR="00CF1891" w:rsidRPr="004A75E9">
        <w:rPr>
          <w:color w:val="000000" w:themeColor="text1"/>
        </w:rPr>
        <w:t xml:space="preserve"> </w:t>
      </w:r>
      <w:r>
        <w:rPr>
          <w:color w:val="000000" w:themeColor="text1"/>
        </w:rPr>
        <w:t>les DCS</w:t>
      </w:r>
      <w:r w:rsidR="00243F3B" w:rsidRPr="004A75E9">
        <w:rPr>
          <w:color w:val="000000" w:themeColor="text1"/>
        </w:rPr>
        <w:t xml:space="preserve"> des entreprises ont</w:t>
      </w:r>
      <w:r w:rsidR="00FC4FB0" w:rsidRPr="004A75E9">
        <w:rPr>
          <w:color w:val="000000" w:themeColor="text1"/>
        </w:rPr>
        <w:t xml:space="preserve"> eu</w:t>
      </w:r>
      <w:r w:rsidR="00243F3B" w:rsidRPr="004A75E9">
        <w:rPr>
          <w:color w:val="000000" w:themeColor="text1"/>
        </w:rPr>
        <w:t xml:space="preserve"> une tendanc</w:t>
      </w:r>
      <w:r w:rsidR="00CF1891" w:rsidRPr="004A75E9">
        <w:rPr>
          <w:color w:val="000000" w:themeColor="text1"/>
        </w:rPr>
        <w:t>e stagnante, comparativement à la p</w:t>
      </w:r>
      <w:r>
        <w:rPr>
          <w:color w:val="000000" w:themeColor="text1"/>
        </w:rPr>
        <w:t xml:space="preserve">ériode allant de 2013 à 2015 pendant laquelle elles ont </w:t>
      </w:r>
      <w:r w:rsidR="00CF1891" w:rsidRPr="004A75E9">
        <w:rPr>
          <w:color w:val="000000" w:themeColor="text1"/>
        </w:rPr>
        <w:t xml:space="preserve"> connu un</w:t>
      </w:r>
      <w:r>
        <w:rPr>
          <w:color w:val="000000" w:themeColor="text1"/>
        </w:rPr>
        <w:t>e</w:t>
      </w:r>
      <w:r w:rsidR="00CF1891" w:rsidRPr="004A75E9">
        <w:rPr>
          <w:color w:val="000000" w:themeColor="text1"/>
        </w:rPr>
        <w:t xml:space="preserve"> croissance</w:t>
      </w:r>
      <w:r w:rsidR="004A75E9" w:rsidRPr="004A75E9">
        <w:rPr>
          <w:color w:val="000000" w:themeColor="text1"/>
        </w:rPr>
        <w:t xml:space="preserve"> remarquable</w:t>
      </w:r>
      <w:r w:rsidR="00CF1891" w:rsidRPr="004A75E9">
        <w:rPr>
          <w:color w:val="000000" w:themeColor="text1"/>
        </w:rPr>
        <w:t xml:space="preserve">. </w:t>
      </w:r>
      <w:r w:rsidR="004A75E9" w:rsidRPr="004A75E9">
        <w:rPr>
          <w:color w:val="000000" w:themeColor="text1"/>
        </w:rPr>
        <w:t xml:space="preserve">Le passage de 2011 à 2012 est marqué par une baisse de 640. 474. 970FCFA. En 2015, ces dépenses ont atteint </w:t>
      </w:r>
      <w:r w:rsidR="00243F3B" w:rsidRPr="004A75E9">
        <w:rPr>
          <w:color w:val="000000" w:themeColor="text1"/>
        </w:rPr>
        <w:t>la somme de 4</w:t>
      </w:r>
      <w:r w:rsidR="004A75E9" w:rsidRPr="004A75E9">
        <w:rPr>
          <w:color w:val="000000" w:themeColor="text1"/>
        </w:rPr>
        <w:t>.</w:t>
      </w:r>
      <w:r w:rsidR="00243F3B" w:rsidRPr="004A75E9">
        <w:rPr>
          <w:color w:val="000000" w:themeColor="text1"/>
        </w:rPr>
        <w:t> 739</w:t>
      </w:r>
      <w:r w:rsidR="004A75E9" w:rsidRPr="004A75E9">
        <w:rPr>
          <w:color w:val="000000" w:themeColor="text1"/>
        </w:rPr>
        <w:t>.</w:t>
      </w:r>
      <w:r w:rsidR="00243F3B" w:rsidRPr="004A75E9">
        <w:rPr>
          <w:color w:val="000000" w:themeColor="text1"/>
        </w:rPr>
        <w:t> 364</w:t>
      </w:r>
      <w:r w:rsidR="004A75E9" w:rsidRPr="004A75E9">
        <w:rPr>
          <w:color w:val="000000" w:themeColor="text1"/>
        </w:rPr>
        <w:t>.</w:t>
      </w:r>
      <w:r w:rsidR="00243F3B" w:rsidRPr="004A75E9">
        <w:rPr>
          <w:color w:val="000000" w:themeColor="text1"/>
        </w:rPr>
        <w:t> 446 FCFA</w:t>
      </w:r>
      <w:r w:rsidR="004A75E9" w:rsidRPr="004A75E9">
        <w:rPr>
          <w:color w:val="000000" w:themeColor="text1"/>
        </w:rPr>
        <w:t xml:space="preserve">, soit 3% </w:t>
      </w:r>
      <w:r w:rsidR="004A75E9">
        <w:rPr>
          <w:color w:val="000000" w:themeColor="text1"/>
        </w:rPr>
        <w:t xml:space="preserve">DCS </w:t>
      </w:r>
      <w:r w:rsidR="004A75E9" w:rsidRPr="004A75E9">
        <w:rPr>
          <w:color w:val="000000" w:themeColor="text1"/>
        </w:rPr>
        <w:t>(cf figure n°6)</w:t>
      </w:r>
      <w:r w:rsidR="00243F3B" w:rsidRPr="004A75E9">
        <w:rPr>
          <w:color w:val="000000" w:themeColor="text1"/>
        </w:rPr>
        <w:t xml:space="preserve">. </w:t>
      </w:r>
    </w:p>
    <w:p w:rsidR="00A10E04" w:rsidRDefault="00BA392B" w:rsidP="00A401E9">
      <w:pPr>
        <w:pStyle w:val="Titre4"/>
        <w:rPr>
          <w:i w:val="0"/>
          <w:color w:val="000000" w:themeColor="text1"/>
        </w:rPr>
      </w:pPr>
      <w:bookmarkStart w:id="52" w:name="_Toc465262357"/>
      <w:bookmarkStart w:id="53" w:name="_Toc483474610"/>
      <w:r w:rsidRPr="008D45CE">
        <w:rPr>
          <w:i w:val="0"/>
          <w:color w:val="000000" w:themeColor="text1"/>
        </w:rPr>
        <w:t>4.1.5.</w:t>
      </w:r>
      <w:r w:rsidR="00727286" w:rsidRPr="008D45CE">
        <w:rPr>
          <w:i w:val="0"/>
          <w:color w:val="000000" w:themeColor="text1"/>
        </w:rPr>
        <w:t>1</w:t>
      </w:r>
      <w:r w:rsidRPr="008D45CE">
        <w:rPr>
          <w:i w:val="0"/>
          <w:color w:val="000000" w:themeColor="text1"/>
        </w:rPr>
        <w:t xml:space="preserve">. </w:t>
      </w:r>
      <w:r w:rsidR="00727286" w:rsidRPr="008D45CE">
        <w:rPr>
          <w:i w:val="0"/>
          <w:color w:val="000000" w:themeColor="text1"/>
        </w:rPr>
        <w:t xml:space="preserve">3. </w:t>
      </w:r>
      <w:r w:rsidR="00A10E04" w:rsidRPr="008D45CE">
        <w:rPr>
          <w:i w:val="0"/>
          <w:color w:val="000000" w:themeColor="text1"/>
        </w:rPr>
        <w:t>Fonds du Reste du Monde</w:t>
      </w:r>
      <w:bookmarkEnd w:id="52"/>
      <w:bookmarkEnd w:id="53"/>
      <w:r w:rsidR="00727286" w:rsidRPr="008D45CE">
        <w:rPr>
          <w:i w:val="0"/>
          <w:color w:val="000000" w:themeColor="text1"/>
        </w:rPr>
        <w:t xml:space="preserve"> de 2011 à 2015</w:t>
      </w:r>
    </w:p>
    <w:p w:rsidR="002F4E01" w:rsidRDefault="000A1B82" w:rsidP="002F4E01">
      <w:pPr>
        <w:jc w:val="both"/>
      </w:pPr>
      <w:r w:rsidRPr="00053EDA">
        <w:t>Les Fonds du Reste du Monde</w:t>
      </w:r>
      <w:r w:rsidR="00053EDA" w:rsidRPr="00053EDA">
        <w:t xml:space="preserve"> </w:t>
      </w:r>
      <w:r w:rsidR="00053EDA">
        <w:t>ou</w:t>
      </w:r>
      <w:r w:rsidR="00053EDA" w:rsidRPr="00053EDA">
        <w:t xml:space="preserve"> financement extérieur</w:t>
      </w:r>
      <w:r w:rsidRPr="00053EDA">
        <w:t xml:space="preserve"> provien</w:t>
      </w:r>
      <w:r w:rsidR="00243F3B" w:rsidRPr="00053EDA">
        <w:t>nen</w:t>
      </w:r>
      <w:r w:rsidR="00053EDA" w:rsidRPr="00053EDA">
        <w:t xml:space="preserve">t </w:t>
      </w:r>
      <w:r w:rsidRPr="00053EDA">
        <w:t xml:space="preserve"> de la coopération bi</w:t>
      </w:r>
      <w:r w:rsidR="00053EDA" w:rsidRPr="00053EDA">
        <w:t xml:space="preserve"> et multilatérale, des ONGs et f</w:t>
      </w:r>
      <w:r w:rsidRPr="00053EDA">
        <w:t xml:space="preserve">ondations internationales. </w:t>
      </w:r>
      <w:r w:rsidR="002F4E01">
        <w:t xml:space="preserve">En moyenne ces dépenses représentent moins d’un tiers (1/3) de la DCS, soit 28%. Cette </w:t>
      </w:r>
      <w:r w:rsidR="002F4E01" w:rsidRPr="002F4E01">
        <w:t xml:space="preserve"> </w:t>
      </w:r>
      <w:r w:rsidR="002F4E01">
        <w:t xml:space="preserve">situation </w:t>
      </w:r>
      <w:r w:rsidR="002F4E01" w:rsidRPr="002F4E01">
        <w:t>montr</w:t>
      </w:r>
      <w:r w:rsidR="002F4E01">
        <w:t>e le niveau de dépendance du</w:t>
      </w:r>
      <w:r w:rsidR="002F4E01" w:rsidRPr="002F4E01">
        <w:t xml:space="preserve"> système de financement congolais </w:t>
      </w:r>
      <w:r w:rsidR="002F4E01">
        <w:t xml:space="preserve">vis-à-vis de </w:t>
      </w:r>
      <w:r w:rsidR="002F4E01" w:rsidRPr="002F4E01">
        <w:t>l'aide extérieur</w:t>
      </w:r>
      <w:r w:rsidR="002F4E01">
        <w:t>e</w:t>
      </w:r>
      <w:r w:rsidR="002F4E01" w:rsidRPr="002F4E01">
        <w:t xml:space="preserve">. </w:t>
      </w:r>
      <w:r w:rsidR="00A1122C">
        <w:t>Ce</w:t>
      </w:r>
      <w:r w:rsidR="002F4E01" w:rsidRPr="00053EDA">
        <w:t xml:space="preserve"> sont </w:t>
      </w:r>
      <w:r w:rsidR="00A1122C">
        <w:t>des fonds</w:t>
      </w:r>
      <w:r w:rsidR="002F4E01">
        <w:t xml:space="preserve"> destinés en grande partie</w:t>
      </w:r>
      <w:r w:rsidR="002F4E01" w:rsidRPr="00053EDA">
        <w:t xml:space="preserve"> a</w:t>
      </w:r>
      <w:r w:rsidR="002F4E01">
        <w:t>ux programmes verticaux (PNLP, le PNLS et la PNLT,</w:t>
      </w:r>
      <w:r w:rsidR="002F4E01" w:rsidRPr="00053EDA">
        <w:t xml:space="preserve"> </w:t>
      </w:r>
      <w:r w:rsidR="002F4E01">
        <w:t>PEV, PDSS-II, RSS-GAVI</w:t>
      </w:r>
      <w:r w:rsidR="002F4E01" w:rsidRPr="00053EDA">
        <w:t>).</w:t>
      </w:r>
    </w:p>
    <w:p w:rsidR="002F4E01" w:rsidRDefault="002F4E01" w:rsidP="002F4E01">
      <w:pPr>
        <w:jc w:val="both"/>
      </w:pPr>
    </w:p>
    <w:p w:rsidR="002F4E01" w:rsidRPr="005F12C9" w:rsidRDefault="00032F24" w:rsidP="005F12C9">
      <w:pPr>
        <w:rPr>
          <w:b/>
          <w:sz w:val="18"/>
          <w:szCs w:val="18"/>
        </w:rPr>
      </w:pPr>
      <w:r w:rsidRPr="005F12C9">
        <w:rPr>
          <w:b/>
          <w:sz w:val="18"/>
          <w:szCs w:val="18"/>
        </w:rPr>
        <w:t xml:space="preserve">Graphique </w:t>
      </w:r>
      <w:r w:rsidR="002F4E01" w:rsidRPr="005F12C9">
        <w:rPr>
          <w:b/>
          <w:sz w:val="18"/>
          <w:szCs w:val="18"/>
        </w:rPr>
        <w:t>n°13 : Evolution de la dépense courante du financement extérieur (reste du monde)</w:t>
      </w:r>
    </w:p>
    <w:p w:rsidR="002F4E01" w:rsidRDefault="002F4E01" w:rsidP="002F4E01">
      <w:pPr>
        <w:jc w:val="both"/>
        <w:rPr>
          <w:color w:val="FF0000"/>
        </w:rPr>
      </w:pPr>
      <w:r>
        <w:rPr>
          <w:color w:val="FF0000"/>
        </w:rPr>
        <w:t xml:space="preserve">         </w:t>
      </w:r>
      <w:r w:rsidR="00A1122C">
        <w:rPr>
          <w:color w:val="FF0000"/>
        </w:rPr>
        <w:t xml:space="preserve">                    </w:t>
      </w:r>
    </w:p>
    <w:p w:rsidR="00A1122C" w:rsidRDefault="00A1122C" w:rsidP="002F4E01">
      <w:pPr>
        <w:jc w:val="both"/>
        <w:rPr>
          <w:color w:val="FF0000"/>
        </w:rPr>
      </w:pPr>
      <w:r w:rsidRPr="00A1122C">
        <w:rPr>
          <w:noProof/>
          <w:color w:val="FF0000"/>
          <w:lang w:eastAsia="fr-FR" w:bidi="ar-SA"/>
        </w:rPr>
        <w:drawing>
          <wp:inline distT="0" distB="0" distL="0" distR="0">
            <wp:extent cx="4541836" cy="1845629"/>
            <wp:effectExtent l="19050" t="0" r="11114" b="2221"/>
            <wp:docPr id="11" name="Graphique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A1122C" w:rsidRPr="002F4E01" w:rsidRDefault="00A1122C" w:rsidP="002F4E01">
      <w:pPr>
        <w:jc w:val="both"/>
        <w:rPr>
          <w:color w:val="FF0000"/>
        </w:rPr>
      </w:pPr>
    </w:p>
    <w:p w:rsidR="000A1B82" w:rsidRPr="002F4E01" w:rsidRDefault="00FC4FB0" w:rsidP="00B2494C">
      <w:pPr>
        <w:jc w:val="both"/>
      </w:pPr>
      <w:r w:rsidRPr="00053EDA">
        <w:t>Ce</w:t>
      </w:r>
      <w:r w:rsidR="000A1B82" w:rsidRPr="00053EDA">
        <w:t>s</w:t>
      </w:r>
      <w:r w:rsidRPr="00053EDA">
        <w:t xml:space="preserve"> fonds</w:t>
      </w:r>
      <w:r w:rsidR="000A1B82" w:rsidRPr="00053EDA">
        <w:t xml:space="preserve"> ont  </w:t>
      </w:r>
      <w:r w:rsidR="00B2494C" w:rsidRPr="00053EDA">
        <w:t xml:space="preserve">connu </w:t>
      </w:r>
      <w:r w:rsidR="000A1B82" w:rsidRPr="00053EDA">
        <w:t xml:space="preserve">une diminution </w:t>
      </w:r>
      <w:r w:rsidR="00B2494C" w:rsidRPr="00053EDA">
        <w:t xml:space="preserve">entre 2011 et 2015 </w:t>
      </w:r>
      <w:r w:rsidR="000A1B82" w:rsidRPr="00053EDA">
        <w:t xml:space="preserve">allant de </w:t>
      </w:r>
      <w:r w:rsidR="00A1122C">
        <w:t>47%</w:t>
      </w:r>
      <w:r w:rsidR="000A1B82" w:rsidRPr="00053EDA">
        <w:t xml:space="preserve"> à </w:t>
      </w:r>
      <w:r w:rsidR="00A1122C">
        <w:t>19% de la DCS</w:t>
      </w:r>
      <w:r w:rsidR="00053EDA">
        <w:t>,</w:t>
      </w:r>
      <w:r w:rsidR="00053EDA" w:rsidRPr="00053EDA">
        <w:t xml:space="preserve"> </w:t>
      </w:r>
      <w:r w:rsidR="00053EDA">
        <w:t xml:space="preserve">soit  </w:t>
      </w:r>
      <w:r w:rsidR="00053EDA" w:rsidRPr="002F4E01">
        <w:rPr>
          <w:highlight w:val="yellow"/>
        </w:rPr>
        <w:t xml:space="preserve">moins de </w:t>
      </w:r>
      <w:r w:rsidR="00B2494C" w:rsidRPr="002F4E01">
        <w:rPr>
          <w:highlight w:val="yellow"/>
        </w:rPr>
        <w:t>76</w:t>
      </w:r>
      <w:r w:rsidR="00053EDA" w:rsidRPr="002F4E01">
        <w:rPr>
          <w:highlight w:val="yellow"/>
        </w:rPr>
        <w:t>%</w:t>
      </w:r>
      <w:r w:rsidR="00B2494C" w:rsidRPr="002F4E01">
        <w:rPr>
          <w:highlight w:val="yellow"/>
        </w:rPr>
        <w:t>.</w:t>
      </w:r>
      <w:r w:rsidR="00B2494C" w:rsidRPr="00053EDA">
        <w:t xml:space="preserve"> </w:t>
      </w:r>
    </w:p>
    <w:p w:rsidR="00E55978" w:rsidRDefault="00E55978" w:rsidP="00E55978">
      <w:pPr>
        <w:jc w:val="both"/>
      </w:pPr>
      <w:r>
        <w:t xml:space="preserve">Le </w:t>
      </w:r>
      <w:r w:rsidR="00C0609E" w:rsidRPr="002F4E01">
        <w:t xml:space="preserve">financement </w:t>
      </w:r>
      <w:r w:rsidR="002F4E01">
        <w:t xml:space="preserve">provenant de l’aide extérieure </w:t>
      </w:r>
      <w:r>
        <w:t>s’effectue à travers deux</w:t>
      </w:r>
      <w:r w:rsidR="00C0609E" w:rsidRPr="002F4E01">
        <w:t xml:space="preserve"> mécanismes de transfert</w:t>
      </w:r>
      <w:r w:rsidR="000A1B82" w:rsidRPr="002F4E01">
        <w:t>s</w:t>
      </w:r>
      <w:r>
        <w:t xml:space="preserve"> à savoir : </w:t>
      </w:r>
      <w:r w:rsidRPr="00E55978">
        <w:t>(i) le</w:t>
      </w:r>
      <w:r>
        <w:t xml:space="preserve"> mécanisme de</w:t>
      </w:r>
      <w:r w:rsidRPr="00E55978">
        <w:t xml:space="preserve"> transfert</w:t>
      </w:r>
      <w:r w:rsidR="00C0609E" w:rsidRPr="00E55978">
        <w:t xml:space="preserve"> d’origine </w:t>
      </w:r>
      <w:r w:rsidRPr="00E55978">
        <w:t>étrangère distribuée</w:t>
      </w:r>
      <w:r w:rsidR="00624479" w:rsidRPr="00E55978">
        <w:t xml:space="preserve"> par l'administration publique</w:t>
      </w:r>
      <w:r w:rsidRPr="00E55978">
        <w:t xml:space="preserve"> et </w:t>
      </w:r>
      <w:r>
        <w:t>(ii) le mécanisme de transfert</w:t>
      </w:r>
      <w:r w:rsidRPr="00E55978">
        <w:t xml:space="preserve"> directs étrangers.</w:t>
      </w:r>
      <w:r>
        <w:t xml:space="preserve"> La figure n°14 présente ces deux mécanismes de financement.</w:t>
      </w:r>
    </w:p>
    <w:p w:rsidR="00E55978" w:rsidRDefault="00E55978" w:rsidP="00E55978">
      <w:pPr>
        <w:jc w:val="both"/>
      </w:pPr>
    </w:p>
    <w:p w:rsidR="00A1122C" w:rsidRDefault="00A1122C" w:rsidP="00C0609E"/>
    <w:p w:rsidR="001D62DB" w:rsidRPr="00A1122C" w:rsidRDefault="00A1122C" w:rsidP="00C0609E">
      <w:pPr>
        <w:rPr>
          <w:color w:val="000000" w:themeColor="text1"/>
          <w:sz w:val="20"/>
          <w:szCs w:val="20"/>
        </w:rPr>
      </w:pPr>
      <w:r w:rsidRPr="00A1122C">
        <w:t>F</w:t>
      </w:r>
      <w:r w:rsidR="001D62DB" w:rsidRPr="00A1122C">
        <w:rPr>
          <w:color w:val="000000" w:themeColor="text1"/>
          <w:sz w:val="20"/>
          <w:szCs w:val="20"/>
        </w:rPr>
        <w:t>igure</w:t>
      </w:r>
      <w:r w:rsidR="00E55978" w:rsidRPr="00A1122C">
        <w:rPr>
          <w:color w:val="000000" w:themeColor="text1"/>
          <w:sz w:val="20"/>
          <w:szCs w:val="20"/>
        </w:rPr>
        <w:t xml:space="preserve"> n°14: mécanisme de</w:t>
      </w:r>
      <w:r w:rsidR="001D62DB" w:rsidRPr="00A1122C">
        <w:rPr>
          <w:color w:val="000000" w:themeColor="text1"/>
          <w:sz w:val="20"/>
          <w:szCs w:val="20"/>
        </w:rPr>
        <w:t xml:space="preserve"> transferts du financemen</w:t>
      </w:r>
      <w:r w:rsidR="00E55978" w:rsidRPr="00A1122C">
        <w:rPr>
          <w:color w:val="000000" w:themeColor="text1"/>
          <w:sz w:val="20"/>
          <w:szCs w:val="20"/>
        </w:rPr>
        <w:t>t des f</w:t>
      </w:r>
      <w:r w:rsidR="001D62DB" w:rsidRPr="00A1122C">
        <w:rPr>
          <w:color w:val="000000" w:themeColor="text1"/>
          <w:sz w:val="20"/>
          <w:szCs w:val="20"/>
        </w:rPr>
        <w:t xml:space="preserve">onds </w:t>
      </w:r>
      <w:r w:rsidR="00E55978" w:rsidRPr="00A1122C">
        <w:rPr>
          <w:color w:val="000000" w:themeColor="text1"/>
          <w:sz w:val="20"/>
          <w:szCs w:val="20"/>
        </w:rPr>
        <w:t>extérieurs (reste du m</w:t>
      </w:r>
      <w:r w:rsidR="001D62DB" w:rsidRPr="00A1122C">
        <w:rPr>
          <w:color w:val="000000" w:themeColor="text1"/>
          <w:sz w:val="20"/>
          <w:szCs w:val="20"/>
        </w:rPr>
        <w:t>onde</w:t>
      </w:r>
      <w:r w:rsidR="00E55978" w:rsidRPr="00A1122C">
        <w:rPr>
          <w:color w:val="000000" w:themeColor="text1"/>
          <w:sz w:val="20"/>
          <w:szCs w:val="20"/>
        </w:rPr>
        <w:t>)</w:t>
      </w:r>
      <w:r w:rsidR="001D62DB" w:rsidRPr="00A1122C">
        <w:rPr>
          <w:color w:val="000000" w:themeColor="text1"/>
          <w:sz w:val="20"/>
          <w:szCs w:val="20"/>
        </w:rPr>
        <w:t xml:space="preserve"> dans le secteur de la santé de 2011 à 20</w:t>
      </w:r>
      <w:r w:rsidR="00E55978" w:rsidRPr="00A1122C">
        <w:rPr>
          <w:color w:val="000000" w:themeColor="text1"/>
          <w:sz w:val="20"/>
          <w:szCs w:val="20"/>
        </w:rPr>
        <w:t>1</w:t>
      </w:r>
      <w:r w:rsidR="001D62DB" w:rsidRPr="00A1122C">
        <w:rPr>
          <w:color w:val="000000" w:themeColor="text1"/>
          <w:sz w:val="20"/>
          <w:szCs w:val="20"/>
        </w:rPr>
        <w:t>5</w:t>
      </w:r>
      <w:r w:rsidR="006653B2" w:rsidRPr="00A1122C">
        <w:rPr>
          <w:color w:val="000000" w:themeColor="text1"/>
          <w:sz w:val="20"/>
          <w:szCs w:val="20"/>
        </w:rPr>
        <w:t>.</w:t>
      </w:r>
    </w:p>
    <w:p w:rsidR="001D62DB" w:rsidRPr="001D62DB" w:rsidRDefault="001D62DB" w:rsidP="00C0609E">
      <w:pPr>
        <w:rPr>
          <w:sz w:val="18"/>
        </w:rPr>
      </w:pPr>
    </w:p>
    <w:p w:rsidR="000A1B82" w:rsidRPr="00C0609E" w:rsidRDefault="000A1B82" w:rsidP="00C0609E">
      <w:r>
        <w:rPr>
          <w:noProof/>
          <w:lang w:eastAsia="fr-FR" w:bidi="ar-SA"/>
        </w:rPr>
        <w:lastRenderedPageBreak/>
        <w:drawing>
          <wp:inline distT="0" distB="0" distL="0" distR="0">
            <wp:extent cx="5346154" cy="1604407"/>
            <wp:effectExtent l="19050" t="0" r="6896" b="0"/>
            <wp:docPr id="23"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cstate="print"/>
                    <a:srcRect/>
                    <a:stretch>
                      <a:fillRect/>
                    </a:stretch>
                  </pic:blipFill>
                  <pic:spPr bwMode="auto">
                    <a:xfrm>
                      <a:off x="0" y="0"/>
                      <a:ext cx="5357439" cy="1607794"/>
                    </a:xfrm>
                    <a:prstGeom prst="rect">
                      <a:avLst/>
                    </a:prstGeom>
                    <a:noFill/>
                  </pic:spPr>
                </pic:pic>
              </a:graphicData>
            </a:graphic>
          </wp:inline>
        </w:drawing>
      </w:r>
    </w:p>
    <w:p w:rsidR="00951EDE" w:rsidRDefault="00951EDE" w:rsidP="00982AAF"/>
    <w:p w:rsidR="00727286" w:rsidRDefault="00D55F4A" w:rsidP="00ED7535">
      <w:pPr>
        <w:jc w:val="both"/>
        <w:rPr>
          <w:color w:val="000000" w:themeColor="text1"/>
        </w:rPr>
      </w:pPr>
      <w:r>
        <w:rPr>
          <w:color w:val="000000" w:themeColor="text1"/>
        </w:rPr>
        <w:t xml:space="preserve"> </w:t>
      </w:r>
      <w:r w:rsidR="000A1B82">
        <w:rPr>
          <w:color w:val="000000" w:themeColor="text1"/>
        </w:rPr>
        <w:t xml:space="preserve">Plus de 90 % de financement des dépenses de santé des Bailleurs </w:t>
      </w:r>
      <w:r w:rsidR="001D62DB">
        <w:rPr>
          <w:color w:val="000000" w:themeColor="text1"/>
        </w:rPr>
        <w:t>au sein du</w:t>
      </w:r>
      <w:r w:rsidR="000A1B82">
        <w:rPr>
          <w:color w:val="000000" w:themeColor="text1"/>
        </w:rPr>
        <w:t xml:space="preserve"> système de santé congolais passent à travers  l'administration publique</w:t>
      </w:r>
      <w:r w:rsidR="001D62DB">
        <w:rPr>
          <w:color w:val="000000" w:themeColor="text1"/>
        </w:rPr>
        <w:t xml:space="preserve"> </w:t>
      </w:r>
      <w:r w:rsidR="001D62DB" w:rsidRPr="008D45CE">
        <w:rPr>
          <w:color w:val="000000" w:themeColor="text1"/>
        </w:rPr>
        <w:t xml:space="preserve">qui les met à </w:t>
      </w:r>
      <w:r w:rsidR="00ED7535">
        <w:rPr>
          <w:color w:val="000000" w:themeColor="text1"/>
        </w:rPr>
        <w:t>la disposition des Services et s</w:t>
      </w:r>
      <w:r w:rsidR="001D62DB" w:rsidRPr="008D45CE">
        <w:rPr>
          <w:color w:val="000000" w:themeColor="text1"/>
        </w:rPr>
        <w:t xml:space="preserve">tructures de santé aux différents niveaux de la pyramide sanitaire. Tandis que </w:t>
      </w:r>
      <w:r w:rsidR="001D62DB">
        <w:rPr>
          <w:color w:val="000000" w:themeColor="text1"/>
          <w:lang w:val="fr-CD"/>
        </w:rPr>
        <w:t xml:space="preserve">moins de 10 </w:t>
      </w:r>
      <w:r w:rsidR="001D62DB" w:rsidRPr="008D45CE">
        <w:rPr>
          <w:color w:val="000000" w:themeColor="text1"/>
        </w:rPr>
        <w:t xml:space="preserve">% de ce financement sont </w:t>
      </w:r>
      <w:r w:rsidR="001D62DB">
        <w:rPr>
          <w:color w:val="000000" w:themeColor="text1"/>
        </w:rPr>
        <w:t>transférés directement</w:t>
      </w:r>
      <w:r w:rsidR="001D62DB" w:rsidRPr="008D45CE">
        <w:rPr>
          <w:color w:val="000000" w:themeColor="text1"/>
        </w:rPr>
        <w:t xml:space="preserve"> par les partenaires techniques et financiers eux-mêmes ou à travers les ONGs nationales et internationales dans le cadre de certains projets et / ou programmes de santé</w:t>
      </w:r>
      <w:r w:rsidR="001D62DB">
        <w:rPr>
          <w:color w:val="000000" w:themeColor="text1"/>
        </w:rPr>
        <w:t>.</w:t>
      </w:r>
    </w:p>
    <w:p w:rsidR="00B66376" w:rsidRPr="00A00C82" w:rsidRDefault="00B66376" w:rsidP="00A401E9">
      <w:pPr>
        <w:pStyle w:val="Style2"/>
        <w:rPr>
          <w:color w:val="000000" w:themeColor="text1"/>
          <w:highlight w:val="yellow"/>
        </w:rPr>
      </w:pPr>
    </w:p>
    <w:p w:rsidR="00A10E04" w:rsidRPr="00ED7535" w:rsidRDefault="00A10E04" w:rsidP="00A401E9">
      <w:pPr>
        <w:pStyle w:val="Titre2"/>
        <w:rPr>
          <w:color w:val="4F81BD" w:themeColor="accent1"/>
          <w:lang w:val="fr-CD"/>
        </w:rPr>
      </w:pPr>
      <w:bookmarkStart w:id="54" w:name="_Toc465262361"/>
      <w:bookmarkStart w:id="55" w:name="_Toc483474614"/>
      <w:r w:rsidRPr="00ED7535">
        <w:rPr>
          <w:color w:val="4F81BD" w:themeColor="accent1"/>
          <w:lang w:val="fr-CD"/>
        </w:rPr>
        <w:t>4.2. AFFECTATION DES RESSOURCES</w:t>
      </w:r>
      <w:bookmarkEnd w:id="54"/>
      <w:bookmarkEnd w:id="55"/>
      <w:r w:rsidR="00F31F34">
        <w:rPr>
          <w:color w:val="4F81BD" w:themeColor="accent1"/>
          <w:lang w:val="fr-CD"/>
        </w:rPr>
        <w:t xml:space="preserve"> (DCS)</w:t>
      </w:r>
    </w:p>
    <w:p w:rsidR="00591B59" w:rsidRDefault="0050177C" w:rsidP="001643FF">
      <w:pPr>
        <w:pStyle w:val="Style2"/>
        <w:rPr>
          <w:color w:val="000000" w:themeColor="text1"/>
        </w:rPr>
      </w:pPr>
      <w:r>
        <w:rPr>
          <w:color w:val="000000" w:themeColor="text1"/>
        </w:rPr>
        <w:t>Le présent chapitre traite de la répartition des dépenses courantes</w:t>
      </w:r>
      <w:r w:rsidR="00591B59">
        <w:rPr>
          <w:color w:val="000000" w:themeColor="text1"/>
        </w:rPr>
        <w:t xml:space="preserve"> en</w:t>
      </w:r>
      <w:r>
        <w:rPr>
          <w:color w:val="000000" w:themeColor="text1"/>
        </w:rPr>
        <w:t xml:space="preserve"> </w:t>
      </w:r>
      <w:r w:rsidR="00591B59" w:rsidRPr="008D45CE">
        <w:rPr>
          <w:color w:val="000000" w:themeColor="text1"/>
        </w:rPr>
        <w:t>République du Congo</w:t>
      </w:r>
      <w:r w:rsidR="00591B59">
        <w:rPr>
          <w:color w:val="000000" w:themeColor="text1"/>
        </w:rPr>
        <w:t>. Cette répartition concerne les composantes suivantes :</w:t>
      </w:r>
    </w:p>
    <w:p w:rsidR="00591B59" w:rsidRDefault="0050177C" w:rsidP="00591B59">
      <w:pPr>
        <w:pStyle w:val="Style2"/>
        <w:numPr>
          <w:ilvl w:val="0"/>
          <w:numId w:val="14"/>
        </w:numPr>
        <w:rPr>
          <w:color w:val="000000" w:themeColor="text1"/>
        </w:rPr>
      </w:pPr>
      <w:r>
        <w:rPr>
          <w:color w:val="000000" w:themeColor="text1"/>
        </w:rPr>
        <w:t>régime de financement</w:t>
      </w:r>
      <w:r w:rsidR="00591B59">
        <w:rPr>
          <w:color w:val="000000" w:themeColor="text1"/>
        </w:rPr>
        <w:t> ;</w:t>
      </w:r>
    </w:p>
    <w:p w:rsidR="00591B59" w:rsidRDefault="0050177C" w:rsidP="00591B59">
      <w:pPr>
        <w:pStyle w:val="Style2"/>
        <w:numPr>
          <w:ilvl w:val="0"/>
          <w:numId w:val="14"/>
        </w:numPr>
        <w:rPr>
          <w:color w:val="000000" w:themeColor="text1"/>
        </w:rPr>
      </w:pPr>
      <w:r>
        <w:rPr>
          <w:color w:val="000000" w:themeColor="text1"/>
        </w:rPr>
        <w:t>agent de régime</w:t>
      </w:r>
      <w:r w:rsidR="00591B59">
        <w:rPr>
          <w:color w:val="000000" w:themeColor="text1"/>
        </w:rPr>
        <w:t xml:space="preserve"> de financement (gestionnaire) ;</w:t>
      </w:r>
    </w:p>
    <w:p w:rsidR="0050177C" w:rsidRDefault="00591B59" w:rsidP="00591B59">
      <w:pPr>
        <w:pStyle w:val="Style2"/>
        <w:numPr>
          <w:ilvl w:val="0"/>
          <w:numId w:val="14"/>
        </w:numPr>
        <w:rPr>
          <w:color w:val="000000" w:themeColor="text1"/>
        </w:rPr>
      </w:pPr>
      <w:r>
        <w:rPr>
          <w:color w:val="000000" w:themeColor="text1"/>
        </w:rPr>
        <w:t xml:space="preserve">et </w:t>
      </w:r>
      <w:r w:rsidR="0050177C">
        <w:rPr>
          <w:color w:val="000000" w:themeColor="text1"/>
        </w:rPr>
        <w:t>prestataires des soi</w:t>
      </w:r>
      <w:r>
        <w:rPr>
          <w:color w:val="000000" w:themeColor="text1"/>
        </w:rPr>
        <w:t>ns et services de santé</w:t>
      </w:r>
      <w:r w:rsidR="0050177C">
        <w:rPr>
          <w:color w:val="000000" w:themeColor="text1"/>
        </w:rPr>
        <w:t>.</w:t>
      </w:r>
    </w:p>
    <w:p w:rsidR="00591B59" w:rsidRDefault="00591B59" w:rsidP="001643FF">
      <w:pPr>
        <w:pStyle w:val="Style2"/>
        <w:rPr>
          <w:color w:val="000000" w:themeColor="text1"/>
        </w:rPr>
      </w:pPr>
    </w:p>
    <w:p w:rsidR="0050177C" w:rsidRPr="008D45CE" w:rsidRDefault="00591B59" w:rsidP="0050177C">
      <w:pPr>
        <w:pStyle w:val="Titre3"/>
        <w:rPr>
          <w:i w:val="0"/>
          <w:color w:val="000000" w:themeColor="text1"/>
        </w:rPr>
      </w:pPr>
      <w:bookmarkStart w:id="56" w:name="_Toc483474616"/>
      <w:r>
        <w:rPr>
          <w:i w:val="0"/>
          <w:color w:val="000000" w:themeColor="text1"/>
        </w:rPr>
        <w:t>4.2.1.</w:t>
      </w:r>
      <w:r w:rsidR="0050177C" w:rsidRPr="008D45CE">
        <w:rPr>
          <w:i w:val="0"/>
          <w:color w:val="000000" w:themeColor="text1"/>
        </w:rPr>
        <w:t xml:space="preserve"> Dépenses Courantes par régime de financement</w:t>
      </w:r>
      <w:bookmarkEnd w:id="56"/>
    </w:p>
    <w:p w:rsidR="0023160F" w:rsidRDefault="0023160F" w:rsidP="0050177C">
      <w:pPr>
        <w:pStyle w:val="Style2"/>
        <w:rPr>
          <w:color w:val="000000" w:themeColor="text1"/>
        </w:rPr>
      </w:pPr>
      <w:r>
        <w:rPr>
          <w:color w:val="000000" w:themeColor="text1"/>
        </w:rPr>
        <w:t>Les régimes de financement sont les principaux types de dispositifs de financement par lesquels les services de santé sont achetés et obtenus par les populations</w:t>
      </w:r>
      <w:r w:rsidR="00454739">
        <w:rPr>
          <w:rStyle w:val="Appelnotedebasdep"/>
          <w:color w:val="000000" w:themeColor="text1"/>
        </w:rPr>
        <w:footnoteReference w:id="5"/>
      </w:r>
      <w:r w:rsidR="00454739">
        <w:rPr>
          <w:color w:val="000000" w:themeColor="text1"/>
        </w:rPr>
        <w:t>.</w:t>
      </w:r>
    </w:p>
    <w:p w:rsidR="0023160F" w:rsidRDefault="0023160F" w:rsidP="0050177C">
      <w:pPr>
        <w:pStyle w:val="Style2"/>
        <w:rPr>
          <w:color w:val="000000" w:themeColor="text1"/>
        </w:rPr>
      </w:pPr>
    </w:p>
    <w:p w:rsidR="005C5F0C" w:rsidRDefault="0050177C" w:rsidP="0050177C">
      <w:pPr>
        <w:pStyle w:val="Style2"/>
        <w:rPr>
          <w:color w:val="000000" w:themeColor="text1"/>
        </w:rPr>
      </w:pPr>
      <w:r w:rsidRPr="008D45CE">
        <w:rPr>
          <w:color w:val="000000" w:themeColor="text1"/>
        </w:rPr>
        <w:t>Le financ</w:t>
      </w:r>
      <w:r w:rsidR="00591B59">
        <w:rPr>
          <w:color w:val="000000" w:themeColor="text1"/>
        </w:rPr>
        <w:t xml:space="preserve">ement du système de santé </w:t>
      </w:r>
      <w:r w:rsidRPr="008D45CE">
        <w:rPr>
          <w:color w:val="000000" w:themeColor="text1"/>
        </w:rPr>
        <w:t>est réalisé grâce à</w:t>
      </w:r>
      <w:r w:rsidR="00591B59">
        <w:rPr>
          <w:color w:val="000000" w:themeColor="text1"/>
        </w:rPr>
        <w:t xml:space="preserve"> l’action conjuguée de </w:t>
      </w:r>
      <w:r w:rsidR="005C5F0C">
        <w:rPr>
          <w:color w:val="000000" w:themeColor="text1"/>
        </w:rPr>
        <w:t>plusieurs</w:t>
      </w:r>
      <w:r w:rsidRPr="008D45CE">
        <w:rPr>
          <w:color w:val="000000" w:themeColor="text1"/>
        </w:rPr>
        <w:t xml:space="preserve"> r</w:t>
      </w:r>
      <w:r w:rsidR="005C5F0C">
        <w:rPr>
          <w:color w:val="000000" w:themeColor="text1"/>
        </w:rPr>
        <w:t>égimes de financement qui se résument aux</w:t>
      </w:r>
      <w:r w:rsidR="00591B59">
        <w:rPr>
          <w:color w:val="000000" w:themeColor="text1"/>
        </w:rPr>
        <w:t> :</w:t>
      </w:r>
      <w:r w:rsidR="005C5F0C">
        <w:rPr>
          <w:color w:val="000000" w:themeColor="text1"/>
        </w:rPr>
        <w:t xml:space="preserve"> </w:t>
      </w:r>
      <w:r w:rsidRPr="008D45CE">
        <w:rPr>
          <w:color w:val="000000" w:themeColor="text1"/>
        </w:rPr>
        <w:t>régime</w:t>
      </w:r>
      <w:r w:rsidR="005C5F0C">
        <w:rPr>
          <w:color w:val="000000" w:themeColor="text1"/>
        </w:rPr>
        <w:t>s</w:t>
      </w:r>
      <w:r w:rsidRPr="008D45CE">
        <w:rPr>
          <w:color w:val="000000" w:themeColor="text1"/>
        </w:rPr>
        <w:t xml:space="preserve"> de l'Administration Publique</w:t>
      </w:r>
      <w:r w:rsidR="005C5F0C">
        <w:rPr>
          <w:color w:val="000000" w:themeColor="text1"/>
        </w:rPr>
        <w:t xml:space="preserve"> et contributifs obligatoires</w:t>
      </w:r>
      <w:r w:rsidRPr="008D45CE">
        <w:rPr>
          <w:color w:val="000000" w:themeColor="text1"/>
        </w:rPr>
        <w:t>,</w:t>
      </w:r>
      <w:r w:rsidR="005C5F0C">
        <w:rPr>
          <w:color w:val="000000" w:themeColor="text1"/>
        </w:rPr>
        <w:t xml:space="preserve"> </w:t>
      </w:r>
      <w:r w:rsidRPr="008D45CE">
        <w:rPr>
          <w:color w:val="000000" w:themeColor="text1"/>
        </w:rPr>
        <w:t>régime</w:t>
      </w:r>
      <w:r w:rsidR="005C5F0C">
        <w:rPr>
          <w:color w:val="000000" w:themeColor="text1"/>
        </w:rPr>
        <w:t>s volontaires de paiement privé de soins de santé, régimes de paiement direct de ménage et le régime de financement du RDM (non résident)</w:t>
      </w:r>
    </w:p>
    <w:p w:rsidR="0050177C" w:rsidRPr="008D45CE" w:rsidRDefault="0050177C" w:rsidP="0050177C">
      <w:pPr>
        <w:pStyle w:val="Style2"/>
        <w:rPr>
          <w:color w:val="000000" w:themeColor="text1"/>
        </w:rPr>
      </w:pPr>
      <w:r w:rsidRPr="008D45CE">
        <w:rPr>
          <w:color w:val="000000" w:themeColor="text1"/>
        </w:rPr>
        <w:t xml:space="preserve"> </w:t>
      </w:r>
    </w:p>
    <w:p w:rsidR="0050177C" w:rsidRPr="008D45CE" w:rsidRDefault="00591B59" w:rsidP="0050177C">
      <w:pPr>
        <w:pStyle w:val="Style2"/>
        <w:rPr>
          <w:color w:val="000000" w:themeColor="text1"/>
        </w:rPr>
      </w:pPr>
      <w:r>
        <w:rPr>
          <w:color w:val="000000" w:themeColor="text1"/>
        </w:rPr>
        <w:t>Au Congo</w:t>
      </w:r>
      <w:r w:rsidR="005C5F0C">
        <w:rPr>
          <w:color w:val="000000" w:themeColor="text1"/>
        </w:rPr>
        <w:t xml:space="preserve"> pour la période concernée (2011-2015)</w:t>
      </w:r>
      <w:r>
        <w:rPr>
          <w:color w:val="000000" w:themeColor="text1"/>
        </w:rPr>
        <w:t xml:space="preserve"> on compte</w:t>
      </w:r>
      <w:r w:rsidR="005C5F0C">
        <w:rPr>
          <w:color w:val="000000" w:themeColor="text1"/>
        </w:rPr>
        <w:t xml:space="preserve"> six (6) régimes de financement, présenté dans le tableau ci-dessous.</w:t>
      </w:r>
      <w:r>
        <w:rPr>
          <w:color w:val="000000" w:themeColor="text1"/>
        </w:rPr>
        <w:t xml:space="preserve"> </w:t>
      </w:r>
    </w:p>
    <w:p w:rsidR="0050177C" w:rsidRDefault="0050177C" w:rsidP="00F3133E">
      <w:pPr>
        <w:pStyle w:val="Style2"/>
        <w:rPr>
          <w:color w:val="000000" w:themeColor="text1"/>
          <w:lang w:val="fr-CD"/>
        </w:rPr>
      </w:pPr>
    </w:p>
    <w:p w:rsidR="00DF1917" w:rsidRDefault="00DF1917" w:rsidP="00F3133E">
      <w:pPr>
        <w:pStyle w:val="Style2"/>
        <w:rPr>
          <w:color w:val="000000" w:themeColor="text1"/>
          <w:lang w:val="fr-CD"/>
        </w:rPr>
      </w:pPr>
    </w:p>
    <w:p w:rsidR="00DF1917" w:rsidRDefault="00DF1917" w:rsidP="00F3133E">
      <w:pPr>
        <w:pStyle w:val="Style2"/>
        <w:rPr>
          <w:color w:val="000000" w:themeColor="text1"/>
          <w:lang w:val="fr-CD"/>
        </w:rPr>
      </w:pPr>
    </w:p>
    <w:p w:rsidR="00D658BB" w:rsidRPr="00DF1917" w:rsidRDefault="005C5F0C" w:rsidP="00F3133E">
      <w:pPr>
        <w:pStyle w:val="Style2"/>
        <w:rPr>
          <w:b/>
          <w:color w:val="000000" w:themeColor="text1"/>
          <w:sz w:val="20"/>
        </w:rPr>
      </w:pPr>
      <w:r w:rsidRPr="00DF1917">
        <w:rPr>
          <w:b/>
          <w:color w:val="000000" w:themeColor="text1"/>
          <w:sz w:val="20"/>
        </w:rPr>
        <w:t>Tableau  n°4</w:t>
      </w:r>
      <w:r w:rsidR="0050177C" w:rsidRPr="00DF1917">
        <w:rPr>
          <w:b/>
          <w:color w:val="000000" w:themeColor="text1"/>
          <w:sz w:val="20"/>
        </w:rPr>
        <w:t xml:space="preserve"> : Répartition de la dépense courante de santé par régime et selon leur source de financement de financement </w:t>
      </w:r>
    </w:p>
    <w:p w:rsidR="00D658BB" w:rsidRDefault="00D658BB" w:rsidP="00F3133E">
      <w:pPr>
        <w:pStyle w:val="Style2"/>
        <w:rPr>
          <w:color w:val="000000" w:themeColor="text1"/>
          <w:lang w:val="fr-CD"/>
        </w:rPr>
      </w:pPr>
      <w:r w:rsidRPr="00D658BB">
        <w:rPr>
          <w:noProof/>
          <w:lang w:eastAsia="fr-FR" w:bidi="ar-SA"/>
        </w:rPr>
        <w:lastRenderedPageBreak/>
        <w:drawing>
          <wp:inline distT="0" distB="0" distL="0" distR="0">
            <wp:extent cx="6163785" cy="2180350"/>
            <wp:effectExtent l="0" t="0" r="0" b="0"/>
            <wp:docPr id="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srcRect/>
                    <a:stretch>
                      <a:fillRect/>
                    </a:stretch>
                  </pic:blipFill>
                  <pic:spPr bwMode="auto">
                    <a:xfrm>
                      <a:off x="0" y="0"/>
                      <a:ext cx="6163785" cy="2180350"/>
                    </a:xfrm>
                    <a:prstGeom prst="rect">
                      <a:avLst/>
                    </a:prstGeom>
                    <a:noFill/>
                    <a:ln w="9525">
                      <a:noFill/>
                      <a:miter lim="800000"/>
                      <a:headEnd/>
                      <a:tailEnd/>
                    </a:ln>
                  </pic:spPr>
                </pic:pic>
              </a:graphicData>
            </a:graphic>
          </wp:inline>
        </w:drawing>
      </w:r>
    </w:p>
    <w:p w:rsidR="00D658BB" w:rsidRDefault="00D658BB" w:rsidP="00F3133E">
      <w:pPr>
        <w:pStyle w:val="Style2"/>
        <w:rPr>
          <w:color w:val="000000" w:themeColor="text1"/>
          <w:lang w:val="fr-CD"/>
        </w:rPr>
      </w:pPr>
    </w:p>
    <w:p w:rsidR="00DF1917" w:rsidRDefault="00DF1917" w:rsidP="00F3133E">
      <w:pPr>
        <w:pStyle w:val="Style2"/>
        <w:rPr>
          <w:color w:val="000000" w:themeColor="text1"/>
          <w:lang w:val="fr-CD"/>
        </w:rPr>
      </w:pPr>
      <w:r>
        <w:rPr>
          <w:color w:val="000000" w:themeColor="text1"/>
          <w:lang w:val="fr-CD"/>
        </w:rPr>
        <w:t>En fonction des régimes de financement, les dépenses courantes de santé au Congo pour la période 2011-2015, connaissent la structuration suivante :</w:t>
      </w:r>
    </w:p>
    <w:p w:rsidR="00DF1917" w:rsidRDefault="00DF1917" w:rsidP="00DF1917">
      <w:pPr>
        <w:pStyle w:val="Style2"/>
        <w:numPr>
          <w:ilvl w:val="0"/>
          <w:numId w:val="15"/>
        </w:numPr>
        <w:rPr>
          <w:color w:val="000000" w:themeColor="text1"/>
          <w:lang w:val="fr-CD"/>
        </w:rPr>
      </w:pPr>
      <w:r>
        <w:rPr>
          <w:color w:val="000000" w:themeColor="text1"/>
          <w:lang w:val="fr-CD"/>
        </w:rPr>
        <w:t>Pour le régime de l’administrat</w:t>
      </w:r>
      <w:r w:rsidR="004D1530">
        <w:rPr>
          <w:color w:val="000000" w:themeColor="text1"/>
          <w:lang w:val="fr-CD"/>
        </w:rPr>
        <w:t xml:space="preserve">ion publique, les fonds </w:t>
      </w:r>
      <w:r>
        <w:rPr>
          <w:color w:val="000000" w:themeColor="text1"/>
          <w:lang w:val="fr-CD"/>
        </w:rPr>
        <w:t>mobilisés proviennent du gouvernement</w:t>
      </w:r>
      <w:r w:rsidR="004D1530">
        <w:rPr>
          <w:color w:val="000000" w:themeColor="text1"/>
          <w:lang w:val="fr-CD"/>
        </w:rPr>
        <w:t xml:space="preserve"> (10 à 43% avec un pic de 44% en 2014)</w:t>
      </w:r>
      <w:r>
        <w:rPr>
          <w:color w:val="000000" w:themeColor="text1"/>
          <w:lang w:val="fr-CD"/>
        </w:rPr>
        <w:t xml:space="preserve"> et du RDM</w:t>
      </w:r>
      <w:r w:rsidR="004D1530">
        <w:rPr>
          <w:color w:val="000000" w:themeColor="text1"/>
          <w:lang w:val="fr-CD"/>
        </w:rPr>
        <w:t xml:space="preserve"> (avec une baisse allant de 43% en 2011 à 19% en 2015) ;</w:t>
      </w:r>
    </w:p>
    <w:p w:rsidR="004D1530" w:rsidRPr="00083345" w:rsidRDefault="004D1530" w:rsidP="00083345">
      <w:pPr>
        <w:pStyle w:val="Style2"/>
        <w:numPr>
          <w:ilvl w:val="0"/>
          <w:numId w:val="15"/>
        </w:numPr>
        <w:rPr>
          <w:color w:val="000000" w:themeColor="text1"/>
          <w:lang w:val="fr-CD"/>
        </w:rPr>
      </w:pPr>
      <w:r>
        <w:rPr>
          <w:color w:val="000000" w:themeColor="text1"/>
          <w:lang w:val="fr-CD"/>
        </w:rPr>
        <w:t>Pour les régimes autres assurances complémentaires</w:t>
      </w:r>
      <w:r w:rsidR="00083345">
        <w:rPr>
          <w:color w:val="000000" w:themeColor="text1"/>
          <w:lang w:val="fr-CD"/>
        </w:rPr>
        <w:t xml:space="preserve"> et le</w:t>
      </w:r>
      <w:r w:rsidR="00083345" w:rsidRPr="00083345">
        <w:rPr>
          <w:color w:val="000000" w:themeColor="text1"/>
          <w:lang w:val="fr-CD"/>
        </w:rPr>
        <w:t xml:space="preserve"> </w:t>
      </w:r>
      <w:r w:rsidR="00083345">
        <w:rPr>
          <w:color w:val="000000" w:themeColor="text1"/>
          <w:lang w:val="fr-CD"/>
        </w:rPr>
        <w:t>régime de financement des entreprises sauf les prestataires des soins de santé, les fonds mobilisés proviennent uniquement des entreprises. Ces fonds ont varié respectivement entre 0 et 1% pour les premiers régimes et 1 à 2% pour le deuxième. Par ailleurs, les</w:t>
      </w:r>
      <w:r w:rsidR="00083345" w:rsidRPr="00083345">
        <w:rPr>
          <w:color w:val="000000" w:themeColor="text1"/>
          <w:lang w:val="fr-CD"/>
        </w:rPr>
        <w:t xml:space="preserve"> </w:t>
      </w:r>
      <w:r w:rsidR="00083345">
        <w:rPr>
          <w:color w:val="000000" w:themeColor="text1"/>
          <w:lang w:val="fr-CD"/>
        </w:rPr>
        <w:t>régimes autres assurances complémentaires rapportent les fonds mobilisés par les entreprises</w:t>
      </w:r>
      <w:r w:rsidR="00634F8A">
        <w:rPr>
          <w:color w:val="000000" w:themeColor="text1"/>
          <w:lang w:val="fr-CD"/>
        </w:rPr>
        <w:t xml:space="preserve"> par le canal des assurances</w:t>
      </w:r>
      <w:r w:rsidR="00083345">
        <w:rPr>
          <w:color w:val="000000" w:themeColor="text1"/>
          <w:lang w:val="fr-CD"/>
        </w:rPr>
        <w:t xml:space="preserve"> au profit de leurs employés</w:t>
      </w:r>
      <w:r w:rsidR="00634F8A">
        <w:rPr>
          <w:color w:val="000000" w:themeColor="text1"/>
          <w:lang w:val="fr-CD"/>
        </w:rPr>
        <w:t> ; tandis que le</w:t>
      </w:r>
      <w:r w:rsidR="00634F8A" w:rsidRPr="00634F8A">
        <w:rPr>
          <w:color w:val="000000" w:themeColor="text1"/>
          <w:lang w:val="fr-CD"/>
        </w:rPr>
        <w:t xml:space="preserve"> régime de financement des entreprises sauf les prestata</w:t>
      </w:r>
      <w:r w:rsidR="00634F8A">
        <w:rPr>
          <w:color w:val="000000" w:themeColor="text1"/>
          <w:lang w:val="fr-CD"/>
        </w:rPr>
        <w:t>ires des soins de santé retrace les soins et services de santé de leur employé hors canal assurance ;</w:t>
      </w:r>
    </w:p>
    <w:p w:rsidR="004D1530" w:rsidRDefault="004D1530" w:rsidP="00DF1917">
      <w:pPr>
        <w:pStyle w:val="Style2"/>
        <w:numPr>
          <w:ilvl w:val="0"/>
          <w:numId w:val="15"/>
        </w:numPr>
        <w:rPr>
          <w:color w:val="000000" w:themeColor="text1"/>
          <w:lang w:val="fr-CD"/>
        </w:rPr>
      </w:pPr>
      <w:r>
        <w:rPr>
          <w:color w:val="000000" w:themeColor="text1"/>
          <w:lang w:val="fr-CD"/>
        </w:rPr>
        <w:t>Pour le régime des paiements directs sans partage des coûts</w:t>
      </w:r>
      <w:r w:rsidR="00A1122C">
        <w:rPr>
          <w:color w:val="000000" w:themeColor="text1"/>
          <w:lang w:val="fr-CD"/>
        </w:rPr>
        <w:t>,</w:t>
      </w:r>
      <w:r w:rsidR="00634F8A">
        <w:rPr>
          <w:color w:val="000000" w:themeColor="text1"/>
          <w:lang w:val="fr-CD"/>
        </w:rPr>
        <w:t xml:space="preserve"> le fonds mobilisés sont issus directement des ménages</w:t>
      </w:r>
      <w:r w:rsidR="00A1122C">
        <w:rPr>
          <w:color w:val="000000" w:themeColor="text1"/>
          <w:lang w:val="fr-CD"/>
        </w:rPr>
        <w:t xml:space="preserve"> « out pocket »</w:t>
      </w:r>
      <w:r w:rsidR="00634F8A">
        <w:rPr>
          <w:color w:val="000000" w:themeColor="text1"/>
          <w:lang w:val="fr-CD"/>
        </w:rPr>
        <w:t>. Ces dépenses sont décroissante de 41 à 34% ;</w:t>
      </w:r>
    </w:p>
    <w:p w:rsidR="004D1530" w:rsidRDefault="004D1530" w:rsidP="00DF1917">
      <w:pPr>
        <w:pStyle w:val="Style2"/>
        <w:numPr>
          <w:ilvl w:val="0"/>
          <w:numId w:val="15"/>
        </w:numPr>
        <w:rPr>
          <w:color w:val="000000" w:themeColor="text1"/>
          <w:lang w:val="fr-CD"/>
        </w:rPr>
      </w:pPr>
      <w:r>
        <w:rPr>
          <w:color w:val="000000" w:themeColor="text1"/>
          <w:lang w:val="fr-CD"/>
        </w:rPr>
        <w:t>Pour le régime de financement des ONGs nationales</w:t>
      </w:r>
      <w:r w:rsidR="006F20D7">
        <w:rPr>
          <w:color w:val="000000" w:themeColor="text1"/>
          <w:lang w:val="fr-CD"/>
        </w:rPr>
        <w:t>, les fonds mobilisés proviennent des institutions sans but lucratif locales et du RDM. Ces apports ont varié de 0,2 à 0,4%. Aussi par le RDM à hauteur de 2% et 0,02%</w:t>
      </w:r>
    </w:p>
    <w:p w:rsidR="004D1530" w:rsidRPr="00DF1917" w:rsidRDefault="004D1530" w:rsidP="00DF1917">
      <w:pPr>
        <w:pStyle w:val="Style2"/>
        <w:numPr>
          <w:ilvl w:val="0"/>
          <w:numId w:val="15"/>
        </w:numPr>
        <w:rPr>
          <w:color w:val="000000" w:themeColor="text1"/>
          <w:lang w:val="fr-CD"/>
        </w:rPr>
      </w:pPr>
      <w:r>
        <w:rPr>
          <w:color w:val="000000" w:themeColor="text1"/>
          <w:lang w:val="fr-CD"/>
        </w:rPr>
        <w:t>Pour le régime de développement étranger</w:t>
      </w:r>
      <w:r w:rsidR="006F20D7">
        <w:rPr>
          <w:color w:val="000000" w:themeColor="text1"/>
          <w:lang w:val="fr-CD"/>
        </w:rPr>
        <w:t>, la mobilisation des fonds a</w:t>
      </w:r>
      <w:r w:rsidR="00A1122C">
        <w:rPr>
          <w:color w:val="000000" w:themeColor="text1"/>
          <w:lang w:val="fr-CD"/>
        </w:rPr>
        <w:t xml:space="preserve"> été faite par les bailleurs bi</w:t>
      </w:r>
      <w:r w:rsidR="006F20D7">
        <w:rPr>
          <w:color w:val="000000" w:themeColor="text1"/>
          <w:lang w:val="fr-CD"/>
        </w:rPr>
        <w:t xml:space="preserve"> et multilatéraux et les ONGs</w:t>
      </w:r>
      <w:r w:rsidR="00A1122C">
        <w:rPr>
          <w:color w:val="000000" w:themeColor="text1"/>
          <w:lang w:val="fr-CD"/>
        </w:rPr>
        <w:t xml:space="preserve"> et fondations</w:t>
      </w:r>
      <w:r w:rsidR="006F20D7">
        <w:rPr>
          <w:color w:val="000000" w:themeColor="text1"/>
          <w:lang w:val="fr-CD"/>
        </w:rPr>
        <w:t xml:space="preserve"> internationales. Les proportions ont varié entre 2 et 1%.</w:t>
      </w:r>
    </w:p>
    <w:p w:rsidR="00D658BB" w:rsidRDefault="00D658BB" w:rsidP="00F3133E">
      <w:pPr>
        <w:pStyle w:val="Style2"/>
        <w:rPr>
          <w:color w:val="000000" w:themeColor="text1"/>
          <w:lang w:val="fr-CD"/>
        </w:rPr>
      </w:pPr>
    </w:p>
    <w:p w:rsidR="00A1122C" w:rsidRPr="00911F93" w:rsidRDefault="00A1122C" w:rsidP="00911F93">
      <w:pPr>
        <w:pStyle w:val="Titre3"/>
        <w:rPr>
          <w:i w:val="0"/>
          <w:color w:val="000000" w:themeColor="text1"/>
        </w:rPr>
      </w:pPr>
      <w:r>
        <w:rPr>
          <w:i w:val="0"/>
          <w:color w:val="000000" w:themeColor="text1"/>
        </w:rPr>
        <w:br w:type="page"/>
      </w:r>
      <w:r w:rsidR="000C55F4">
        <w:rPr>
          <w:i w:val="0"/>
          <w:color w:val="000000" w:themeColor="text1"/>
        </w:rPr>
        <w:lastRenderedPageBreak/>
        <w:t>4.2.2.</w:t>
      </w:r>
      <w:r w:rsidR="000C55F4" w:rsidRPr="008D45CE">
        <w:rPr>
          <w:i w:val="0"/>
          <w:color w:val="000000" w:themeColor="text1"/>
        </w:rPr>
        <w:t xml:space="preserve"> </w:t>
      </w:r>
      <w:r w:rsidR="000C55F4">
        <w:rPr>
          <w:i w:val="0"/>
          <w:color w:val="000000" w:themeColor="text1"/>
        </w:rPr>
        <w:t xml:space="preserve">Dépenses Courantes par agent de régime </w:t>
      </w:r>
      <w:r w:rsidR="000C55F4" w:rsidRPr="008D45CE">
        <w:rPr>
          <w:i w:val="0"/>
          <w:color w:val="000000" w:themeColor="text1"/>
        </w:rPr>
        <w:t xml:space="preserve"> de financement</w:t>
      </w:r>
    </w:p>
    <w:p w:rsidR="00911F93" w:rsidRDefault="00911F93" w:rsidP="000C55F4">
      <w:pPr>
        <w:pStyle w:val="Style2"/>
        <w:rPr>
          <w:color w:val="000000" w:themeColor="text1"/>
          <w:lang w:val="fr-CD"/>
        </w:rPr>
      </w:pPr>
      <w:r>
        <w:rPr>
          <w:color w:val="000000" w:themeColor="text1"/>
          <w:lang w:val="fr-CD"/>
        </w:rPr>
        <w:t>On entend par  « </w:t>
      </w:r>
      <w:r w:rsidRPr="00911F93">
        <w:rPr>
          <w:i/>
          <w:color w:val="000000" w:themeColor="text1"/>
          <w:lang w:val="fr-CD"/>
        </w:rPr>
        <w:t>agent de régime</w:t>
      </w:r>
      <w:r>
        <w:rPr>
          <w:color w:val="000000" w:themeColor="text1"/>
          <w:lang w:val="fr-CD"/>
        </w:rPr>
        <w:t xml:space="preserve"> </w:t>
      </w:r>
      <w:r w:rsidRPr="00911F93">
        <w:rPr>
          <w:i/>
          <w:color w:val="000000" w:themeColor="text1"/>
          <w:lang w:val="fr-CD"/>
        </w:rPr>
        <w:t>de financement</w:t>
      </w:r>
      <w:r>
        <w:rPr>
          <w:color w:val="000000" w:themeColor="text1"/>
          <w:lang w:val="fr-CD"/>
        </w:rPr>
        <w:t xml:space="preserve"> », une </w:t>
      </w:r>
      <w:r w:rsidR="000C55F4">
        <w:rPr>
          <w:color w:val="000000" w:themeColor="text1"/>
          <w:lang w:val="fr-CD"/>
        </w:rPr>
        <w:t xml:space="preserve">unité institutionnelle </w:t>
      </w:r>
      <w:r w:rsidR="00BD2A79">
        <w:rPr>
          <w:color w:val="000000" w:themeColor="text1"/>
          <w:lang w:val="fr-CD"/>
        </w:rPr>
        <w:t>des systèmes de financement de soins de santé</w:t>
      </w:r>
      <w:r>
        <w:rPr>
          <w:color w:val="000000" w:themeColor="text1"/>
          <w:lang w:val="fr-CD"/>
        </w:rPr>
        <w:t>. L’agent de régime</w:t>
      </w:r>
      <w:r w:rsidR="00BD2A79">
        <w:rPr>
          <w:color w:val="000000" w:themeColor="text1"/>
          <w:lang w:val="fr-CD"/>
        </w:rPr>
        <w:t xml:space="preserve"> </w:t>
      </w:r>
      <w:r>
        <w:rPr>
          <w:color w:val="000000" w:themeColor="text1"/>
          <w:lang w:val="fr-CD"/>
        </w:rPr>
        <w:t>peut</w:t>
      </w:r>
      <w:r w:rsidR="00BD2A79">
        <w:rPr>
          <w:color w:val="000000" w:themeColor="text1"/>
          <w:lang w:val="fr-CD"/>
        </w:rPr>
        <w:t xml:space="preserve"> jouer le rôle de pourvoyeur de revenus aux </w:t>
      </w:r>
      <w:r w:rsidRPr="00911F93">
        <w:rPr>
          <w:color w:val="000000" w:themeColor="text1"/>
          <w:lang w:val="fr-CD"/>
        </w:rPr>
        <w:t>régimes</w:t>
      </w:r>
      <w:r>
        <w:rPr>
          <w:color w:val="000000" w:themeColor="text1"/>
          <w:lang w:val="fr-CD"/>
        </w:rPr>
        <w:t xml:space="preserve"> de financement. Il</w:t>
      </w:r>
      <w:r w:rsidR="00BD2A79">
        <w:rPr>
          <w:color w:val="000000" w:themeColor="text1"/>
          <w:lang w:val="fr-CD"/>
        </w:rPr>
        <w:t xml:space="preserve"> </w:t>
      </w:r>
      <w:r>
        <w:rPr>
          <w:color w:val="000000" w:themeColor="text1"/>
          <w:lang w:val="fr-CD"/>
        </w:rPr>
        <w:t>gère et décide de</w:t>
      </w:r>
      <w:r w:rsidR="000C55F4">
        <w:rPr>
          <w:color w:val="000000" w:themeColor="text1"/>
          <w:lang w:val="fr-CD"/>
        </w:rPr>
        <w:t xml:space="preserve"> l’affectat</w:t>
      </w:r>
      <w:r w:rsidR="001B4760">
        <w:rPr>
          <w:color w:val="000000" w:themeColor="text1"/>
          <w:lang w:val="fr-CD"/>
        </w:rPr>
        <w:t xml:space="preserve">ion </w:t>
      </w:r>
      <w:r w:rsidR="00AE049D">
        <w:rPr>
          <w:color w:val="000000" w:themeColor="text1"/>
          <w:lang w:val="fr-CD"/>
        </w:rPr>
        <w:t>des fonds</w:t>
      </w:r>
      <w:r w:rsidR="00526918">
        <w:rPr>
          <w:color w:val="000000" w:themeColor="text1"/>
          <w:lang w:val="fr-CD"/>
        </w:rPr>
        <w:t>.</w:t>
      </w:r>
    </w:p>
    <w:p w:rsidR="00C2097A" w:rsidRDefault="00526918" w:rsidP="000C55F4">
      <w:pPr>
        <w:pStyle w:val="Style2"/>
        <w:rPr>
          <w:color w:val="000000" w:themeColor="text1"/>
          <w:lang w:val="fr-CD"/>
        </w:rPr>
      </w:pPr>
      <w:r>
        <w:rPr>
          <w:color w:val="000000" w:themeColor="text1"/>
          <w:lang w:val="fr-CD"/>
        </w:rPr>
        <w:t xml:space="preserve"> </w:t>
      </w:r>
      <w:r w:rsidR="001B4760">
        <w:rPr>
          <w:color w:val="000000" w:themeColor="text1"/>
          <w:lang w:val="fr-CD"/>
        </w:rPr>
        <w:t>P</w:t>
      </w:r>
      <w:r w:rsidR="000C55F4">
        <w:rPr>
          <w:color w:val="000000" w:themeColor="text1"/>
          <w:lang w:val="fr-CD"/>
        </w:rPr>
        <w:t xml:space="preserve">our le </w:t>
      </w:r>
      <w:r w:rsidR="001B4760">
        <w:rPr>
          <w:color w:val="000000" w:themeColor="text1"/>
          <w:lang w:val="fr-CD"/>
        </w:rPr>
        <w:t xml:space="preserve">cas du </w:t>
      </w:r>
      <w:r w:rsidR="000C55F4">
        <w:rPr>
          <w:color w:val="000000" w:themeColor="text1"/>
          <w:lang w:val="fr-CD"/>
        </w:rPr>
        <w:t>Congo</w:t>
      </w:r>
      <w:r w:rsidR="00911F93">
        <w:rPr>
          <w:color w:val="000000" w:themeColor="text1"/>
          <w:lang w:val="fr-CD"/>
        </w:rPr>
        <w:t xml:space="preserve">, l’agent de régime </w:t>
      </w:r>
      <w:r w:rsidR="000138A5">
        <w:rPr>
          <w:color w:val="000000" w:themeColor="text1"/>
          <w:lang w:val="fr-CD"/>
        </w:rPr>
        <w:t xml:space="preserve">de financement </w:t>
      </w:r>
      <w:r w:rsidR="00911F93">
        <w:rPr>
          <w:color w:val="000000" w:themeColor="text1"/>
          <w:lang w:val="fr-CD"/>
        </w:rPr>
        <w:t>peut être</w:t>
      </w:r>
      <w:r w:rsidR="001B4760">
        <w:rPr>
          <w:color w:val="000000" w:themeColor="text1"/>
          <w:lang w:val="fr-CD"/>
        </w:rPr>
        <w:t xml:space="preserve"> : </w:t>
      </w:r>
    </w:p>
    <w:p w:rsidR="00C2097A" w:rsidRDefault="00911F93" w:rsidP="00C2097A">
      <w:pPr>
        <w:pStyle w:val="Style2"/>
        <w:numPr>
          <w:ilvl w:val="0"/>
          <w:numId w:val="20"/>
        </w:numPr>
        <w:rPr>
          <w:color w:val="000000" w:themeColor="text1"/>
          <w:lang w:val="fr-CD"/>
        </w:rPr>
      </w:pPr>
      <w:r>
        <w:rPr>
          <w:color w:val="000000" w:themeColor="text1"/>
          <w:lang w:val="fr-CD"/>
        </w:rPr>
        <w:t>le m</w:t>
      </w:r>
      <w:r w:rsidR="000C55F4">
        <w:rPr>
          <w:color w:val="000000" w:themeColor="text1"/>
          <w:lang w:val="fr-CD"/>
        </w:rPr>
        <w:t xml:space="preserve">inistère de la santé et de la population (cabinet, directions générales, inspection, directions centrales, </w:t>
      </w:r>
      <w:r w:rsidR="002A77DE">
        <w:rPr>
          <w:color w:val="000000" w:themeColor="text1"/>
          <w:lang w:val="fr-CD"/>
        </w:rPr>
        <w:t xml:space="preserve">plans, </w:t>
      </w:r>
      <w:r w:rsidR="000C55F4">
        <w:rPr>
          <w:color w:val="000000" w:themeColor="text1"/>
          <w:lang w:val="fr-CD"/>
        </w:rPr>
        <w:t>projets et programmes, directions départementales,</w:t>
      </w:r>
      <w:r>
        <w:rPr>
          <w:color w:val="000000" w:themeColor="text1"/>
          <w:lang w:val="fr-CD"/>
        </w:rPr>
        <w:t xml:space="preserve"> etc.</w:t>
      </w:r>
      <w:r w:rsidR="00C2097A">
        <w:rPr>
          <w:color w:val="000000" w:themeColor="text1"/>
          <w:lang w:val="fr-CD"/>
        </w:rPr>
        <w:t>);</w:t>
      </w:r>
    </w:p>
    <w:p w:rsidR="00C2097A" w:rsidRDefault="00C2097A" w:rsidP="000C55F4">
      <w:pPr>
        <w:pStyle w:val="Style2"/>
        <w:numPr>
          <w:ilvl w:val="0"/>
          <w:numId w:val="20"/>
        </w:numPr>
        <w:rPr>
          <w:color w:val="000000" w:themeColor="text1"/>
          <w:lang w:val="fr-CD"/>
        </w:rPr>
      </w:pPr>
      <w:r w:rsidRPr="00C2097A">
        <w:rPr>
          <w:color w:val="000000" w:themeColor="text1"/>
          <w:lang w:val="fr-CD"/>
        </w:rPr>
        <w:t xml:space="preserve">les </w:t>
      </w:r>
      <w:r w:rsidR="000C55F4" w:rsidRPr="00C2097A">
        <w:rPr>
          <w:color w:val="000000" w:themeColor="text1"/>
          <w:lang w:val="fr-CD"/>
        </w:rPr>
        <w:t>autres  ministères</w:t>
      </w:r>
      <w:r>
        <w:rPr>
          <w:color w:val="000000" w:themeColor="text1"/>
          <w:lang w:val="fr-CD"/>
        </w:rPr>
        <w:t xml:space="preserve"> </w:t>
      </w:r>
      <w:r w:rsidR="000138A5">
        <w:rPr>
          <w:color w:val="000000" w:themeColor="text1"/>
          <w:lang w:val="fr-CD"/>
        </w:rPr>
        <w:t xml:space="preserve">connexes du Gouvernement </w:t>
      </w:r>
      <w:r>
        <w:rPr>
          <w:color w:val="000000" w:themeColor="text1"/>
          <w:lang w:val="fr-CD"/>
        </w:rPr>
        <w:t>(exemple la défense, les affaires sociales) ;</w:t>
      </w:r>
      <w:r w:rsidR="00E343A9" w:rsidRPr="00C2097A">
        <w:rPr>
          <w:color w:val="000000" w:themeColor="text1"/>
          <w:lang w:val="fr-CD"/>
        </w:rPr>
        <w:t xml:space="preserve"> </w:t>
      </w:r>
      <w:r w:rsidR="000C55F4" w:rsidRPr="00C2097A">
        <w:rPr>
          <w:color w:val="000000" w:themeColor="text1"/>
          <w:lang w:val="fr-CD"/>
        </w:rPr>
        <w:t xml:space="preserve"> </w:t>
      </w:r>
      <w:r w:rsidR="00E343A9" w:rsidRPr="00C2097A">
        <w:rPr>
          <w:color w:val="000000" w:themeColor="text1"/>
          <w:lang w:val="fr-CD"/>
        </w:rPr>
        <w:t xml:space="preserve"> </w:t>
      </w:r>
      <w:r w:rsidR="001B4760" w:rsidRPr="00C2097A">
        <w:rPr>
          <w:color w:val="000000" w:themeColor="text1"/>
          <w:lang w:val="fr-CD"/>
        </w:rPr>
        <w:t xml:space="preserve"> </w:t>
      </w:r>
    </w:p>
    <w:p w:rsidR="00C2097A" w:rsidRDefault="00C2097A" w:rsidP="000C55F4">
      <w:pPr>
        <w:pStyle w:val="Style2"/>
        <w:numPr>
          <w:ilvl w:val="0"/>
          <w:numId w:val="20"/>
        </w:numPr>
        <w:rPr>
          <w:color w:val="000000" w:themeColor="text1"/>
          <w:lang w:val="fr-CD"/>
        </w:rPr>
      </w:pPr>
      <w:r>
        <w:rPr>
          <w:color w:val="000000" w:themeColor="text1"/>
          <w:lang w:val="fr-CD"/>
        </w:rPr>
        <w:t>la Présidence de la République ;</w:t>
      </w:r>
      <w:r w:rsidR="000C55F4" w:rsidRPr="00C2097A">
        <w:rPr>
          <w:color w:val="000000" w:themeColor="text1"/>
          <w:lang w:val="fr-CD"/>
        </w:rPr>
        <w:t xml:space="preserve"> </w:t>
      </w:r>
      <w:r w:rsidR="000138A5">
        <w:rPr>
          <w:color w:val="000000" w:themeColor="text1"/>
          <w:lang w:val="fr-CD"/>
        </w:rPr>
        <w:t>Parlement</w:t>
      </w:r>
    </w:p>
    <w:p w:rsidR="00C2097A" w:rsidRDefault="00C2097A" w:rsidP="000C55F4">
      <w:pPr>
        <w:pStyle w:val="Style2"/>
        <w:numPr>
          <w:ilvl w:val="0"/>
          <w:numId w:val="20"/>
        </w:numPr>
        <w:rPr>
          <w:color w:val="000000" w:themeColor="text1"/>
          <w:lang w:val="fr-CD"/>
        </w:rPr>
      </w:pPr>
      <w:r>
        <w:rPr>
          <w:color w:val="000000" w:themeColor="text1"/>
          <w:lang w:val="fr-CD"/>
        </w:rPr>
        <w:t xml:space="preserve">les </w:t>
      </w:r>
      <w:r w:rsidR="00E343A9" w:rsidRPr="00C2097A">
        <w:rPr>
          <w:color w:val="000000" w:themeColor="text1"/>
          <w:lang w:val="fr-CD"/>
        </w:rPr>
        <w:t xml:space="preserve">sociétés </w:t>
      </w:r>
      <w:r w:rsidR="000C55F4" w:rsidRPr="00C2097A">
        <w:rPr>
          <w:color w:val="000000" w:themeColor="text1"/>
          <w:lang w:val="fr-CD"/>
        </w:rPr>
        <w:t>d’assurance</w:t>
      </w:r>
      <w:r w:rsidR="00E343A9" w:rsidRPr="00C2097A">
        <w:rPr>
          <w:color w:val="000000" w:themeColor="text1"/>
          <w:lang w:val="fr-CD"/>
        </w:rPr>
        <w:t xml:space="preserve"> commerciales (ex</w:t>
      </w:r>
      <w:r>
        <w:rPr>
          <w:color w:val="000000" w:themeColor="text1"/>
          <w:lang w:val="fr-CD"/>
        </w:rPr>
        <w:t>emple</w:t>
      </w:r>
      <w:r w:rsidR="00E343A9" w:rsidRPr="00C2097A">
        <w:rPr>
          <w:color w:val="000000" w:themeColor="text1"/>
          <w:lang w:val="fr-CD"/>
        </w:rPr>
        <w:t>. NSIA, AGC, Allianz etc</w:t>
      </w:r>
      <w:r w:rsidR="001B4760" w:rsidRPr="00C2097A">
        <w:rPr>
          <w:color w:val="000000" w:themeColor="text1"/>
          <w:lang w:val="fr-CD"/>
        </w:rPr>
        <w:t>...)</w:t>
      </w:r>
      <w:r>
        <w:rPr>
          <w:color w:val="000000" w:themeColor="text1"/>
          <w:lang w:val="fr-CD"/>
        </w:rPr>
        <w:t> ;</w:t>
      </w:r>
    </w:p>
    <w:p w:rsidR="00C2097A" w:rsidRDefault="00C2097A" w:rsidP="000C55F4">
      <w:pPr>
        <w:pStyle w:val="Style2"/>
        <w:numPr>
          <w:ilvl w:val="0"/>
          <w:numId w:val="20"/>
        </w:numPr>
        <w:rPr>
          <w:color w:val="000000" w:themeColor="text1"/>
          <w:lang w:val="fr-CD"/>
        </w:rPr>
      </w:pPr>
      <w:r>
        <w:rPr>
          <w:color w:val="000000" w:themeColor="text1"/>
          <w:lang w:val="fr-CD"/>
        </w:rPr>
        <w:t xml:space="preserve">les </w:t>
      </w:r>
      <w:r w:rsidR="0058636A" w:rsidRPr="00C2097A">
        <w:rPr>
          <w:color w:val="000000" w:themeColor="text1"/>
          <w:lang w:val="fr-CD"/>
        </w:rPr>
        <w:t xml:space="preserve"> </w:t>
      </w:r>
      <w:r w:rsidR="001B4760" w:rsidRPr="00C2097A">
        <w:rPr>
          <w:color w:val="000000" w:themeColor="text1"/>
          <w:lang w:val="fr-CD"/>
        </w:rPr>
        <w:t xml:space="preserve">entreprises </w:t>
      </w:r>
      <w:r w:rsidR="00D50F90" w:rsidRPr="00C2097A">
        <w:rPr>
          <w:color w:val="000000" w:themeColor="text1"/>
          <w:lang w:val="fr-CD"/>
        </w:rPr>
        <w:t>(ex</w:t>
      </w:r>
      <w:r>
        <w:rPr>
          <w:color w:val="000000" w:themeColor="text1"/>
          <w:lang w:val="fr-CD"/>
        </w:rPr>
        <w:t xml:space="preserve">emple </w:t>
      </w:r>
      <w:r w:rsidR="001B4760" w:rsidRPr="00C2097A">
        <w:rPr>
          <w:color w:val="000000" w:themeColor="text1"/>
          <w:lang w:val="fr-CD"/>
        </w:rPr>
        <w:t>Airtel, MTN, AZUR, BRASCO, CIB etc..)</w:t>
      </w:r>
      <w:r>
        <w:rPr>
          <w:color w:val="000000" w:themeColor="text1"/>
          <w:lang w:val="fr-CD"/>
        </w:rPr>
        <w:t> ;</w:t>
      </w:r>
    </w:p>
    <w:p w:rsidR="00C2097A" w:rsidRDefault="00C2097A" w:rsidP="000C55F4">
      <w:pPr>
        <w:pStyle w:val="Style2"/>
        <w:numPr>
          <w:ilvl w:val="0"/>
          <w:numId w:val="20"/>
        </w:numPr>
        <w:rPr>
          <w:color w:val="000000" w:themeColor="text1"/>
          <w:lang w:val="fr-CD"/>
        </w:rPr>
      </w:pPr>
      <w:r>
        <w:rPr>
          <w:color w:val="000000" w:themeColor="text1"/>
          <w:lang w:val="fr-CD"/>
        </w:rPr>
        <w:t>les</w:t>
      </w:r>
      <w:r w:rsidR="0058636A" w:rsidRPr="00C2097A">
        <w:rPr>
          <w:color w:val="000000" w:themeColor="text1"/>
          <w:lang w:val="fr-CD"/>
        </w:rPr>
        <w:t xml:space="preserve"> </w:t>
      </w:r>
      <w:r w:rsidR="00D50F90" w:rsidRPr="00C2097A">
        <w:rPr>
          <w:color w:val="000000" w:themeColor="text1"/>
          <w:lang w:val="fr-CD"/>
        </w:rPr>
        <w:t>ONGs</w:t>
      </w:r>
      <w:r>
        <w:rPr>
          <w:color w:val="000000" w:themeColor="text1"/>
          <w:lang w:val="fr-CD"/>
        </w:rPr>
        <w:t xml:space="preserve"> </w:t>
      </w:r>
      <w:r w:rsidR="00D50F90" w:rsidRPr="00C2097A">
        <w:rPr>
          <w:color w:val="000000" w:themeColor="text1"/>
          <w:lang w:val="fr-CD"/>
        </w:rPr>
        <w:t>(ex</w:t>
      </w:r>
      <w:r>
        <w:rPr>
          <w:color w:val="000000" w:themeColor="text1"/>
          <w:lang w:val="fr-CD"/>
        </w:rPr>
        <w:t>emple</w:t>
      </w:r>
      <w:r w:rsidR="00D50F90" w:rsidRPr="00C2097A">
        <w:rPr>
          <w:color w:val="000000" w:themeColor="text1"/>
          <w:lang w:val="fr-CD"/>
        </w:rPr>
        <w:t xml:space="preserve">. Fondation Congo Assistance, Médecins d’Afrique, ACBEF, Caritas, etc..), </w:t>
      </w:r>
    </w:p>
    <w:p w:rsidR="000C55F4" w:rsidRPr="00C2097A" w:rsidRDefault="00C2097A" w:rsidP="000C55F4">
      <w:pPr>
        <w:pStyle w:val="Style2"/>
        <w:numPr>
          <w:ilvl w:val="0"/>
          <w:numId w:val="20"/>
        </w:numPr>
        <w:rPr>
          <w:color w:val="000000" w:themeColor="text1"/>
          <w:lang w:val="fr-CD"/>
        </w:rPr>
      </w:pPr>
      <w:r>
        <w:rPr>
          <w:color w:val="000000" w:themeColor="text1"/>
          <w:lang w:val="fr-CD"/>
        </w:rPr>
        <w:t>les</w:t>
      </w:r>
      <w:r w:rsidR="0058636A" w:rsidRPr="00C2097A">
        <w:rPr>
          <w:color w:val="000000" w:themeColor="text1"/>
          <w:lang w:val="fr-CD"/>
        </w:rPr>
        <w:t xml:space="preserve"> </w:t>
      </w:r>
      <w:r>
        <w:rPr>
          <w:color w:val="000000" w:themeColor="text1"/>
          <w:lang w:val="fr-CD"/>
        </w:rPr>
        <w:t>partenaires techniques et financiers</w:t>
      </w:r>
      <w:r w:rsidR="00D50F90" w:rsidRPr="00C2097A">
        <w:rPr>
          <w:color w:val="000000" w:themeColor="text1"/>
          <w:lang w:val="fr-CD"/>
        </w:rPr>
        <w:t xml:space="preserve"> (ex</w:t>
      </w:r>
      <w:r>
        <w:rPr>
          <w:color w:val="000000" w:themeColor="text1"/>
          <w:lang w:val="fr-CD"/>
        </w:rPr>
        <w:t>emple</w:t>
      </w:r>
      <w:r w:rsidR="00D50F90" w:rsidRPr="00C2097A">
        <w:rPr>
          <w:color w:val="000000" w:themeColor="text1"/>
          <w:lang w:val="fr-CD"/>
        </w:rPr>
        <w:t xml:space="preserve">. OMS, Banque Mondiale, Unicef, UNFPA, FM, GAVI, </w:t>
      </w:r>
      <w:r w:rsidR="0058636A" w:rsidRPr="00C2097A">
        <w:rPr>
          <w:color w:val="000000" w:themeColor="text1"/>
          <w:lang w:val="fr-CD"/>
        </w:rPr>
        <w:t xml:space="preserve">AFD, PAM, UNHCR, PNUD, UE, BAD, Egypte, Chine, Cuba, </w:t>
      </w:r>
      <w:r>
        <w:rPr>
          <w:color w:val="000000" w:themeColor="text1"/>
          <w:lang w:val="fr-CD"/>
        </w:rPr>
        <w:t>etc</w:t>
      </w:r>
      <w:r w:rsidR="00D50F90" w:rsidRPr="00C2097A">
        <w:rPr>
          <w:color w:val="000000" w:themeColor="text1"/>
          <w:lang w:val="fr-CD"/>
        </w:rPr>
        <w:t xml:space="preserve">) </w:t>
      </w:r>
    </w:p>
    <w:p w:rsidR="000C55F4" w:rsidRDefault="000C55F4" w:rsidP="0058636A">
      <w:pPr>
        <w:pStyle w:val="Style2"/>
        <w:rPr>
          <w:color w:val="000000" w:themeColor="text1"/>
          <w:lang w:val="fr-CD"/>
        </w:rPr>
      </w:pPr>
    </w:p>
    <w:p w:rsidR="00A10E04" w:rsidRPr="008D45CE" w:rsidRDefault="00A10E04" w:rsidP="00A401E9">
      <w:pPr>
        <w:pStyle w:val="Style2"/>
        <w:rPr>
          <w:color w:val="000000" w:themeColor="text1"/>
        </w:rPr>
      </w:pPr>
      <w:r w:rsidRPr="008D45CE">
        <w:rPr>
          <w:color w:val="000000" w:themeColor="text1"/>
        </w:rPr>
        <w:t>Le tableau ci- dessous montre l’évolution de la gestion de régimes des financements par agent</w:t>
      </w:r>
      <w:r w:rsidR="0057614F">
        <w:rPr>
          <w:color w:val="000000" w:themeColor="text1"/>
        </w:rPr>
        <w:t xml:space="preserve"> de régimes</w:t>
      </w:r>
      <w:r w:rsidRPr="008D45CE">
        <w:rPr>
          <w:color w:val="000000" w:themeColor="text1"/>
        </w:rPr>
        <w:t xml:space="preserve"> de 201</w:t>
      </w:r>
      <w:r w:rsidRPr="008D45CE">
        <w:rPr>
          <w:color w:val="000000" w:themeColor="text1"/>
          <w:lang w:val="fr-CD"/>
        </w:rPr>
        <w:t>1</w:t>
      </w:r>
      <w:r w:rsidRPr="008D45CE">
        <w:rPr>
          <w:color w:val="000000" w:themeColor="text1"/>
        </w:rPr>
        <w:t xml:space="preserve"> à 201</w:t>
      </w:r>
      <w:r w:rsidRPr="008D45CE">
        <w:rPr>
          <w:color w:val="000000" w:themeColor="text1"/>
          <w:lang w:val="fr-CD"/>
        </w:rPr>
        <w:t>5</w:t>
      </w:r>
      <w:r w:rsidR="0057614F">
        <w:rPr>
          <w:color w:val="000000" w:themeColor="text1"/>
          <w:lang w:val="fr-CD"/>
        </w:rPr>
        <w:t xml:space="preserve"> pour ce qui est des dépenses courantes</w:t>
      </w:r>
      <w:r w:rsidR="0057614F">
        <w:rPr>
          <w:color w:val="000000" w:themeColor="text1"/>
        </w:rPr>
        <w:t xml:space="preserve"> </w:t>
      </w:r>
      <w:r w:rsidRPr="008D45CE">
        <w:rPr>
          <w:color w:val="000000" w:themeColor="text1"/>
        </w:rPr>
        <w:t xml:space="preserve">en </w:t>
      </w:r>
      <w:r w:rsidR="00B2646F" w:rsidRPr="008D45CE">
        <w:rPr>
          <w:color w:val="000000" w:themeColor="text1"/>
        </w:rPr>
        <w:t>FCFA</w:t>
      </w:r>
      <w:r w:rsidRPr="008D45CE">
        <w:rPr>
          <w:color w:val="000000" w:themeColor="text1"/>
        </w:rPr>
        <w:t>.</w:t>
      </w:r>
    </w:p>
    <w:p w:rsidR="005C2C2A" w:rsidRPr="008D45CE" w:rsidRDefault="005C2C2A" w:rsidP="00A401E9">
      <w:pPr>
        <w:rPr>
          <w:color w:val="000000" w:themeColor="text1"/>
        </w:rPr>
      </w:pPr>
    </w:p>
    <w:p w:rsidR="00A10E04" w:rsidRPr="008D45CE" w:rsidRDefault="00A10E04" w:rsidP="005C2C2A">
      <w:pPr>
        <w:pStyle w:val="Titre6"/>
        <w:rPr>
          <w:color w:val="000000" w:themeColor="text1"/>
        </w:rPr>
      </w:pPr>
      <w:bookmarkStart w:id="57" w:name="_Toc465262389"/>
      <w:bookmarkStart w:id="58" w:name="_Toc483474509"/>
      <w:r w:rsidRPr="008D45CE">
        <w:rPr>
          <w:color w:val="000000" w:themeColor="text1"/>
        </w:rPr>
        <w:t xml:space="preserve">Tableau </w:t>
      </w:r>
      <w:r w:rsidR="004F61E9">
        <w:rPr>
          <w:color w:val="000000" w:themeColor="text1"/>
        </w:rPr>
        <w:t>5</w:t>
      </w:r>
      <w:r w:rsidRPr="008D45CE">
        <w:rPr>
          <w:color w:val="000000" w:themeColor="text1"/>
        </w:rPr>
        <w:t> : Evolution de la</w:t>
      </w:r>
      <w:r w:rsidR="00C00790" w:rsidRPr="008D45CE">
        <w:rPr>
          <w:color w:val="000000" w:themeColor="text1"/>
        </w:rPr>
        <w:t xml:space="preserve"> </w:t>
      </w:r>
      <w:r w:rsidR="00D2143B" w:rsidRPr="008D45CE">
        <w:rPr>
          <w:color w:val="000000" w:themeColor="text1"/>
        </w:rPr>
        <w:t xml:space="preserve">Dépense Courante </w:t>
      </w:r>
      <w:r w:rsidR="00C00790" w:rsidRPr="008D45CE">
        <w:rPr>
          <w:color w:val="000000" w:themeColor="text1"/>
        </w:rPr>
        <w:t xml:space="preserve">de </w:t>
      </w:r>
      <w:r w:rsidR="00D2143B" w:rsidRPr="008D45CE">
        <w:rPr>
          <w:color w:val="000000" w:themeColor="text1"/>
        </w:rPr>
        <w:t xml:space="preserve">Santé </w:t>
      </w:r>
      <w:r w:rsidR="00C00790" w:rsidRPr="008D45CE">
        <w:rPr>
          <w:color w:val="000000" w:themeColor="text1"/>
        </w:rPr>
        <w:t>par A</w:t>
      </w:r>
      <w:r w:rsidRPr="008D45CE">
        <w:rPr>
          <w:color w:val="000000" w:themeColor="text1"/>
        </w:rPr>
        <w:t xml:space="preserve">gent des régimes de financement de 2011 à 2015 en </w:t>
      </w:r>
      <w:r w:rsidR="00B2646F" w:rsidRPr="008D45CE">
        <w:rPr>
          <w:color w:val="000000" w:themeColor="text1"/>
        </w:rPr>
        <w:t>FCFA</w:t>
      </w:r>
      <w:bookmarkEnd w:id="57"/>
      <w:bookmarkEnd w:id="58"/>
    </w:p>
    <w:p w:rsidR="0023160F" w:rsidRDefault="00740449" w:rsidP="00A401E9">
      <w:pPr>
        <w:pStyle w:val="Style2"/>
        <w:rPr>
          <w:color w:val="000000" w:themeColor="text1"/>
        </w:rPr>
      </w:pPr>
      <w:r w:rsidRPr="00740449">
        <w:rPr>
          <w:noProof/>
          <w:lang w:eastAsia="fr-FR" w:bidi="ar-SA"/>
        </w:rPr>
        <w:drawing>
          <wp:inline distT="0" distB="0" distL="0" distR="0">
            <wp:extent cx="5760720" cy="2111156"/>
            <wp:effectExtent l="19050" t="0" r="0" b="0"/>
            <wp:docPr id="1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srcRect/>
                    <a:stretch>
                      <a:fillRect/>
                    </a:stretch>
                  </pic:blipFill>
                  <pic:spPr bwMode="auto">
                    <a:xfrm>
                      <a:off x="0" y="0"/>
                      <a:ext cx="5760720" cy="2111156"/>
                    </a:xfrm>
                    <a:prstGeom prst="rect">
                      <a:avLst/>
                    </a:prstGeom>
                    <a:noFill/>
                    <a:ln w="9525">
                      <a:noFill/>
                      <a:miter lim="800000"/>
                      <a:headEnd/>
                      <a:tailEnd/>
                    </a:ln>
                  </pic:spPr>
                </pic:pic>
              </a:graphicData>
            </a:graphic>
          </wp:inline>
        </w:drawing>
      </w:r>
    </w:p>
    <w:p w:rsidR="0023160F" w:rsidRDefault="0023160F" w:rsidP="00A401E9">
      <w:pPr>
        <w:pStyle w:val="Style2"/>
        <w:rPr>
          <w:color w:val="000000" w:themeColor="text1"/>
        </w:rPr>
      </w:pPr>
    </w:p>
    <w:p w:rsidR="001929DA" w:rsidRDefault="000C714B" w:rsidP="000C714B">
      <w:pPr>
        <w:pStyle w:val="Style2"/>
        <w:rPr>
          <w:bCs/>
          <w:color w:val="000000" w:themeColor="text1"/>
          <w:lang w:eastAsia="fr-FR" w:bidi="ar-SA"/>
        </w:rPr>
      </w:pPr>
      <w:r w:rsidRPr="008D45CE">
        <w:rPr>
          <w:color w:val="000000" w:themeColor="text1"/>
        </w:rPr>
        <w:t>Le tableau ci-dessus montre que de 201</w:t>
      </w:r>
      <w:r w:rsidRPr="008D45CE">
        <w:rPr>
          <w:color w:val="000000" w:themeColor="text1"/>
          <w:lang w:val="fr-CD"/>
        </w:rPr>
        <w:t>1</w:t>
      </w:r>
      <w:r w:rsidRPr="008D45CE">
        <w:rPr>
          <w:color w:val="000000" w:themeColor="text1"/>
        </w:rPr>
        <w:t xml:space="preserve"> à 201</w:t>
      </w:r>
      <w:r w:rsidRPr="008D45CE">
        <w:rPr>
          <w:color w:val="000000" w:themeColor="text1"/>
          <w:lang w:val="fr-CD"/>
        </w:rPr>
        <w:t>5</w:t>
      </w:r>
      <w:r w:rsidRPr="008D45CE">
        <w:rPr>
          <w:color w:val="000000" w:themeColor="text1"/>
        </w:rPr>
        <w:t xml:space="preserve">, la plus grande partie de financement </w:t>
      </w:r>
      <w:r w:rsidR="000138A5">
        <w:rPr>
          <w:color w:val="000000" w:themeColor="text1"/>
        </w:rPr>
        <w:t xml:space="preserve">de la DCS </w:t>
      </w:r>
      <w:r w:rsidR="00702699">
        <w:rPr>
          <w:color w:val="000000" w:themeColor="text1"/>
        </w:rPr>
        <w:t>(53 à 61%</w:t>
      </w:r>
      <w:r w:rsidR="00702699" w:rsidRPr="008D45CE">
        <w:rPr>
          <w:color w:val="000000" w:themeColor="text1"/>
          <w:lang w:val="fr-CD"/>
        </w:rPr>
        <w:t>,</w:t>
      </w:r>
      <w:r w:rsidR="00702699">
        <w:rPr>
          <w:color w:val="000000" w:themeColor="text1"/>
          <w:lang w:val="fr-CD"/>
        </w:rPr>
        <w:t xml:space="preserve"> avec un pic de 63% en 2014) </w:t>
      </w:r>
      <w:r w:rsidRPr="008D45CE">
        <w:rPr>
          <w:color w:val="000000" w:themeColor="text1"/>
        </w:rPr>
        <w:t xml:space="preserve">a été gérée par </w:t>
      </w:r>
      <w:r w:rsidR="00A20DA3">
        <w:rPr>
          <w:color w:val="000000" w:themeColor="text1"/>
        </w:rPr>
        <w:t>le gouvernement</w:t>
      </w:r>
      <w:r w:rsidR="00A872F7">
        <w:rPr>
          <w:color w:val="000000" w:themeColor="text1"/>
        </w:rPr>
        <w:t xml:space="preserve"> à travers le</w:t>
      </w:r>
      <w:r w:rsidR="00A20DA3">
        <w:rPr>
          <w:color w:val="000000" w:themeColor="text1"/>
        </w:rPr>
        <w:t xml:space="preserve"> ministère </w:t>
      </w:r>
      <w:r w:rsidR="00A872F7">
        <w:rPr>
          <w:color w:val="000000" w:themeColor="text1"/>
        </w:rPr>
        <w:t>de la santé et de la population</w:t>
      </w:r>
      <w:r w:rsidR="00702699">
        <w:rPr>
          <w:color w:val="000000" w:themeColor="text1"/>
          <w:lang w:val="fr-CD"/>
        </w:rPr>
        <w:t xml:space="preserve">. Les </w:t>
      </w:r>
      <w:r w:rsidRPr="008D45CE">
        <w:rPr>
          <w:color w:val="000000" w:themeColor="text1"/>
        </w:rPr>
        <w:t>ménages</w:t>
      </w:r>
      <w:r w:rsidR="00702699">
        <w:rPr>
          <w:color w:val="000000" w:themeColor="text1"/>
        </w:rPr>
        <w:t xml:space="preserve"> bien qu’</w:t>
      </w:r>
      <w:r w:rsidR="00A872F7">
        <w:rPr>
          <w:color w:val="000000" w:themeColor="text1"/>
        </w:rPr>
        <w:t>évoluant de façon décroissante (41 à 33%</w:t>
      </w:r>
      <w:r w:rsidR="000138A5">
        <w:rPr>
          <w:color w:val="000000" w:themeColor="text1"/>
        </w:rPr>
        <w:t xml:space="preserve"> de la DCS</w:t>
      </w:r>
      <w:r w:rsidR="00A872F7">
        <w:rPr>
          <w:color w:val="000000" w:themeColor="text1"/>
        </w:rPr>
        <w:t>)</w:t>
      </w:r>
      <w:r w:rsidR="00702699">
        <w:rPr>
          <w:color w:val="000000" w:themeColor="text1"/>
        </w:rPr>
        <w:t xml:space="preserve"> a occupé le 2</w:t>
      </w:r>
      <w:r w:rsidR="00702699" w:rsidRPr="00702699">
        <w:rPr>
          <w:color w:val="000000" w:themeColor="text1"/>
          <w:vertAlign w:val="superscript"/>
        </w:rPr>
        <w:t>ème</w:t>
      </w:r>
      <w:r w:rsidR="00702699">
        <w:rPr>
          <w:color w:val="000000" w:themeColor="text1"/>
        </w:rPr>
        <w:t xml:space="preserve"> rang. Les</w:t>
      </w:r>
      <w:r w:rsidR="001929DA">
        <w:rPr>
          <w:color w:val="000000" w:themeColor="text1"/>
        </w:rPr>
        <w:t xml:space="preserve"> bailleurs dont l’évolution </w:t>
      </w:r>
      <w:r w:rsidR="00111126">
        <w:rPr>
          <w:bCs/>
          <w:color w:val="000000" w:themeColor="text1"/>
          <w:lang w:eastAsia="fr-FR" w:bidi="ar-SA"/>
        </w:rPr>
        <w:t xml:space="preserve">a d’abord augmenté de 2011 à 2012, passant de 2 à 4% </w:t>
      </w:r>
      <w:r w:rsidR="000138A5">
        <w:rPr>
          <w:bCs/>
          <w:color w:val="000000" w:themeColor="text1"/>
          <w:lang w:eastAsia="fr-FR" w:bidi="ar-SA"/>
        </w:rPr>
        <w:t xml:space="preserve">de la DCS </w:t>
      </w:r>
      <w:r w:rsidR="00111126">
        <w:rPr>
          <w:bCs/>
          <w:color w:val="000000" w:themeColor="text1"/>
          <w:lang w:eastAsia="fr-FR" w:bidi="ar-SA"/>
        </w:rPr>
        <w:t xml:space="preserve">a connu après une baisse atteignant 1% </w:t>
      </w:r>
      <w:r w:rsidR="000138A5">
        <w:rPr>
          <w:bCs/>
          <w:color w:val="000000" w:themeColor="text1"/>
          <w:lang w:eastAsia="fr-FR" w:bidi="ar-SA"/>
        </w:rPr>
        <w:t>de la DCS</w:t>
      </w:r>
      <w:r w:rsidR="00111126">
        <w:rPr>
          <w:bCs/>
          <w:color w:val="000000" w:themeColor="text1"/>
          <w:lang w:eastAsia="fr-FR" w:bidi="ar-SA"/>
        </w:rPr>
        <w:t xml:space="preserve"> en </w:t>
      </w:r>
      <w:r w:rsidR="00ED0737">
        <w:rPr>
          <w:bCs/>
          <w:color w:val="000000" w:themeColor="text1"/>
          <w:lang w:eastAsia="fr-FR" w:bidi="ar-SA"/>
        </w:rPr>
        <w:t>2015,</w:t>
      </w:r>
      <w:r w:rsidR="00111126">
        <w:rPr>
          <w:bCs/>
          <w:color w:val="000000" w:themeColor="text1"/>
          <w:lang w:eastAsia="fr-FR" w:bidi="ar-SA"/>
        </w:rPr>
        <w:t xml:space="preserve"> les plaçant ainsi en 3</w:t>
      </w:r>
      <w:r w:rsidR="00111126" w:rsidRPr="00111126">
        <w:rPr>
          <w:bCs/>
          <w:color w:val="000000" w:themeColor="text1"/>
          <w:vertAlign w:val="superscript"/>
          <w:lang w:eastAsia="fr-FR" w:bidi="ar-SA"/>
        </w:rPr>
        <w:t>ème</w:t>
      </w:r>
      <w:r w:rsidR="00111126">
        <w:rPr>
          <w:bCs/>
          <w:color w:val="000000" w:themeColor="text1"/>
          <w:lang w:eastAsia="fr-FR" w:bidi="ar-SA"/>
        </w:rPr>
        <w:t xml:space="preserve"> position.</w:t>
      </w:r>
      <w:r w:rsidR="00ED0737">
        <w:rPr>
          <w:bCs/>
          <w:color w:val="000000" w:themeColor="text1"/>
          <w:lang w:eastAsia="fr-FR" w:bidi="ar-SA"/>
        </w:rPr>
        <w:t xml:space="preserve"> La comparaison des trois </w:t>
      </w:r>
      <w:r w:rsidR="000138A5">
        <w:rPr>
          <w:bCs/>
          <w:color w:val="000000" w:themeColor="text1"/>
          <w:lang w:eastAsia="fr-FR" w:bidi="ar-SA"/>
        </w:rPr>
        <w:t xml:space="preserve">grande </w:t>
      </w:r>
      <w:r w:rsidR="00ED0737">
        <w:rPr>
          <w:bCs/>
          <w:color w:val="000000" w:themeColor="text1"/>
          <w:lang w:eastAsia="fr-FR" w:bidi="ar-SA"/>
        </w:rPr>
        <w:t xml:space="preserve">catégories de financeurs est </w:t>
      </w:r>
      <w:r w:rsidR="00CC7997">
        <w:rPr>
          <w:bCs/>
          <w:color w:val="000000" w:themeColor="text1"/>
          <w:lang w:eastAsia="fr-FR" w:bidi="ar-SA"/>
        </w:rPr>
        <w:t>présentée</w:t>
      </w:r>
      <w:r w:rsidR="00ED0737">
        <w:rPr>
          <w:bCs/>
          <w:color w:val="000000" w:themeColor="text1"/>
          <w:lang w:eastAsia="fr-FR" w:bidi="ar-SA"/>
        </w:rPr>
        <w:t xml:space="preserve"> dans la figure n°15. </w:t>
      </w:r>
    </w:p>
    <w:p w:rsidR="001929DA" w:rsidRDefault="001929DA" w:rsidP="000C714B">
      <w:pPr>
        <w:pStyle w:val="Style2"/>
        <w:rPr>
          <w:bCs/>
          <w:color w:val="000000" w:themeColor="text1"/>
          <w:lang w:eastAsia="fr-FR" w:bidi="ar-SA"/>
        </w:rPr>
      </w:pPr>
    </w:p>
    <w:p w:rsidR="000C714B" w:rsidRPr="00991742" w:rsidRDefault="000138A5" w:rsidP="000C714B">
      <w:pPr>
        <w:pStyle w:val="Style2"/>
        <w:rPr>
          <w:bCs/>
          <w:color w:val="000000" w:themeColor="text1"/>
          <w:sz w:val="20"/>
          <w:lang w:eastAsia="fr-FR" w:bidi="ar-SA"/>
        </w:rPr>
      </w:pPr>
      <w:r>
        <w:rPr>
          <w:bCs/>
          <w:color w:val="000000" w:themeColor="text1"/>
          <w:sz w:val="20"/>
          <w:lang w:eastAsia="fr-FR" w:bidi="ar-SA"/>
        </w:rPr>
        <w:t>F</w:t>
      </w:r>
      <w:r w:rsidR="000C714B" w:rsidRPr="00991742">
        <w:rPr>
          <w:bCs/>
          <w:color w:val="000000" w:themeColor="text1"/>
          <w:sz w:val="20"/>
          <w:lang w:eastAsia="fr-FR" w:bidi="ar-SA"/>
        </w:rPr>
        <w:t>igure n°</w:t>
      </w:r>
      <w:r w:rsidR="00FF7A29">
        <w:rPr>
          <w:bCs/>
          <w:color w:val="000000" w:themeColor="text1"/>
          <w:sz w:val="20"/>
          <w:lang w:eastAsia="fr-FR" w:bidi="ar-SA"/>
        </w:rPr>
        <w:t>15 :</w:t>
      </w:r>
      <w:r w:rsidR="000C714B" w:rsidRPr="00991742">
        <w:rPr>
          <w:bCs/>
          <w:color w:val="000000" w:themeColor="text1"/>
          <w:sz w:val="20"/>
          <w:lang w:eastAsia="fr-FR" w:bidi="ar-SA"/>
        </w:rPr>
        <w:t xml:space="preserve"> La gestion de régime de financement par</w:t>
      </w:r>
      <w:r w:rsidR="00991742" w:rsidRPr="00991742">
        <w:rPr>
          <w:bCs/>
          <w:color w:val="000000" w:themeColor="text1"/>
          <w:sz w:val="20"/>
          <w:lang w:eastAsia="fr-FR" w:bidi="ar-SA"/>
        </w:rPr>
        <w:t xml:space="preserve"> Fonds Publics, Privés et Reste du Monde</w:t>
      </w:r>
    </w:p>
    <w:p w:rsidR="000C714B" w:rsidRPr="008D45CE" w:rsidRDefault="000C714B" w:rsidP="000C714B">
      <w:pPr>
        <w:pStyle w:val="Style2"/>
        <w:rPr>
          <w:color w:val="000000" w:themeColor="text1"/>
        </w:rPr>
      </w:pPr>
      <w:r>
        <w:rPr>
          <w:bCs/>
          <w:color w:val="000000" w:themeColor="text1"/>
          <w:lang w:eastAsia="fr-FR" w:bidi="ar-SA"/>
        </w:rPr>
        <w:t xml:space="preserve"> </w:t>
      </w:r>
    </w:p>
    <w:p w:rsidR="0023160F" w:rsidRDefault="00740449" w:rsidP="00A401E9">
      <w:pPr>
        <w:pStyle w:val="Style2"/>
        <w:rPr>
          <w:color w:val="000000" w:themeColor="text1"/>
        </w:rPr>
      </w:pPr>
      <w:r>
        <w:rPr>
          <w:noProof/>
          <w:color w:val="000000" w:themeColor="text1"/>
          <w:lang w:eastAsia="fr-FR" w:bidi="ar-SA"/>
        </w:rPr>
        <w:drawing>
          <wp:inline distT="0" distB="0" distL="0" distR="0">
            <wp:extent cx="4269179" cy="1656608"/>
            <wp:effectExtent l="0" t="0" r="0" b="0"/>
            <wp:docPr id="22"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cstate="print"/>
                    <a:srcRect/>
                    <a:stretch>
                      <a:fillRect/>
                    </a:stretch>
                  </pic:blipFill>
                  <pic:spPr bwMode="auto">
                    <a:xfrm>
                      <a:off x="0" y="0"/>
                      <a:ext cx="4267612" cy="1656000"/>
                    </a:xfrm>
                    <a:prstGeom prst="rect">
                      <a:avLst/>
                    </a:prstGeom>
                    <a:noFill/>
                  </pic:spPr>
                </pic:pic>
              </a:graphicData>
            </a:graphic>
          </wp:inline>
        </w:drawing>
      </w:r>
    </w:p>
    <w:p w:rsidR="000C714B" w:rsidRDefault="000C714B" w:rsidP="000C714B">
      <w:pPr>
        <w:pStyle w:val="Style2"/>
        <w:rPr>
          <w:color w:val="000000" w:themeColor="text1"/>
        </w:rPr>
      </w:pPr>
    </w:p>
    <w:p w:rsidR="009B5AB3" w:rsidRDefault="001929DA" w:rsidP="000C714B">
      <w:pPr>
        <w:pStyle w:val="Style2"/>
        <w:rPr>
          <w:color w:val="000000" w:themeColor="text1"/>
        </w:rPr>
      </w:pPr>
      <w:r>
        <w:rPr>
          <w:color w:val="000000" w:themeColor="text1"/>
        </w:rPr>
        <w:t>Cette fig</w:t>
      </w:r>
      <w:r w:rsidR="00461B2E">
        <w:rPr>
          <w:color w:val="000000" w:themeColor="text1"/>
        </w:rPr>
        <w:t xml:space="preserve">ure explique  comment les fonds </w:t>
      </w:r>
      <w:r w:rsidR="009B5AB3">
        <w:rPr>
          <w:color w:val="000000" w:themeColor="text1"/>
        </w:rPr>
        <w:t xml:space="preserve">ont </w:t>
      </w:r>
      <w:r w:rsidR="00461B2E">
        <w:rPr>
          <w:color w:val="000000" w:themeColor="text1"/>
        </w:rPr>
        <w:t xml:space="preserve">été </w:t>
      </w:r>
      <w:r w:rsidR="009B5AB3">
        <w:rPr>
          <w:color w:val="000000" w:themeColor="text1"/>
        </w:rPr>
        <w:t xml:space="preserve">gérés </w:t>
      </w:r>
      <w:r w:rsidR="000138A5">
        <w:rPr>
          <w:color w:val="000000" w:themeColor="text1"/>
        </w:rPr>
        <w:t xml:space="preserve">par grande catégorie </w:t>
      </w:r>
      <w:r w:rsidR="009B5AB3">
        <w:rPr>
          <w:color w:val="000000" w:themeColor="text1"/>
        </w:rPr>
        <w:t>durant le quinquennat 2011-2015.</w:t>
      </w:r>
    </w:p>
    <w:p w:rsidR="00461B2E" w:rsidRDefault="00461B2E" w:rsidP="00461B2E">
      <w:pPr>
        <w:pStyle w:val="Style2"/>
        <w:ind w:left="720"/>
        <w:rPr>
          <w:color w:val="000000" w:themeColor="text1"/>
        </w:rPr>
      </w:pPr>
      <w:r>
        <w:rPr>
          <w:color w:val="000000" w:themeColor="text1"/>
        </w:rPr>
        <w:t xml:space="preserve">• </w:t>
      </w:r>
      <w:r w:rsidR="000138A5">
        <w:rPr>
          <w:color w:val="000000" w:themeColor="text1"/>
        </w:rPr>
        <w:t>la plus grande partie du</w:t>
      </w:r>
      <w:r w:rsidR="009B5AB3">
        <w:rPr>
          <w:color w:val="000000" w:themeColor="text1"/>
        </w:rPr>
        <w:t xml:space="preserve"> </w:t>
      </w:r>
      <w:r w:rsidR="000C714B">
        <w:rPr>
          <w:color w:val="000000" w:themeColor="text1"/>
        </w:rPr>
        <w:t xml:space="preserve">financement de </w:t>
      </w:r>
      <w:r w:rsidR="001929DA">
        <w:rPr>
          <w:color w:val="000000" w:themeColor="text1"/>
        </w:rPr>
        <w:t xml:space="preserve"> la </w:t>
      </w:r>
      <w:r w:rsidR="006A014C">
        <w:rPr>
          <w:color w:val="000000" w:themeColor="text1"/>
        </w:rPr>
        <w:t xml:space="preserve">santé est </w:t>
      </w:r>
      <w:r w:rsidR="009B5AB3">
        <w:rPr>
          <w:color w:val="000000" w:themeColor="text1"/>
        </w:rPr>
        <w:t>géré</w:t>
      </w:r>
      <w:r w:rsidR="006A014C">
        <w:rPr>
          <w:color w:val="000000" w:themeColor="text1"/>
        </w:rPr>
        <w:t xml:space="preserve"> </w:t>
      </w:r>
      <w:r>
        <w:rPr>
          <w:color w:val="000000" w:themeColor="text1"/>
        </w:rPr>
        <w:t xml:space="preserve">par </w:t>
      </w:r>
      <w:r w:rsidR="000138A5">
        <w:rPr>
          <w:color w:val="000000" w:themeColor="text1"/>
        </w:rPr>
        <w:t xml:space="preserve">le Fonds Publics </w:t>
      </w:r>
      <w:r>
        <w:rPr>
          <w:color w:val="000000" w:themeColor="text1"/>
        </w:rPr>
        <w:t xml:space="preserve">(plus ou moins de </w:t>
      </w:r>
      <w:r w:rsidR="006A014C">
        <w:rPr>
          <w:color w:val="000000" w:themeColor="text1"/>
        </w:rPr>
        <w:t>60%</w:t>
      </w:r>
      <w:r w:rsidR="000138A5">
        <w:rPr>
          <w:color w:val="000000" w:themeColor="text1"/>
        </w:rPr>
        <w:t xml:space="preserve"> de la DCS</w:t>
      </w:r>
      <w:r w:rsidR="006A014C">
        <w:rPr>
          <w:color w:val="000000" w:themeColor="text1"/>
        </w:rPr>
        <w:t>)</w:t>
      </w:r>
      <w:r>
        <w:rPr>
          <w:color w:val="000000" w:themeColor="text1"/>
        </w:rPr>
        <w:t> ;</w:t>
      </w:r>
    </w:p>
    <w:p w:rsidR="009B5AB3" w:rsidRDefault="00461B2E" w:rsidP="00461B2E">
      <w:pPr>
        <w:pStyle w:val="Style2"/>
        <w:ind w:left="720"/>
        <w:rPr>
          <w:color w:val="000000" w:themeColor="text1"/>
        </w:rPr>
      </w:pPr>
      <w:r>
        <w:rPr>
          <w:color w:val="000000" w:themeColor="text1"/>
        </w:rPr>
        <w:t>•</w:t>
      </w:r>
      <w:r w:rsidR="009B5AB3">
        <w:rPr>
          <w:color w:val="000000" w:themeColor="text1"/>
        </w:rPr>
        <w:t xml:space="preserve"> </w:t>
      </w:r>
      <w:r>
        <w:rPr>
          <w:color w:val="000000" w:themeColor="text1"/>
        </w:rPr>
        <w:t>l</w:t>
      </w:r>
      <w:r w:rsidR="009B5AB3">
        <w:rPr>
          <w:color w:val="000000" w:themeColor="text1"/>
        </w:rPr>
        <w:t xml:space="preserve">es </w:t>
      </w:r>
      <w:r w:rsidR="000138A5">
        <w:rPr>
          <w:color w:val="000000" w:themeColor="text1"/>
        </w:rPr>
        <w:t>F</w:t>
      </w:r>
      <w:r>
        <w:rPr>
          <w:color w:val="000000" w:themeColor="text1"/>
        </w:rPr>
        <w:t xml:space="preserve">onds privés </w:t>
      </w:r>
      <w:r w:rsidR="000138A5">
        <w:rPr>
          <w:color w:val="000000" w:themeColor="text1"/>
        </w:rPr>
        <w:t xml:space="preserve">(Ménage, Entreprises et Ongs Nationales) </w:t>
      </w:r>
      <w:r>
        <w:rPr>
          <w:color w:val="000000" w:themeColor="text1"/>
        </w:rPr>
        <w:t>sont à hauteur (plus ou moins 38%)</w:t>
      </w:r>
      <w:r w:rsidR="009B5AB3">
        <w:rPr>
          <w:color w:val="000000" w:themeColor="text1"/>
        </w:rPr>
        <w:t>;</w:t>
      </w:r>
    </w:p>
    <w:p w:rsidR="00461B2E" w:rsidRDefault="00461B2E" w:rsidP="002F44AE">
      <w:pPr>
        <w:pStyle w:val="Style2"/>
        <w:ind w:left="720"/>
        <w:rPr>
          <w:color w:val="000000" w:themeColor="text1"/>
        </w:rPr>
      </w:pPr>
      <w:r>
        <w:rPr>
          <w:color w:val="000000" w:themeColor="text1"/>
        </w:rPr>
        <w:t xml:space="preserve">• le </w:t>
      </w:r>
      <w:r w:rsidR="000C714B">
        <w:rPr>
          <w:color w:val="000000" w:themeColor="text1"/>
        </w:rPr>
        <w:t xml:space="preserve"> reste</w:t>
      </w:r>
      <w:r w:rsidR="002A0B97">
        <w:rPr>
          <w:color w:val="000000" w:themeColor="text1"/>
        </w:rPr>
        <w:t>s</w:t>
      </w:r>
      <w:r w:rsidR="000C714B">
        <w:rPr>
          <w:color w:val="000000" w:themeColor="text1"/>
        </w:rPr>
        <w:t xml:space="preserve"> du monde </w:t>
      </w:r>
      <w:r w:rsidR="002A77DE">
        <w:rPr>
          <w:color w:val="000000" w:themeColor="text1"/>
        </w:rPr>
        <w:t>quant</w:t>
      </w:r>
      <w:r w:rsidR="009B5AB3">
        <w:rPr>
          <w:color w:val="000000" w:themeColor="text1"/>
        </w:rPr>
        <w:t xml:space="preserve"> à </w:t>
      </w:r>
      <w:r w:rsidR="002A0B97">
        <w:rPr>
          <w:color w:val="000000" w:themeColor="text1"/>
        </w:rPr>
        <w:t xml:space="preserve">eux, n'ont </w:t>
      </w:r>
      <w:r w:rsidR="009B5AB3">
        <w:rPr>
          <w:color w:val="000000" w:themeColor="text1"/>
        </w:rPr>
        <w:t>géré</w:t>
      </w:r>
      <w:r>
        <w:rPr>
          <w:color w:val="000000" w:themeColor="text1"/>
        </w:rPr>
        <w:t xml:space="preserve"> qu'une très faible partie (plus ou moins 2%</w:t>
      </w:r>
      <w:r w:rsidR="009B5AB3">
        <w:rPr>
          <w:color w:val="000000" w:themeColor="text1"/>
        </w:rPr>
        <w:t>)</w:t>
      </w:r>
      <w:r>
        <w:rPr>
          <w:color w:val="000000" w:themeColor="text1"/>
        </w:rPr>
        <w:t xml:space="preserve">. </w:t>
      </w:r>
    </w:p>
    <w:p w:rsidR="002A0B97" w:rsidRDefault="00B56074" w:rsidP="002A0B97">
      <w:pPr>
        <w:rPr>
          <w:b/>
          <w:color w:val="000000" w:themeColor="text1"/>
          <w:sz w:val="22"/>
          <w:szCs w:val="22"/>
        </w:rPr>
      </w:pPr>
      <w:r w:rsidRPr="00461B2E">
        <w:rPr>
          <w:b/>
          <w:color w:val="000000" w:themeColor="text1"/>
          <w:sz w:val="22"/>
          <w:szCs w:val="22"/>
        </w:rPr>
        <w:t xml:space="preserve"> </w:t>
      </w:r>
    </w:p>
    <w:p w:rsidR="002A0B97" w:rsidRDefault="002A0B97" w:rsidP="002A0B97">
      <w:pPr>
        <w:rPr>
          <w:color w:val="000000" w:themeColor="text1"/>
          <w:sz w:val="22"/>
        </w:rPr>
      </w:pPr>
      <w:r>
        <w:rPr>
          <w:color w:val="000000" w:themeColor="text1"/>
        </w:rPr>
        <w:t>Il sied de noter que les fonds gérés par l</w:t>
      </w:r>
      <w:r w:rsidR="00DE03B0" w:rsidRPr="008D45CE">
        <w:rPr>
          <w:color w:val="000000" w:themeColor="text1"/>
        </w:rPr>
        <w:t xml:space="preserve">’administration publique </w:t>
      </w:r>
      <w:r w:rsidR="00FF7A29">
        <w:rPr>
          <w:color w:val="000000" w:themeColor="text1"/>
        </w:rPr>
        <w:t>pro</w:t>
      </w:r>
      <w:r w:rsidR="00DE03B0">
        <w:rPr>
          <w:color w:val="000000" w:themeColor="text1"/>
        </w:rPr>
        <w:t xml:space="preserve">viennent du </w:t>
      </w:r>
      <w:r w:rsidR="00DE03B0" w:rsidRPr="008D45CE">
        <w:rPr>
          <w:color w:val="000000" w:themeColor="text1"/>
        </w:rPr>
        <w:t>trésor public</w:t>
      </w:r>
      <w:r w:rsidR="00FF7A29">
        <w:rPr>
          <w:color w:val="000000" w:themeColor="text1"/>
        </w:rPr>
        <w:t xml:space="preserve"> et</w:t>
      </w:r>
      <w:r w:rsidR="00DE03B0" w:rsidRPr="008D45CE">
        <w:rPr>
          <w:color w:val="000000" w:themeColor="text1"/>
        </w:rPr>
        <w:t xml:space="preserve"> </w:t>
      </w:r>
      <w:r w:rsidR="00FF7A29">
        <w:rPr>
          <w:color w:val="000000" w:themeColor="text1"/>
        </w:rPr>
        <w:t xml:space="preserve">des bailleurs bi et </w:t>
      </w:r>
      <w:r w:rsidR="00DE03B0" w:rsidRPr="008D45CE">
        <w:rPr>
          <w:color w:val="000000" w:themeColor="text1"/>
        </w:rPr>
        <w:t>multilatéraux</w:t>
      </w:r>
      <w:r w:rsidR="00DE03B0">
        <w:rPr>
          <w:color w:val="000000" w:themeColor="text1"/>
        </w:rPr>
        <w:t>,</w:t>
      </w:r>
      <w:r w:rsidR="00813CDF">
        <w:rPr>
          <w:color w:val="000000" w:themeColor="text1"/>
        </w:rPr>
        <w:t xml:space="preserve"> ainsi que </w:t>
      </w:r>
      <w:r w:rsidR="002F44AE">
        <w:rPr>
          <w:color w:val="000000" w:themeColor="text1"/>
        </w:rPr>
        <w:t xml:space="preserve">des </w:t>
      </w:r>
      <w:r w:rsidR="00DE03B0">
        <w:rPr>
          <w:color w:val="000000" w:themeColor="text1"/>
        </w:rPr>
        <w:t xml:space="preserve"> initiatives internationales </w:t>
      </w:r>
      <w:r w:rsidR="006F45C4">
        <w:rPr>
          <w:color w:val="000000" w:themeColor="text1"/>
        </w:rPr>
        <w:t>(</w:t>
      </w:r>
      <w:r w:rsidR="002F44AE">
        <w:rPr>
          <w:color w:val="000000" w:themeColor="text1"/>
        </w:rPr>
        <w:t xml:space="preserve">fonds </w:t>
      </w:r>
      <w:r w:rsidR="006F45C4" w:rsidRPr="00991742">
        <w:rPr>
          <w:color w:val="000000" w:themeColor="text1"/>
        </w:rPr>
        <w:t>externes</w:t>
      </w:r>
      <w:r w:rsidR="00DE03B0">
        <w:rPr>
          <w:color w:val="000000" w:themeColor="text1"/>
        </w:rPr>
        <w:t>)</w:t>
      </w:r>
      <w:r w:rsidR="002F44AE">
        <w:rPr>
          <w:color w:val="000000" w:themeColor="text1"/>
        </w:rPr>
        <w:t>.</w:t>
      </w:r>
      <w:r w:rsidR="002F44AE" w:rsidRPr="002F44AE">
        <w:rPr>
          <w:color w:val="000000" w:themeColor="text1"/>
          <w:sz w:val="22"/>
        </w:rPr>
        <w:t xml:space="preserve"> </w:t>
      </w:r>
    </w:p>
    <w:p w:rsidR="002A0B97" w:rsidRDefault="002A0B97" w:rsidP="002A0B97">
      <w:pPr>
        <w:rPr>
          <w:color w:val="000000" w:themeColor="text1"/>
          <w:sz w:val="22"/>
        </w:rPr>
      </w:pPr>
    </w:p>
    <w:p w:rsidR="00DE03B0" w:rsidRDefault="002F44AE" w:rsidP="002A0B97">
      <w:pPr>
        <w:rPr>
          <w:color w:val="000000" w:themeColor="text1"/>
          <w:sz w:val="22"/>
        </w:rPr>
      </w:pPr>
      <w:r w:rsidRPr="00AF6695">
        <w:rPr>
          <w:color w:val="000000" w:themeColor="text1"/>
          <w:sz w:val="22"/>
        </w:rPr>
        <w:t>Dans</w:t>
      </w:r>
      <w:r w:rsidR="002A0B97">
        <w:rPr>
          <w:color w:val="000000" w:themeColor="text1"/>
          <w:sz w:val="22"/>
        </w:rPr>
        <w:t xml:space="preserve"> l'ensemble, c</w:t>
      </w:r>
      <w:r>
        <w:rPr>
          <w:color w:val="000000" w:themeColor="text1"/>
          <w:sz w:val="22"/>
        </w:rPr>
        <w:t xml:space="preserve">es fonds </w:t>
      </w:r>
      <w:r w:rsidR="002A0B97">
        <w:rPr>
          <w:color w:val="000000" w:themeColor="text1"/>
          <w:sz w:val="22"/>
        </w:rPr>
        <w:t xml:space="preserve">représentaient 60% de la DCS dont </w:t>
      </w:r>
      <w:r w:rsidRPr="00AF6695">
        <w:rPr>
          <w:color w:val="000000" w:themeColor="text1"/>
          <w:sz w:val="22"/>
        </w:rPr>
        <w:t xml:space="preserve"> 54% provenaient du </w:t>
      </w:r>
      <w:r>
        <w:rPr>
          <w:color w:val="000000" w:themeColor="text1"/>
          <w:sz w:val="22"/>
        </w:rPr>
        <w:t>T</w:t>
      </w:r>
      <w:r w:rsidRPr="00AF6695">
        <w:rPr>
          <w:color w:val="000000" w:themeColor="text1"/>
          <w:sz w:val="22"/>
        </w:rPr>
        <w:t>résor</w:t>
      </w:r>
      <w:r>
        <w:rPr>
          <w:color w:val="000000" w:themeColor="text1"/>
          <w:sz w:val="22"/>
        </w:rPr>
        <w:t xml:space="preserve"> Publique et 46 % des P</w:t>
      </w:r>
      <w:r w:rsidRPr="00AF6695">
        <w:rPr>
          <w:color w:val="000000" w:themeColor="text1"/>
          <w:sz w:val="22"/>
        </w:rPr>
        <w:t>artenaires Techniques et Financiers</w:t>
      </w:r>
      <w:r>
        <w:rPr>
          <w:color w:val="000000" w:themeColor="text1"/>
          <w:sz w:val="22"/>
        </w:rPr>
        <w:t xml:space="preserve"> comme illustré dans la figure n°16.</w:t>
      </w:r>
      <w:r w:rsidR="00381D0C">
        <w:rPr>
          <w:color w:val="000000" w:themeColor="text1"/>
          <w:sz w:val="22"/>
        </w:rPr>
        <w:t xml:space="preserve">  </w:t>
      </w:r>
    </w:p>
    <w:p w:rsidR="002A0B97" w:rsidRDefault="002A0B97" w:rsidP="00A401E9">
      <w:pPr>
        <w:pStyle w:val="Style2"/>
        <w:rPr>
          <w:color w:val="000000" w:themeColor="text1"/>
          <w:sz w:val="22"/>
        </w:rPr>
      </w:pPr>
    </w:p>
    <w:p w:rsidR="00F07A36" w:rsidRPr="002F44AE" w:rsidRDefault="00AF6695" w:rsidP="00F07A36">
      <w:pPr>
        <w:pStyle w:val="Lgende"/>
        <w:jc w:val="both"/>
        <w:rPr>
          <w:color w:val="auto"/>
          <w:sz w:val="22"/>
          <w:szCs w:val="22"/>
        </w:rPr>
      </w:pPr>
      <w:r w:rsidRPr="002F44AE">
        <w:rPr>
          <w:color w:val="auto"/>
          <w:sz w:val="22"/>
          <w:szCs w:val="22"/>
        </w:rPr>
        <w:t xml:space="preserve">       </w:t>
      </w:r>
      <w:r w:rsidR="00F07A36" w:rsidRPr="002F44AE">
        <w:rPr>
          <w:color w:val="auto"/>
          <w:sz w:val="22"/>
          <w:szCs w:val="22"/>
        </w:rPr>
        <w:t>Figure</w:t>
      </w:r>
      <w:r w:rsidR="00FF7A29" w:rsidRPr="002F44AE">
        <w:rPr>
          <w:color w:val="auto"/>
          <w:sz w:val="22"/>
          <w:szCs w:val="22"/>
        </w:rPr>
        <w:t xml:space="preserve"> n°16 :</w:t>
      </w:r>
      <w:r w:rsidR="00F07A36" w:rsidRPr="002F44AE">
        <w:rPr>
          <w:color w:val="auto"/>
          <w:sz w:val="22"/>
          <w:szCs w:val="22"/>
        </w:rPr>
        <w:t xml:space="preserve"> </w:t>
      </w:r>
      <w:r w:rsidRPr="002F44AE">
        <w:rPr>
          <w:color w:val="auto"/>
          <w:sz w:val="22"/>
          <w:szCs w:val="22"/>
        </w:rPr>
        <w:t>L</w:t>
      </w:r>
      <w:r w:rsidR="00F07A36" w:rsidRPr="002F44AE">
        <w:rPr>
          <w:color w:val="auto"/>
          <w:sz w:val="22"/>
          <w:szCs w:val="22"/>
        </w:rPr>
        <w:t>a</w:t>
      </w:r>
      <w:r w:rsidRPr="002F44AE">
        <w:rPr>
          <w:color w:val="auto"/>
          <w:sz w:val="22"/>
          <w:szCs w:val="22"/>
        </w:rPr>
        <w:t xml:space="preserve"> structure de la</w:t>
      </w:r>
      <w:r w:rsidR="00F07A36" w:rsidRPr="002F44AE">
        <w:rPr>
          <w:color w:val="auto"/>
          <w:sz w:val="22"/>
          <w:szCs w:val="22"/>
        </w:rPr>
        <w:t xml:space="preserve"> Gestion des Fonds Publiques </w:t>
      </w:r>
    </w:p>
    <w:p w:rsidR="00DE03B0" w:rsidRDefault="00DE03B0" w:rsidP="00A401E9">
      <w:pPr>
        <w:pStyle w:val="Style2"/>
        <w:rPr>
          <w:color w:val="000000" w:themeColor="text1"/>
        </w:rPr>
      </w:pPr>
    </w:p>
    <w:p w:rsidR="009A7F3B" w:rsidRPr="00F07A36" w:rsidRDefault="00DE03B0" w:rsidP="009A7F3B">
      <w:pPr>
        <w:pStyle w:val="Style2"/>
        <w:keepNext/>
      </w:pPr>
      <w:r>
        <w:rPr>
          <w:color w:val="000000" w:themeColor="text1"/>
        </w:rPr>
        <w:t xml:space="preserve"> </w:t>
      </w:r>
      <w:r>
        <w:rPr>
          <w:noProof/>
          <w:color w:val="000000" w:themeColor="text1"/>
          <w:lang w:eastAsia="fr-FR" w:bidi="ar-SA"/>
        </w:rPr>
        <w:drawing>
          <wp:inline distT="0" distB="0" distL="0" distR="0">
            <wp:extent cx="4732317" cy="1745673"/>
            <wp:effectExtent l="0" t="114300" r="0" b="140335"/>
            <wp:docPr id="25" name="Diagramme 2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9" r:lo="rId30" r:qs="rId31" r:cs="rId32"/>
              </a:graphicData>
            </a:graphic>
          </wp:inline>
        </w:drawing>
      </w:r>
    </w:p>
    <w:p w:rsidR="00DE03B0" w:rsidRDefault="00DE03B0" w:rsidP="00A401E9">
      <w:pPr>
        <w:pStyle w:val="Style2"/>
        <w:rPr>
          <w:color w:val="000000" w:themeColor="text1"/>
        </w:rPr>
      </w:pPr>
    </w:p>
    <w:p w:rsidR="002F44AE" w:rsidRDefault="002F44AE" w:rsidP="002F44AE">
      <w:pPr>
        <w:rPr>
          <w:i/>
          <w:color w:val="000000" w:themeColor="text1"/>
          <w:sz w:val="22"/>
          <w:szCs w:val="22"/>
        </w:rPr>
      </w:pPr>
    </w:p>
    <w:p w:rsidR="002A0B97" w:rsidRDefault="002A0B97" w:rsidP="002F44AE">
      <w:pPr>
        <w:rPr>
          <w:i/>
          <w:color w:val="000000" w:themeColor="text1"/>
          <w:sz w:val="22"/>
          <w:szCs w:val="22"/>
        </w:rPr>
      </w:pPr>
    </w:p>
    <w:p w:rsidR="002A0B97" w:rsidRDefault="002A0B97" w:rsidP="002F44AE">
      <w:pPr>
        <w:rPr>
          <w:i/>
          <w:color w:val="000000" w:themeColor="text1"/>
          <w:sz w:val="22"/>
          <w:szCs w:val="22"/>
        </w:rPr>
      </w:pPr>
    </w:p>
    <w:p w:rsidR="002A0B97" w:rsidRDefault="002A0B97" w:rsidP="002F44AE">
      <w:pPr>
        <w:rPr>
          <w:i/>
          <w:color w:val="000000" w:themeColor="text1"/>
          <w:sz w:val="22"/>
          <w:szCs w:val="22"/>
        </w:rPr>
      </w:pPr>
    </w:p>
    <w:p w:rsidR="002A0B97" w:rsidRDefault="002A0B97" w:rsidP="002F44AE">
      <w:pPr>
        <w:rPr>
          <w:i/>
          <w:color w:val="000000" w:themeColor="text1"/>
          <w:sz w:val="22"/>
          <w:szCs w:val="22"/>
        </w:rPr>
      </w:pPr>
    </w:p>
    <w:p w:rsidR="002F44AE" w:rsidRDefault="002A0B97" w:rsidP="002F44AE">
      <w:pPr>
        <w:rPr>
          <w:color w:val="000000" w:themeColor="text1"/>
          <w:sz w:val="22"/>
          <w:szCs w:val="22"/>
        </w:rPr>
      </w:pPr>
      <w:r>
        <w:rPr>
          <w:color w:val="000000" w:themeColor="text1"/>
          <w:sz w:val="22"/>
          <w:szCs w:val="22"/>
        </w:rPr>
        <w:lastRenderedPageBreak/>
        <w:t xml:space="preserve">La figure ci dessous compare l'évolution de la gestion des fonds du gouvernement venant des bailleurs et </w:t>
      </w:r>
      <w:r w:rsidR="00D23762">
        <w:rPr>
          <w:color w:val="000000" w:themeColor="text1"/>
          <w:sz w:val="22"/>
          <w:szCs w:val="22"/>
        </w:rPr>
        <w:t>du trésor public</w:t>
      </w:r>
      <w:r>
        <w:rPr>
          <w:color w:val="000000" w:themeColor="text1"/>
          <w:sz w:val="22"/>
          <w:szCs w:val="22"/>
        </w:rPr>
        <w:t>.</w:t>
      </w:r>
    </w:p>
    <w:p w:rsidR="002A0B97" w:rsidRPr="002A0B97" w:rsidRDefault="002A0B97" w:rsidP="002F44AE">
      <w:pPr>
        <w:rPr>
          <w:color w:val="000000" w:themeColor="text1"/>
          <w:sz w:val="22"/>
          <w:szCs w:val="22"/>
        </w:rPr>
      </w:pPr>
    </w:p>
    <w:p w:rsidR="00FF7A29" w:rsidRDefault="00FF7A29" w:rsidP="00A401E9">
      <w:pPr>
        <w:pStyle w:val="Style2"/>
        <w:rPr>
          <w:color w:val="000000" w:themeColor="text1"/>
          <w:sz w:val="22"/>
        </w:rPr>
      </w:pPr>
      <w:r w:rsidRPr="00FF7A29">
        <w:rPr>
          <w:color w:val="000000" w:themeColor="text1"/>
          <w:sz w:val="22"/>
        </w:rPr>
        <w:t>Figure n°17 </w:t>
      </w:r>
      <w:r>
        <w:rPr>
          <w:color w:val="000000" w:themeColor="text1"/>
        </w:rPr>
        <w:t xml:space="preserve">: </w:t>
      </w:r>
      <w:r w:rsidRPr="00FF7A29">
        <w:rPr>
          <w:color w:val="000000" w:themeColor="text1"/>
          <w:sz w:val="22"/>
        </w:rPr>
        <w:t>Comparaison des Fonds gérés par l’</w:t>
      </w:r>
      <w:r>
        <w:rPr>
          <w:color w:val="000000" w:themeColor="text1"/>
          <w:sz w:val="22"/>
        </w:rPr>
        <w:t>Administration P</w:t>
      </w:r>
      <w:r w:rsidRPr="00FF7A29">
        <w:rPr>
          <w:color w:val="000000" w:themeColor="text1"/>
          <w:sz w:val="22"/>
        </w:rPr>
        <w:t>ublique</w:t>
      </w:r>
    </w:p>
    <w:p w:rsidR="002A0B97" w:rsidRPr="008D45CE" w:rsidRDefault="002A0B97" w:rsidP="00A401E9">
      <w:pPr>
        <w:pStyle w:val="Style2"/>
        <w:rPr>
          <w:color w:val="000000" w:themeColor="text1"/>
        </w:rPr>
      </w:pPr>
    </w:p>
    <w:p w:rsidR="004F61E9" w:rsidRDefault="009D043A">
      <w:pPr>
        <w:spacing w:after="200" w:line="20" w:lineRule="atLeast"/>
        <w:rPr>
          <w:color w:val="000000" w:themeColor="text1"/>
        </w:rPr>
      </w:pPr>
      <w:r w:rsidRPr="009D043A">
        <w:rPr>
          <w:noProof/>
          <w:color w:val="000000" w:themeColor="text1"/>
          <w:lang w:eastAsia="fr-FR" w:bidi="ar-SA"/>
        </w:rPr>
        <w:drawing>
          <wp:inline distT="0" distB="0" distL="0" distR="0">
            <wp:extent cx="5276850" cy="2552700"/>
            <wp:effectExtent l="19050" t="0" r="19050" b="0"/>
            <wp:docPr id="27" name="Graphique 49"/>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615EEB" w:rsidRDefault="006F45C4" w:rsidP="006F6398">
      <w:pPr>
        <w:spacing w:after="200" w:line="20" w:lineRule="atLeast"/>
        <w:jc w:val="both"/>
        <w:rPr>
          <w:color w:val="000000" w:themeColor="text1"/>
        </w:rPr>
      </w:pPr>
      <w:r>
        <w:rPr>
          <w:color w:val="000000" w:themeColor="text1"/>
        </w:rPr>
        <w:t>Pour cette période,</w:t>
      </w:r>
      <w:r w:rsidR="00615EEB">
        <w:rPr>
          <w:color w:val="000000" w:themeColor="text1"/>
        </w:rPr>
        <w:t xml:space="preserve"> la part des fonds gérés par l’administration p</w:t>
      </w:r>
      <w:r>
        <w:rPr>
          <w:color w:val="000000" w:themeColor="text1"/>
        </w:rPr>
        <w:t>ublique provenant du trésor public</w:t>
      </w:r>
      <w:r w:rsidR="006F6398">
        <w:rPr>
          <w:color w:val="000000" w:themeColor="text1"/>
        </w:rPr>
        <w:t xml:space="preserve"> </w:t>
      </w:r>
      <w:r w:rsidR="004379EC">
        <w:rPr>
          <w:color w:val="000000" w:themeColor="text1"/>
        </w:rPr>
        <w:t>(</w:t>
      </w:r>
      <w:r w:rsidR="008B4E36">
        <w:rPr>
          <w:color w:val="000000" w:themeColor="text1"/>
        </w:rPr>
        <w:t>Fonds interne</w:t>
      </w:r>
      <w:r w:rsidR="004379EC">
        <w:rPr>
          <w:color w:val="000000" w:themeColor="text1"/>
        </w:rPr>
        <w:t>)</w:t>
      </w:r>
      <w:r>
        <w:rPr>
          <w:color w:val="000000" w:themeColor="text1"/>
        </w:rPr>
        <w:t xml:space="preserve"> s’</w:t>
      </w:r>
      <w:r w:rsidR="00615EEB">
        <w:rPr>
          <w:color w:val="000000" w:themeColor="text1"/>
        </w:rPr>
        <w:t xml:space="preserve">est accrue, passant de </w:t>
      </w:r>
      <w:r w:rsidR="004379EC">
        <w:rPr>
          <w:color w:val="000000" w:themeColor="text1"/>
        </w:rPr>
        <w:t>18 à 70</w:t>
      </w:r>
      <w:r w:rsidR="002A0B97">
        <w:rPr>
          <w:color w:val="000000" w:themeColor="text1"/>
        </w:rPr>
        <w:t xml:space="preserve">%. Par contre celle venant </w:t>
      </w:r>
      <w:r>
        <w:rPr>
          <w:color w:val="000000" w:themeColor="text1"/>
        </w:rPr>
        <w:t xml:space="preserve"> des bailleurs</w:t>
      </w:r>
      <w:r w:rsidR="004379EC">
        <w:rPr>
          <w:color w:val="000000" w:themeColor="text1"/>
        </w:rPr>
        <w:t xml:space="preserve"> (</w:t>
      </w:r>
      <w:r w:rsidR="008B4E36">
        <w:rPr>
          <w:color w:val="000000" w:themeColor="text1"/>
        </w:rPr>
        <w:t>Fonds externe</w:t>
      </w:r>
      <w:r w:rsidR="004379EC">
        <w:rPr>
          <w:color w:val="000000" w:themeColor="text1"/>
        </w:rPr>
        <w:t>)</w:t>
      </w:r>
      <w:r>
        <w:rPr>
          <w:color w:val="000000" w:themeColor="text1"/>
        </w:rPr>
        <w:t xml:space="preserve"> </w:t>
      </w:r>
      <w:r w:rsidR="00615EEB">
        <w:rPr>
          <w:color w:val="000000" w:themeColor="text1"/>
        </w:rPr>
        <w:t xml:space="preserve">a diminué </w:t>
      </w:r>
      <w:r w:rsidR="004379EC">
        <w:rPr>
          <w:color w:val="000000" w:themeColor="text1"/>
        </w:rPr>
        <w:t>de 82 à 30%.</w:t>
      </w:r>
    </w:p>
    <w:p w:rsidR="004F61E9" w:rsidRDefault="006F6398" w:rsidP="006F6398">
      <w:pPr>
        <w:spacing w:after="200" w:line="20" w:lineRule="atLeast"/>
        <w:jc w:val="both"/>
        <w:rPr>
          <w:color w:val="000000" w:themeColor="text1"/>
        </w:rPr>
      </w:pPr>
      <w:r>
        <w:rPr>
          <w:color w:val="000000" w:themeColor="text1"/>
        </w:rPr>
        <w:t xml:space="preserve"> </w:t>
      </w:r>
      <w:r w:rsidR="00615EEB">
        <w:rPr>
          <w:color w:val="000000" w:themeColor="text1"/>
        </w:rPr>
        <w:t xml:space="preserve">Cette situation </w:t>
      </w:r>
      <w:r>
        <w:rPr>
          <w:color w:val="000000" w:themeColor="text1"/>
        </w:rPr>
        <w:t xml:space="preserve">s’explique par l’embellie financière </w:t>
      </w:r>
      <w:r w:rsidR="00615EEB">
        <w:rPr>
          <w:color w:val="000000" w:themeColor="text1"/>
        </w:rPr>
        <w:t>due</w:t>
      </w:r>
      <w:r>
        <w:rPr>
          <w:color w:val="000000" w:themeColor="text1"/>
        </w:rPr>
        <w:t xml:space="preserve"> à l’au</w:t>
      </w:r>
      <w:r w:rsidR="00615EEB">
        <w:rPr>
          <w:color w:val="000000" w:themeColor="text1"/>
        </w:rPr>
        <w:t>gmentation du baril de pétrole</w:t>
      </w:r>
      <w:r>
        <w:rPr>
          <w:color w:val="000000" w:themeColor="text1"/>
        </w:rPr>
        <w:t>,</w:t>
      </w:r>
      <w:r w:rsidR="00615EEB">
        <w:rPr>
          <w:color w:val="000000" w:themeColor="text1"/>
        </w:rPr>
        <w:t xml:space="preserve"> principale ressource nationale du Congo qui le situe </w:t>
      </w:r>
      <w:r>
        <w:rPr>
          <w:color w:val="000000" w:themeColor="text1"/>
        </w:rPr>
        <w:t xml:space="preserve">dans la catégorie </w:t>
      </w:r>
      <w:r w:rsidR="00615EEB">
        <w:rPr>
          <w:color w:val="000000" w:themeColor="text1"/>
        </w:rPr>
        <w:t>des pays à revenu intermédiaire.</w:t>
      </w:r>
      <w:r>
        <w:rPr>
          <w:color w:val="000000" w:themeColor="text1"/>
        </w:rPr>
        <w:t xml:space="preserve"> </w:t>
      </w:r>
    </w:p>
    <w:p w:rsidR="008A44E1" w:rsidRPr="008A44E1" w:rsidRDefault="00AF6695" w:rsidP="008A44E1">
      <w:pPr>
        <w:spacing w:after="200" w:line="20" w:lineRule="atLeast"/>
        <w:rPr>
          <w:b/>
          <w:color w:val="000000" w:themeColor="text1"/>
        </w:rPr>
      </w:pPr>
      <w:bookmarkStart w:id="59" w:name="_Toc465262363"/>
      <w:bookmarkStart w:id="60" w:name="_Toc483474618"/>
      <w:r w:rsidRPr="006D0F41">
        <w:rPr>
          <w:b/>
          <w:color w:val="000000" w:themeColor="text1"/>
        </w:rPr>
        <w:t>4.2.3</w:t>
      </w:r>
      <w:r w:rsidR="00A10E04" w:rsidRPr="006D0F41">
        <w:rPr>
          <w:b/>
          <w:color w:val="000000" w:themeColor="text1"/>
        </w:rPr>
        <w:t>. Dépen</w:t>
      </w:r>
      <w:r w:rsidR="00B56074" w:rsidRPr="006D0F41">
        <w:rPr>
          <w:b/>
          <w:color w:val="000000" w:themeColor="text1"/>
        </w:rPr>
        <w:t xml:space="preserve">se Courante par Prestataires </w:t>
      </w:r>
      <w:bookmarkEnd w:id="59"/>
      <w:bookmarkEnd w:id="60"/>
      <w:r w:rsidRPr="006D0F41">
        <w:rPr>
          <w:b/>
          <w:color w:val="000000" w:themeColor="text1"/>
        </w:rPr>
        <w:t>de</w:t>
      </w:r>
      <w:r w:rsidR="006058BA" w:rsidRPr="006D0F41">
        <w:rPr>
          <w:b/>
          <w:color w:val="000000" w:themeColor="text1"/>
        </w:rPr>
        <w:t>s services et soins</w:t>
      </w:r>
    </w:p>
    <w:p w:rsidR="006D0F41" w:rsidRDefault="00F86868" w:rsidP="006D0F41">
      <w:pPr>
        <w:pStyle w:val="Style2"/>
        <w:rPr>
          <w:rStyle w:val="Style2Car"/>
          <w:rFonts w:eastAsia="Calibri"/>
        </w:rPr>
      </w:pPr>
      <w:r w:rsidRPr="00525AC3">
        <w:rPr>
          <w:rStyle w:val="Style2Car"/>
          <w:rFonts w:eastAsia="Calibri"/>
          <w:i/>
        </w:rPr>
        <w:t>Le</w:t>
      </w:r>
      <w:r w:rsidR="00525AC3" w:rsidRPr="00525AC3">
        <w:rPr>
          <w:rStyle w:val="Style2Car"/>
          <w:rFonts w:eastAsia="Calibri"/>
          <w:i/>
        </w:rPr>
        <w:t>s</w:t>
      </w:r>
      <w:r w:rsidRPr="00525AC3">
        <w:rPr>
          <w:rStyle w:val="Style2Car"/>
          <w:rFonts w:eastAsia="Calibri"/>
          <w:i/>
        </w:rPr>
        <w:t xml:space="preserve"> prestataire</w:t>
      </w:r>
      <w:r w:rsidR="00525AC3" w:rsidRPr="00525AC3">
        <w:rPr>
          <w:rStyle w:val="Style2Car"/>
          <w:rFonts w:eastAsia="Calibri"/>
          <w:i/>
        </w:rPr>
        <w:t>s</w:t>
      </w:r>
      <w:r w:rsidR="00525AC3">
        <w:rPr>
          <w:rStyle w:val="Style2Car"/>
          <w:rFonts w:eastAsia="Calibri"/>
        </w:rPr>
        <w:t xml:space="preserve"> s</w:t>
      </w:r>
      <w:r w:rsidR="006D0F41" w:rsidRPr="006D0F41">
        <w:rPr>
          <w:rStyle w:val="Style2Car"/>
          <w:rFonts w:eastAsia="Calibri"/>
        </w:rPr>
        <w:t>ont les entités qui reçoivent de l’argent en éc</w:t>
      </w:r>
      <w:r w:rsidR="00525AC3">
        <w:rPr>
          <w:rStyle w:val="Style2Car"/>
          <w:rFonts w:eastAsia="Calibri"/>
        </w:rPr>
        <w:t xml:space="preserve">hange de </w:t>
      </w:r>
      <w:r w:rsidR="006D0F41" w:rsidRPr="006D0F41">
        <w:rPr>
          <w:rStyle w:val="Style2Car"/>
          <w:rFonts w:eastAsia="Calibri"/>
        </w:rPr>
        <w:t xml:space="preserve"> </w:t>
      </w:r>
      <w:r w:rsidR="00525AC3">
        <w:rPr>
          <w:rStyle w:val="Style2Car"/>
          <w:rFonts w:eastAsia="Calibri"/>
        </w:rPr>
        <w:t>l’</w:t>
      </w:r>
      <w:r w:rsidR="006D0F41" w:rsidRPr="006D0F41">
        <w:rPr>
          <w:rStyle w:val="Style2Car"/>
          <w:rFonts w:eastAsia="Calibri"/>
        </w:rPr>
        <w:t xml:space="preserve">ensemble d'activités </w:t>
      </w:r>
      <w:r w:rsidR="00525AC3">
        <w:rPr>
          <w:rStyle w:val="Style2Car"/>
          <w:rFonts w:eastAsia="Calibri"/>
        </w:rPr>
        <w:t xml:space="preserve">réalisées </w:t>
      </w:r>
      <w:r w:rsidR="006D0F41" w:rsidRPr="006D0F41">
        <w:rPr>
          <w:rStyle w:val="Style2Car"/>
          <w:rFonts w:eastAsia="Calibri"/>
        </w:rPr>
        <w:t xml:space="preserve">dans le champ délimité </w:t>
      </w:r>
      <w:r w:rsidR="00525AC3">
        <w:rPr>
          <w:rStyle w:val="Style2Car"/>
          <w:rFonts w:eastAsia="Calibri"/>
        </w:rPr>
        <w:t>par l</w:t>
      </w:r>
      <w:r w:rsidR="006D0F41" w:rsidRPr="006D0F41">
        <w:rPr>
          <w:rStyle w:val="Style2Car"/>
          <w:rFonts w:eastAsia="Calibri"/>
        </w:rPr>
        <w:t xml:space="preserve">es comptes de la santé. </w:t>
      </w:r>
      <w:r w:rsidR="00525AC3">
        <w:rPr>
          <w:rStyle w:val="Style2Car"/>
          <w:rFonts w:eastAsia="Calibri"/>
        </w:rPr>
        <w:t xml:space="preserve">Les prestataires </w:t>
      </w:r>
      <w:r w:rsidR="006D0F41">
        <w:rPr>
          <w:rStyle w:val="Style2Car"/>
          <w:rFonts w:eastAsia="Calibri"/>
        </w:rPr>
        <w:t xml:space="preserve"> </w:t>
      </w:r>
      <w:r w:rsidR="00873FCB">
        <w:rPr>
          <w:rStyle w:val="Style2Car"/>
          <w:rFonts w:eastAsia="Calibri"/>
        </w:rPr>
        <w:t>regroupent</w:t>
      </w:r>
      <w:r w:rsidR="00525AC3">
        <w:rPr>
          <w:rStyle w:val="Style2Car"/>
          <w:rFonts w:eastAsia="Calibri"/>
        </w:rPr>
        <w:t> </w:t>
      </w:r>
      <w:r w:rsidR="006D0F41">
        <w:rPr>
          <w:rStyle w:val="Style2Car"/>
          <w:rFonts w:eastAsia="Calibri"/>
        </w:rPr>
        <w:t xml:space="preserve">les organisations et les acteurs qui fournissent des biens et services </w:t>
      </w:r>
      <w:r w:rsidR="00873FCB">
        <w:rPr>
          <w:rStyle w:val="Style2Car"/>
          <w:rFonts w:eastAsia="Calibri"/>
        </w:rPr>
        <w:t>médicaux</w:t>
      </w:r>
      <w:r w:rsidR="00525AC3">
        <w:rPr>
          <w:rStyle w:val="Style2Car"/>
          <w:rFonts w:eastAsia="Calibri"/>
        </w:rPr>
        <w:t xml:space="preserve">. </w:t>
      </w:r>
    </w:p>
    <w:p w:rsidR="008A44E1" w:rsidRDefault="008A44E1" w:rsidP="008A44E1">
      <w:pPr>
        <w:rPr>
          <w:i/>
          <w:color w:val="000000" w:themeColor="text1"/>
        </w:rPr>
      </w:pPr>
    </w:p>
    <w:p w:rsidR="00525AC3" w:rsidRDefault="008A44E1" w:rsidP="006D0F41">
      <w:pPr>
        <w:pStyle w:val="Style2"/>
        <w:rPr>
          <w:rStyle w:val="Style2Car"/>
          <w:rFonts w:eastAsia="Calibri"/>
        </w:rPr>
      </w:pPr>
      <w:r>
        <w:rPr>
          <w:rStyle w:val="Style2Car"/>
          <w:rFonts w:eastAsia="Calibri"/>
        </w:rPr>
        <w:t xml:space="preserve">Au Congo, huit principaux </w:t>
      </w:r>
      <w:r w:rsidR="00873FCB">
        <w:rPr>
          <w:rStyle w:val="Style2Car"/>
          <w:rFonts w:eastAsia="Calibri"/>
        </w:rPr>
        <w:t xml:space="preserve"> prestataires des soins</w:t>
      </w:r>
      <w:r w:rsidR="00A83F70">
        <w:rPr>
          <w:rStyle w:val="Style2Car"/>
          <w:rFonts w:eastAsia="Calibri"/>
        </w:rPr>
        <w:t xml:space="preserve"> et services</w:t>
      </w:r>
      <w:r w:rsidR="00873FCB">
        <w:rPr>
          <w:rStyle w:val="Style2Car"/>
          <w:rFonts w:eastAsia="Calibri"/>
        </w:rPr>
        <w:t xml:space="preserve"> de santé </w:t>
      </w:r>
      <w:r>
        <w:rPr>
          <w:rStyle w:val="Style2Car"/>
          <w:rFonts w:eastAsia="Calibri"/>
        </w:rPr>
        <w:t xml:space="preserve">ont été recensés. Il s’agit de :  </w:t>
      </w:r>
    </w:p>
    <w:p w:rsidR="008A44E1" w:rsidRDefault="008A44E1" w:rsidP="006D0F41">
      <w:pPr>
        <w:pStyle w:val="Style2"/>
        <w:rPr>
          <w:rStyle w:val="Style2Car"/>
          <w:rFonts w:eastAsia="Calibri"/>
        </w:rPr>
      </w:pPr>
    </w:p>
    <w:p w:rsidR="0056156D" w:rsidRDefault="0056156D" w:rsidP="0056156D">
      <w:pPr>
        <w:pStyle w:val="Style2"/>
        <w:numPr>
          <w:ilvl w:val="0"/>
          <w:numId w:val="21"/>
        </w:numPr>
        <w:rPr>
          <w:rStyle w:val="Style2Car"/>
          <w:rFonts w:eastAsia="Calibri"/>
        </w:rPr>
      </w:pPr>
      <w:r>
        <w:rPr>
          <w:rStyle w:val="Style2Car"/>
          <w:rFonts w:eastAsia="Calibri"/>
        </w:rPr>
        <w:t>administration centrale (cabinet, directions rattachées, inspection générale, directions centrales) ;</w:t>
      </w:r>
    </w:p>
    <w:p w:rsidR="00525AC3" w:rsidRDefault="00525AC3" w:rsidP="00525AC3">
      <w:pPr>
        <w:pStyle w:val="Style2"/>
        <w:numPr>
          <w:ilvl w:val="0"/>
          <w:numId w:val="21"/>
        </w:numPr>
        <w:rPr>
          <w:rStyle w:val="Style2Car"/>
          <w:rFonts w:eastAsia="Calibri"/>
        </w:rPr>
      </w:pPr>
      <w:r>
        <w:rPr>
          <w:rStyle w:val="Style2Car"/>
          <w:rFonts w:eastAsia="Calibri"/>
        </w:rPr>
        <w:t>h</w:t>
      </w:r>
      <w:r w:rsidR="00873FCB">
        <w:rPr>
          <w:rStyle w:val="Style2Car"/>
          <w:rFonts w:eastAsia="Calibri"/>
        </w:rPr>
        <w:t>ôp</w:t>
      </w:r>
      <w:r>
        <w:rPr>
          <w:rStyle w:val="Style2Car"/>
          <w:rFonts w:eastAsia="Calibri"/>
        </w:rPr>
        <w:t>itaux généraux et h</w:t>
      </w:r>
      <w:r w:rsidR="008A44E1">
        <w:rPr>
          <w:rStyle w:val="Style2Car"/>
          <w:rFonts w:eastAsia="Calibri"/>
        </w:rPr>
        <w:t>ôpitaux de districts (hôpitaux de base)</w:t>
      </w:r>
      <w:r>
        <w:rPr>
          <w:rStyle w:val="Style2Car"/>
          <w:rFonts w:eastAsia="Calibri"/>
        </w:rPr>
        <w:t> ;</w:t>
      </w:r>
    </w:p>
    <w:p w:rsidR="00525AC3" w:rsidRDefault="00525AC3" w:rsidP="00525AC3">
      <w:pPr>
        <w:pStyle w:val="Style2"/>
        <w:numPr>
          <w:ilvl w:val="0"/>
          <w:numId w:val="21"/>
        </w:numPr>
        <w:rPr>
          <w:rStyle w:val="Style2Car"/>
          <w:rFonts w:eastAsia="Calibri"/>
        </w:rPr>
      </w:pPr>
      <w:r>
        <w:rPr>
          <w:rStyle w:val="Style2Car"/>
          <w:rFonts w:eastAsia="Calibri"/>
        </w:rPr>
        <w:t>les l</w:t>
      </w:r>
      <w:r w:rsidR="00873FCB">
        <w:rPr>
          <w:rStyle w:val="Style2Car"/>
          <w:rFonts w:eastAsia="Calibri"/>
        </w:rPr>
        <w:t>aboratoire</w:t>
      </w:r>
      <w:r>
        <w:rPr>
          <w:rStyle w:val="Style2Car"/>
          <w:rFonts w:eastAsia="Calibri"/>
        </w:rPr>
        <w:t xml:space="preserve">s d’analyse médicale ; </w:t>
      </w:r>
    </w:p>
    <w:p w:rsidR="00525AC3" w:rsidRDefault="00525AC3" w:rsidP="00525AC3">
      <w:pPr>
        <w:pStyle w:val="Style2"/>
        <w:numPr>
          <w:ilvl w:val="0"/>
          <w:numId w:val="21"/>
        </w:numPr>
        <w:rPr>
          <w:rStyle w:val="Style2Car"/>
          <w:rFonts w:eastAsia="Calibri"/>
        </w:rPr>
      </w:pPr>
      <w:r>
        <w:rPr>
          <w:rStyle w:val="Style2Car"/>
          <w:rFonts w:eastAsia="Calibri"/>
        </w:rPr>
        <w:t>les services d’</w:t>
      </w:r>
      <w:r w:rsidR="00873FCB">
        <w:rPr>
          <w:rStyle w:val="Style2Car"/>
          <w:rFonts w:eastAsia="Calibri"/>
        </w:rPr>
        <w:t>imagerie</w:t>
      </w:r>
      <w:r>
        <w:rPr>
          <w:rStyle w:val="Style2Car"/>
          <w:rFonts w:eastAsia="Calibri"/>
        </w:rPr>
        <w:t xml:space="preserve"> médicale ;</w:t>
      </w:r>
      <w:r w:rsidR="00873FCB">
        <w:rPr>
          <w:rStyle w:val="Style2Car"/>
          <w:rFonts w:eastAsia="Calibri"/>
        </w:rPr>
        <w:t xml:space="preserve"> </w:t>
      </w:r>
    </w:p>
    <w:p w:rsidR="00525AC3" w:rsidRDefault="00525AC3" w:rsidP="00525AC3">
      <w:pPr>
        <w:pStyle w:val="Style2"/>
        <w:numPr>
          <w:ilvl w:val="0"/>
          <w:numId w:val="21"/>
        </w:numPr>
        <w:rPr>
          <w:rStyle w:val="Style2Car"/>
          <w:rFonts w:eastAsia="Calibri"/>
        </w:rPr>
      </w:pPr>
      <w:r>
        <w:rPr>
          <w:rStyle w:val="Style2Car"/>
          <w:rFonts w:eastAsia="Calibri"/>
        </w:rPr>
        <w:t>les c</w:t>
      </w:r>
      <w:r w:rsidR="00873FCB">
        <w:rPr>
          <w:rStyle w:val="Style2Car"/>
          <w:rFonts w:eastAsia="Calibri"/>
        </w:rPr>
        <w:t>entre</w:t>
      </w:r>
      <w:r>
        <w:rPr>
          <w:rStyle w:val="Style2Car"/>
          <w:rFonts w:eastAsia="Calibri"/>
        </w:rPr>
        <w:t>s de santé intégrée</w:t>
      </w:r>
      <w:r w:rsidR="00873FCB">
        <w:rPr>
          <w:rStyle w:val="Style2Car"/>
          <w:rFonts w:eastAsia="Calibri"/>
        </w:rPr>
        <w:t xml:space="preserve"> (CSI), </w:t>
      </w:r>
    </w:p>
    <w:p w:rsidR="00A83F70" w:rsidRDefault="00525AC3" w:rsidP="00525AC3">
      <w:pPr>
        <w:pStyle w:val="Style2"/>
        <w:numPr>
          <w:ilvl w:val="0"/>
          <w:numId w:val="21"/>
        </w:numPr>
        <w:rPr>
          <w:rStyle w:val="Style2Car"/>
          <w:rFonts w:eastAsia="Calibri"/>
        </w:rPr>
      </w:pPr>
      <w:r>
        <w:rPr>
          <w:rStyle w:val="Style2Car"/>
          <w:rFonts w:eastAsia="Calibri"/>
        </w:rPr>
        <w:t>l’administration intermédiaires/</w:t>
      </w:r>
      <w:r w:rsidR="00A83F70">
        <w:rPr>
          <w:rStyle w:val="Style2Car"/>
          <w:rFonts w:eastAsia="Calibri"/>
        </w:rPr>
        <w:t>départementales ;</w:t>
      </w:r>
    </w:p>
    <w:p w:rsidR="00A83F70" w:rsidRDefault="00A83F70" w:rsidP="00525AC3">
      <w:pPr>
        <w:pStyle w:val="Style2"/>
        <w:numPr>
          <w:ilvl w:val="0"/>
          <w:numId w:val="21"/>
        </w:numPr>
        <w:rPr>
          <w:rStyle w:val="Style2Car"/>
          <w:rFonts w:eastAsia="Calibri"/>
        </w:rPr>
      </w:pPr>
      <w:r>
        <w:rPr>
          <w:rStyle w:val="Style2Car"/>
          <w:rFonts w:eastAsia="Calibri"/>
        </w:rPr>
        <w:t>les d</w:t>
      </w:r>
      <w:r w:rsidR="00873FCB">
        <w:rPr>
          <w:rStyle w:val="Style2Car"/>
          <w:rFonts w:eastAsia="Calibri"/>
        </w:rPr>
        <w:t>istricts sanitaires,</w:t>
      </w:r>
    </w:p>
    <w:p w:rsidR="00873FCB" w:rsidRDefault="00A83F70" w:rsidP="00525AC3">
      <w:pPr>
        <w:pStyle w:val="Style2"/>
        <w:numPr>
          <w:ilvl w:val="0"/>
          <w:numId w:val="21"/>
        </w:numPr>
        <w:rPr>
          <w:rStyle w:val="Style2Car"/>
          <w:rFonts w:eastAsia="Calibri"/>
        </w:rPr>
      </w:pPr>
      <w:r>
        <w:rPr>
          <w:rStyle w:val="Style2Car"/>
          <w:rFonts w:eastAsia="Calibri"/>
        </w:rPr>
        <w:t xml:space="preserve">les agents de </w:t>
      </w:r>
      <w:r w:rsidR="00873FCB">
        <w:rPr>
          <w:rStyle w:val="Style2Car"/>
          <w:rFonts w:eastAsia="Calibri"/>
        </w:rPr>
        <w:t>santé commun</w:t>
      </w:r>
      <w:r>
        <w:rPr>
          <w:rStyle w:val="Style2Car"/>
          <w:rFonts w:eastAsia="Calibri"/>
        </w:rPr>
        <w:t>autaire</w:t>
      </w:r>
      <w:r w:rsidR="00873FCB">
        <w:rPr>
          <w:rStyle w:val="Style2Car"/>
          <w:rFonts w:eastAsia="Calibri"/>
        </w:rPr>
        <w:t xml:space="preserve"> et autres</w:t>
      </w:r>
    </w:p>
    <w:p w:rsidR="008707E6" w:rsidRDefault="008707E6" w:rsidP="008707E6">
      <w:pPr>
        <w:pStyle w:val="Style2"/>
        <w:rPr>
          <w:rStyle w:val="Style2Car"/>
          <w:rFonts w:eastAsia="Calibri"/>
        </w:rPr>
      </w:pPr>
    </w:p>
    <w:p w:rsidR="008707E6" w:rsidRDefault="008707E6" w:rsidP="008707E6">
      <w:pPr>
        <w:pStyle w:val="Style2"/>
        <w:rPr>
          <w:rStyle w:val="Style2Car"/>
          <w:rFonts w:eastAsia="Calibri"/>
        </w:rPr>
      </w:pPr>
    </w:p>
    <w:p w:rsidR="008707E6" w:rsidRDefault="008707E6" w:rsidP="008707E6">
      <w:pPr>
        <w:pStyle w:val="Style2"/>
        <w:rPr>
          <w:rStyle w:val="Style2Car"/>
          <w:rFonts w:eastAsia="Calibri"/>
        </w:rPr>
      </w:pPr>
    </w:p>
    <w:p w:rsidR="006C4CFB" w:rsidRPr="006D0F41" w:rsidRDefault="006C4CFB" w:rsidP="008707E6">
      <w:pPr>
        <w:pStyle w:val="Style2"/>
        <w:rPr>
          <w:rStyle w:val="Style2Car"/>
          <w:rFonts w:eastAsia="Calibri"/>
        </w:rPr>
      </w:pPr>
    </w:p>
    <w:p w:rsidR="004A632B" w:rsidRPr="008A44E1" w:rsidRDefault="004A632B" w:rsidP="004A632B">
      <w:pPr>
        <w:rPr>
          <w:rStyle w:val="Style2Car"/>
        </w:rPr>
      </w:pPr>
      <w:bookmarkStart w:id="61" w:name="_Toc483474512"/>
      <w:r w:rsidRPr="008A44E1">
        <w:rPr>
          <w:i/>
          <w:color w:val="000000" w:themeColor="text1"/>
        </w:rPr>
        <w:t>4.2</w:t>
      </w:r>
      <w:r>
        <w:rPr>
          <w:i/>
          <w:color w:val="000000" w:themeColor="text1"/>
        </w:rPr>
        <w:t>.3.1</w:t>
      </w:r>
      <w:r w:rsidRPr="008A44E1">
        <w:rPr>
          <w:i/>
          <w:color w:val="000000" w:themeColor="text1"/>
        </w:rPr>
        <w:t xml:space="preserve">. </w:t>
      </w:r>
      <w:r>
        <w:rPr>
          <w:i/>
          <w:color w:val="000000" w:themeColor="text1"/>
        </w:rPr>
        <w:t>Répartition de la DCS par prestataires et par année au Congo, toutes sources confondues</w:t>
      </w:r>
      <w:r w:rsidRPr="008A44E1">
        <w:rPr>
          <w:i/>
          <w:color w:val="000000" w:themeColor="text1"/>
        </w:rPr>
        <w:t xml:space="preserve"> </w:t>
      </w:r>
    </w:p>
    <w:p w:rsidR="004A632B" w:rsidRPr="001C4235" w:rsidRDefault="004A632B" w:rsidP="004A632B">
      <w:pPr>
        <w:rPr>
          <w:rStyle w:val="Style2Car"/>
          <w:rFonts w:eastAsia="Calibri"/>
        </w:rPr>
      </w:pPr>
      <w:r w:rsidRPr="008707E6">
        <w:rPr>
          <w:color w:val="000000" w:themeColor="text1"/>
        </w:rPr>
        <w:t xml:space="preserve">La part de la dépense courante de santé de chaque  prestataire de 2011 à 2015 est présenté dans les graphiques n°18,19,20, 21 et 22. </w:t>
      </w:r>
      <w:r w:rsidRPr="001C4235">
        <w:rPr>
          <w:rStyle w:val="Style2Car"/>
          <w:rFonts w:eastAsia="Calibri"/>
        </w:rPr>
        <w:t xml:space="preserve"> </w:t>
      </w:r>
    </w:p>
    <w:p w:rsidR="004A632B" w:rsidRPr="008707E6" w:rsidRDefault="004A632B" w:rsidP="004A632B">
      <w:pPr>
        <w:pStyle w:val="Style2"/>
        <w:rPr>
          <w:rStyle w:val="Style2Car"/>
          <w:rFonts w:eastAsia="Calibri"/>
          <w:color w:val="000000" w:themeColor="text1"/>
        </w:rPr>
      </w:pPr>
    </w:p>
    <w:tbl>
      <w:tblPr>
        <w:tblStyle w:val="Grilledutableau"/>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70"/>
        <w:gridCol w:w="3768"/>
      </w:tblGrid>
      <w:tr w:rsidR="004A632B" w:rsidRPr="00B744B8" w:rsidTr="008C20FD">
        <w:tc>
          <w:tcPr>
            <w:tcW w:w="5161" w:type="dxa"/>
          </w:tcPr>
          <w:p w:rsidR="004A632B" w:rsidRDefault="004A632B" w:rsidP="003859EB">
            <w:pPr>
              <w:spacing w:after="200" w:line="20" w:lineRule="atLeast"/>
              <w:rPr>
                <w:i/>
                <w:color w:val="000000" w:themeColor="text1"/>
              </w:rPr>
            </w:pPr>
            <w:r>
              <w:rPr>
                <w:rStyle w:val="Style2Car"/>
                <w:rFonts w:eastAsia="Calibri"/>
                <w:color w:val="000000" w:themeColor="text1"/>
              </w:rPr>
              <w:t xml:space="preserve">Graphique  n°18 : </w:t>
            </w:r>
            <w:r>
              <w:rPr>
                <w:i/>
                <w:color w:val="000000" w:themeColor="text1"/>
              </w:rPr>
              <w:t>Répartition de la dépense courante de santé par prestataires en 2011.</w:t>
            </w:r>
          </w:p>
          <w:p w:rsidR="004A632B" w:rsidRPr="00DB2271" w:rsidRDefault="004A632B" w:rsidP="003859EB">
            <w:pPr>
              <w:spacing w:after="200" w:line="20" w:lineRule="atLeast"/>
              <w:rPr>
                <w:rStyle w:val="Style2Car"/>
                <w:i/>
                <w:color w:val="000000" w:themeColor="text1"/>
              </w:rPr>
            </w:pPr>
            <w:r>
              <w:rPr>
                <w:i/>
                <w:noProof/>
                <w:color w:val="000000" w:themeColor="text1"/>
                <w:lang w:bidi="ar-SA"/>
              </w:rPr>
              <w:drawing>
                <wp:inline distT="0" distB="0" distL="0" distR="0">
                  <wp:extent cx="3175000" cy="3733800"/>
                  <wp:effectExtent l="0" t="0" r="6350" b="0"/>
                  <wp:docPr id="50"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182736" cy="3742897"/>
                          </a:xfrm>
                          <a:prstGeom prst="rect">
                            <a:avLst/>
                          </a:prstGeom>
                          <a:noFill/>
                        </pic:spPr>
                      </pic:pic>
                    </a:graphicData>
                  </a:graphic>
                </wp:inline>
              </w:drawing>
            </w:r>
          </w:p>
        </w:tc>
        <w:tc>
          <w:tcPr>
            <w:tcW w:w="3877" w:type="dxa"/>
          </w:tcPr>
          <w:p w:rsidR="004A632B" w:rsidRPr="00635D42" w:rsidRDefault="004A632B" w:rsidP="003859EB">
            <w:pPr>
              <w:spacing w:after="200" w:line="20" w:lineRule="atLeast"/>
              <w:jc w:val="both"/>
              <w:rPr>
                <w:rStyle w:val="Style2Car"/>
                <w:rFonts w:eastAsia="Calibri"/>
                <w:color w:val="000000" w:themeColor="text1"/>
                <w:sz w:val="20"/>
                <w:szCs w:val="20"/>
              </w:rPr>
            </w:pPr>
            <w:r w:rsidRPr="00635D42">
              <w:rPr>
                <w:rStyle w:val="Style2Car"/>
                <w:rFonts w:eastAsia="Calibri"/>
                <w:color w:val="000000" w:themeColor="text1"/>
                <w:sz w:val="20"/>
                <w:szCs w:val="20"/>
              </w:rPr>
              <w:t>Les prestataires appelés administration et le financement du système de soins de santé (Gouvernance) et soins de santé ambulatoire ont chacun perçu 28% de la DCS. En ce qui concerne les prestataires de soins de santé ambulatoires, leurs dépenses intègrent les soins curatifs et préventifs qui se déroulent au niveau des services de santé de 1</w:t>
            </w:r>
            <w:r w:rsidRPr="00635D42">
              <w:rPr>
                <w:rStyle w:val="Style2Car"/>
                <w:rFonts w:eastAsia="Calibri"/>
                <w:color w:val="000000" w:themeColor="text1"/>
                <w:sz w:val="20"/>
                <w:szCs w:val="20"/>
                <w:vertAlign w:val="superscript"/>
              </w:rPr>
              <w:t>er</w:t>
            </w:r>
            <w:r w:rsidRPr="00635D42">
              <w:rPr>
                <w:rStyle w:val="Style2Car"/>
                <w:rFonts w:eastAsia="Calibri"/>
                <w:color w:val="000000" w:themeColor="text1"/>
                <w:sz w:val="20"/>
                <w:szCs w:val="20"/>
              </w:rPr>
              <w:t xml:space="preserve"> échelon.</w:t>
            </w:r>
          </w:p>
          <w:p w:rsidR="004A632B" w:rsidRPr="00635D42" w:rsidRDefault="004A632B" w:rsidP="003859EB">
            <w:pPr>
              <w:spacing w:after="200" w:line="20" w:lineRule="atLeast"/>
              <w:jc w:val="both"/>
              <w:rPr>
                <w:rStyle w:val="Style2Car"/>
                <w:rFonts w:eastAsia="Calibri"/>
                <w:color w:val="000000" w:themeColor="text1"/>
                <w:sz w:val="20"/>
                <w:szCs w:val="20"/>
              </w:rPr>
            </w:pPr>
            <w:r w:rsidRPr="00635D42">
              <w:rPr>
                <w:rStyle w:val="Style2Car"/>
                <w:rFonts w:eastAsia="Calibri"/>
                <w:color w:val="000000" w:themeColor="text1"/>
                <w:sz w:val="20"/>
                <w:szCs w:val="20"/>
              </w:rPr>
              <w:t xml:space="preserve">Les prestataires </w:t>
            </w:r>
            <w:r>
              <w:rPr>
                <w:rStyle w:val="Style2Car"/>
                <w:rFonts w:eastAsia="Calibri"/>
                <w:color w:val="000000" w:themeColor="text1"/>
                <w:sz w:val="20"/>
                <w:szCs w:val="20"/>
              </w:rPr>
              <w:t>« </w:t>
            </w:r>
            <w:r w:rsidRPr="00635D42">
              <w:rPr>
                <w:rStyle w:val="Style2Car"/>
                <w:rFonts w:eastAsia="Calibri"/>
                <w:color w:val="000000" w:themeColor="text1"/>
                <w:sz w:val="20"/>
                <w:szCs w:val="20"/>
              </w:rPr>
              <w:t xml:space="preserve"> pharmacie</w:t>
            </w:r>
            <w:r>
              <w:rPr>
                <w:rStyle w:val="Style2Car"/>
                <w:rFonts w:eastAsia="Calibri"/>
                <w:color w:val="000000" w:themeColor="text1"/>
                <w:sz w:val="20"/>
                <w:szCs w:val="20"/>
              </w:rPr>
              <w:t xml:space="preserve"> » </w:t>
            </w:r>
            <w:r w:rsidRPr="00635D42">
              <w:rPr>
                <w:rStyle w:val="Style2Car"/>
                <w:rFonts w:eastAsia="Calibri"/>
                <w:color w:val="000000" w:themeColor="text1"/>
                <w:sz w:val="20"/>
                <w:szCs w:val="20"/>
              </w:rPr>
              <w:t xml:space="preserve"> pre</w:t>
            </w:r>
            <w:r>
              <w:rPr>
                <w:rStyle w:val="Style2Car"/>
                <w:rFonts w:eastAsia="Calibri"/>
                <w:color w:val="000000" w:themeColor="text1"/>
                <w:sz w:val="20"/>
                <w:szCs w:val="20"/>
              </w:rPr>
              <w:t>nan</w:t>
            </w:r>
            <w:r w:rsidRPr="00635D42">
              <w:rPr>
                <w:rStyle w:val="Style2Car"/>
                <w:rFonts w:eastAsia="Calibri"/>
                <w:color w:val="000000" w:themeColor="text1"/>
                <w:sz w:val="20"/>
                <w:szCs w:val="20"/>
              </w:rPr>
              <w:t>t en compte les médicaments achetés principalement sur ordonnances ont représentées 20% de la DCS.</w:t>
            </w:r>
          </w:p>
          <w:p w:rsidR="004A632B" w:rsidRPr="00635D42" w:rsidRDefault="004A632B" w:rsidP="003859EB">
            <w:pPr>
              <w:spacing w:after="200" w:line="20" w:lineRule="atLeast"/>
              <w:jc w:val="both"/>
              <w:rPr>
                <w:rStyle w:val="Style2Car"/>
                <w:rFonts w:eastAsia="Calibri"/>
                <w:color w:val="000000" w:themeColor="text1"/>
                <w:sz w:val="20"/>
                <w:szCs w:val="20"/>
              </w:rPr>
            </w:pPr>
            <w:r w:rsidRPr="00635D42">
              <w:rPr>
                <w:rStyle w:val="Style2Car"/>
                <w:rFonts w:eastAsia="Calibri"/>
                <w:color w:val="000000" w:themeColor="text1"/>
                <w:sz w:val="20"/>
                <w:szCs w:val="20"/>
              </w:rPr>
              <w:t>Les hôpitaux de toute catégorie confondue ont perçu 14% de la DCS en réponse des soins et services fournis.</w:t>
            </w:r>
          </w:p>
          <w:p w:rsidR="004A632B" w:rsidRDefault="004A632B" w:rsidP="003859EB">
            <w:pPr>
              <w:spacing w:after="200" w:line="20" w:lineRule="atLeast"/>
              <w:jc w:val="both"/>
              <w:rPr>
                <w:rStyle w:val="Style2Car"/>
                <w:rFonts w:eastAsia="Calibri"/>
                <w:color w:val="000000" w:themeColor="text1"/>
                <w:sz w:val="20"/>
                <w:szCs w:val="20"/>
              </w:rPr>
            </w:pPr>
            <w:r w:rsidRPr="00635D42">
              <w:rPr>
                <w:rStyle w:val="Style2Car"/>
                <w:rFonts w:eastAsia="Calibri"/>
                <w:color w:val="000000" w:themeColor="text1"/>
                <w:sz w:val="20"/>
                <w:szCs w:val="20"/>
              </w:rPr>
              <w:t>Les prestataires « </w:t>
            </w:r>
            <w:r>
              <w:rPr>
                <w:rStyle w:val="Style2Car"/>
                <w:rFonts w:eastAsia="Calibri"/>
                <w:color w:val="000000" w:themeColor="text1"/>
                <w:sz w:val="20"/>
                <w:szCs w:val="20"/>
              </w:rPr>
              <w:t>soins préventifs » prenant en compte</w:t>
            </w:r>
            <w:r w:rsidRPr="00635D42">
              <w:rPr>
                <w:rStyle w:val="Style2Car"/>
                <w:rFonts w:eastAsia="Calibri"/>
                <w:color w:val="000000" w:themeColor="text1"/>
                <w:sz w:val="20"/>
                <w:szCs w:val="20"/>
              </w:rPr>
              <w:t xml:space="preserve"> </w:t>
            </w:r>
            <w:r>
              <w:rPr>
                <w:rStyle w:val="Style2Car"/>
                <w:rFonts w:eastAsia="Calibri"/>
                <w:color w:val="000000" w:themeColor="text1"/>
                <w:sz w:val="20"/>
                <w:szCs w:val="20"/>
              </w:rPr>
              <w:t xml:space="preserve">des </w:t>
            </w:r>
            <w:r w:rsidRPr="00635D42">
              <w:rPr>
                <w:rStyle w:val="Style2Car"/>
                <w:rFonts w:eastAsia="Calibri"/>
                <w:color w:val="000000" w:themeColor="text1"/>
                <w:sz w:val="20"/>
                <w:szCs w:val="20"/>
              </w:rPr>
              <w:t xml:space="preserve">activités </w:t>
            </w:r>
            <w:r>
              <w:rPr>
                <w:rStyle w:val="Style2Car"/>
                <w:rFonts w:eastAsia="Calibri"/>
                <w:color w:val="000000" w:themeColor="text1"/>
                <w:sz w:val="20"/>
                <w:szCs w:val="20"/>
              </w:rPr>
              <w:t xml:space="preserve"> menées par les acteurs autres que les agents de santé et relais communautaires ;</w:t>
            </w:r>
          </w:p>
          <w:p w:rsidR="004A632B" w:rsidRDefault="004A632B" w:rsidP="003859EB">
            <w:pPr>
              <w:spacing w:after="200" w:line="20" w:lineRule="atLeast"/>
              <w:jc w:val="both"/>
              <w:rPr>
                <w:rStyle w:val="Style2Car"/>
                <w:rFonts w:eastAsia="Calibri"/>
                <w:color w:val="000000" w:themeColor="text1"/>
              </w:rPr>
            </w:pPr>
            <w:r>
              <w:rPr>
                <w:rStyle w:val="Style2Car"/>
                <w:rFonts w:eastAsia="Calibri"/>
                <w:color w:val="000000" w:themeColor="text1"/>
                <w:sz w:val="20"/>
                <w:szCs w:val="20"/>
              </w:rPr>
              <w:t>Les prestations du « reste du monde » concernent les dépenses effectuées à l’extérieur du pays au profit des citoyens.  Les « services auxiliaires » sont les prestations d’imagerie et de laboratoire. Les  reste de l’économie prend en compte tous ce que les relais communautaires  leur dépenses n’ont pas excédé 1%</w:t>
            </w:r>
          </w:p>
        </w:tc>
      </w:tr>
      <w:tr w:rsidR="004A632B" w:rsidRPr="00B744B8" w:rsidTr="008C20FD">
        <w:trPr>
          <w:trHeight w:val="850"/>
        </w:trPr>
        <w:tc>
          <w:tcPr>
            <w:tcW w:w="5161" w:type="dxa"/>
          </w:tcPr>
          <w:p w:rsidR="004A632B" w:rsidRDefault="004A632B" w:rsidP="003859EB">
            <w:pPr>
              <w:spacing w:after="200" w:line="20" w:lineRule="atLeast"/>
              <w:rPr>
                <w:i/>
                <w:color w:val="000000" w:themeColor="text1"/>
              </w:rPr>
            </w:pPr>
            <w:r>
              <w:rPr>
                <w:rStyle w:val="Style2Car"/>
                <w:rFonts w:eastAsia="Calibri"/>
                <w:color w:val="000000" w:themeColor="text1"/>
              </w:rPr>
              <w:t xml:space="preserve">Graphique  n°19 : </w:t>
            </w:r>
            <w:r>
              <w:rPr>
                <w:i/>
                <w:color w:val="000000" w:themeColor="text1"/>
              </w:rPr>
              <w:t>Répartition de la dépense courante de santé par prestataires en 2012.</w:t>
            </w:r>
          </w:p>
          <w:p w:rsidR="004A632B" w:rsidRPr="00DA0E29" w:rsidRDefault="004A632B" w:rsidP="003859EB">
            <w:pPr>
              <w:spacing w:after="200" w:line="20" w:lineRule="atLeast"/>
              <w:rPr>
                <w:i/>
                <w:color w:val="000000" w:themeColor="text1"/>
              </w:rPr>
            </w:pPr>
            <w:r>
              <w:rPr>
                <w:i/>
                <w:noProof/>
                <w:color w:val="000000" w:themeColor="text1"/>
                <w:lang w:bidi="ar-SA"/>
              </w:rPr>
              <w:lastRenderedPageBreak/>
              <w:drawing>
                <wp:inline distT="0" distB="0" distL="0" distR="0">
                  <wp:extent cx="3098800" cy="2705100"/>
                  <wp:effectExtent l="0" t="0" r="6350" b="0"/>
                  <wp:docPr id="51"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098800" cy="2705100"/>
                          </a:xfrm>
                          <a:prstGeom prst="rect">
                            <a:avLst/>
                          </a:prstGeom>
                          <a:noFill/>
                        </pic:spPr>
                      </pic:pic>
                    </a:graphicData>
                  </a:graphic>
                </wp:inline>
              </w:drawing>
            </w:r>
          </w:p>
        </w:tc>
        <w:tc>
          <w:tcPr>
            <w:tcW w:w="3877" w:type="dxa"/>
          </w:tcPr>
          <w:p w:rsidR="004A632B" w:rsidRDefault="004A632B" w:rsidP="003859EB">
            <w:pPr>
              <w:spacing w:after="200" w:line="20" w:lineRule="atLeast"/>
              <w:rPr>
                <w:rFonts w:eastAsia="Calibri"/>
                <w:color w:val="000000" w:themeColor="text1"/>
                <w:sz w:val="18"/>
              </w:rPr>
            </w:pPr>
            <w:r w:rsidRPr="007271CE">
              <w:rPr>
                <w:rFonts w:eastAsia="Calibri"/>
                <w:color w:val="000000" w:themeColor="text1"/>
                <w:sz w:val="18"/>
              </w:rPr>
              <w:lastRenderedPageBreak/>
              <w:t>Les hôpitaux ont perçu 31% de la DCS en réponse des soins et services fournis.</w:t>
            </w:r>
          </w:p>
          <w:p w:rsidR="004A632B" w:rsidRDefault="004A632B" w:rsidP="003859EB">
            <w:pPr>
              <w:spacing w:after="200" w:line="20" w:lineRule="atLeast"/>
              <w:rPr>
                <w:rFonts w:eastAsia="Calibri"/>
                <w:color w:val="000000" w:themeColor="text1"/>
                <w:sz w:val="18"/>
              </w:rPr>
            </w:pPr>
            <w:r>
              <w:rPr>
                <w:rFonts w:eastAsia="Calibri"/>
                <w:color w:val="000000" w:themeColor="text1"/>
                <w:sz w:val="18"/>
              </w:rPr>
              <w:t>Quant aux prestations de soins de santé ambulatoire et de la pharmacie, elles sont restées constantes comparativement à l’année antérieure.</w:t>
            </w:r>
          </w:p>
          <w:p w:rsidR="004A632B" w:rsidRDefault="004A632B" w:rsidP="003859EB">
            <w:pPr>
              <w:spacing w:after="200" w:line="20" w:lineRule="atLeast"/>
              <w:rPr>
                <w:rFonts w:eastAsia="Calibri"/>
                <w:color w:val="000000" w:themeColor="text1"/>
                <w:sz w:val="18"/>
              </w:rPr>
            </w:pPr>
            <w:r>
              <w:rPr>
                <w:rFonts w:eastAsia="Calibri"/>
                <w:color w:val="000000" w:themeColor="text1"/>
                <w:sz w:val="18"/>
              </w:rPr>
              <w:t>La gouvernance a vu ces prestations baisser de 11 points par rapport à 2011.</w:t>
            </w:r>
          </w:p>
          <w:p w:rsidR="004A632B" w:rsidRDefault="004A632B" w:rsidP="003859EB">
            <w:pPr>
              <w:spacing w:after="200" w:line="20" w:lineRule="atLeast"/>
              <w:rPr>
                <w:rFonts w:eastAsia="Calibri"/>
                <w:color w:val="000000" w:themeColor="text1"/>
                <w:sz w:val="18"/>
              </w:rPr>
            </w:pPr>
            <w:r>
              <w:rPr>
                <w:rFonts w:eastAsia="Calibri"/>
                <w:color w:val="000000" w:themeColor="text1"/>
                <w:sz w:val="18"/>
              </w:rPr>
              <w:t>Les 4 autres prestataires n’ont perçu au total que moins de 8% de la DCS.</w:t>
            </w:r>
          </w:p>
          <w:p w:rsidR="004A632B" w:rsidRPr="007271CE" w:rsidRDefault="004A632B" w:rsidP="003859EB">
            <w:pPr>
              <w:spacing w:after="200" w:line="20" w:lineRule="atLeast"/>
              <w:rPr>
                <w:rFonts w:eastAsia="Calibri"/>
                <w:color w:val="000000" w:themeColor="text1"/>
                <w:sz w:val="18"/>
              </w:rPr>
            </w:pPr>
          </w:p>
          <w:p w:rsidR="004A632B" w:rsidRDefault="004A632B" w:rsidP="003859EB">
            <w:pPr>
              <w:spacing w:after="200" w:line="20" w:lineRule="atLeast"/>
              <w:rPr>
                <w:rStyle w:val="Style2Car"/>
                <w:rFonts w:eastAsia="Calibri"/>
                <w:color w:val="000000" w:themeColor="text1"/>
              </w:rPr>
            </w:pPr>
          </w:p>
          <w:p w:rsidR="004A632B" w:rsidRPr="00B15CA3" w:rsidRDefault="004A632B" w:rsidP="003859EB">
            <w:pPr>
              <w:rPr>
                <w:rFonts w:eastAsia="Calibri"/>
              </w:rPr>
            </w:pPr>
          </w:p>
          <w:p w:rsidR="004A632B" w:rsidRPr="00B15CA3" w:rsidRDefault="004A632B" w:rsidP="003859EB">
            <w:pPr>
              <w:rPr>
                <w:rFonts w:eastAsia="Calibri"/>
              </w:rPr>
            </w:pPr>
          </w:p>
          <w:p w:rsidR="004A632B" w:rsidRPr="00B15CA3" w:rsidRDefault="004A632B" w:rsidP="003859EB">
            <w:pPr>
              <w:rPr>
                <w:rFonts w:eastAsia="Calibri"/>
              </w:rPr>
            </w:pPr>
          </w:p>
          <w:p w:rsidR="004A632B" w:rsidRDefault="004A632B" w:rsidP="003859EB">
            <w:pPr>
              <w:rPr>
                <w:rFonts w:eastAsia="Calibri"/>
              </w:rPr>
            </w:pPr>
          </w:p>
          <w:p w:rsidR="004A632B" w:rsidRPr="00B15CA3" w:rsidRDefault="004A632B" w:rsidP="003859EB">
            <w:pPr>
              <w:rPr>
                <w:rFonts w:eastAsia="Calibri"/>
              </w:rPr>
            </w:pPr>
          </w:p>
        </w:tc>
      </w:tr>
      <w:tr w:rsidR="004A632B" w:rsidRPr="00B744B8" w:rsidTr="008C20FD">
        <w:tblPrEx>
          <w:tblCellMar>
            <w:left w:w="70" w:type="dxa"/>
            <w:right w:w="70" w:type="dxa"/>
          </w:tblCellMar>
        </w:tblPrEx>
        <w:tc>
          <w:tcPr>
            <w:tcW w:w="5161" w:type="dxa"/>
          </w:tcPr>
          <w:p w:rsidR="004A632B" w:rsidRDefault="004A632B" w:rsidP="003859EB">
            <w:pPr>
              <w:spacing w:after="200" w:line="20" w:lineRule="atLeast"/>
              <w:rPr>
                <w:i/>
                <w:color w:val="000000" w:themeColor="text1"/>
              </w:rPr>
            </w:pPr>
            <w:r>
              <w:rPr>
                <w:rStyle w:val="Style2Car"/>
                <w:rFonts w:eastAsia="Calibri"/>
                <w:color w:val="000000" w:themeColor="text1"/>
              </w:rPr>
              <w:lastRenderedPageBreak/>
              <w:t xml:space="preserve">Graphique  n°20 : </w:t>
            </w:r>
            <w:r>
              <w:rPr>
                <w:i/>
                <w:color w:val="000000" w:themeColor="text1"/>
              </w:rPr>
              <w:t>Répartition de la dépense courante de santé par prestataires en 2013.</w:t>
            </w:r>
          </w:p>
          <w:p w:rsidR="004A632B" w:rsidRDefault="004A632B" w:rsidP="003859EB">
            <w:pPr>
              <w:spacing w:after="200" w:line="20" w:lineRule="atLeast"/>
              <w:rPr>
                <w:rStyle w:val="Style2Car"/>
                <w:rFonts w:eastAsia="Calibri"/>
                <w:color w:val="000000" w:themeColor="text1"/>
              </w:rPr>
            </w:pPr>
            <w:r>
              <w:rPr>
                <w:rFonts w:eastAsia="Calibri"/>
                <w:noProof/>
                <w:color w:val="000000" w:themeColor="text1"/>
                <w:lang w:bidi="ar-SA"/>
              </w:rPr>
              <w:drawing>
                <wp:inline distT="0" distB="0" distL="0" distR="0">
                  <wp:extent cx="3167968" cy="2889250"/>
                  <wp:effectExtent l="0" t="0" r="0" b="6350"/>
                  <wp:docPr id="52"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180646" cy="2900812"/>
                          </a:xfrm>
                          <a:prstGeom prst="rect">
                            <a:avLst/>
                          </a:prstGeom>
                          <a:noFill/>
                        </pic:spPr>
                      </pic:pic>
                    </a:graphicData>
                  </a:graphic>
                </wp:inline>
              </w:drawing>
            </w:r>
          </w:p>
        </w:tc>
        <w:tc>
          <w:tcPr>
            <w:tcW w:w="3877" w:type="dxa"/>
          </w:tcPr>
          <w:p w:rsidR="004A632B" w:rsidRDefault="004A632B" w:rsidP="003859EB">
            <w:pPr>
              <w:spacing w:after="200" w:line="20" w:lineRule="atLeast"/>
              <w:rPr>
                <w:rStyle w:val="Style2Car"/>
                <w:rFonts w:eastAsia="Calibri"/>
                <w:color w:val="000000" w:themeColor="text1"/>
                <w:sz w:val="18"/>
                <w:szCs w:val="20"/>
              </w:rPr>
            </w:pPr>
            <w:r w:rsidRPr="0081265B">
              <w:rPr>
                <w:rStyle w:val="Style2Car"/>
                <w:rFonts w:eastAsia="Calibri"/>
                <w:color w:val="000000" w:themeColor="text1"/>
                <w:sz w:val="18"/>
                <w:szCs w:val="20"/>
              </w:rPr>
              <w:t xml:space="preserve">On </w:t>
            </w:r>
            <w:r>
              <w:rPr>
                <w:rStyle w:val="Style2Car"/>
                <w:rFonts w:eastAsia="Calibri"/>
                <w:color w:val="000000" w:themeColor="text1"/>
                <w:sz w:val="18"/>
                <w:szCs w:val="20"/>
              </w:rPr>
              <w:t xml:space="preserve"> </w:t>
            </w:r>
            <w:r w:rsidRPr="0081265B">
              <w:rPr>
                <w:rStyle w:val="Style2Car"/>
                <w:rFonts w:eastAsia="Calibri"/>
                <w:color w:val="000000" w:themeColor="text1"/>
                <w:sz w:val="18"/>
                <w:szCs w:val="20"/>
              </w:rPr>
              <w:t>constate que une nette augmentation des DCS perçues par les hôpitaux</w:t>
            </w:r>
            <w:r>
              <w:rPr>
                <w:rStyle w:val="Style2Car"/>
                <w:rFonts w:eastAsia="Calibri"/>
                <w:color w:val="000000" w:themeColor="text1"/>
                <w:sz w:val="18"/>
                <w:szCs w:val="20"/>
              </w:rPr>
              <w:t xml:space="preserve"> de l’ordre de 6 points.</w:t>
            </w:r>
          </w:p>
          <w:p w:rsidR="004A632B" w:rsidRDefault="004A632B" w:rsidP="003859EB">
            <w:pPr>
              <w:spacing w:after="200" w:line="20" w:lineRule="atLeast"/>
              <w:rPr>
                <w:rStyle w:val="Style2Car"/>
                <w:rFonts w:eastAsia="Calibri"/>
                <w:color w:val="000000" w:themeColor="text1"/>
                <w:sz w:val="18"/>
                <w:szCs w:val="20"/>
              </w:rPr>
            </w:pPr>
            <w:r>
              <w:rPr>
                <w:rStyle w:val="Style2Car"/>
                <w:rFonts w:eastAsia="Calibri"/>
                <w:color w:val="000000" w:themeColor="text1"/>
                <w:sz w:val="18"/>
                <w:szCs w:val="20"/>
              </w:rPr>
              <w:t>Les soins de santé ambulatoire et la pharmacie ont connu une absorption décroissante de 2 points par rapport à 2012.</w:t>
            </w:r>
          </w:p>
          <w:p w:rsidR="004A632B" w:rsidRPr="003A1A7F" w:rsidRDefault="004A632B" w:rsidP="003859EB">
            <w:pPr>
              <w:spacing w:after="200" w:line="20" w:lineRule="atLeast"/>
              <w:rPr>
                <w:rStyle w:val="Style2Car"/>
                <w:rFonts w:eastAsia="Calibri"/>
                <w:color w:val="000000" w:themeColor="text1"/>
                <w:sz w:val="18"/>
                <w:szCs w:val="20"/>
              </w:rPr>
            </w:pPr>
            <w:r>
              <w:rPr>
                <w:rStyle w:val="Style2Car"/>
                <w:rFonts w:eastAsia="Calibri"/>
                <w:color w:val="000000" w:themeColor="text1"/>
                <w:sz w:val="18"/>
                <w:szCs w:val="20"/>
              </w:rPr>
              <w:t>Les 5 autres prestataires restant ne totalisent pas plus 5%.</w:t>
            </w:r>
          </w:p>
        </w:tc>
      </w:tr>
      <w:tr w:rsidR="004A632B" w:rsidRPr="00B744B8" w:rsidTr="008C20FD">
        <w:tblPrEx>
          <w:tblCellMar>
            <w:left w:w="70" w:type="dxa"/>
            <w:right w:w="70" w:type="dxa"/>
          </w:tblCellMar>
        </w:tblPrEx>
        <w:tc>
          <w:tcPr>
            <w:tcW w:w="5161" w:type="dxa"/>
          </w:tcPr>
          <w:p w:rsidR="004A632B" w:rsidRDefault="004A632B" w:rsidP="003859EB">
            <w:pPr>
              <w:spacing w:after="200" w:line="20" w:lineRule="atLeast"/>
              <w:rPr>
                <w:i/>
                <w:color w:val="000000" w:themeColor="text1"/>
              </w:rPr>
            </w:pPr>
            <w:r>
              <w:rPr>
                <w:rStyle w:val="Style2Car"/>
                <w:rFonts w:eastAsia="Calibri"/>
                <w:color w:val="000000" w:themeColor="text1"/>
              </w:rPr>
              <w:t xml:space="preserve">Graphique  n°21 : </w:t>
            </w:r>
            <w:r>
              <w:rPr>
                <w:i/>
                <w:color w:val="000000" w:themeColor="text1"/>
              </w:rPr>
              <w:t>Répartition de la dépense courante de santé par prestataires en 2014.</w:t>
            </w:r>
          </w:p>
          <w:p w:rsidR="004A632B" w:rsidRDefault="004A632B" w:rsidP="003859EB">
            <w:pPr>
              <w:spacing w:after="200" w:line="20" w:lineRule="atLeast"/>
              <w:rPr>
                <w:rStyle w:val="Style2Car"/>
                <w:rFonts w:eastAsia="Calibri"/>
                <w:color w:val="000000" w:themeColor="text1"/>
              </w:rPr>
            </w:pPr>
            <w:r>
              <w:rPr>
                <w:rFonts w:eastAsia="Calibri"/>
                <w:noProof/>
                <w:color w:val="000000" w:themeColor="text1"/>
                <w:lang w:bidi="ar-SA"/>
              </w:rPr>
              <w:lastRenderedPageBreak/>
              <w:drawing>
                <wp:inline distT="0" distB="0" distL="0" distR="0">
                  <wp:extent cx="3257550" cy="3086100"/>
                  <wp:effectExtent l="0" t="0" r="0" b="0"/>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258936" cy="3087413"/>
                          </a:xfrm>
                          <a:prstGeom prst="rect">
                            <a:avLst/>
                          </a:prstGeom>
                          <a:noFill/>
                        </pic:spPr>
                      </pic:pic>
                    </a:graphicData>
                  </a:graphic>
                </wp:inline>
              </w:drawing>
            </w:r>
          </w:p>
          <w:p w:rsidR="004A632B" w:rsidRDefault="004A632B" w:rsidP="003859EB">
            <w:pPr>
              <w:spacing w:after="200" w:line="20" w:lineRule="atLeast"/>
              <w:rPr>
                <w:rStyle w:val="Style2Car"/>
                <w:rFonts w:eastAsia="Calibri"/>
                <w:color w:val="000000" w:themeColor="text1"/>
              </w:rPr>
            </w:pPr>
          </w:p>
        </w:tc>
        <w:tc>
          <w:tcPr>
            <w:tcW w:w="3877" w:type="dxa"/>
          </w:tcPr>
          <w:p w:rsidR="004A632B" w:rsidRPr="00DA0E29" w:rsidRDefault="004A632B" w:rsidP="003859EB">
            <w:pPr>
              <w:spacing w:after="200" w:line="20" w:lineRule="atLeast"/>
              <w:rPr>
                <w:rStyle w:val="Style2Car"/>
                <w:rFonts w:eastAsia="Calibri"/>
                <w:color w:val="000000" w:themeColor="text1"/>
                <w:sz w:val="18"/>
                <w:szCs w:val="20"/>
              </w:rPr>
            </w:pPr>
            <w:r w:rsidRPr="00DA0E29">
              <w:rPr>
                <w:rStyle w:val="Style2Car"/>
                <w:rFonts w:eastAsia="Calibri"/>
                <w:color w:val="000000" w:themeColor="text1"/>
                <w:sz w:val="18"/>
                <w:szCs w:val="20"/>
              </w:rPr>
              <w:lastRenderedPageBreak/>
              <w:t>Les hôpitaux et les pharmacies sont constants avec respectivement 36 et 16% de la DCS par rapport à l’année 2013.</w:t>
            </w:r>
          </w:p>
          <w:p w:rsidR="004A632B" w:rsidRPr="00DA0E29" w:rsidRDefault="004A632B" w:rsidP="003859EB">
            <w:pPr>
              <w:spacing w:after="200" w:line="20" w:lineRule="atLeast"/>
              <w:rPr>
                <w:rStyle w:val="Style2Car"/>
                <w:rFonts w:eastAsia="Calibri"/>
                <w:color w:val="000000" w:themeColor="text1"/>
                <w:sz w:val="18"/>
                <w:szCs w:val="20"/>
              </w:rPr>
            </w:pPr>
            <w:r w:rsidRPr="00DA0E29">
              <w:rPr>
                <w:rStyle w:val="Style2Car"/>
                <w:rFonts w:eastAsia="Calibri"/>
                <w:color w:val="000000" w:themeColor="text1"/>
                <w:sz w:val="18"/>
                <w:szCs w:val="20"/>
              </w:rPr>
              <w:t>Le prestataire de soins de santé ambulatoire a connu une réduction de 4%.</w:t>
            </w:r>
          </w:p>
          <w:p w:rsidR="004A632B" w:rsidRPr="00DA0E29" w:rsidRDefault="004A632B" w:rsidP="003859EB">
            <w:pPr>
              <w:spacing w:after="200" w:line="20" w:lineRule="atLeast"/>
              <w:rPr>
                <w:rStyle w:val="Style2Car"/>
                <w:rFonts w:eastAsia="Calibri"/>
                <w:color w:val="000000" w:themeColor="text1"/>
                <w:sz w:val="18"/>
                <w:szCs w:val="20"/>
              </w:rPr>
            </w:pPr>
            <w:r w:rsidRPr="00DA0E29">
              <w:rPr>
                <w:rStyle w:val="Style2Car"/>
                <w:rFonts w:eastAsia="Calibri"/>
                <w:color w:val="000000" w:themeColor="text1"/>
                <w:sz w:val="18"/>
                <w:szCs w:val="20"/>
              </w:rPr>
              <w:t>La gouvernance a obtenu une croissance de 5%.</w:t>
            </w:r>
          </w:p>
          <w:p w:rsidR="004A632B" w:rsidRPr="0081265B" w:rsidRDefault="004A632B" w:rsidP="003859EB">
            <w:pPr>
              <w:spacing w:after="200" w:line="20" w:lineRule="atLeast"/>
              <w:rPr>
                <w:rStyle w:val="Style2Car"/>
                <w:rFonts w:eastAsia="Calibri"/>
                <w:color w:val="000000" w:themeColor="text1"/>
                <w:sz w:val="18"/>
                <w:szCs w:val="20"/>
              </w:rPr>
            </w:pPr>
            <w:r w:rsidRPr="00DA0E29">
              <w:rPr>
                <w:rStyle w:val="Style2Car"/>
                <w:rFonts w:eastAsia="Calibri"/>
                <w:color w:val="000000" w:themeColor="text1"/>
                <w:sz w:val="18"/>
                <w:szCs w:val="20"/>
              </w:rPr>
              <w:t>Les autres prestataires se voient leur part s’amenuiser de plus belle jusqu’à atteindre 0%.</w:t>
            </w:r>
          </w:p>
        </w:tc>
      </w:tr>
    </w:tbl>
    <w:p w:rsidR="004A632B" w:rsidRDefault="004A632B" w:rsidP="004A632B">
      <w:pPr>
        <w:spacing w:after="200" w:line="20" w:lineRule="atLeast"/>
        <w:rPr>
          <w:rStyle w:val="Style2Car"/>
          <w:rFonts w:eastAsia="Calibri"/>
          <w:color w:val="000000" w:themeColor="text1"/>
        </w:rPr>
      </w:pPr>
      <w:r>
        <w:rPr>
          <w:rStyle w:val="Style2Car"/>
          <w:rFonts w:eastAsia="Calibri"/>
          <w:color w:val="000000" w:themeColor="text1"/>
        </w:rPr>
        <w:br w:type="page"/>
      </w:r>
    </w:p>
    <w:p w:rsidR="004A632B" w:rsidRDefault="004A632B" w:rsidP="004A632B">
      <w:pPr>
        <w:pStyle w:val="Titre6"/>
        <w:rPr>
          <w:b w:val="0"/>
          <w:i w:val="0"/>
          <w:color w:val="000000" w:themeColor="text1"/>
        </w:rPr>
      </w:pPr>
    </w:p>
    <w:p w:rsidR="004A632B" w:rsidRDefault="004A632B" w:rsidP="004A632B">
      <w:pPr>
        <w:pStyle w:val="Titre6"/>
        <w:rPr>
          <w:b w:val="0"/>
          <w:i w:val="0"/>
          <w:color w:val="000000" w:themeColor="text1"/>
        </w:rPr>
      </w:pPr>
    </w:p>
    <w:tbl>
      <w:tblPr>
        <w:tblStyle w:val="Grilledutableau"/>
        <w:tblW w:w="0" w:type="auto"/>
        <w:tblLook w:val="04A0" w:firstRow="1" w:lastRow="0" w:firstColumn="1" w:lastColumn="0" w:noHBand="0" w:noVBand="1"/>
      </w:tblPr>
      <w:tblGrid>
        <w:gridCol w:w="5012"/>
        <w:gridCol w:w="4168"/>
      </w:tblGrid>
      <w:tr w:rsidR="004A632B" w:rsidRPr="00B744B8" w:rsidTr="008C20FD">
        <w:tc>
          <w:tcPr>
            <w:tcW w:w="5012" w:type="dxa"/>
          </w:tcPr>
          <w:p w:rsidR="004A632B" w:rsidRDefault="004A632B" w:rsidP="003859EB">
            <w:pPr>
              <w:spacing w:after="200" w:line="20" w:lineRule="atLeast"/>
              <w:rPr>
                <w:i/>
                <w:color w:val="000000" w:themeColor="text1"/>
              </w:rPr>
            </w:pPr>
            <w:r>
              <w:rPr>
                <w:rStyle w:val="Style2Car"/>
                <w:rFonts w:eastAsia="Calibri"/>
                <w:color w:val="000000" w:themeColor="text1"/>
              </w:rPr>
              <w:t xml:space="preserve">Graphique  n°22 : </w:t>
            </w:r>
            <w:r>
              <w:rPr>
                <w:i/>
                <w:color w:val="000000" w:themeColor="text1"/>
              </w:rPr>
              <w:t>Répartition de la dépense courante de santé par prestataires en 2015.</w:t>
            </w:r>
          </w:p>
          <w:p w:rsidR="004A632B" w:rsidRPr="00DA0E29" w:rsidRDefault="004A632B" w:rsidP="003859EB">
            <w:pPr>
              <w:spacing w:after="200" w:line="20" w:lineRule="atLeast"/>
              <w:rPr>
                <w:rFonts w:eastAsia="Calibri"/>
                <w:color w:val="000000" w:themeColor="text1"/>
              </w:rPr>
            </w:pPr>
            <w:r>
              <w:rPr>
                <w:rFonts w:eastAsia="Calibri"/>
                <w:noProof/>
                <w:color w:val="000000" w:themeColor="text1"/>
                <w:lang w:bidi="ar-SA"/>
              </w:rPr>
              <w:drawing>
                <wp:inline distT="0" distB="0" distL="0" distR="0">
                  <wp:extent cx="3046021" cy="2956956"/>
                  <wp:effectExtent l="0" t="0" r="0" b="0"/>
                  <wp:docPr id="5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057198" cy="2967806"/>
                          </a:xfrm>
                          <a:prstGeom prst="rect">
                            <a:avLst/>
                          </a:prstGeom>
                          <a:noFill/>
                        </pic:spPr>
                      </pic:pic>
                    </a:graphicData>
                  </a:graphic>
                </wp:inline>
              </w:drawing>
            </w:r>
          </w:p>
        </w:tc>
        <w:tc>
          <w:tcPr>
            <w:tcW w:w="4168" w:type="dxa"/>
          </w:tcPr>
          <w:p w:rsidR="004A632B" w:rsidRDefault="004A632B" w:rsidP="003859EB">
            <w:pPr>
              <w:pStyle w:val="Titre6"/>
              <w:ind w:left="0" w:firstLine="0"/>
              <w:outlineLvl w:val="5"/>
              <w:rPr>
                <w:b w:val="0"/>
                <w:i w:val="0"/>
                <w:color w:val="000000" w:themeColor="text1"/>
                <w:sz w:val="20"/>
              </w:rPr>
            </w:pPr>
            <w:r>
              <w:rPr>
                <w:b w:val="0"/>
                <w:i w:val="0"/>
                <w:color w:val="000000" w:themeColor="text1"/>
                <w:sz w:val="20"/>
              </w:rPr>
              <w:t>En 2015 la gouvernance se taille la plus grosse part avec une augmentation de 17 ponts par rapport à l’année précédente.</w:t>
            </w:r>
          </w:p>
          <w:p w:rsidR="004A632B" w:rsidRDefault="004A632B" w:rsidP="003859EB">
            <w:pPr>
              <w:rPr>
                <w:sz w:val="20"/>
                <w:szCs w:val="20"/>
              </w:rPr>
            </w:pPr>
            <w:r>
              <w:rPr>
                <w:sz w:val="20"/>
                <w:szCs w:val="20"/>
              </w:rPr>
              <w:t>Les prestations liées à la pharmacie sont restées constantes.</w:t>
            </w:r>
          </w:p>
          <w:p w:rsidR="004A632B" w:rsidRDefault="004A632B" w:rsidP="003859EB">
            <w:pPr>
              <w:rPr>
                <w:sz w:val="20"/>
                <w:szCs w:val="20"/>
              </w:rPr>
            </w:pPr>
            <w:r>
              <w:rPr>
                <w:sz w:val="20"/>
                <w:szCs w:val="20"/>
              </w:rPr>
              <w:t>Quant à celles de soins de santé ambulatoire une baisse de 3%.</w:t>
            </w:r>
          </w:p>
          <w:p w:rsidR="004A632B" w:rsidRPr="0076362B" w:rsidRDefault="004A632B" w:rsidP="003859EB">
            <w:pPr>
              <w:rPr>
                <w:sz w:val="20"/>
                <w:szCs w:val="20"/>
              </w:rPr>
            </w:pPr>
            <w:r>
              <w:rPr>
                <w:sz w:val="20"/>
                <w:szCs w:val="20"/>
              </w:rPr>
              <w:t>Les 5 autres prestataires ne se partagent que 4%.</w:t>
            </w:r>
          </w:p>
          <w:p w:rsidR="004A632B" w:rsidRDefault="004A632B" w:rsidP="003859EB"/>
          <w:p w:rsidR="004A632B" w:rsidRDefault="004A632B" w:rsidP="003859EB"/>
          <w:p w:rsidR="004A632B" w:rsidRDefault="004A632B" w:rsidP="003859EB"/>
          <w:p w:rsidR="004A632B" w:rsidRDefault="004A632B" w:rsidP="003859EB"/>
          <w:p w:rsidR="004A632B" w:rsidRDefault="004A632B" w:rsidP="003859EB"/>
          <w:p w:rsidR="004A632B" w:rsidRDefault="004A632B" w:rsidP="003859EB"/>
          <w:p w:rsidR="004A632B" w:rsidRDefault="004A632B" w:rsidP="003859EB"/>
          <w:p w:rsidR="004A632B" w:rsidRDefault="004A632B" w:rsidP="003859EB"/>
          <w:p w:rsidR="004A632B" w:rsidRDefault="004A632B" w:rsidP="003859EB"/>
          <w:p w:rsidR="004A632B" w:rsidRPr="008A44E1" w:rsidRDefault="004A632B" w:rsidP="003859EB"/>
        </w:tc>
      </w:tr>
    </w:tbl>
    <w:p w:rsidR="004A632B" w:rsidRDefault="004A632B" w:rsidP="004A632B">
      <w:pPr>
        <w:pStyle w:val="Titre6"/>
        <w:rPr>
          <w:b w:val="0"/>
          <w:i w:val="0"/>
          <w:color w:val="000000" w:themeColor="text1"/>
        </w:rPr>
      </w:pPr>
    </w:p>
    <w:p w:rsidR="008A44E1" w:rsidRDefault="008A44E1" w:rsidP="00745852">
      <w:pPr>
        <w:pStyle w:val="Titre6"/>
        <w:rPr>
          <w:b w:val="0"/>
          <w:i w:val="0"/>
          <w:color w:val="000000" w:themeColor="text1"/>
        </w:rPr>
      </w:pPr>
    </w:p>
    <w:p w:rsidR="00B22F8C" w:rsidRDefault="004A632B" w:rsidP="00745852">
      <w:pPr>
        <w:pStyle w:val="Titre6"/>
        <w:rPr>
          <w:b w:val="0"/>
          <w:i w:val="0"/>
          <w:color w:val="000000" w:themeColor="text1"/>
        </w:rPr>
      </w:pPr>
      <w:r>
        <w:rPr>
          <w:b w:val="0"/>
          <w:i w:val="0"/>
          <w:color w:val="000000" w:themeColor="text1"/>
        </w:rPr>
        <w:t>Le graphique n°23</w:t>
      </w:r>
      <w:r w:rsidR="00B22F8C">
        <w:rPr>
          <w:b w:val="0"/>
          <w:i w:val="0"/>
          <w:color w:val="000000" w:themeColor="text1"/>
        </w:rPr>
        <w:t xml:space="preserve"> donne une vue d’ensemble sur l’évolution des montants absorbés par les </w:t>
      </w:r>
    </w:p>
    <w:p w:rsidR="008A44E1" w:rsidRDefault="00B22F8C" w:rsidP="00745852">
      <w:pPr>
        <w:pStyle w:val="Titre6"/>
        <w:rPr>
          <w:b w:val="0"/>
          <w:i w:val="0"/>
          <w:color w:val="000000" w:themeColor="text1"/>
        </w:rPr>
      </w:pPr>
      <w:r>
        <w:rPr>
          <w:b w:val="0"/>
          <w:i w:val="0"/>
          <w:color w:val="000000" w:themeColor="text1"/>
        </w:rPr>
        <w:t>Prestataires de 2011 à 2015.</w:t>
      </w:r>
    </w:p>
    <w:p w:rsidR="008A44E1" w:rsidRDefault="008A44E1" w:rsidP="00745852">
      <w:pPr>
        <w:pStyle w:val="Titre6"/>
        <w:rPr>
          <w:b w:val="0"/>
          <w:i w:val="0"/>
          <w:color w:val="000000" w:themeColor="text1"/>
        </w:rPr>
      </w:pPr>
    </w:p>
    <w:p w:rsidR="00745852" w:rsidRPr="00C616E0" w:rsidRDefault="004A632B" w:rsidP="00745852">
      <w:pPr>
        <w:pStyle w:val="Titre6"/>
        <w:rPr>
          <w:b w:val="0"/>
          <w:i w:val="0"/>
          <w:color w:val="000000" w:themeColor="text1"/>
          <w:lang w:val="fr-CD"/>
        </w:rPr>
      </w:pPr>
      <w:r>
        <w:rPr>
          <w:b w:val="0"/>
          <w:i w:val="0"/>
          <w:color w:val="000000" w:themeColor="text1"/>
        </w:rPr>
        <w:t>Graphique n°23</w:t>
      </w:r>
      <w:r w:rsidR="00745852" w:rsidRPr="00C616E0">
        <w:rPr>
          <w:b w:val="0"/>
          <w:i w:val="0"/>
          <w:color w:val="000000" w:themeColor="text1"/>
        </w:rPr>
        <w:t xml:space="preserve"> : </w:t>
      </w:r>
      <w:r w:rsidR="00745852" w:rsidRPr="00C616E0">
        <w:rPr>
          <w:b w:val="0"/>
          <w:i w:val="0"/>
          <w:color w:val="000000" w:themeColor="text1"/>
          <w:lang w:val="fr-CD"/>
        </w:rPr>
        <w:t>Répartition de la Dépense Courante de Santé par prestataire</w:t>
      </w:r>
      <w:r w:rsidR="008E4607" w:rsidRPr="00C616E0">
        <w:rPr>
          <w:b w:val="0"/>
          <w:i w:val="0"/>
          <w:color w:val="000000" w:themeColor="text1"/>
          <w:lang w:val="fr-CD"/>
        </w:rPr>
        <w:t xml:space="preserve"> de 2011 à</w:t>
      </w:r>
      <w:r w:rsidR="00745852" w:rsidRPr="00C616E0">
        <w:rPr>
          <w:b w:val="0"/>
          <w:i w:val="0"/>
          <w:color w:val="000000" w:themeColor="text1"/>
          <w:lang w:val="fr-CD"/>
        </w:rPr>
        <w:t xml:space="preserve"> 2015</w:t>
      </w:r>
      <w:bookmarkEnd w:id="61"/>
    </w:p>
    <w:p w:rsidR="006D0F41" w:rsidRPr="006D0F41" w:rsidRDefault="006D0F41" w:rsidP="006D0F41">
      <w:pPr>
        <w:rPr>
          <w:lang w:val="fr-CD"/>
        </w:rPr>
      </w:pPr>
    </w:p>
    <w:p w:rsidR="00745852" w:rsidRPr="00745852" w:rsidRDefault="006D0F41" w:rsidP="00972C46">
      <w:pPr>
        <w:pStyle w:val="Style2"/>
        <w:rPr>
          <w:rStyle w:val="Style2Car"/>
          <w:rFonts w:eastAsia="Calibri"/>
          <w:color w:val="000000" w:themeColor="text1"/>
          <w:lang w:val="fr-CD"/>
        </w:rPr>
      </w:pPr>
      <w:r>
        <w:rPr>
          <w:rFonts w:eastAsia="Calibri"/>
          <w:noProof/>
          <w:color w:val="000000" w:themeColor="text1"/>
          <w:lang w:eastAsia="fr-FR" w:bidi="ar-SA"/>
        </w:rPr>
        <w:drawing>
          <wp:inline distT="0" distB="0" distL="0" distR="0">
            <wp:extent cx="5575465" cy="3164659"/>
            <wp:effectExtent l="0" t="0" r="0" b="0"/>
            <wp:docPr id="24"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0" cstate="print"/>
                    <a:srcRect/>
                    <a:stretch>
                      <a:fillRect/>
                    </a:stretch>
                  </pic:blipFill>
                  <pic:spPr bwMode="auto">
                    <a:xfrm>
                      <a:off x="0" y="0"/>
                      <a:ext cx="5579880" cy="3167165"/>
                    </a:xfrm>
                    <a:prstGeom prst="rect">
                      <a:avLst/>
                    </a:prstGeom>
                    <a:noFill/>
                  </pic:spPr>
                </pic:pic>
              </a:graphicData>
            </a:graphic>
          </wp:inline>
        </w:drawing>
      </w:r>
    </w:p>
    <w:p w:rsidR="00B22F8C" w:rsidRDefault="00B22F8C" w:rsidP="00B22F8C">
      <w:pPr>
        <w:pStyle w:val="Style2"/>
        <w:rPr>
          <w:rFonts w:eastAsia="Calibri"/>
          <w:color w:val="000000" w:themeColor="text1"/>
        </w:rPr>
      </w:pPr>
    </w:p>
    <w:p w:rsidR="00B22F8C" w:rsidRPr="00B22F8C" w:rsidRDefault="00B22F8C" w:rsidP="00B22F8C">
      <w:pPr>
        <w:pStyle w:val="Style2"/>
        <w:rPr>
          <w:rFonts w:eastAsia="Calibri"/>
          <w:color w:val="000000" w:themeColor="text1"/>
        </w:rPr>
      </w:pPr>
      <w:r w:rsidRPr="00B22F8C">
        <w:rPr>
          <w:rFonts w:eastAsia="Calibri"/>
          <w:color w:val="000000" w:themeColor="text1"/>
        </w:rPr>
        <w:t xml:space="preserve">En comparant les cinq années, on remarque que </w:t>
      </w:r>
      <w:r w:rsidR="000D715E">
        <w:rPr>
          <w:rFonts w:eastAsia="Calibri"/>
          <w:color w:val="000000" w:themeColor="text1"/>
        </w:rPr>
        <w:t xml:space="preserve">de 2011, </w:t>
      </w:r>
      <w:r w:rsidR="000D715E" w:rsidRPr="00B22F8C">
        <w:rPr>
          <w:rFonts w:eastAsia="Calibri"/>
          <w:color w:val="000000" w:themeColor="text1"/>
        </w:rPr>
        <w:t>jusqu’en 2014</w:t>
      </w:r>
      <w:r w:rsidR="000D715E">
        <w:rPr>
          <w:rFonts w:eastAsia="Calibri"/>
          <w:color w:val="000000" w:themeColor="text1"/>
        </w:rPr>
        <w:t xml:space="preserve"> la majorité du financement étaient affectés vers les hôpitaux. </w:t>
      </w:r>
      <w:r w:rsidRPr="00B22F8C">
        <w:rPr>
          <w:rFonts w:eastAsia="Calibri"/>
          <w:color w:val="000000" w:themeColor="text1"/>
        </w:rPr>
        <w:t xml:space="preserve">En 2015, la donne a changé en faveur de la </w:t>
      </w:r>
      <w:r w:rsidR="000D715E" w:rsidRPr="00B22F8C">
        <w:rPr>
          <w:rFonts w:eastAsia="Calibri"/>
          <w:color w:val="000000" w:themeColor="text1"/>
        </w:rPr>
        <w:t xml:space="preserve">à l’administration et financement du système </w:t>
      </w:r>
      <w:r w:rsidR="000D715E">
        <w:rPr>
          <w:rFonts w:eastAsia="Calibri"/>
          <w:color w:val="000000" w:themeColor="text1"/>
        </w:rPr>
        <w:t>de soins de santé (gouvernance)</w:t>
      </w:r>
      <w:r w:rsidRPr="00B22F8C">
        <w:rPr>
          <w:rFonts w:eastAsia="Calibri"/>
          <w:color w:val="000000" w:themeColor="text1"/>
        </w:rPr>
        <w:t xml:space="preserve">. </w:t>
      </w:r>
    </w:p>
    <w:p w:rsidR="00274D30" w:rsidRDefault="00274D30" w:rsidP="00A401E9">
      <w:pPr>
        <w:pStyle w:val="Style2"/>
        <w:rPr>
          <w:color w:val="000000" w:themeColor="text1"/>
        </w:rPr>
      </w:pPr>
    </w:p>
    <w:p w:rsidR="00843866" w:rsidRDefault="00CA569B" w:rsidP="00CA569B">
      <w:pPr>
        <w:rPr>
          <w:b/>
          <w:color w:val="000000" w:themeColor="text1"/>
        </w:rPr>
      </w:pPr>
      <w:r w:rsidRPr="000B6057">
        <w:rPr>
          <w:b/>
          <w:color w:val="000000" w:themeColor="text1"/>
        </w:rPr>
        <w:t>4.2.3.2.</w:t>
      </w:r>
      <w:r w:rsidR="007614EA" w:rsidRPr="000B6057">
        <w:rPr>
          <w:b/>
          <w:color w:val="000000" w:themeColor="text1"/>
        </w:rPr>
        <w:t xml:space="preserve"> </w:t>
      </w:r>
      <w:r w:rsidR="00911F93" w:rsidRPr="000B6057">
        <w:rPr>
          <w:b/>
          <w:color w:val="000000" w:themeColor="text1"/>
        </w:rPr>
        <w:t xml:space="preserve">Evolution </w:t>
      </w:r>
      <w:r w:rsidR="007614EA" w:rsidRPr="000B6057">
        <w:rPr>
          <w:b/>
          <w:color w:val="000000" w:themeColor="text1"/>
        </w:rPr>
        <w:t xml:space="preserve"> de la </w:t>
      </w:r>
      <w:r w:rsidR="00C616E0" w:rsidRPr="000B6057">
        <w:rPr>
          <w:b/>
          <w:color w:val="000000" w:themeColor="text1"/>
        </w:rPr>
        <w:t>D</w:t>
      </w:r>
      <w:r w:rsidR="007614EA" w:rsidRPr="000B6057">
        <w:rPr>
          <w:b/>
          <w:color w:val="000000" w:themeColor="text1"/>
        </w:rPr>
        <w:t xml:space="preserve">CS </w:t>
      </w:r>
      <w:r w:rsidR="00C616E0" w:rsidRPr="000B6057">
        <w:rPr>
          <w:b/>
          <w:color w:val="000000" w:themeColor="text1"/>
        </w:rPr>
        <w:t xml:space="preserve"> de l'</w:t>
      </w:r>
      <w:r w:rsidR="00843866" w:rsidRPr="000B6057">
        <w:rPr>
          <w:b/>
          <w:color w:val="000000" w:themeColor="text1"/>
        </w:rPr>
        <w:t xml:space="preserve">Administration Publique par prestataire </w:t>
      </w:r>
    </w:p>
    <w:p w:rsidR="000B6057" w:rsidRPr="000B6057" w:rsidRDefault="000B6057" w:rsidP="00CA569B">
      <w:pPr>
        <w:rPr>
          <w:b/>
          <w:color w:val="000000" w:themeColor="text1"/>
        </w:rPr>
      </w:pPr>
    </w:p>
    <w:p w:rsidR="000B6057" w:rsidRDefault="00051672" w:rsidP="00051672">
      <w:pPr>
        <w:pStyle w:val="Style2"/>
        <w:rPr>
          <w:rFonts w:eastAsia="Calibri"/>
          <w:color w:val="000000" w:themeColor="text1"/>
        </w:rPr>
      </w:pPr>
      <w:r w:rsidRPr="00051672">
        <w:rPr>
          <w:rFonts w:eastAsia="Calibri"/>
          <w:color w:val="000000" w:themeColor="text1"/>
        </w:rPr>
        <w:t xml:space="preserve">Au cours de la </w:t>
      </w:r>
      <w:r w:rsidR="000D23EF" w:rsidRPr="00051672">
        <w:rPr>
          <w:rFonts w:eastAsia="Calibri"/>
          <w:color w:val="000000" w:themeColor="text1"/>
        </w:rPr>
        <w:t>période allant de 2011 à 2015, l’administration</w:t>
      </w:r>
      <w:r w:rsidRPr="00051672">
        <w:rPr>
          <w:rFonts w:eastAsia="Calibri"/>
          <w:color w:val="000000" w:themeColor="text1"/>
        </w:rPr>
        <w:t xml:space="preserve"> publique</w:t>
      </w:r>
      <w:r w:rsidR="000D23EF" w:rsidRPr="00051672">
        <w:rPr>
          <w:rFonts w:eastAsia="Calibri"/>
          <w:color w:val="000000" w:themeColor="text1"/>
        </w:rPr>
        <w:t xml:space="preserve"> </w:t>
      </w:r>
      <w:r>
        <w:rPr>
          <w:rFonts w:eastAsia="Calibri"/>
          <w:color w:val="000000" w:themeColor="text1"/>
        </w:rPr>
        <w:t>(</w:t>
      </w:r>
      <w:r w:rsidR="000D23EF" w:rsidRPr="00051672">
        <w:rPr>
          <w:rFonts w:eastAsia="Calibri"/>
          <w:color w:val="000000" w:themeColor="text1"/>
        </w:rPr>
        <w:t>Ministère de la santé et autres  départements ministériels) ont affecté les fonds à plusieurs prestataires dont les hôpitaux, les prestataires de soins de santé ambulatoire</w:t>
      </w:r>
      <w:r w:rsidRPr="00051672">
        <w:rPr>
          <w:rFonts w:eastAsia="Calibri"/>
          <w:color w:val="000000" w:themeColor="text1"/>
        </w:rPr>
        <w:t>, les prestataires des services administratifs et de financement du  système de soins de santé</w:t>
      </w:r>
      <w:r>
        <w:rPr>
          <w:rFonts w:eastAsia="Calibri"/>
          <w:color w:val="000000" w:themeColor="text1"/>
        </w:rPr>
        <w:t xml:space="preserve"> </w:t>
      </w:r>
      <w:r w:rsidRPr="00051672">
        <w:rPr>
          <w:rFonts w:eastAsia="Calibri"/>
          <w:color w:val="000000" w:themeColor="text1"/>
        </w:rPr>
        <w:t>(gouvernance) et les autres prestataires.</w:t>
      </w:r>
    </w:p>
    <w:p w:rsidR="004A632B" w:rsidRDefault="004A632B" w:rsidP="00051672">
      <w:pPr>
        <w:pStyle w:val="Style2"/>
        <w:rPr>
          <w:rFonts w:eastAsia="Calibri"/>
          <w:color w:val="000000" w:themeColor="text1"/>
        </w:rPr>
      </w:pPr>
    </w:p>
    <w:p w:rsidR="007E38BA" w:rsidRDefault="000B6057" w:rsidP="00051672">
      <w:pPr>
        <w:pStyle w:val="Style2"/>
        <w:rPr>
          <w:rFonts w:eastAsia="Calibri"/>
          <w:color w:val="000000" w:themeColor="text1"/>
        </w:rPr>
      </w:pPr>
      <w:r>
        <w:rPr>
          <w:rFonts w:eastAsia="Calibri"/>
          <w:color w:val="000000" w:themeColor="text1"/>
        </w:rPr>
        <w:t xml:space="preserve">Ainsi le </w:t>
      </w:r>
      <w:r w:rsidR="00051672">
        <w:rPr>
          <w:rFonts w:eastAsia="Calibri"/>
          <w:color w:val="000000" w:themeColor="text1"/>
        </w:rPr>
        <w:t xml:space="preserve"> graph</w:t>
      </w:r>
      <w:r w:rsidR="00051672" w:rsidRPr="00051672">
        <w:rPr>
          <w:rFonts w:eastAsia="Calibri"/>
          <w:color w:val="000000" w:themeColor="text1"/>
        </w:rPr>
        <w:t xml:space="preserve">ique </w:t>
      </w:r>
      <w:r>
        <w:rPr>
          <w:rFonts w:eastAsia="Calibri"/>
          <w:color w:val="000000" w:themeColor="text1"/>
        </w:rPr>
        <w:t xml:space="preserve">ci dessous </w:t>
      </w:r>
      <w:r w:rsidR="00051672" w:rsidRPr="00051672">
        <w:rPr>
          <w:rFonts w:eastAsia="Calibri"/>
          <w:color w:val="000000" w:themeColor="text1"/>
        </w:rPr>
        <w:t xml:space="preserve">présente l’évolution des fonds </w:t>
      </w:r>
      <w:r w:rsidR="00056A93">
        <w:rPr>
          <w:rFonts w:eastAsia="Calibri"/>
          <w:color w:val="000000" w:themeColor="text1"/>
        </w:rPr>
        <w:t>du gouvernement affectés à</w:t>
      </w:r>
      <w:r w:rsidR="00051672" w:rsidRPr="00051672">
        <w:rPr>
          <w:rFonts w:eastAsia="Calibri"/>
          <w:color w:val="000000" w:themeColor="text1"/>
        </w:rPr>
        <w:t xml:space="preserve"> chaque </w:t>
      </w:r>
      <w:r>
        <w:rPr>
          <w:rFonts w:eastAsia="Calibri"/>
          <w:color w:val="000000" w:themeColor="text1"/>
        </w:rPr>
        <w:t xml:space="preserve">structure </w:t>
      </w:r>
      <w:r w:rsidR="00051672" w:rsidRPr="00051672">
        <w:rPr>
          <w:rFonts w:eastAsia="Calibri"/>
          <w:color w:val="000000" w:themeColor="text1"/>
        </w:rPr>
        <w:t>prestataire.</w:t>
      </w:r>
    </w:p>
    <w:p w:rsidR="007E38BA" w:rsidRDefault="007E38BA" w:rsidP="007E38BA">
      <w:pPr>
        <w:tabs>
          <w:tab w:val="left" w:pos="1300"/>
        </w:tabs>
      </w:pPr>
    </w:p>
    <w:p w:rsidR="007E38BA" w:rsidRDefault="007E38BA" w:rsidP="007E38BA">
      <w:pPr>
        <w:pStyle w:val="Style2"/>
        <w:rPr>
          <w:rFonts w:eastAsia="Calibri"/>
          <w:color w:val="000000" w:themeColor="text1"/>
        </w:rPr>
      </w:pPr>
      <w:r>
        <w:t xml:space="preserve">Graphique  n° 24 : </w:t>
      </w:r>
      <w:r>
        <w:rPr>
          <w:rFonts w:eastAsia="Calibri"/>
          <w:color w:val="000000" w:themeColor="text1"/>
        </w:rPr>
        <w:t>E</w:t>
      </w:r>
      <w:r w:rsidRPr="00051672">
        <w:rPr>
          <w:rFonts w:eastAsia="Calibri"/>
          <w:color w:val="000000" w:themeColor="text1"/>
        </w:rPr>
        <w:t xml:space="preserve">volution des fonds </w:t>
      </w:r>
      <w:r w:rsidR="00056A93">
        <w:rPr>
          <w:rFonts w:eastAsia="Calibri"/>
          <w:color w:val="000000" w:themeColor="text1"/>
        </w:rPr>
        <w:t xml:space="preserve">du gouvernement </w:t>
      </w:r>
      <w:r w:rsidRPr="00051672">
        <w:rPr>
          <w:rFonts w:eastAsia="Calibri"/>
          <w:color w:val="000000" w:themeColor="text1"/>
        </w:rPr>
        <w:t xml:space="preserve">affectés </w:t>
      </w:r>
      <w:r w:rsidR="00056A93">
        <w:rPr>
          <w:rFonts w:eastAsia="Calibri"/>
          <w:color w:val="000000" w:themeColor="text1"/>
        </w:rPr>
        <w:t xml:space="preserve">à </w:t>
      </w:r>
      <w:r w:rsidRPr="00051672">
        <w:rPr>
          <w:rFonts w:eastAsia="Calibri"/>
          <w:color w:val="000000" w:themeColor="text1"/>
        </w:rPr>
        <w:t xml:space="preserve">chaque prestataire </w:t>
      </w:r>
      <w:r w:rsidR="00056A93">
        <w:rPr>
          <w:rFonts w:eastAsia="Calibri"/>
          <w:color w:val="000000" w:themeColor="text1"/>
        </w:rPr>
        <w:t>de 2011 à 2015.</w:t>
      </w:r>
    </w:p>
    <w:p w:rsidR="007E38BA" w:rsidRDefault="007E38BA" w:rsidP="007E38BA">
      <w:pPr>
        <w:tabs>
          <w:tab w:val="left" w:pos="1300"/>
        </w:tabs>
      </w:pPr>
    </w:p>
    <w:p w:rsidR="007E38BA" w:rsidRPr="007E38BA" w:rsidRDefault="007E38BA" w:rsidP="007E38BA">
      <w:pPr>
        <w:tabs>
          <w:tab w:val="left" w:pos="1300"/>
        </w:tabs>
      </w:pPr>
    </w:p>
    <w:p w:rsidR="00843866" w:rsidRDefault="00843866" w:rsidP="00843866">
      <w:pPr>
        <w:pStyle w:val="Style2"/>
        <w:ind w:left="720"/>
        <w:rPr>
          <w:b/>
          <w:color w:val="000000" w:themeColor="text1"/>
        </w:rPr>
      </w:pPr>
      <w:r w:rsidRPr="00142322">
        <w:rPr>
          <w:b/>
          <w:noProof/>
          <w:color w:val="000000" w:themeColor="text1"/>
          <w:lang w:eastAsia="fr-FR" w:bidi="ar-SA"/>
        </w:rPr>
        <w:drawing>
          <wp:inline distT="0" distB="0" distL="0" distR="0">
            <wp:extent cx="5568290" cy="2499756"/>
            <wp:effectExtent l="19050" t="0" r="13360" b="0"/>
            <wp:docPr id="39" name="Graphique 7"/>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rsidR="004A632B" w:rsidRDefault="004A632B" w:rsidP="00E31013">
      <w:pPr>
        <w:pStyle w:val="Style2"/>
      </w:pPr>
    </w:p>
    <w:p w:rsidR="00EC1F1A" w:rsidRDefault="008C4FB2" w:rsidP="00E31013">
      <w:pPr>
        <w:pStyle w:val="Style2"/>
      </w:pPr>
      <w:r w:rsidRPr="008C4FB2">
        <w:t>Les fonds du gouvernement  affectés aux prestataires  de soins de santé ambulatoires (services de santé de premier échelon) ont connu des variations allant de 80% en 2011 à 6% en 2012, suivi d’une légère augmentation en 2013 avant de continuer la décroissance pour atteindre 4% en 2015.</w:t>
      </w:r>
      <w:r>
        <w:t>Cette situation pourraient être expliquée par le déficit en complétud</w:t>
      </w:r>
      <w:r w:rsidR="000B6057">
        <w:t>e des données collectées en 2011</w:t>
      </w:r>
      <w:r>
        <w:t>.</w:t>
      </w:r>
      <w:r w:rsidR="000B6057">
        <w:t xml:space="preserve"> </w:t>
      </w:r>
      <w:r w:rsidR="00EC1F1A">
        <w:t>S’agissant des fonds affectés aux hôpitaux, on remarque  une augmentation  allant de 6% en 2011 pour atteindre un plateau  de 70 à 54% de 2012 à 2014, avant de connaître une baisse pour atteindre 21% en 2015.</w:t>
      </w:r>
      <w:r w:rsidR="00A250DF">
        <w:t xml:space="preserve">Plusieurs raisons pourraient être évoquées  </w:t>
      </w:r>
      <w:r w:rsidR="00453D37">
        <w:t>parmi lesquelles figures le non-respect</w:t>
      </w:r>
      <w:r w:rsidR="00A250DF">
        <w:t xml:space="preserve"> des priorités </w:t>
      </w:r>
      <w:r w:rsidR="004640A1">
        <w:t>dans l'allo</w:t>
      </w:r>
      <w:r w:rsidR="00D46BF3">
        <w:t>cation du</w:t>
      </w:r>
      <w:r w:rsidR="000B6057">
        <w:t xml:space="preserve"> financement </w:t>
      </w:r>
      <w:r w:rsidR="00D46BF3">
        <w:t>de santé par le</w:t>
      </w:r>
      <w:r w:rsidR="00D23762">
        <w:t xml:space="preserve"> Gouvernement.</w:t>
      </w:r>
    </w:p>
    <w:p w:rsidR="00D46BF3" w:rsidRPr="008C4FB2" w:rsidRDefault="00D46BF3" w:rsidP="00E31013">
      <w:pPr>
        <w:pStyle w:val="Style2"/>
      </w:pPr>
    </w:p>
    <w:p w:rsidR="008727B8" w:rsidRDefault="00453D37" w:rsidP="00E31013">
      <w:pPr>
        <w:pStyle w:val="Style2"/>
      </w:pPr>
      <w:r w:rsidRPr="00453D37">
        <w:lastRenderedPageBreak/>
        <w:t>P</w:t>
      </w:r>
      <w:r w:rsidR="00D46BF3">
        <w:t>endant la même période, on observe un accroissement exponentiel des</w:t>
      </w:r>
      <w:r w:rsidRPr="00453D37">
        <w:t xml:space="preserve"> fonds du gouvernement affectés à la gouvernance une augmentation </w:t>
      </w:r>
      <w:r w:rsidR="004640A1">
        <w:t xml:space="preserve">passant </w:t>
      </w:r>
      <w:r w:rsidR="009C344F">
        <w:t xml:space="preserve"> de 14 à 71%.</w:t>
      </w:r>
      <w:r w:rsidR="004640A1">
        <w:t xml:space="preserve"> cette situation s'explique de respect des engagements de l'Etat Congolais vise à vis des engagements des contreparties avec ces partenaires.</w:t>
      </w:r>
    </w:p>
    <w:p w:rsidR="004640A1" w:rsidRDefault="004640A1" w:rsidP="00E31013">
      <w:pPr>
        <w:pStyle w:val="Style2"/>
      </w:pPr>
    </w:p>
    <w:p w:rsidR="003E243C" w:rsidRDefault="009C344F" w:rsidP="00E31013">
      <w:pPr>
        <w:pStyle w:val="Style2"/>
      </w:pPr>
      <w:r>
        <w:t>Concernant  les fonds du gouvernement  affectés aux autres prestataires</w:t>
      </w:r>
      <w:r w:rsidR="003E243C">
        <w:t xml:space="preserve">, on remarque une stagnation autour de </w:t>
      </w:r>
      <w:r w:rsidR="00823A71">
        <w:t>3</w:t>
      </w:r>
      <w:r w:rsidR="003E243C">
        <w:t xml:space="preserve">% pendant la période. </w:t>
      </w:r>
    </w:p>
    <w:p w:rsidR="004A632B" w:rsidRDefault="004A632B" w:rsidP="00774BAB">
      <w:pPr>
        <w:pStyle w:val="Style2"/>
        <w:ind w:left="720"/>
        <w:rPr>
          <w:b/>
          <w:color w:val="000000" w:themeColor="text1"/>
        </w:rPr>
      </w:pPr>
    </w:p>
    <w:p w:rsidR="00774BAB" w:rsidRDefault="008C4FB2" w:rsidP="00774BAB">
      <w:pPr>
        <w:pStyle w:val="Style2"/>
        <w:ind w:left="720"/>
        <w:rPr>
          <w:b/>
          <w:color w:val="000000" w:themeColor="text1"/>
        </w:rPr>
      </w:pPr>
      <w:r w:rsidRPr="004640A1">
        <w:rPr>
          <w:b/>
          <w:color w:val="000000" w:themeColor="text1"/>
        </w:rPr>
        <w:t xml:space="preserve">4.2.3.2. </w:t>
      </w:r>
      <w:r w:rsidR="00C616E0" w:rsidRPr="004640A1">
        <w:rPr>
          <w:b/>
          <w:color w:val="000000" w:themeColor="text1"/>
        </w:rPr>
        <w:t xml:space="preserve">Dépense Courante des </w:t>
      </w:r>
      <w:r w:rsidR="00843866" w:rsidRPr="004640A1">
        <w:rPr>
          <w:b/>
          <w:color w:val="000000" w:themeColor="text1"/>
        </w:rPr>
        <w:t>Ménages</w:t>
      </w:r>
      <w:r w:rsidR="00C616E0" w:rsidRPr="004640A1">
        <w:rPr>
          <w:b/>
          <w:color w:val="000000" w:themeColor="text1"/>
        </w:rPr>
        <w:t xml:space="preserve"> par prestataire.</w:t>
      </w:r>
    </w:p>
    <w:p w:rsidR="004640A1" w:rsidRPr="004640A1" w:rsidRDefault="004640A1" w:rsidP="00774BAB">
      <w:pPr>
        <w:pStyle w:val="Style2"/>
        <w:ind w:left="720"/>
        <w:rPr>
          <w:b/>
          <w:color w:val="000000" w:themeColor="text1"/>
        </w:rPr>
      </w:pPr>
    </w:p>
    <w:p w:rsidR="00843866" w:rsidRPr="00774BAB" w:rsidRDefault="004640A1" w:rsidP="00843866">
      <w:pPr>
        <w:pStyle w:val="Style2"/>
        <w:rPr>
          <w:color w:val="000000" w:themeColor="text1"/>
        </w:rPr>
      </w:pPr>
      <w:r>
        <w:rPr>
          <w:color w:val="000000" w:themeColor="text1"/>
        </w:rPr>
        <w:t>Le fonds</w:t>
      </w:r>
      <w:r w:rsidR="00774BAB" w:rsidRPr="00774BAB">
        <w:rPr>
          <w:color w:val="000000" w:themeColor="text1"/>
        </w:rPr>
        <w:t xml:space="preserve"> des ménages</w:t>
      </w:r>
      <w:r>
        <w:rPr>
          <w:color w:val="000000" w:themeColor="text1"/>
        </w:rPr>
        <w:t xml:space="preserve">  a été affecté principalement aux</w:t>
      </w:r>
      <w:r w:rsidR="00774BAB" w:rsidRPr="00774BAB">
        <w:rPr>
          <w:color w:val="000000" w:themeColor="text1"/>
        </w:rPr>
        <w:t xml:space="preserve"> quatre prestataires, à savoir : les hôpitaux, les prestataires de services auxiliaires, les prestataires de soins de santé ambulatoires et les détaillants et autres prestataires des biens médicaux.</w:t>
      </w:r>
    </w:p>
    <w:p w:rsidR="004640A1" w:rsidRDefault="004640A1" w:rsidP="00843866">
      <w:pPr>
        <w:pStyle w:val="Style2"/>
        <w:rPr>
          <w:color w:val="000000" w:themeColor="text1"/>
        </w:rPr>
      </w:pPr>
    </w:p>
    <w:p w:rsidR="00774BAB" w:rsidRDefault="00774BAB" w:rsidP="00843866">
      <w:pPr>
        <w:pStyle w:val="Style2"/>
        <w:rPr>
          <w:color w:val="000000" w:themeColor="text1"/>
        </w:rPr>
      </w:pPr>
      <w:r>
        <w:rPr>
          <w:color w:val="000000" w:themeColor="text1"/>
        </w:rPr>
        <w:t xml:space="preserve">Le graphique </w:t>
      </w:r>
      <w:r w:rsidR="00E60A37">
        <w:rPr>
          <w:color w:val="000000" w:themeColor="text1"/>
        </w:rPr>
        <w:t>ci dessous illustre</w:t>
      </w:r>
      <w:r>
        <w:rPr>
          <w:color w:val="000000" w:themeColor="text1"/>
        </w:rPr>
        <w:t xml:space="preserve">  la part  des fonds des ménages  </w:t>
      </w:r>
      <w:r w:rsidR="00E60A37">
        <w:rPr>
          <w:color w:val="000000" w:themeColor="text1"/>
        </w:rPr>
        <w:t xml:space="preserve">affecté </w:t>
      </w:r>
      <w:r>
        <w:rPr>
          <w:color w:val="000000" w:themeColor="text1"/>
        </w:rPr>
        <w:t xml:space="preserve"> par prestataire.</w:t>
      </w:r>
    </w:p>
    <w:p w:rsidR="00E31013" w:rsidRDefault="00E31013" w:rsidP="00774BAB">
      <w:pPr>
        <w:tabs>
          <w:tab w:val="left" w:pos="2280"/>
        </w:tabs>
      </w:pPr>
    </w:p>
    <w:p w:rsidR="00774BAB" w:rsidRDefault="00774BAB" w:rsidP="00774BAB">
      <w:pPr>
        <w:tabs>
          <w:tab w:val="left" w:pos="2280"/>
        </w:tabs>
      </w:pPr>
      <w:r>
        <w:t>Graphique n°25</w:t>
      </w:r>
      <w:r w:rsidR="00E7433C">
        <w:t xml:space="preserve"> : </w:t>
      </w:r>
      <w:r w:rsidR="00E7433C">
        <w:rPr>
          <w:color w:val="000000" w:themeColor="text1"/>
        </w:rPr>
        <w:t xml:space="preserve">Part  des fonds des ménages  </w:t>
      </w:r>
      <w:r w:rsidR="00E60A37">
        <w:rPr>
          <w:color w:val="000000" w:themeColor="text1"/>
        </w:rPr>
        <w:t xml:space="preserve">reparti </w:t>
      </w:r>
      <w:r w:rsidR="00E7433C">
        <w:rPr>
          <w:color w:val="000000" w:themeColor="text1"/>
        </w:rPr>
        <w:t xml:space="preserve"> par prestataire</w:t>
      </w:r>
      <w:r w:rsidR="00E60A37">
        <w:rPr>
          <w:color w:val="000000" w:themeColor="text1"/>
        </w:rPr>
        <w:t>.</w:t>
      </w:r>
    </w:p>
    <w:p w:rsidR="00E31013" w:rsidRPr="00774BAB" w:rsidRDefault="00E31013" w:rsidP="00774BAB">
      <w:pPr>
        <w:tabs>
          <w:tab w:val="left" w:pos="2280"/>
        </w:tabs>
      </w:pPr>
    </w:p>
    <w:p w:rsidR="00F31F34" w:rsidRDefault="00704E95" w:rsidP="00843866">
      <w:pPr>
        <w:pStyle w:val="Style2"/>
        <w:rPr>
          <w:color w:val="000000" w:themeColor="text1"/>
        </w:rPr>
      </w:pPr>
      <w:r>
        <w:rPr>
          <w:b/>
          <w:noProof/>
          <w:color w:val="000000" w:themeColor="text1"/>
          <w:lang w:eastAsia="fr-FR" w:bidi="ar-SA"/>
        </w:rPr>
        <mc:AlternateContent>
          <mc:Choice Requires="wps">
            <w:drawing>
              <wp:anchor distT="0" distB="0" distL="114300" distR="114300" simplePos="0" relativeHeight="251685888" behindDoc="0" locked="0" layoutInCell="1" allowOverlap="1">
                <wp:simplePos x="0" y="0"/>
                <wp:positionH relativeFrom="column">
                  <wp:posOffset>3195955</wp:posOffset>
                </wp:positionH>
                <wp:positionV relativeFrom="paragraph">
                  <wp:posOffset>26670</wp:posOffset>
                </wp:positionV>
                <wp:extent cx="3098800" cy="1949450"/>
                <wp:effectExtent l="0" t="0" r="6350" b="0"/>
                <wp:wrapNone/>
                <wp:docPr id="57"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8800" cy="19494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457F" w:rsidRPr="000D715E" w:rsidRDefault="006E457F" w:rsidP="00E7433C">
                            <w:r>
                              <w:t xml:space="preserve">Les dépenses des </w:t>
                            </w:r>
                            <w:r w:rsidRPr="000D715E">
                              <w:t xml:space="preserve">ménages </w:t>
                            </w:r>
                            <w:r>
                              <w:t xml:space="preserve">auprès des structures prestataires </w:t>
                            </w:r>
                            <w:r w:rsidRPr="000D715E">
                              <w:t xml:space="preserve"> </w:t>
                            </w:r>
                            <w:r>
                              <w:t>étaient</w:t>
                            </w:r>
                            <w:r w:rsidRPr="000D715E">
                              <w:t xml:space="preserve"> de la manière suivante :</w:t>
                            </w:r>
                          </w:p>
                          <w:p w:rsidR="006E457F" w:rsidRPr="00E60A37" w:rsidRDefault="006E457F" w:rsidP="00E7433C">
                            <w:pPr>
                              <w:pStyle w:val="Paragraphedeliste"/>
                              <w:numPr>
                                <w:ilvl w:val="0"/>
                                <w:numId w:val="22"/>
                              </w:numPr>
                              <w:rPr>
                                <w:rFonts w:ascii="Times New Roman" w:hAnsi="Times New Roman"/>
                              </w:rPr>
                            </w:pPr>
                            <w:r w:rsidRPr="00E60A37">
                              <w:rPr>
                                <w:rFonts w:ascii="Times New Roman" w:hAnsi="Times New Roman"/>
                              </w:rPr>
                              <w:t>49 % aux  détaillants et autres prestataires des biens médicaux</w:t>
                            </w:r>
                          </w:p>
                          <w:p w:rsidR="006E457F" w:rsidRPr="00E60A37" w:rsidRDefault="006E457F" w:rsidP="00E7433C">
                            <w:pPr>
                              <w:pStyle w:val="Paragraphedeliste"/>
                              <w:numPr>
                                <w:ilvl w:val="0"/>
                                <w:numId w:val="22"/>
                              </w:numPr>
                              <w:rPr>
                                <w:rFonts w:ascii="Times New Roman" w:hAnsi="Times New Roman"/>
                              </w:rPr>
                            </w:pPr>
                            <w:r w:rsidRPr="00E60A37">
                              <w:rPr>
                                <w:rFonts w:ascii="Times New Roman" w:hAnsi="Times New Roman"/>
                              </w:rPr>
                              <w:t>29% aux hôpitaux</w:t>
                            </w:r>
                          </w:p>
                          <w:p w:rsidR="006E457F" w:rsidRPr="00E60A37" w:rsidRDefault="006E457F" w:rsidP="00E7433C">
                            <w:pPr>
                              <w:pStyle w:val="Paragraphedeliste"/>
                              <w:numPr>
                                <w:ilvl w:val="0"/>
                                <w:numId w:val="22"/>
                              </w:numPr>
                              <w:rPr>
                                <w:rFonts w:ascii="Times New Roman" w:hAnsi="Times New Roman"/>
                              </w:rPr>
                            </w:pPr>
                            <w:r w:rsidRPr="00E60A37">
                              <w:rPr>
                                <w:rFonts w:ascii="Times New Roman" w:hAnsi="Times New Roman"/>
                              </w:rPr>
                              <w:t xml:space="preserve">17% aux prestataires </w:t>
                            </w:r>
                            <w:r>
                              <w:rPr>
                                <w:rFonts w:ascii="Times New Roman" w:hAnsi="Times New Roman"/>
                              </w:rPr>
                              <w:t xml:space="preserve">de soins de santé ambulatoires </w:t>
                            </w:r>
                          </w:p>
                          <w:p w:rsidR="006E457F" w:rsidRPr="00E60A37" w:rsidRDefault="006E457F" w:rsidP="00E7433C">
                            <w:pPr>
                              <w:pStyle w:val="Paragraphedeliste"/>
                              <w:numPr>
                                <w:ilvl w:val="0"/>
                                <w:numId w:val="22"/>
                              </w:numPr>
                              <w:rPr>
                                <w:rFonts w:ascii="Times New Roman" w:hAnsi="Times New Roman"/>
                              </w:rPr>
                            </w:pPr>
                            <w:r w:rsidRPr="00E60A37">
                              <w:rPr>
                                <w:rFonts w:ascii="Times New Roman" w:hAnsi="Times New Roman"/>
                              </w:rPr>
                              <w:t>6% aux prestataires de services auxiliaires.</w:t>
                            </w:r>
                          </w:p>
                          <w:p w:rsidR="006E457F" w:rsidRPr="000D715E" w:rsidRDefault="006E457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3" o:spid="_x0000_s1026" type="#_x0000_t202" style="position:absolute;left:0;text-align:left;margin-left:251.65pt;margin-top:2.1pt;width:244pt;height:153.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" stroked="f">
                <v:textbox>
                  <w:txbxContent>
                    <w:p w:rsidR="006E457F" w:rsidRPr="000D715E" w:rsidRDefault="006E457F" w:rsidP="00E7433C">
                      <w:r>
                        <w:t xml:space="preserve">Les dépenses des </w:t>
                      </w:r>
                      <w:r w:rsidRPr="000D715E">
                        <w:t xml:space="preserve">ménages </w:t>
                      </w:r>
                      <w:r>
                        <w:t xml:space="preserve">auprès des structures prestataires </w:t>
                      </w:r>
                      <w:r w:rsidRPr="000D715E">
                        <w:t xml:space="preserve"> </w:t>
                      </w:r>
                      <w:r>
                        <w:t>étaient</w:t>
                      </w:r>
                      <w:r w:rsidRPr="000D715E">
                        <w:t xml:space="preserve"> de la manière suivante :</w:t>
                      </w:r>
                    </w:p>
                    <w:p w:rsidR="006E457F" w:rsidRPr="00E60A37" w:rsidRDefault="006E457F" w:rsidP="00E7433C">
                      <w:pPr>
                        <w:pStyle w:val="Paragraphedeliste"/>
                        <w:numPr>
                          <w:ilvl w:val="0"/>
                          <w:numId w:val="22"/>
                        </w:numPr>
                        <w:rPr>
                          <w:rFonts w:ascii="Times New Roman" w:hAnsi="Times New Roman"/>
                        </w:rPr>
                      </w:pPr>
                      <w:r w:rsidRPr="00E60A37">
                        <w:rPr>
                          <w:rFonts w:ascii="Times New Roman" w:hAnsi="Times New Roman"/>
                        </w:rPr>
                        <w:t>49 % aux  détaillants et autres prestataires des biens médicaux</w:t>
                      </w:r>
                    </w:p>
                    <w:p w:rsidR="006E457F" w:rsidRPr="00E60A37" w:rsidRDefault="006E457F" w:rsidP="00E7433C">
                      <w:pPr>
                        <w:pStyle w:val="Paragraphedeliste"/>
                        <w:numPr>
                          <w:ilvl w:val="0"/>
                          <w:numId w:val="22"/>
                        </w:numPr>
                        <w:rPr>
                          <w:rFonts w:ascii="Times New Roman" w:hAnsi="Times New Roman"/>
                        </w:rPr>
                      </w:pPr>
                      <w:r w:rsidRPr="00E60A37">
                        <w:rPr>
                          <w:rFonts w:ascii="Times New Roman" w:hAnsi="Times New Roman"/>
                        </w:rPr>
                        <w:t>29% aux hôpitaux</w:t>
                      </w:r>
                    </w:p>
                    <w:p w:rsidR="006E457F" w:rsidRPr="00E60A37" w:rsidRDefault="006E457F" w:rsidP="00E7433C">
                      <w:pPr>
                        <w:pStyle w:val="Paragraphedeliste"/>
                        <w:numPr>
                          <w:ilvl w:val="0"/>
                          <w:numId w:val="22"/>
                        </w:numPr>
                        <w:rPr>
                          <w:rFonts w:ascii="Times New Roman" w:hAnsi="Times New Roman"/>
                        </w:rPr>
                      </w:pPr>
                      <w:r w:rsidRPr="00E60A37">
                        <w:rPr>
                          <w:rFonts w:ascii="Times New Roman" w:hAnsi="Times New Roman"/>
                        </w:rPr>
                        <w:t xml:space="preserve">17% aux prestataires </w:t>
                      </w:r>
                      <w:r>
                        <w:rPr>
                          <w:rFonts w:ascii="Times New Roman" w:hAnsi="Times New Roman"/>
                        </w:rPr>
                        <w:t xml:space="preserve">de soins de santé ambulatoires </w:t>
                      </w:r>
                    </w:p>
                    <w:p w:rsidR="006E457F" w:rsidRPr="00E60A37" w:rsidRDefault="006E457F" w:rsidP="00E7433C">
                      <w:pPr>
                        <w:pStyle w:val="Paragraphedeliste"/>
                        <w:numPr>
                          <w:ilvl w:val="0"/>
                          <w:numId w:val="22"/>
                        </w:numPr>
                        <w:rPr>
                          <w:rFonts w:ascii="Times New Roman" w:hAnsi="Times New Roman"/>
                        </w:rPr>
                      </w:pPr>
                      <w:r w:rsidRPr="00E60A37">
                        <w:rPr>
                          <w:rFonts w:ascii="Times New Roman" w:hAnsi="Times New Roman"/>
                        </w:rPr>
                        <w:t>6% aux prestataires de services auxiliaires.</w:t>
                      </w:r>
                    </w:p>
                    <w:p w:rsidR="006E457F" w:rsidRPr="000D715E" w:rsidRDefault="006E457F"/>
                  </w:txbxContent>
                </v:textbox>
              </v:shape>
            </w:pict>
          </mc:Fallback>
        </mc:AlternateContent>
      </w:r>
      <w:r w:rsidR="007E5B6C" w:rsidRPr="007E5B6C">
        <w:rPr>
          <w:noProof/>
          <w:color w:val="000000" w:themeColor="text1"/>
          <w:lang w:eastAsia="fr-FR" w:bidi="ar-SA"/>
        </w:rPr>
        <w:drawing>
          <wp:inline distT="0" distB="0" distL="0" distR="0">
            <wp:extent cx="3028950" cy="2006600"/>
            <wp:effectExtent l="19050" t="0" r="19050" b="0"/>
            <wp:docPr id="59" name="Graphique 47"/>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r w:rsidR="00E7433C">
        <w:rPr>
          <w:b/>
          <w:color w:val="000000" w:themeColor="text1"/>
        </w:rPr>
        <w:br w:type="textWrapping" w:clear="all"/>
      </w:r>
    </w:p>
    <w:p w:rsidR="00843866" w:rsidRDefault="00E60A37" w:rsidP="00843866">
      <w:pPr>
        <w:pStyle w:val="Style2"/>
        <w:rPr>
          <w:b/>
          <w:color w:val="000000" w:themeColor="text1"/>
        </w:rPr>
      </w:pPr>
      <w:r w:rsidRPr="0083408F">
        <w:rPr>
          <w:color w:val="000000" w:themeColor="text1"/>
        </w:rPr>
        <w:t xml:space="preserve">Les dépenses des Ménages ont été issue de l'enquête ECOM effectué en 2011 par l'INS. Cette enquête reste valable jusqu'en 2015.  Ainsi, </w:t>
      </w:r>
      <w:r w:rsidR="0083408F" w:rsidRPr="0083408F">
        <w:rPr>
          <w:color w:val="000000" w:themeColor="text1"/>
        </w:rPr>
        <w:t xml:space="preserve">avec l'hypothèse </w:t>
      </w:r>
      <w:r w:rsidRPr="0083408F">
        <w:rPr>
          <w:color w:val="000000" w:themeColor="text1"/>
        </w:rPr>
        <w:t xml:space="preserve">que </w:t>
      </w:r>
      <w:r w:rsidR="0083408F" w:rsidRPr="0083408F">
        <w:rPr>
          <w:color w:val="000000" w:themeColor="text1"/>
        </w:rPr>
        <w:t>pendant une période de 5 ans (</w:t>
      </w:r>
      <w:r w:rsidRPr="0083408F">
        <w:rPr>
          <w:color w:val="000000" w:themeColor="text1"/>
        </w:rPr>
        <w:t>2011 à 2015</w:t>
      </w:r>
      <w:r w:rsidR="0083408F" w:rsidRPr="0083408F">
        <w:rPr>
          <w:color w:val="000000" w:themeColor="text1"/>
        </w:rPr>
        <w:t>) la situation économique et sociale de la population peut rester la même</w:t>
      </w:r>
      <w:r w:rsidRPr="0083408F">
        <w:rPr>
          <w:color w:val="000000" w:themeColor="text1"/>
        </w:rPr>
        <w:t xml:space="preserve">, </w:t>
      </w:r>
      <w:r w:rsidR="0083408F" w:rsidRPr="0083408F">
        <w:rPr>
          <w:color w:val="000000" w:themeColor="text1"/>
        </w:rPr>
        <w:t>les dépenses des ménages affectées auprès des prestataires ont gardé le même statut.</w:t>
      </w:r>
      <w:r w:rsidR="0083408F">
        <w:rPr>
          <w:b/>
          <w:color w:val="000000" w:themeColor="text1"/>
        </w:rPr>
        <w:t xml:space="preserve"> </w:t>
      </w:r>
    </w:p>
    <w:p w:rsidR="00B66376" w:rsidRPr="008D45CE" w:rsidRDefault="00B66376" w:rsidP="00A401E9">
      <w:pPr>
        <w:pStyle w:val="Style2"/>
        <w:rPr>
          <w:color w:val="000000" w:themeColor="text1"/>
        </w:rPr>
      </w:pPr>
    </w:p>
    <w:p w:rsidR="00A10E04" w:rsidRPr="00ED7535" w:rsidRDefault="00A10E04" w:rsidP="00A401E9">
      <w:pPr>
        <w:pStyle w:val="Titre2"/>
        <w:rPr>
          <w:color w:val="4F81BD" w:themeColor="accent1"/>
        </w:rPr>
      </w:pPr>
      <w:bookmarkStart w:id="62" w:name="_Toc465262364"/>
      <w:bookmarkStart w:id="63" w:name="_Toc483474619"/>
      <w:r w:rsidRPr="00ED7535">
        <w:rPr>
          <w:color w:val="4F81BD" w:themeColor="accent1"/>
        </w:rPr>
        <w:t xml:space="preserve">4.3. UTILISATION DES RESSOURCES </w:t>
      </w:r>
      <w:bookmarkEnd w:id="62"/>
      <w:bookmarkEnd w:id="63"/>
      <w:r w:rsidR="00CF7177" w:rsidRPr="000E52BC">
        <w:rPr>
          <w:color w:val="4F81BD" w:themeColor="accent1"/>
        </w:rPr>
        <w:t xml:space="preserve">FINANCIERES </w:t>
      </w:r>
      <w:r w:rsidR="000D6C9F">
        <w:rPr>
          <w:color w:val="4F81BD" w:themeColor="accent1"/>
        </w:rPr>
        <w:t>DE  2011 à 2015</w:t>
      </w:r>
    </w:p>
    <w:p w:rsidR="00A10E04" w:rsidRPr="008D45CE" w:rsidRDefault="00120911" w:rsidP="00A401E9">
      <w:pPr>
        <w:pStyle w:val="Style2"/>
        <w:rPr>
          <w:color w:val="000000" w:themeColor="text1"/>
        </w:rPr>
      </w:pPr>
      <w:r w:rsidRPr="008D45CE">
        <w:rPr>
          <w:color w:val="000000" w:themeColor="text1"/>
        </w:rPr>
        <w:t>Dans ce rapport, l’util</w:t>
      </w:r>
      <w:r w:rsidR="000D6C9F">
        <w:rPr>
          <w:color w:val="000000" w:themeColor="text1"/>
        </w:rPr>
        <w:t xml:space="preserve">isation des ressources traite trois </w:t>
      </w:r>
      <w:r w:rsidRPr="008D45CE">
        <w:rPr>
          <w:color w:val="000000" w:themeColor="text1"/>
        </w:rPr>
        <w:t>point</w:t>
      </w:r>
      <w:r w:rsidR="00D2143B" w:rsidRPr="008D45CE">
        <w:rPr>
          <w:color w:val="000000" w:themeColor="text1"/>
        </w:rPr>
        <w:t>s</w:t>
      </w:r>
      <w:r w:rsidR="000D6C9F">
        <w:rPr>
          <w:color w:val="000000" w:themeColor="text1"/>
        </w:rPr>
        <w:t xml:space="preserve"> essentiels :(i)</w:t>
      </w:r>
      <w:r w:rsidRPr="008D45CE">
        <w:rPr>
          <w:color w:val="000000" w:themeColor="text1"/>
        </w:rPr>
        <w:t xml:space="preserve"> les </w:t>
      </w:r>
      <w:r w:rsidR="00A10E04" w:rsidRPr="008D45CE">
        <w:rPr>
          <w:color w:val="000000" w:themeColor="text1"/>
        </w:rPr>
        <w:t xml:space="preserve">fonctions </w:t>
      </w:r>
      <w:r w:rsidR="000D6C9F">
        <w:rPr>
          <w:color w:val="000000" w:themeColor="text1"/>
        </w:rPr>
        <w:t xml:space="preserve">de santé, (ii) </w:t>
      </w:r>
      <w:r w:rsidR="002C5736" w:rsidRPr="008D45CE">
        <w:rPr>
          <w:color w:val="000000" w:themeColor="text1"/>
        </w:rPr>
        <w:t>les facteurs de prestation</w:t>
      </w:r>
      <w:r w:rsidR="000D6C9F">
        <w:rPr>
          <w:color w:val="000000" w:themeColor="text1"/>
        </w:rPr>
        <w:t xml:space="preserve"> et (iii) les maladies</w:t>
      </w:r>
      <w:r w:rsidR="00A10E04" w:rsidRPr="008D45CE">
        <w:rPr>
          <w:color w:val="000000" w:themeColor="text1"/>
        </w:rPr>
        <w:t>.</w:t>
      </w:r>
    </w:p>
    <w:p w:rsidR="00E4165B" w:rsidRPr="0083408F" w:rsidRDefault="00F31F34" w:rsidP="000D6C9F">
      <w:pPr>
        <w:pStyle w:val="Titre3"/>
        <w:numPr>
          <w:ilvl w:val="2"/>
          <w:numId w:val="23"/>
        </w:numPr>
        <w:rPr>
          <w:i w:val="0"/>
          <w:color w:val="000000" w:themeColor="text1"/>
        </w:rPr>
      </w:pPr>
      <w:bookmarkStart w:id="64" w:name="_Toc483474620"/>
      <w:bookmarkStart w:id="65" w:name="_Toc465262365"/>
      <w:r>
        <w:rPr>
          <w:i w:val="0"/>
          <w:color w:val="000000" w:themeColor="text1"/>
        </w:rPr>
        <w:t xml:space="preserve">Analyse de la DCS par </w:t>
      </w:r>
      <w:r w:rsidR="00A10E04" w:rsidRPr="0083408F">
        <w:rPr>
          <w:i w:val="0"/>
          <w:color w:val="000000" w:themeColor="text1"/>
        </w:rPr>
        <w:t>Fonction</w:t>
      </w:r>
      <w:r w:rsidR="002C5736" w:rsidRPr="0083408F">
        <w:rPr>
          <w:i w:val="0"/>
          <w:color w:val="000000" w:themeColor="text1"/>
        </w:rPr>
        <w:t>s</w:t>
      </w:r>
      <w:r w:rsidR="00D2143B" w:rsidRPr="0083408F">
        <w:rPr>
          <w:i w:val="0"/>
          <w:color w:val="000000" w:themeColor="text1"/>
        </w:rPr>
        <w:t xml:space="preserve"> </w:t>
      </w:r>
      <w:r w:rsidR="002C5736" w:rsidRPr="0083408F">
        <w:rPr>
          <w:i w:val="0"/>
          <w:color w:val="000000" w:themeColor="text1"/>
        </w:rPr>
        <w:t>de santé</w:t>
      </w:r>
      <w:bookmarkEnd w:id="64"/>
      <w:bookmarkEnd w:id="65"/>
      <w:r>
        <w:rPr>
          <w:i w:val="0"/>
          <w:color w:val="000000" w:themeColor="text1"/>
        </w:rPr>
        <w:t xml:space="preserve"> de 2011 à 2015</w:t>
      </w:r>
    </w:p>
    <w:p w:rsidR="002D4E6A" w:rsidRDefault="00E4165B" w:rsidP="002C5736">
      <w:pPr>
        <w:jc w:val="both"/>
        <w:rPr>
          <w:color w:val="000000" w:themeColor="text1"/>
        </w:rPr>
      </w:pPr>
      <w:r w:rsidRPr="008D45CE">
        <w:rPr>
          <w:color w:val="000000" w:themeColor="text1"/>
        </w:rPr>
        <w:t>Les soins de santé sont généralement consommés comme un service complet</w:t>
      </w:r>
      <w:r w:rsidR="000D6C9F">
        <w:rPr>
          <w:color w:val="000000" w:themeColor="text1"/>
        </w:rPr>
        <w:t xml:space="preserve"> et</w:t>
      </w:r>
      <w:r w:rsidR="002D4E6A">
        <w:rPr>
          <w:color w:val="000000" w:themeColor="text1"/>
        </w:rPr>
        <w:t xml:space="preserve"> intégré.  Ils  offren</w:t>
      </w:r>
      <w:r w:rsidRPr="008D45CE">
        <w:rPr>
          <w:color w:val="000000" w:themeColor="text1"/>
        </w:rPr>
        <w:t>t normalement un ensemble de</w:t>
      </w:r>
      <w:r w:rsidR="00D2143B" w:rsidRPr="008D45CE">
        <w:rPr>
          <w:color w:val="000000" w:themeColor="text1"/>
        </w:rPr>
        <w:t>s</w:t>
      </w:r>
      <w:r w:rsidRPr="008D45CE">
        <w:rPr>
          <w:color w:val="000000" w:themeColor="text1"/>
        </w:rPr>
        <w:t xml:space="preserve"> services</w:t>
      </w:r>
      <w:r w:rsidR="002D4E6A">
        <w:rPr>
          <w:color w:val="000000" w:themeColor="text1"/>
        </w:rPr>
        <w:t xml:space="preserve"> intégrés et</w:t>
      </w:r>
      <w:r w:rsidRPr="008D45CE">
        <w:rPr>
          <w:color w:val="000000" w:themeColor="text1"/>
        </w:rPr>
        <w:t xml:space="preserve"> personnalisés, par exemple, de soins préventifs, c</w:t>
      </w:r>
      <w:r w:rsidR="002D4E6A">
        <w:rPr>
          <w:color w:val="000000" w:themeColor="text1"/>
        </w:rPr>
        <w:t>uratifs et de réadaptation</w:t>
      </w:r>
      <w:r w:rsidR="000C6F17">
        <w:rPr>
          <w:color w:val="000000" w:themeColor="text1"/>
        </w:rPr>
        <w:t>s</w:t>
      </w:r>
      <w:r w:rsidR="002D4E6A">
        <w:rPr>
          <w:color w:val="000000" w:themeColor="text1"/>
        </w:rPr>
        <w:t>. Ces services peu</w:t>
      </w:r>
      <w:r w:rsidR="000C6F17">
        <w:rPr>
          <w:color w:val="000000" w:themeColor="text1"/>
        </w:rPr>
        <w:t>ven</w:t>
      </w:r>
      <w:r w:rsidRPr="008D45CE">
        <w:rPr>
          <w:color w:val="000000" w:themeColor="text1"/>
        </w:rPr>
        <w:t>t ou non être fournis dans</w:t>
      </w:r>
      <w:r w:rsidR="000C6F17">
        <w:rPr>
          <w:color w:val="000000" w:themeColor="text1"/>
        </w:rPr>
        <w:t xml:space="preserve"> le cadre d’un programme plan et projet de santé</w:t>
      </w:r>
      <w:r w:rsidRPr="008D45CE">
        <w:rPr>
          <w:color w:val="000000" w:themeColor="text1"/>
        </w:rPr>
        <w:t xml:space="preserve">. </w:t>
      </w:r>
    </w:p>
    <w:p w:rsidR="002D4E6A" w:rsidRPr="000E52BC" w:rsidRDefault="001B7F08" w:rsidP="00CB29E6">
      <w:pPr>
        <w:pStyle w:val="Paragraphedeliste"/>
        <w:ind w:left="0"/>
        <w:jc w:val="both"/>
        <w:rPr>
          <w:rFonts w:ascii="Times New Roman" w:hAnsi="Times New Roman"/>
          <w:color w:val="000000" w:themeColor="text1"/>
        </w:rPr>
      </w:pPr>
      <w:r w:rsidRPr="000E52BC">
        <w:rPr>
          <w:rFonts w:ascii="Times New Roman" w:hAnsi="Times New Roman"/>
          <w:color w:val="000000" w:themeColor="text1"/>
        </w:rPr>
        <w:lastRenderedPageBreak/>
        <w:t>Cette section est consacrée</w:t>
      </w:r>
      <w:r w:rsidR="00342444" w:rsidRPr="000E52BC">
        <w:rPr>
          <w:rFonts w:ascii="Times New Roman" w:hAnsi="Times New Roman"/>
          <w:color w:val="000000" w:themeColor="text1"/>
        </w:rPr>
        <w:t> </w:t>
      </w:r>
      <w:r w:rsidRPr="000E52BC">
        <w:rPr>
          <w:rFonts w:ascii="Times New Roman" w:hAnsi="Times New Roman"/>
          <w:color w:val="000000" w:themeColor="text1"/>
        </w:rPr>
        <w:t xml:space="preserve"> aux</w:t>
      </w:r>
      <w:r w:rsidR="00342444" w:rsidRPr="000E52BC">
        <w:rPr>
          <w:rFonts w:ascii="Times New Roman" w:hAnsi="Times New Roman"/>
          <w:color w:val="000000" w:themeColor="text1"/>
        </w:rPr>
        <w:t xml:space="preserve"> : (i) </w:t>
      </w:r>
      <w:r w:rsidRPr="000E52BC">
        <w:rPr>
          <w:rFonts w:ascii="Times New Roman" w:hAnsi="Times New Roman"/>
          <w:color w:val="000000" w:themeColor="text1"/>
        </w:rPr>
        <w:t>DCS</w:t>
      </w:r>
      <w:r w:rsidR="00342444" w:rsidRPr="000E52BC">
        <w:rPr>
          <w:rFonts w:ascii="Times New Roman" w:hAnsi="Times New Roman"/>
          <w:color w:val="000000" w:themeColor="text1"/>
        </w:rPr>
        <w:t xml:space="preserve"> par fonction et par année, (ii) D</w:t>
      </w:r>
      <w:r w:rsidR="00342444" w:rsidRPr="00342444">
        <w:rPr>
          <w:rFonts w:ascii="Times New Roman" w:hAnsi="Times New Roman"/>
          <w:color w:val="000000" w:themeColor="text1"/>
        </w:rPr>
        <w:t>CS</w:t>
      </w:r>
      <w:r w:rsidR="00342444" w:rsidRPr="000E52BC">
        <w:rPr>
          <w:rFonts w:ascii="Times New Roman" w:hAnsi="Times New Roman"/>
          <w:color w:val="000000" w:themeColor="text1"/>
        </w:rPr>
        <w:t xml:space="preserve"> de</w:t>
      </w:r>
      <w:r w:rsidR="00342444" w:rsidRPr="00342444">
        <w:rPr>
          <w:rFonts w:ascii="Times New Roman" w:hAnsi="Times New Roman"/>
          <w:color w:val="000000" w:themeColor="text1"/>
        </w:rPr>
        <w:t xml:space="preserve"> l’Administration publique</w:t>
      </w:r>
      <w:r w:rsidR="00342444" w:rsidRPr="000E52BC">
        <w:rPr>
          <w:rFonts w:ascii="Times New Roman" w:hAnsi="Times New Roman"/>
          <w:color w:val="000000" w:themeColor="text1"/>
        </w:rPr>
        <w:t xml:space="preserve"> (gouvernement) par f</w:t>
      </w:r>
      <w:r w:rsidR="00342444" w:rsidRPr="00342444">
        <w:rPr>
          <w:rFonts w:ascii="Times New Roman" w:hAnsi="Times New Roman"/>
          <w:color w:val="000000" w:themeColor="text1"/>
        </w:rPr>
        <w:t>onction</w:t>
      </w:r>
      <w:r w:rsidR="00342444" w:rsidRPr="000E52BC">
        <w:rPr>
          <w:rFonts w:ascii="Times New Roman" w:hAnsi="Times New Roman"/>
          <w:color w:val="000000" w:themeColor="text1"/>
        </w:rPr>
        <w:t xml:space="preserve"> et par année et (iii) DCS des ménages par fonction et par année.</w:t>
      </w:r>
    </w:p>
    <w:p w:rsidR="00CB29E6" w:rsidRPr="00CB29E6" w:rsidRDefault="00CB29E6" w:rsidP="00CB29E6">
      <w:pPr>
        <w:pStyle w:val="Paragraphedeliste"/>
        <w:ind w:left="0"/>
        <w:jc w:val="both"/>
        <w:rPr>
          <w:rFonts w:ascii="Times New Roman" w:hAnsi="Times New Roman"/>
          <w:color w:val="000000" w:themeColor="text1"/>
        </w:rPr>
      </w:pPr>
    </w:p>
    <w:p w:rsidR="00E4165B" w:rsidRDefault="003859EB" w:rsidP="002C5736">
      <w:pPr>
        <w:jc w:val="both"/>
        <w:rPr>
          <w:color w:val="000000" w:themeColor="text1"/>
        </w:rPr>
      </w:pPr>
      <w:r>
        <w:rPr>
          <w:color w:val="000000" w:themeColor="text1"/>
        </w:rPr>
        <w:t>Les graphiques</w:t>
      </w:r>
      <w:r w:rsidR="00492A76">
        <w:rPr>
          <w:color w:val="000000" w:themeColor="text1"/>
        </w:rPr>
        <w:t xml:space="preserve"> </w:t>
      </w:r>
      <w:r w:rsidR="00E55D5A" w:rsidRPr="008D45CE">
        <w:rPr>
          <w:color w:val="000000" w:themeColor="text1"/>
        </w:rPr>
        <w:t xml:space="preserve"> ci-desso</w:t>
      </w:r>
      <w:r w:rsidR="002D4E6A">
        <w:rPr>
          <w:color w:val="000000" w:themeColor="text1"/>
        </w:rPr>
        <w:t>us montre</w:t>
      </w:r>
      <w:r>
        <w:rPr>
          <w:color w:val="000000" w:themeColor="text1"/>
        </w:rPr>
        <w:t>nt</w:t>
      </w:r>
      <w:r w:rsidR="002D4E6A">
        <w:rPr>
          <w:color w:val="000000" w:themeColor="text1"/>
        </w:rPr>
        <w:t xml:space="preserve"> la répartition des dépenses de la santé par fonction et par année</w:t>
      </w:r>
      <w:r w:rsidR="00E55D5A" w:rsidRPr="008D45CE">
        <w:rPr>
          <w:color w:val="000000" w:themeColor="text1"/>
        </w:rPr>
        <w:t>.</w:t>
      </w:r>
    </w:p>
    <w:p w:rsidR="00492A76" w:rsidRDefault="00492A76" w:rsidP="002C5736">
      <w:pPr>
        <w:jc w:val="both"/>
        <w:rPr>
          <w:color w:val="000000" w:themeColor="text1"/>
        </w:rPr>
      </w:pPr>
    </w:p>
    <w:tbl>
      <w:tblPr>
        <w:tblStyle w:val="Grilledutableau"/>
        <w:tblW w:w="9639" w:type="dxa"/>
        <w:tblInd w:w="2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70" w:type="dxa"/>
          <w:right w:w="70" w:type="dxa"/>
        </w:tblCellMar>
        <w:tblLook w:val="04A0" w:firstRow="1" w:lastRow="0" w:firstColumn="1" w:lastColumn="0" w:noHBand="0" w:noVBand="1"/>
      </w:tblPr>
      <w:tblGrid>
        <w:gridCol w:w="6662"/>
        <w:gridCol w:w="2977"/>
      </w:tblGrid>
      <w:tr w:rsidR="002C3965" w:rsidRPr="00B744B8" w:rsidTr="008C20FD">
        <w:tc>
          <w:tcPr>
            <w:tcW w:w="6662" w:type="dxa"/>
          </w:tcPr>
          <w:p w:rsidR="002C3965" w:rsidRDefault="002C3965" w:rsidP="003859EB">
            <w:pPr>
              <w:spacing w:after="200" w:line="20" w:lineRule="atLeast"/>
              <w:rPr>
                <w:color w:val="000000" w:themeColor="text1"/>
              </w:rPr>
            </w:pPr>
            <w:r>
              <w:rPr>
                <w:rStyle w:val="Style2Car"/>
                <w:rFonts w:eastAsia="Calibri"/>
                <w:color w:val="000000" w:themeColor="text1"/>
              </w:rPr>
              <w:t xml:space="preserve">Graphique  n°26 : </w:t>
            </w:r>
            <w:r>
              <w:rPr>
                <w:color w:val="000000" w:themeColor="text1"/>
              </w:rPr>
              <w:t>Répartition des dépenses de santé par fonction en 2011</w:t>
            </w:r>
            <w:r w:rsidRPr="008D45CE">
              <w:rPr>
                <w:color w:val="000000" w:themeColor="text1"/>
              </w:rPr>
              <w:t>.</w:t>
            </w:r>
          </w:p>
          <w:p w:rsidR="002C3965" w:rsidRPr="0042752F" w:rsidRDefault="002C3965" w:rsidP="003859EB">
            <w:pPr>
              <w:spacing w:after="200" w:line="20" w:lineRule="atLeast"/>
              <w:rPr>
                <w:rStyle w:val="Style2Car"/>
                <w:color w:val="000000" w:themeColor="text1"/>
              </w:rPr>
            </w:pPr>
            <w:r>
              <w:rPr>
                <w:i/>
                <w:noProof/>
                <w:color w:val="000000" w:themeColor="text1"/>
                <w:lang w:bidi="ar-SA"/>
              </w:rPr>
              <w:drawing>
                <wp:anchor distT="0" distB="0" distL="114300" distR="114300" simplePos="0" relativeHeight="251643392" behindDoc="0" locked="0" layoutInCell="1" allowOverlap="1">
                  <wp:simplePos x="0" y="0"/>
                  <wp:positionH relativeFrom="margin">
                    <wp:posOffset>210185</wp:posOffset>
                  </wp:positionH>
                  <wp:positionV relativeFrom="margin">
                    <wp:posOffset>534670</wp:posOffset>
                  </wp:positionV>
                  <wp:extent cx="3702050" cy="3257550"/>
                  <wp:effectExtent l="0" t="0" r="0" b="0"/>
                  <wp:wrapSquare wrapText="bothSides"/>
                  <wp:docPr id="56" name="Imag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702050" cy="3257550"/>
                          </a:xfrm>
                          <a:prstGeom prst="rect">
                            <a:avLst/>
                          </a:prstGeom>
                          <a:noFill/>
                        </pic:spPr>
                      </pic:pic>
                    </a:graphicData>
                  </a:graphic>
                </wp:anchor>
              </w:drawing>
            </w:r>
          </w:p>
        </w:tc>
        <w:tc>
          <w:tcPr>
            <w:tcW w:w="2977" w:type="dxa"/>
          </w:tcPr>
          <w:p w:rsidR="00D56CA1" w:rsidRDefault="000C6F17" w:rsidP="00981D77">
            <w:pPr>
              <w:spacing w:after="200" w:line="20" w:lineRule="atLeast"/>
              <w:jc w:val="both"/>
              <w:rPr>
                <w:rFonts w:eastAsia="Calibri"/>
                <w:color w:val="000000"/>
                <w:sz w:val="18"/>
                <w:szCs w:val="20"/>
                <w:lang w:eastAsia="en-US"/>
              </w:rPr>
            </w:pPr>
            <w:r>
              <w:rPr>
                <w:rFonts w:eastAsia="Calibri"/>
                <w:color w:val="000000"/>
                <w:sz w:val="18"/>
                <w:szCs w:val="20"/>
                <w:lang w:eastAsia="en-US"/>
              </w:rPr>
              <w:t>Les fonctio</w:t>
            </w:r>
            <w:r w:rsidR="00D56CA1">
              <w:rPr>
                <w:rFonts w:eastAsia="Calibri"/>
                <w:color w:val="000000"/>
                <w:sz w:val="18"/>
                <w:szCs w:val="20"/>
                <w:lang w:eastAsia="en-US"/>
              </w:rPr>
              <w:t>n</w:t>
            </w:r>
            <w:r w:rsidR="00981D77" w:rsidRPr="00981D77">
              <w:rPr>
                <w:rFonts w:eastAsia="Calibri"/>
                <w:color w:val="000000"/>
                <w:sz w:val="18"/>
                <w:szCs w:val="20"/>
                <w:lang w:eastAsia="en-US"/>
              </w:rPr>
              <w:t>s appelé</w:t>
            </w:r>
            <w:r w:rsidR="00D56CA1">
              <w:rPr>
                <w:rFonts w:eastAsia="Calibri"/>
                <w:color w:val="000000"/>
                <w:sz w:val="18"/>
                <w:szCs w:val="20"/>
                <w:lang w:eastAsia="en-US"/>
              </w:rPr>
              <w:t>e</w:t>
            </w:r>
            <w:r w:rsidR="00981D77" w:rsidRPr="00981D77">
              <w:rPr>
                <w:rFonts w:eastAsia="Calibri"/>
                <w:color w:val="000000"/>
                <w:sz w:val="18"/>
                <w:szCs w:val="20"/>
                <w:lang w:eastAsia="en-US"/>
              </w:rPr>
              <w:t>s</w:t>
            </w:r>
            <w:r w:rsidR="00D56CA1">
              <w:rPr>
                <w:rFonts w:eastAsia="Calibri"/>
                <w:color w:val="000000"/>
                <w:sz w:val="18"/>
                <w:szCs w:val="20"/>
                <w:lang w:eastAsia="en-US"/>
              </w:rPr>
              <w:t xml:space="preserve"> Gouvernance,  administration du système de santé et des </w:t>
            </w:r>
            <w:r w:rsidR="00981D77" w:rsidRPr="00981D77">
              <w:rPr>
                <w:rFonts w:eastAsia="Calibri"/>
                <w:color w:val="000000"/>
                <w:sz w:val="18"/>
                <w:szCs w:val="20"/>
                <w:lang w:eastAsia="en-US"/>
              </w:rPr>
              <w:t>financement</w:t>
            </w:r>
            <w:r w:rsidR="00D56CA1">
              <w:rPr>
                <w:rFonts w:eastAsia="Calibri"/>
                <w:color w:val="000000"/>
                <w:sz w:val="18"/>
                <w:szCs w:val="20"/>
                <w:lang w:eastAsia="en-US"/>
              </w:rPr>
              <w:t>s</w:t>
            </w:r>
            <w:r w:rsidR="00981D77" w:rsidRPr="00981D77">
              <w:rPr>
                <w:rFonts w:eastAsia="Calibri"/>
                <w:color w:val="000000"/>
                <w:sz w:val="18"/>
                <w:szCs w:val="20"/>
                <w:lang w:eastAsia="en-US"/>
              </w:rPr>
              <w:t xml:space="preserve"> </w:t>
            </w:r>
            <w:r w:rsidR="00D56CA1">
              <w:rPr>
                <w:rFonts w:eastAsia="Calibri"/>
                <w:color w:val="000000"/>
                <w:sz w:val="18"/>
                <w:szCs w:val="20"/>
                <w:lang w:eastAsia="en-US"/>
              </w:rPr>
              <w:t>ont</w:t>
            </w:r>
            <w:r w:rsidR="006166FF">
              <w:rPr>
                <w:rFonts w:eastAsia="Calibri"/>
                <w:color w:val="000000"/>
                <w:sz w:val="18"/>
                <w:szCs w:val="20"/>
                <w:lang w:eastAsia="en-US"/>
              </w:rPr>
              <w:t xml:space="preserve"> représent</w:t>
            </w:r>
            <w:r w:rsidR="00D56CA1">
              <w:rPr>
                <w:rFonts w:eastAsia="Calibri"/>
                <w:color w:val="000000"/>
                <w:sz w:val="18"/>
                <w:szCs w:val="20"/>
                <w:lang w:eastAsia="en-US"/>
              </w:rPr>
              <w:t>ées 28% de la DCS en 201</w:t>
            </w:r>
            <w:r w:rsidR="006166FF">
              <w:rPr>
                <w:rFonts w:eastAsia="Calibri"/>
                <w:color w:val="000000"/>
                <w:sz w:val="18"/>
                <w:szCs w:val="20"/>
                <w:lang w:eastAsia="en-US"/>
              </w:rPr>
              <w:t>1.</w:t>
            </w:r>
          </w:p>
          <w:p w:rsidR="00981D77" w:rsidRDefault="00D56CA1" w:rsidP="00D56CA1">
            <w:pPr>
              <w:spacing w:after="200" w:line="20" w:lineRule="atLeast"/>
              <w:jc w:val="both"/>
              <w:rPr>
                <w:rFonts w:eastAsia="Calibri"/>
                <w:color w:val="000000"/>
                <w:sz w:val="18"/>
                <w:szCs w:val="20"/>
                <w:lang w:eastAsia="en-US"/>
              </w:rPr>
            </w:pPr>
            <w:r>
              <w:rPr>
                <w:rFonts w:eastAsia="Calibri"/>
                <w:color w:val="000000"/>
                <w:sz w:val="18"/>
                <w:szCs w:val="20"/>
                <w:lang w:eastAsia="en-US"/>
              </w:rPr>
              <w:t xml:space="preserve">Les fonctions </w:t>
            </w:r>
            <w:r w:rsidR="00981D77" w:rsidRPr="00981D77">
              <w:rPr>
                <w:rFonts w:eastAsia="Calibri"/>
                <w:color w:val="000000"/>
                <w:sz w:val="18"/>
                <w:szCs w:val="20"/>
                <w:lang w:eastAsia="en-US"/>
              </w:rPr>
              <w:t>s</w:t>
            </w:r>
            <w:r>
              <w:rPr>
                <w:rFonts w:eastAsia="Calibri"/>
                <w:color w:val="000000"/>
                <w:sz w:val="18"/>
                <w:szCs w:val="20"/>
                <w:lang w:eastAsia="en-US"/>
              </w:rPr>
              <w:t>oins préventifs et médicaments délivrés sur ordonnance</w:t>
            </w:r>
            <w:r w:rsidR="006166FF">
              <w:rPr>
                <w:rFonts w:eastAsia="Calibri"/>
                <w:color w:val="000000"/>
                <w:sz w:val="18"/>
                <w:szCs w:val="20"/>
                <w:lang w:eastAsia="en-US"/>
              </w:rPr>
              <w:t xml:space="preserve"> ont représent</w:t>
            </w:r>
            <w:r>
              <w:rPr>
                <w:rFonts w:eastAsia="Calibri"/>
                <w:color w:val="000000"/>
                <w:sz w:val="18"/>
                <w:szCs w:val="20"/>
                <w:lang w:eastAsia="en-US"/>
              </w:rPr>
              <w:t xml:space="preserve">és chacune 20% de la DCS pour la même année.  </w:t>
            </w:r>
            <w:r w:rsidR="00981D77" w:rsidRPr="00981D77">
              <w:rPr>
                <w:rFonts w:eastAsia="Calibri"/>
                <w:color w:val="000000"/>
                <w:sz w:val="18"/>
                <w:szCs w:val="20"/>
                <w:lang w:eastAsia="en-US"/>
              </w:rPr>
              <w:t xml:space="preserve"> </w:t>
            </w:r>
          </w:p>
          <w:p w:rsidR="006166FF" w:rsidRPr="00981D77" w:rsidRDefault="006166FF" w:rsidP="00D56CA1">
            <w:pPr>
              <w:spacing w:after="200" w:line="20" w:lineRule="atLeast"/>
              <w:jc w:val="both"/>
              <w:rPr>
                <w:rFonts w:eastAsia="Calibri"/>
                <w:color w:val="000000"/>
                <w:sz w:val="18"/>
                <w:szCs w:val="20"/>
                <w:lang w:eastAsia="en-US"/>
              </w:rPr>
            </w:pPr>
            <w:r>
              <w:rPr>
                <w:rFonts w:eastAsia="Calibri"/>
                <w:color w:val="000000"/>
                <w:sz w:val="18"/>
                <w:szCs w:val="20"/>
                <w:lang w:eastAsia="en-US"/>
              </w:rPr>
              <w:t>Les soins curatifs ambulatoires  représentent 16% des dépenses courantes.</w:t>
            </w:r>
          </w:p>
          <w:p w:rsidR="00981D77" w:rsidRDefault="006166FF" w:rsidP="006166FF">
            <w:pPr>
              <w:jc w:val="both"/>
              <w:rPr>
                <w:rFonts w:eastAsia="Calibri"/>
                <w:color w:val="000000"/>
                <w:sz w:val="18"/>
                <w:szCs w:val="20"/>
              </w:rPr>
            </w:pPr>
            <w:r>
              <w:rPr>
                <w:rFonts w:eastAsia="Calibri"/>
                <w:color w:val="000000"/>
                <w:sz w:val="18"/>
                <w:szCs w:val="20"/>
              </w:rPr>
              <w:t>Quant aux soins curatifs hospitaliers, ils ont représentés 13%.</w:t>
            </w:r>
          </w:p>
          <w:p w:rsidR="006166FF" w:rsidRPr="00981D77" w:rsidRDefault="006166FF" w:rsidP="006166FF">
            <w:pPr>
              <w:jc w:val="both"/>
              <w:rPr>
                <w:rFonts w:eastAsia="Calibri"/>
                <w:color w:val="000000"/>
                <w:sz w:val="18"/>
                <w:szCs w:val="20"/>
              </w:rPr>
            </w:pPr>
            <w:r>
              <w:rPr>
                <w:rFonts w:eastAsia="Calibri"/>
                <w:color w:val="000000"/>
                <w:sz w:val="18"/>
                <w:szCs w:val="20"/>
              </w:rPr>
              <w:t>Les trois autres fonctions (services auxiliaires, biens médicaux spécifiés et appareils thérapeutiques et a.b.m) n’ont représentés que moins de 4%.</w:t>
            </w:r>
          </w:p>
          <w:p w:rsidR="002C3965" w:rsidRDefault="002C3965" w:rsidP="003859EB">
            <w:pPr>
              <w:spacing w:after="200" w:line="20" w:lineRule="atLeast"/>
              <w:jc w:val="both"/>
              <w:rPr>
                <w:rStyle w:val="Style2Car"/>
                <w:rFonts w:eastAsia="Calibri"/>
                <w:color w:val="000000" w:themeColor="text1"/>
              </w:rPr>
            </w:pPr>
          </w:p>
        </w:tc>
      </w:tr>
      <w:tr w:rsidR="002C3965" w:rsidRPr="00B744B8" w:rsidTr="008C20FD">
        <w:tblPrEx>
          <w:tblCellMar>
            <w:left w:w="108" w:type="dxa"/>
            <w:right w:w="108" w:type="dxa"/>
          </w:tblCellMar>
        </w:tblPrEx>
        <w:trPr>
          <w:trHeight w:val="850"/>
        </w:trPr>
        <w:tc>
          <w:tcPr>
            <w:tcW w:w="6662" w:type="dxa"/>
          </w:tcPr>
          <w:p w:rsidR="002C3965" w:rsidRPr="00CE126A" w:rsidRDefault="002C3965" w:rsidP="00B744B8">
            <w:pPr>
              <w:spacing w:after="200" w:line="20" w:lineRule="atLeast"/>
              <w:rPr>
                <w:i/>
                <w:color w:val="000000" w:themeColor="text1"/>
              </w:rPr>
            </w:pPr>
            <w:r>
              <w:rPr>
                <w:rStyle w:val="Style2Car"/>
                <w:rFonts w:eastAsia="Calibri"/>
                <w:color w:val="000000" w:themeColor="text1"/>
              </w:rPr>
              <w:t xml:space="preserve">Graphique  n°27 : </w:t>
            </w:r>
            <w:r>
              <w:rPr>
                <w:color w:val="000000" w:themeColor="text1"/>
              </w:rPr>
              <w:t>Répartition des dépenses de santé par fonction en 2012</w:t>
            </w:r>
            <w:r>
              <w:rPr>
                <w:i/>
                <w:color w:val="000000" w:themeColor="text1"/>
              </w:rPr>
              <w:t>.</w:t>
            </w:r>
            <w:r>
              <w:rPr>
                <w:i/>
                <w:noProof/>
                <w:color w:val="000000" w:themeColor="text1"/>
                <w:lang w:bidi="ar-SA"/>
              </w:rPr>
              <w:drawing>
                <wp:anchor distT="0" distB="0" distL="114300" distR="114300" simplePos="0" relativeHeight="251644416" behindDoc="0" locked="0" layoutInCell="1" allowOverlap="1">
                  <wp:simplePos x="0" y="0"/>
                  <wp:positionH relativeFrom="margin">
                    <wp:posOffset>186055</wp:posOffset>
                  </wp:positionH>
                  <wp:positionV relativeFrom="margin">
                    <wp:posOffset>601980</wp:posOffset>
                  </wp:positionV>
                  <wp:extent cx="3733800" cy="2857500"/>
                  <wp:effectExtent l="0" t="0" r="0" b="0"/>
                  <wp:wrapSquare wrapText="bothSides"/>
                  <wp:docPr id="58" name="Imag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733800" cy="2857500"/>
                          </a:xfrm>
                          <a:prstGeom prst="rect">
                            <a:avLst/>
                          </a:prstGeom>
                          <a:noFill/>
                        </pic:spPr>
                      </pic:pic>
                    </a:graphicData>
                  </a:graphic>
                </wp:anchor>
              </w:drawing>
            </w:r>
          </w:p>
        </w:tc>
        <w:tc>
          <w:tcPr>
            <w:tcW w:w="2977" w:type="dxa"/>
          </w:tcPr>
          <w:p w:rsidR="002C3965" w:rsidRDefault="009364BA" w:rsidP="00A12DAC">
            <w:pPr>
              <w:jc w:val="both"/>
              <w:rPr>
                <w:rFonts w:eastAsia="Calibri"/>
                <w:sz w:val="20"/>
                <w:szCs w:val="20"/>
              </w:rPr>
            </w:pPr>
            <w:r>
              <w:rPr>
                <w:rFonts w:eastAsia="Calibri"/>
                <w:sz w:val="20"/>
                <w:szCs w:val="20"/>
              </w:rPr>
              <w:t>Les</w:t>
            </w:r>
            <w:r w:rsidR="006166FF">
              <w:rPr>
                <w:rFonts w:eastAsia="Calibri"/>
                <w:sz w:val="20"/>
                <w:szCs w:val="20"/>
              </w:rPr>
              <w:t xml:space="preserve"> fonction</w:t>
            </w:r>
            <w:r>
              <w:rPr>
                <w:rFonts w:eastAsia="Calibri"/>
                <w:sz w:val="20"/>
                <w:szCs w:val="20"/>
              </w:rPr>
              <w:t>s</w:t>
            </w:r>
            <w:r w:rsidR="006166FF">
              <w:rPr>
                <w:rFonts w:eastAsia="Calibri"/>
                <w:sz w:val="20"/>
                <w:szCs w:val="20"/>
              </w:rPr>
              <w:t xml:space="preserve"> soin </w:t>
            </w:r>
            <w:r>
              <w:rPr>
                <w:rFonts w:eastAsia="Calibri"/>
                <w:sz w:val="20"/>
                <w:szCs w:val="20"/>
              </w:rPr>
              <w:t>curatifs hospitaliers ont connu une augmentation de 12 points par rapport à 2011.</w:t>
            </w:r>
          </w:p>
          <w:p w:rsidR="009364BA" w:rsidRDefault="009364BA" w:rsidP="00A12DAC">
            <w:pPr>
              <w:jc w:val="both"/>
              <w:rPr>
                <w:rFonts w:eastAsia="Calibri"/>
                <w:sz w:val="20"/>
                <w:szCs w:val="20"/>
              </w:rPr>
            </w:pPr>
            <w:r>
              <w:rPr>
                <w:rFonts w:eastAsia="Calibri"/>
                <w:sz w:val="20"/>
                <w:szCs w:val="20"/>
              </w:rPr>
              <w:t>Les soins curatifs ambulatoires ont également évolués de 2011 à 2012, passant de 16 à 23%.</w:t>
            </w:r>
          </w:p>
          <w:p w:rsidR="009364BA" w:rsidRDefault="009364BA" w:rsidP="00A12DAC">
            <w:pPr>
              <w:jc w:val="both"/>
              <w:rPr>
                <w:rFonts w:eastAsia="Calibri"/>
                <w:sz w:val="20"/>
                <w:szCs w:val="20"/>
              </w:rPr>
            </w:pPr>
            <w:r>
              <w:rPr>
                <w:rFonts w:eastAsia="Calibri"/>
                <w:sz w:val="20"/>
                <w:szCs w:val="20"/>
              </w:rPr>
              <w:t>Les médicaments délivrés sur ordonnance ont connu une baisse de 4 points par rapport à l’année précédente.</w:t>
            </w:r>
          </w:p>
          <w:p w:rsidR="009364BA" w:rsidRPr="006166FF" w:rsidRDefault="009364BA" w:rsidP="00A12DAC">
            <w:pPr>
              <w:jc w:val="both"/>
              <w:rPr>
                <w:rFonts w:eastAsia="Calibri"/>
                <w:sz w:val="20"/>
                <w:szCs w:val="20"/>
              </w:rPr>
            </w:pPr>
            <w:r>
              <w:rPr>
                <w:rFonts w:eastAsia="Calibri"/>
                <w:sz w:val="20"/>
                <w:szCs w:val="20"/>
              </w:rPr>
              <w:t xml:space="preserve">La gouvernance, administration du système de santé et des financements et  les soins préventifs </w:t>
            </w:r>
          </w:p>
          <w:p w:rsidR="009364BA" w:rsidRDefault="009364BA" w:rsidP="00A12DAC">
            <w:pPr>
              <w:jc w:val="both"/>
              <w:rPr>
                <w:rFonts w:eastAsia="Calibri"/>
                <w:sz w:val="20"/>
                <w:szCs w:val="20"/>
              </w:rPr>
            </w:pPr>
            <w:r>
              <w:rPr>
                <w:rFonts w:eastAsia="Calibri"/>
                <w:sz w:val="20"/>
                <w:szCs w:val="20"/>
              </w:rPr>
              <w:t>ont connu également une baisse respectivement de 9 et de 6 points, passant de 28 à 17% et 20 à 14%.</w:t>
            </w:r>
          </w:p>
          <w:p w:rsidR="009364BA" w:rsidRDefault="00A12DAC" w:rsidP="00A12DAC">
            <w:pPr>
              <w:jc w:val="both"/>
              <w:rPr>
                <w:rFonts w:eastAsia="Calibri"/>
                <w:sz w:val="20"/>
                <w:szCs w:val="20"/>
              </w:rPr>
            </w:pPr>
            <w:r>
              <w:rPr>
                <w:rFonts w:eastAsia="Calibri"/>
                <w:sz w:val="20"/>
                <w:szCs w:val="20"/>
              </w:rPr>
              <w:t>Les mêmes  fonctions qu’en 2011 n’ayant pas représenté 4% de la DCS l’ont été aussi pour 2012.</w:t>
            </w:r>
          </w:p>
          <w:p w:rsidR="009364BA" w:rsidRDefault="009364BA" w:rsidP="003859EB">
            <w:pPr>
              <w:rPr>
                <w:rFonts w:eastAsia="Calibri"/>
                <w:sz w:val="20"/>
                <w:szCs w:val="20"/>
              </w:rPr>
            </w:pPr>
          </w:p>
          <w:p w:rsidR="002C3965" w:rsidRPr="00B15CA3" w:rsidRDefault="002C3965" w:rsidP="003859EB">
            <w:pPr>
              <w:rPr>
                <w:rFonts w:eastAsia="Calibri"/>
              </w:rPr>
            </w:pPr>
          </w:p>
          <w:p w:rsidR="002C3965" w:rsidRPr="00B15CA3" w:rsidRDefault="002C3965" w:rsidP="003859EB">
            <w:pPr>
              <w:rPr>
                <w:rFonts w:eastAsia="Calibri"/>
              </w:rPr>
            </w:pPr>
          </w:p>
          <w:p w:rsidR="002C3965" w:rsidRPr="00B15CA3" w:rsidRDefault="002C3965" w:rsidP="003859EB">
            <w:pPr>
              <w:rPr>
                <w:rFonts w:eastAsia="Calibri"/>
              </w:rPr>
            </w:pPr>
          </w:p>
        </w:tc>
      </w:tr>
      <w:tr w:rsidR="002C3965" w:rsidRPr="00B744B8" w:rsidTr="008C20FD">
        <w:trPr>
          <w:trHeight w:val="5470"/>
        </w:trPr>
        <w:tc>
          <w:tcPr>
            <w:tcW w:w="6662" w:type="dxa"/>
          </w:tcPr>
          <w:p w:rsidR="002C3965" w:rsidRPr="00327760" w:rsidRDefault="002C3965" w:rsidP="00B744B8">
            <w:pPr>
              <w:spacing w:after="200" w:line="20" w:lineRule="atLeast"/>
              <w:rPr>
                <w:rStyle w:val="Style2Car"/>
                <w:i/>
                <w:color w:val="000000" w:themeColor="text1"/>
              </w:rPr>
            </w:pPr>
            <w:r>
              <w:rPr>
                <w:i/>
                <w:noProof/>
                <w:color w:val="000000" w:themeColor="text1"/>
                <w:lang w:bidi="ar-SA"/>
              </w:rPr>
              <w:lastRenderedPageBreak/>
              <w:drawing>
                <wp:anchor distT="0" distB="0" distL="114300" distR="114300" simplePos="0" relativeHeight="251645440" behindDoc="0" locked="0" layoutInCell="1" allowOverlap="1">
                  <wp:simplePos x="0" y="0"/>
                  <wp:positionH relativeFrom="margin">
                    <wp:posOffset>235585</wp:posOffset>
                  </wp:positionH>
                  <wp:positionV relativeFrom="margin">
                    <wp:posOffset>596900</wp:posOffset>
                  </wp:positionV>
                  <wp:extent cx="3625850" cy="2677795"/>
                  <wp:effectExtent l="0" t="0" r="0" b="8255"/>
                  <wp:wrapSquare wrapText="bothSides"/>
                  <wp:docPr id="60" name="Imag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625850" cy="2677795"/>
                          </a:xfrm>
                          <a:prstGeom prst="rect">
                            <a:avLst/>
                          </a:prstGeom>
                          <a:noFill/>
                        </pic:spPr>
                      </pic:pic>
                    </a:graphicData>
                  </a:graphic>
                </wp:anchor>
              </w:drawing>
            </w:r>
            <w:r>
              <w:rPr>
                <w:rStyle w:val="Style2Car"/>
                <w:rFonts w:eastAsia="Calibri"/>
                <w:color w:val="000000" w:themeColor="text1"/>
              </w:rPr>
              <w:t xml:space="preserve">Graphique  n°28 : </w:t>
            </w:r>
            <w:r>
              <w:rPr>
                <w:color w:val="000000" w:themeColor="text1"/>
              </w:rPr>
              <w:t>Répartition des dépenses de santé par fonction en 2013</w:t>
            </w:r>
            <w:r w:rsidRPr="008D45CE">
              <w:rPr>
                <w:color w:val="000000" w:themeColor="text1"/>
              </w:rPr>
              <w:t>.</w:t>
            </w:r>
          </w:p>
        </w:tc>
        <w:tc>
          <w:tcPr>
            <w:tcW w:w="2977" w:type="dxa"/>
          </w:tcPr>
          <w:p w:rsidR="002C3965" w:rsidRDefault="00B02CC8" w:rsidP="00BB7666">
            <w:pPr>
              <w:spacing w:after="200" w:line="20" w:lineRule="atLeast"/>
              <w:jc w:val="both"/>
              <w:rPr>
                <w:rStyle w:val="Style2Car"/>
                <w:rFonts w:eastAsia="Calibri"/>
                <w:color w:val="000000" w:themeColor="text1"/>
                <w:sz w:val="18"/>
                <w:szCs w:val="20"/>
              </w:rPr>
            </w:pPr>
            <w:r>
              <w:rPr>
                <w:rStyle w:val="Style2Car"/>
                <w:rFonts w:eastAsia="Calibri"/>
                <w:color w:val="000000" w:themeColor="text1"/>
                <w:sz w:val="18"/>
                <w:szCs w:val="20"/>
              </w:rPr>
              <w:t xml:space="preserve">Les soins curatifs hospitaliers </w:t>
            </w:r>
            <w:r w:rsidR="00C01B49" w:rsidRPr="00B02CC8">
              <w:rPr>
                <w:rFonts w:eastAsia="Calibri"/>
                <w:color w:val="000000" w:themeColor="text1"/>
                <w:sz w:val="18"/>
                <w:szCs w:val="20"/>
              </w:rPr>
              <w:t xml:space="preserve">et  les soins préventifs </w:t>
            </w:r>
            <w:r>
              <w:rPr>
                <w:rStyle w:val="Style2Car"/>
                <w:rFonts w:eastAsia="Calibri"/>
                <w:color w:val="000000" w:themeColor="text1"/>
                <w:sz w:val="18"/>
                <w:szCs w:val="20"/>
              </w:rPr>
              <w:t>ont connu un bon</w:t>
            </w:r>
            <w:r w:rsidR="00C01B49">
              <w:rPr>
                <w:rStyle w:val="Style2Car"/>
                <w:rFonts w:eastAsia="Calibri"/>
                <w:color w:val="000000" w:themeColor="text1"/>
                <w:sz w:val="18"/>
                <w:szCs w:val="20"/>
              </w:rPr>
              <w:t xml:space="preserve"> respectivement</w:t>
            </w:r>
            <w:r>
              <w:rPr>
                <w:rStyle w:val="Style2Car"/>
                <w:rFonts w:eastAsia="Calibri"/>
                <w:color w:val="000000" w:themeColor="text1"/>
                <w:sz w:val="18"/>
                <w:szCs w:val="20"/>
              </w:rPr>
              <w:t xml:space="preserve"> de 4</w:t>
            </w:r>
            <w:r w:rsidR="00C01B49">
              <w:rPr>
                <w:rStyle w:val="Style2Car"/>
                <w:rFonts w:eastAsia="Calibri"/>
                <w:color w:val="000000" w:themeColor="text1"/>
                <w:sz w:val="18"/>
                <w:szCs w:val="20"/>
              </w:rPr>
              <w:t xml:space="preserve"> et de 2</w:t>
            </w:r>
            <w:r>
              <w:rPr>
                <w:rStyle w:val="Style2Car"/>
                <w:rFonts w:eastAsia="Calibri"/>
                <w:color w:val="000000" w:themeColor="text1"/>
                <w:sz w:val="18"/>
                <w:szCs w:val="20"/>
              </w:rPr>
              <w:t xml:space="preserve"> points par rapport à l’année antérieure.</w:t>
            </w:r>
          </w:p>
          <w:p w:rsidR="00B02CC8" w:rsidRDefault="00B02CC8" w:rsidP="00BB7666">
            <w:pPr>
              <w:spacing w:after="200" w:line="20" w:lineRule="atLeast"/>
              <w:jc w:val="both"/>
              <w:rPr>
                <w:rStyle w:val="Style2Car"/>
                <w:rFonts w:eastAsia="Calibri"/>
                <w:color w:val="000000" w:themeColor="text1"/>
                <w:sz w:val="18"/>
                <w:szCs w:val="20"/>
              </w:rPr>
            </w:pPr>
            <w:r>
              <w:rPr>
                <w:rStyle w:val="Style2Car"/>
                <w:rFonts w:eastAsia="Calibri"/>
                <w:color w:val="000000" w:themeColor="text1"/>
                <w:sz w:val="18"/>
                <w:szCs w:val="20"/>
              </w:rPr>
              <w:t>Les soins curatifs ambulatoires ont régressé de 5 points.</w:t>
            </w:r>
          </w:p>
          <w:p w:rsidR="00B02CC8" w:rsidRDefault="00B02CC8" w:rsidP="00BB7666">
            <w:pPr>
              <w:spacing w:after="200" w:line="20" w:lineRule="atLeast"/>
              <w:jc w:val="both"/>
              <w:rPr>
                <w:rStyle w:val="Style2Car"/>
                <w:rFonts w:eastAsia="Calibri"/>
                <w:color w:val="000000" w:themeColor="text1"/>
                <w:sz w:val="18"/>
                <w:szCs w:val="20"/>
              </w:rPr>
            </w:pPr>
            <w:r>
              <w:rPr>
                <w:rStyle w:val="Style2Car"/>
                <w:rFonts w:eastAsia="Calibri"/>
                <w:color w:val="000000" w:themeColor="text1"/>
                <w:sz w:val="18"/>
                <w:szCs w:val="20"/>
              </w:rPr>
              <w:t>Les médicaments délivrés sur ordonnance ont été constants.</w:t>
            </w:r>
          </w:p>
          <w:p w:rsidR="00B02CC8" w:rsidRDefault="00B02CC8" w:rsidP="00BB7666">
            <w:pPr>
              <w:spacing w:after="200" w:line="20" w:lineRule="atLeast"/>
              <w:jc w:val="both"/>
              <w:rPr>
                <w:rFonts w:eastAsia="Calibri"/>
                <w:color w:val="000000" w:themeColor="text1"/>
                <w:sz w:val="18"/>
                <w:szCs w:val="20"/>
              </w:rPr>
            </w:pPr>
            <w:r w:rsidRPr="00B02CC8">
              <w:rPr>
                <w:rFonts w:eastAsia="Calibri"/>
                <w:color w:val="000000" w:themeColor="text1"/>
                <w:sz w:val="18"/>
                <w:szCs w:val="20"/>
              </w:rPr>
              <w:t xml:space="preserve">La gouvernance, administration du système de santé et des financements </w:t>
            </w:r>
            <w:r w:rsidR="00C01B49">
              <w:rPr>
                <w:rFonts w:eastAsia="Calibri"/>
                <w:color w:val="000000" w:themeColor="text1"/>
                <w:sz w:val="18"/>
                <w:szCs w:val="20"/>
              </w:rPr>
              <w:t xml:space="preserve">ont connu </w:t>
            </w:r>
            <w:r w:rsidRPr="00B02CC8">
              <w:rPr>
                <w:rFonts w:eastAsia="Calibri"/>
                <w:color w:val="000000" w:themeColor="text1"/>
                <w:sz w:val="18"/>
                <w:szCs w:val="20"/>
              </w:rPr>
              <w:t xml:space="preserve"> une</w:t>
            </w:r>
            <w:r w:rsidR="00C01B49">
              <w:rPr>
                <w:rFonts w:eastAsia="Calibri"/>
                <w:color w:val="000000" w:themeColor="text1"/>
                <w:sz w:val="18"/>
                <w:szCs w:val="20"/>
              </w:rPr>
              <w:t xml:space="preserve"> baisse de 1 points.</w:t>
            </w:r>
          </w:p>
          <w:p w:rsidR="00C01B49" w:rsidRPr="003A1A7F" w:rsidRDefault="00C01B49" w:rsidP="00BB7666">
            <w:pPr>
              <w:spacing w:after="200" w:line="20" w:lineRule="atLeast"/>
              <w:jc w:val="both"/>
              <w:rPr>
                <w:rStyle w:val="Style2Car"/>
                <w:rFonts w:eastAsia="Calibri"/>
                <w:color w:val="000000" w:themeColor="text1"/>
                <w:sz w:val="18"/>
                <w:szCs w:val="20"/>
              </w:rPr>
            </w:pPr>
            <w:r>
              <w:rPr>
                <w:rFonts w:eastAsia="Calibri"/>
                <w:color w:val="000000" w:themeColor="text1"/>
                <w:sz w:val="18"/>
                <w:szCs w:val="20"/>
              </w:rPr>
              <w:t>La représentation des trois autres fonction</w:t>
            </w:r>
            <w:r w:rsidR="0083081F">
              <w:rPr>
                <w:rFonts w:eastAsia="Calibri"/>
                <w:color w:val="000000" w:themeColor="text1"/>
                <w:sz w:val="18"/>
                <w:szCs w:val="20"/>
              </w:rPr>
              <w:t>s</w:t>
            </w:r>
            <w:r>
              <w:rPr>
                <w:rFonts w:eastAsia="Calibri"/>
                <w:color w:val="000000" w:themeColor="text1"/>
                <w:sz w:val="18"/>
                <w:szCs w:val="20"/>
              </w:rPr>
              <w:t xml:space="preserve"> pour 2013 a connu une régression de 1 point.</w:t>
            </w:r>
          </w:p>
        </w:tc>
      </w:tr>
      <w:tr w:rsidR="002C3965" w:rsidRPr="00B744B8" w:rsidTr="008C20FD">
        <w:trPr>
          <w:trHeight w:val="50"/>
        </w:trPr>
        <w:tc>
          <w:tcPr>
            <w:tcW w:w="6662" w:type="dxa"/>
          </w:tcPr>
          <w:p w:rsidR="002C3965" w:rsidRDefault="002C3965" w:rsidP="003859EB">
            <w:pPr>
              <w:spacing w:after="200" w:line="20" w:lineRule="atLeast"/>
              <w:rPr>
                <w:rStyle w:val="Style2Car"/>
                <w:i/>
                <w:color w:val="000000" w:themeColor="text1"/>
              </w:rPr>
            </w:pPr>
            <w:r>
              <w:rPr>
                <w:rStyle w:val="Style2Car"/>
                <w:rFonts w:eastAsia="Calibri"/>
                <w:color w:val="000000" w:themeColor="text1"/>
              </w:rPr>
              <w:t xml:space="preserve">Graphique  n°29 : </w:t>
            </w:r>
            <w:r>
              <w:rPr>
                <w:color w:val="000000" w:themeColor="text1"/>
              </w:rPr>
              <w:t>Répartition des dépenses de  santé par fonction en 2014</w:t>
            </w:r>
            <w:r>
              <w:rPr>
                <w:i/>
                <w:color w:val="000000" w:themeColor="text1"/>
              </w:rPr>
              <w:t>.</w:t>
            </w:r>
            <w:r>
              <w:rPr>
                <w:noProof/>
                <w:color w:val="000000" w:themeColor="text1"/>
                <w:lang w:bidi="ar-SA"/>
              </w:rPr>
              <w:drawing>
                <wp:anchor distT="0" distB="0" distL="114300" distR="114300" simplePos="0" relativeHeight="251646464" behindDoc="0" locked="0" layoutInCell="1" allowOverlap="1">
                  <wp:simplePos x="0" y="0"/>
                  <wp:positionH relativeFrom="margin">
                    <wp:posOffset>235585</wp:posOffset>
                  </wp:positionH>
                  <wp:positionV relativeFrom="margin">
                    <wp:posOffset>535940</wp:posOffset>
                  </wp:positionV>
                  <wp:extent cx="3689350" cy="2711450"/>
                  <wp:effectExtent l="0" t="0" r="6350" b="0"/>
                  <wp:wrapSquare wrapText="bothSides"/>
                  <wp:docPr id="62" name="Imag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89350" cy="2711450"/>
                          </a:xfrm>
                          <a:prstGeom prst="rect">
                            <a:avLst/>
                          </a:prstGeom>
                          <a:noFill/>
                        </pic:spPr>
                      </pic:pic>
                    </a:graphicData>
                  </a:graphic>
                </wp:anchor>
              </w:drawing>
            </w:r>
          </w:p>
          <w:p w:rsidR="002C3965" w:rsidRPr="00C2347E" w:rsidRDefault="002C3965" w:rsidP="003859EB">
            <w:pPr>
              <w:rPr>
                <w:rFonts w:eastAsia="Calibri"/>
              </w:rPr>
            </w:pPr>
          </w:p>
        </w:tc>
        <w:tc>
          <w:tcPr>
            <w:tcW w:w="2977" w:type="dxa"/>
          </w:tcPr>
          <w:p w:rsidR="0083081F" w:rsidRDefault="00C01B49" w:rsidP="00BB7666">
            <w:pPr>
              <w:spacing w:after="200" w:line="20" w:lineRule="atLeast"/>
              <w:jc w:val="both"/>
              <w:rPr>
                <w:rFonts w:eastAsia="Calibri"/>
                <w:color w:val="000000" w:themeColor="text1"/>
                <w:sz w:val="18"/>
                <w:szCs w:val="20"/>
              </w:rPr>
            </w:pPr>
            <w:r w:rsidRPr="00C01B49">
              <w:rPr>
                <w:rFonts w:eastAsia="Calibri"/>
                <w:color w:val="000000" w:themeColor="text1"/>
                <w:sz w:val="18"/>
                <w:szCs w:val="20"/>
              </w:rPr>
              <w:t>Les soins curatifs hospitaliers</w:t>
            </w:r>
            <w:r w:rsidR="0083081F">
              <w:rPr>
                <w:rFonts w:eastAsia="Calibri"/>
                <w:color w:val="000000" w:themeColor="text1"/>
                <w:sz w:val="18"/>
                <w:szCs w:val="20"/>
              </w:rPr>
              <w:t xml:space="preserve">, les soins préventifs </w:t>
            </w:r>
            <w:r w:rsidRPr="00C01B49">
              <w:rPr>
                <w:rFonts w:eastAsia="Calibri"/>
                <w:color w:val="000000" w:themeColor="text1"/>
                <w:sz w:val="18"/>
                <w:szCs w:val="20"/>
              </w:rPr>
              <w:t>et  l</w:t>
            </w:r>
            <w:r w:rsidR="0083081F">
              <w:rPr>
                <w:rFonts w:eastAsia="Calibri"/>
                <w:color w:val="000000" w:themeColor="text1"/>
                <w:sz w:val="18"/>
                <w:szCs w:val="20"/>
              </w:rPr>
              <w:t>es soins curatifs ambulatoires ont connu une régression chacune de 1 point.</w:t>
            </w:r>
          </w:p>
          <w:p w:rsidR="0083081F" w:rsidRDefault="0083081F" w:rsidP="00BB7666">
            <w:pPr>
              <w:spacing w:after="200" w:line="20" w:lineRule="atLeast"/>
              <w:jc w:val="both"/>
              <w:rPr>
                <w:rFonts w:eastAsia="Calibri"/>
                <w:color w:val="000000" w:themeColor="text1"/>
                <w:sz w:val="18"/>
                <w:szCs w:val="20"/>
              </w:rPr>
            </w:pPr>
            <w:r>
              <w:rPr>
                <w:rFonts w:eastAsia="Calibri"/>
                <w:color w:val="000000" w:themeColor="text1"/>
                <w:sz w:val="18"/>
                <w:szCs w:val="20"/>
              </w:rPr>
              <w:t>Les médicaments délivrés sur ordonnance ont également baissé, passant de 18 à 16%.</w:t>
            </w:r>
          </w:p>
          <w:p w:rsidR="0083081F" w:rsidRDefault="0083081F" w:rsidP="00BB7666">
            <w:pPr>
              <w:spacing w:after="200" w:line="20" w:lineRule="atLeast"/>
              <w:jc w:val="both"/>
              <w:rPr>
                <w:rFonts w:eastAsia="Calibri"/>
                <w:color w:val="000000" w:themeColor="text1"/>
                <w:sz w:val="18"/>
                <w:szCs w:val="20"/>
              </w:rPr>
            </w:pPr>
            <w:r>
              <w:rPr>
                <w:rFonts w:eastAsia="Calibri"/>
                <w:color w:val="000000" w:themeColor="text1"/>
                <w:sz w:val="18"/>
                <w:szCs w:val="20"/>
              </w:rPr>
              <w:t xml:space="preserve">La </w:t>
            </w:r>
            <w:r w:rsidR="00C01B49">
              <w:rPr>
                <w:rFonts w:eastAsia="Calibri"/>
                <w:color w:val="000000" w:themeColor="text1"/>
                <w:sz w:val="18"/>
                <w:szCs w:val="20"/>
              </w:rPr>
              <w:t xml:space="preserve"> gouvernance, administration du système de santé et des financements </w:t>
            </w:r>
            <w:r w:rsidR="00C01B49" w:rsidRPr="00C01B49">
              <w:rPr>
                <w:rFonts w:eastAsia="Calibri"/>
                <w:color w:val="000000" w:themeColor="text1"/>
                <w:sz w:val="18"/>
                <w:szCs w:val="20"/>
              </w:rPr>
              <w:t xml:space="preserve"> </w:t>
            </w:r>
            <w:r>
              <w:rPr>
                <w:rFonts w:eastAsia="Calibri"/>
                <w:color w:val="000000" w:themeColor="text1"/>
                <w:sz w:val="18"/>
                <w:szCs w:val="20"/>
              </w:rPr>
              <w:t>a connu une augmentation de 5 points.</w:t>
            </w:r>
          </w:p>
          <w:p w:rsidR="00C01B49" w:rsidRDefault="00C01B49" w:rsidP="00BB7666">
            <w:pPr>
              <w:spacing w:after="200" w:line="20" w:lineRule="atLeast"/>
              <w:jc w:val="both"/>
              <w:rPr>
                <w:rFonts w:eastAsia="Calibri"/>
                <w:color w:val="000000" w:themeColor="text1"/>
                <w:sz w:val="18"/>
                <w:szCs w:val="20"/>
              </w:rPr>
            </w:pPr>
            <w:r>
              <w:rPr>
                <w:rFonts w:eastAsia="Calibri"/>
                <w:color w:val="000000" w:themeColor="text1"/>
                <w:sz w:val="18"/>
                <w:szCs w:val="20"/>
              </w:rPr>
              <w:t xml:space="preserve">ont connu encore une augmentation </w:t>
            </w:r>
            <w:r w:rsidRPr="00C01B49">
              <w:rPr>
                <w:rFonts w:eastAsia="Calibri"/>
                <w:color w:val="000000" w:themeColor="text1"/>
                <w:sz w:val="18"/>
                <w:szCs w:val="20"/>
              </w:rPr>
              <w:t xml:space="preserve"> respectivement de 4 et de 2 points par rapport à l’année antérieure.</w:t>
            </w:r>
          </w:p>
          <w:p w:rsidR="0083081F" w:rsidRPr="00C01B49" w:rsidRDefault="0083081F" w:rsidP="00BB7666">
            <w:pPr>
              <w:spacing w:after="200" w:line="20" w:lineRule="atLeast"/>
              <w:jc w:val="both"/>
              <w:rPr>
                <w:rFonts w:eastAsia="Calibri"/>
                <w:color w:val="000000" w:themeColor="text1"/>
                <w:sz w:val="18"/>
                <w:szCs w:val="20"/>
              </w:rPr>
            </w:pPr>
            <w:r>
              <w:rPr>
                <w:rFonts w:eastAsia="Calibri"/>
                <w:color w:val="000000" w:themeColor="text1"/>
                <w:sz w:val="18"/>
                <w:szCs w:val="20"/>
              </w:rPr>
              <w:t>Les  trois dernières fonctions ont la même part de représentation, moins de 4%.</w:t>
            </w:r>
          </w:p>
          <w:p w:rsidR="002C3965" w:rsidRPr="003A1A7F" w:rsidRDefault="002C3965" w:rsidP="003859EB">
            <w:pPr>
              <w:spacing w:after="200" w:line="20" w:lineRule="atLeast"/>
              <w:rPr>
                <w:rStyle w:val="Style2Car"/>
                <w:rFonts w:eastAsia="Calibri"/>
                <w:color w:val="000000" w:themeColor="text1"/>
                <w:sz w:val="18"/>
                <w:szCs w:val="20"/>
              </w:rPr>
            </w:pPr>
          </w:p>
        </w:tc>
      </w:tr>
    </w:tbl>
    <w:p w:rsidR="002C3965" w:rsidRDefault="002C3965" w:rsidP="002C3965"/>
    <w:p w:rsidR="002C3965" w:rsidRDefault="002C3965" w:rsidP="002C3965"/>
    <w:p w:rsidR="002C3965" w:rsidRDefault="002C3965" w:rsidP="002C3965"/>
    <w:p w:rsidR="00B744B8" w:rsidRDefault="00B744B8" w:rsidP="002C3965"/>
    <w:p w:rsidR="00B744B8" w:rsidRDefault="00B744B8" w:rsidP="002C3965"/>
    <w:p w:rsidR="00B744B8" w:rsidRDefault="00B744B8" w:rsidP="002C3965"/>
    <w:p w:rsidR="00B744B8" w:rsidRDefault="00B744B8" w:rsidP="002C3965"/>
    <w:p w:rsidR="002C3965" w:rsidRDefault="002C3965" w:rsidP="002C3965"/>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83"/>
        <w:gridCol w:w="3305"/>
      </w:tblGrid>
      <w:tr w:rsidR="002C3965" w:rsidRPr="00B744B8" w:rsidTr="00B744B8">
        <w:tc>
          <w:tcPr>
            <w:tcW w:w="5951" w:type="dxa"/>
            <w:shd w:val="clear" w:color="auto" w:fill="C6D9F1" w:themeFill="text2" w:themeFillTint="33"/>
          </w:tcPr>
          <w:p w:rsidR="002C3965" w:rsidRDefault="002C3965" w:rsidP="003859EB">
            <w:r>
              <w:lastRenderedPageBreak/>
              <w:t>Graphique  n°30</w:t>
            </w:r>
            <w:r w:rsidRPr="00C2347E">
              <w:t xml:space="preserve"> : Répartition des dépense</w:t>
            </w:r>
            <w:r>
              <w:t>s de  santé par fonction en 2015.</w:t>
            </w:r>
          </w:p>
          <w:p w:rsidR="002C3965" w:rsidRDefault="002C3965" w:rsidP="003859EB"/>
          <w:p w:rsidR="002C3965" w:rsidRDefault="002C3965" w:rsidP="003859EB">
            <w:r>
              <w:rPr>
                <w:noProof/>
                <w:lang w:bidi="ar-SA"/>
              </w:rPr>
              <w:drawing>
                <wp:inline distT="0" distB="0" distL="0" distR="0">
                  <wp:extent cx="3643092" cy="2419350"/>
                  <wp:effectExtent l="19050" t="0" r="0" b="0"/>
                  <wp:docPr id="63" name="Imag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650945" cy="2424565"/>
                          </a:xfrm>
                          <a:prstGeom prst="rect">
                            <a:avLst/>
                          </a:prstGeom>
                          <a:noFill/>
                          <a:ln>
                            <a:noFill/>
                          </a:ln>
                        </pic:spPr>
                      </pic:pic>
                    </a:graphicData>
                  </a:graphic>
                </wp:inline>
              </w:drawing>
            </w:r>
          </w:p>
          <w:p w:rsidR="002C3965" w:rsidRDefault="002C3965" w:rsidP="003859EB"/>
        </w:tc>
        <w:tc>
          <w:tcPr>
            <w:tcW w:w="3337" w:type="dxa"/>
          </w:tcPr>
          <w:p w:rsidR="002C3965" w:rsidRPr="00BB7666" w:rsidRDefault="009E10B0" w:rsidP="00BB7666">
            <w:pPr>
              <w:jc w:val="both"/>
              <w:rPr>
                <w:sz w:val="18"/>
                <w:szCs w:val="20"/>
              </w:rPr>
            </w:pPr>
            <w:r w:rsidRPr="00BB7666">
              <w:rPr>
                <w:sz w:val="18"/>
                <w:szCs w:val="20"/>
              </w:rPr>
              <w:t>Les fonctions de gouvernance, administration du système de santé et de financements, comparativement à 2014 a connu un accroissement exponentiel passant de 21 à 38%. Cet écart de 17 points pourrait être expliqué par les versements de  contreparties de plusieurs projets, programmes et plans (PDSS-II, RSS GAVI, PARAMED, CTAF).</w:t>
            </w:r>
          </w:p>
          <w:p w:rsidR="009E10B0" w:rsidRPr="00BB7666" w:rsidRDefault="009E10B0" w:rsidP="00BB7666">
            <w:pPr>
              <w:jc w:val="both"/>
              <w:rPr>
                <w:sz w:val="18"/>
                <w:szCs w:val="20"/>
              </w:rPr>
            </w:pPr>
            <w:r w:rsidRPr="00BB7666">
              <w:rPr>
                <w:sz w:val="18"/>
                <w:szCs w:val="20"/>
              </w:rPr>
              <w:t xml:space="preserve">En revanche les soins curatifs ont connu </w:t>
            </w:r>
            <w:r w:rsidR="00BB7666" w:rsidRPr="00BB7666">
              <w:rPr>
                <w:sz w:val="18"/>
                <w:szCs w:val="20"/>
              </w:rPr>
              <w:t>une décroissance pas moins négligeable, passant de 28 à 18%.</w:t>
            </w:r>
          </w:p>
          <w:p w:rsidR="00BB7666" w:rsidRPr="00BB7666" w:rsidRDefault="00BB7666" w:rsidP="00BB7666">
            <w:pPr>
              <w:jc w:val="both"/>
              <w:rPr>
                <w:sz w:val="18"/>
                <w:szCs w:val="20"/>
              </w:rPr>
            </w:pPr>
            <w:r w:rsidRPr="00BB7666">
              <w:rPr>
                <w:sz w:val="18"/>
                <w:szCs w:val="20"/>
              </w:rPr>
              <w:t>Les soins ambulatoires et les soins préventifs ont connu une baisse commune de 4 points.</w:t>
            </w:r>
          </w:p>
          <w:p w:rsidR="00BB7666" w:rsidRPr="00BB7666" w:rsidRDefault="00BB7666" w:rsidP="00BB7666">
            <w:pPr>
              <w:jc w:val="both"/>
              <w:rPr>
                <w:sz w:val="18"/>
                <w:szCs w:val="20"/>
              </w:rPr>
            </w:pPr>
            <w:r w:rsidRPr="00BB7666">
              <w:rPr>
                <w:sz w:val="18"/>
                <w:szCs w:val="20"/>
              </w:rPr>
              <w:t>Les médicaments délivrés sur ordonnance ont été constantes.</w:t>
            </w:r>
          </w:p>
          <w:p w:rsidR="00BB7666" w:rsidRPr="009E10B0" w:rsidRDefault="00BB7666" w:rsidP="00BB7666">
            <w:pPr>
              <w:jc w:val="both"/>
              <w:rPr>
                <w:sz w:val="20"/>
                <w:szCs w:val="20"/>
              </w:rPr>
            </w:pPr>
            <w:r w:rsidRPr="00BB7666">
              <w:rPr>
                <w:sz w:val="18"/>
                <w:szCs w:val="20"/>
              </w:rPr>
              <w:t>Comme en 2011 les trois dernières fonctions n’ont  représenté que moins de 3%.</w:t>
            </w:r>
          </w:p>
        </w:tc>
      </w:tr>
    </w:tbl>
    <w:p w:rsidR="002C3965" w:rsidRDefault="002C3965" w:rsidP="002C3965"/>
    <w:p w:rsidR="002C3965" w:rsidRDefault="002C3965" w:rsidP="002C3965">
      <w:pPr>
        <w:pStyle w:val="Titre6"/>
        <w:rPr>
          <w:b w:val="0"/>
          <w:i w:val="0"/>
          <w:color w:val="000000" w:themeColor="text1"/>
        </w:rPr>
      </w:pPr>
      <w:r>
        <w:rPr>
          <w:b w:val="0"/>
          <w:i w:val="0"/>
          <w:color w:val="000000" w:themeColor="text1"/>
        </w:rPr>
        <w:t xml:space="preserve">Le graphique n°31 donne une vue d’ensemble sur l’évolution des montants absorbés par les </w:t>
      </w:r>
    </w:p>
    <w:p w:rsidR="002C3965" w:rsidRDefault="002C3965" w:rsidP="002C3965">
      <w:pPr>
        <w:pStyle w:val="Titre6"/>
        <w:rPr>
          <w:b w:val="0"/>
          <w:i w:val="0"/>
          <w:color w:val="000000" w:themeColor="text1"/>
        </w:rPr>
      </w:pPr>
      <w:r>
        <w:rPr>
          <w:b w:val="0"/>
          <w:i w:val="0"/>
          <w:color w:val="000000" w:themeColor="text1"/>
        </w:rPr>
        <w:t>Fonction de 2011 à 2015.</w:t>
      </w:r>
    </w:p>
    <w:p w:rsidR="00797B9F" w:rsidRDefault="00797B9F" w:rsidP="002C5736">
      <w:pPr>
        <w:jc w:val="both"/>
        <w:rPr>
          <w:color w:val="000000" w:themeColor="text1"/>
        </w:rPr>
      </w:pPr>
    </w:p>
    <w:p w:rsidR="00DE7A5B" w:rsidRDefault="002C3965" w:rsidP="002C5736">
      <w:pPr>
        <w:jc w:val="both"/>
        <w:rPr>
          <w:color w:val="000000" w:themeColor="text1"/>
        </w:rPr>
      </w:pPr>
      <w:r>
        <w:rPr>
          <w:color w:val="000000" w:themeColor="text1"/>
        </w:rPr>
        <w:t>Graphique n°31 Evolution de la dépense courante de santé par fonction de 2011-2015</w:t>
      </w:r>
    </w:p>
    <w:p w:rsidR="00DE7A5B" w:rsidRPr="00DE7A5B" w:rsidRDefault="00DE7A5B" w:rsidP="00DE7A5B"/>
    <w:p w:rsidR="00797B9F" w:rsidRPr="00DE7A5B" w:rsidRDefault="00797B9F" w:rsidP="00DE7A5B">
      <w:pPr>
        <w:tabs>
          <w:tab w:val="left" w:pos="935"/>
        </w:tabs>
      </w:pPr>
    </w:p>
    <w:p w:rsidR="00492A76" w:rsidRDefault="00704E95" w:rsidP="00AE3C93">
      <w:pPr>
        <w:jc w:val="both"/>
        <w:rPr>
          <w:color w:val="000000" w:themeColor="text1"/>
        </w:rPr>
      </w:pPr>
      <w:r>
        <w:rPr>
          <w:noProof/>
          <w:color w:val="000000" w:themeColor="text1"/>
          <w:lang w:eastAsia="fr-FR" w:bidi="ar-SA"/>
        </w:rPr>
        <mc:AlternateContent>
          <mc:Choice Requires="wps">
            <w:drawing>
              <wp:anchor distT="0" distB="0" distL="114300" distR="114300" simplePos="0" relativeHeight="251692032" behindDoc="0" locked="0" layoutInCell="1" allowOverlap="1">
                <wp:simplePos x="0" y="0"/>
                <wp:positionH relativeFrom="column">
                  <wp:posOffset>3679190</wp:posOffset>
                </wp:positionH>
                <wp:positionV relativeFrom="paragraph">
                  <wp:posOffset>3175</wp:posOffset>
                </wp:positionV>
                <wp:extent cx="2838450" cy="2967990"/>
                <wp:effectExtent l="0" t="0" r="0" b="3810"/>
                <wp:wrapNone/>
                <wp:docPr id="46"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29679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457F" w:rsidRPr="000E52BC" w:rsidRDefault="006E457F" w:rsidP="00AE3C93">
                            <w:pPr>
                              <w:jc w:val="both"/>
                              <w:rPr>
                                <w:sz w:val="18"/>
                                <w:szCs w:val="18"/>
                              </w:rPr>
                            </w:pPr>
                            <w:r w:rsidRPr="000E52BC">
                              <w:rPr>
                                <w:sz w:val="18"/>
                                <w:szCs w:val="18"/>
                              </w:rPr>
                              <w:t xml:space="preserve">Au regard des données du quinquennat  considéré pour les présents  comptes nationaux, il se dégage le constat général suivant : </w:t>
                            </w:r>
                          </w:p>
                          <w:p w:rsidR="006E457F" w:rsidRPr="000E52BC" w:rsidRDefault="006E457F" w:rsidP="00AE3C93">
                            <w:pPr>
                              <w:pStyle w:val="Paragraphedeliste"/>
                              <w:numPr>
                                <w:ilvl w:val="0"/>
                                <w:numId w:val="24"/>
                              </w:numPr>
                              <w:spacing w:line="276" w:lineRule="auto"/>
                              <w:jc w:val="both"/>
                              <w:rPr>
                                <w:rFonts w:ascii="Times New Roman" w:hAnsi="Times New Roman"/>
                                <w:sz w:val="18"/>
                                <w:szCs w:val="18"/>
                              </w:rPr>
                            </w:pPr>
                            <w:r w:rsidRPr="000E52BC">
                              <w:rPr>
                                <w:rFonts w:ascii="Times New Roman" w:hAnsi="Times New Roman"/>
                                <w:sz w:val="18"/>
                                <w:szCs w:val="18"/>
                              </w:rPr>
                              <w:t>Les proportions des fonctions appelées soins curatifs hospitaliers ont variés entre  13 à 29%.</w:t>
                            </w:r>
                          </w:p>
                          <w:p w:rsidR="006E457F" w:rsidRPr="000E52BC" w:rsidRDefault="006E457F" w:rsidP="00AE3C93">
                            <w:pPr>
                              <w:pStyle w:val="Paragraphedeliste"/>
                              <w:numPr>
                                <w:ilvl w:val="0"/>
                                <w:numId w:val="24"/>
                              </w:numPr>
                              <w:spacing w:line="276" w:lineRule="auto"/>
                              <w:jc w:val="both"/>
                              <w:rPr>
                                <w:rFonts w:ascii="Times New Roman" w:hAnsi="Times New Roman"/>
                                <w:sz w:val="18"/>
                                <w:szCs w:val="18"/>
                              </w:rPr>
                            </w:pPr>
                            <w:r w:rsidRPr="000E52BC">
                              <w:rPr>
                                <w:rFonts w:ascii="Times New Roman" w:hAnsi="Times New Roman"/>
                                <w:sz w:val="18"/>
                                <w:szCs w:val="18"/>
                              </w:rPr>
                              <w:t>Les parts  des fonctions  appelées soins curatifs  ambulatoires ont variés entre 13 à 23%.</w:t>
                            </w:r>
                          </w:p>
                          <w:p w:rsidR="006E457F" w:rsidRPr="000E52BC" w:rsidRDefault="006E457F" w:rsidP="00AE3C93">
                            <w:pPr>
                              <w:pStyle w:val="Paragraphedeliste"/>
                              <w:numPr>
                                <w:ilvl w:val="0"/>
                                <w:numId w:val="24"/>
                              </w:numPr>
                              <w:spacing w:line="276" w:lineRule="auto"/>
                              <w:jc w:val="both"/>
                              <w:rPr>
                                <w:rFonts w:ascii="Times New Roman" w:hAnsi="Times New Roman"/>
                                <w:sz w:val="18"/>
                                <w:szCs w:val="18"/>
                              </w:rPr>
                            </w:pPr>
                            <w:r w:rsidRPr="000E52BC">
                              <w:rPr>
                                <w:rFonts w:ascii="Times New Roman" w:hAnsi="Times New Roman"/>
                                <w:sz w:val="18"/>
                                <w:szCs w:val="18"/>
                              </w:rPr>
                              <w:t>Celles des fonctions appelées médicaments délivrés sur ordonnance ont variés entre 16 à 20%.</w:t>
                            </w:r>
                          </w:p>
                          <w:p w:rsidR="006E457F" w:rsidRPr="000E52BC" w:rsidRDefault="006E457F" w:rsidP="00AE3C93">
                            <w:pPr>
                              <w:pStyle w:val="Paragraphedeliste"/>
                              <w:numPr>
                                <w:ilvl w:val="0"/>
                                <w:numId w:val="24"/>
                              </w:numPr>
                              <w:spacing w:line="276" w:lineRule="auto"/>
                              <w:jc w:val="both"/>
                              <w:rPr>
                                <w:rFonts w:ascii="Times New Roman" w:hAnsi="Times New Roman"/>
                                <w:sz w:val="18"/>
                                <w:szCs w:val="18"/>
                              </w:rPr>
                            </w:pPr>
                            <w:r w:rsidRPr="000E52BC">
                              <w:rPr>
                                <w:rFonts w:ascii="Times New Roman" w:hAnsi="Times New Roman"/>
                                <w:sz w:val="18"/>
                                <w:szCs w:val="18"/>
                              </w:rPr>
                              <w:t>Les pourcentages des fonctions soins préventifs  ont connu une fluctuation allant de 11 à 20%.</w:t>
                            </w:r>
                          </w:p>
                          <w:p w:rsidR="006E457F" w:rsidRPr="000E52BC" w:rsidRDefault="006E457F" w:rsidP="00AE3C93">
                            <w:pPr>
                              <w:pStyle w:val="Paragraphedeliste"/>
                              <w:numPr>
                                <w:ilvl w:val="0"/>
                                <w:numId w:val="24"/>
                              </w:numPr>
                              <w:spacing w:line="276" w:lineRule="auto"/>
                              <w:jc w:val="both"/>
                              <w:rPr>
                                <w:rFonts w:ascii="Times New Roman" w:hAnsi="Times New Roman"/>
                                <w:sz w:val="18"/>
                                <w:szCs w:val="18"/>
                              </w:rPr>
                            </w:pPr>
                            <w:r w:rsidRPr="000E52BC">
                              <w:rPr>
                                <w:rFonts w:ascii="Times New Roman" w:hAnsi="Times New Roman"/>
                                <w:sz w:val="18"/>
                                <w:szCs w:val="18"/>
                              </w:rPr>
                              <w:t>Les pourcentages des fonctions gouvernance, administration du système de santé et des financements ont variés entre 16 à 38%.</w:t>
                            </w:r>
                          </w:p>
                          <w:p w:rsidR="006E457F" w:rsidRPr="000E52BC" w:rsidRDefault="006E457F" w:rsidP="00AE3C93">
                            <w:pPr>
                              <w:pStyle w:val="Paragraphedeliste"/>
                              <w:numPr>
                                <w:ilvl w:val="0"/>
                                <w:numId w:val="24"/>
                              </w:numPr>
                              <w:spacing w:line="276" w:lineRule="auto"/>
                              <w:jc w:val="both"/>
                              <w:rPr>
                                <w:rFonts w:ascii="Times New Roman" w:hAnsi="Times New Roman"/>
                                <w:sz w:val="18"/>
                                <w:szCs w:val="18"/>
                              </w:rPr>
                            </w:pPr>
                            <w:r w:rsidRPr="000E52BC">
                              <w:rPr>
                                <w:rFonts w:ascii="Times New Roman" w:hAnsi="Times New Roman"/>
                                <w:sz w:val="18"/>
                                <w:szCs w:val="18"/>
                              </w:rPr>
                              <w:t xml:space="preserve"> Les  trois autres fonctions (services de laboratoire d’analyse médicales, services d’imagerie et autres activités), ont connu des proportions  de moins de 2% chaque année.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27" type="#_x0000_t202" style="position:absolute;left:0;text-align:left;margin-left:289.7pt;margin-top:.25pt;width:223.5pt;height:233.7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" stroked="f">
                <v:textbox>
                  <w:txbxContent>
                    <w:p w:rsidR="006E457F" w:rsidRPr="000E52BC" w:rsidRDefault="006E457F" w:rsidP="00AE3C93">
                      <w:pPr>
                        <w:jc w:val="both"/>
                        <w:rPr>
                          <w:sz w:val="18"/>
                          <w:szCs w:val="18"/>
                        </w:rPr>
                      </w:pPr>
                      <w:r w:rsidRPr="000E52BC">
                        <w:rPr>
                          <w:sz w:val="18"/>
                          <w:szCs w:val="18"/>
                        </w:rPr>
                        <w:t xml:space="preserve">Au regard des données du quinquennat  considéré pour les présents  comptes nationaux, il se dégage le constat général suivant : </w:t>
                      </w:r>
                    </w:p>
                    <w:p w:rsidR="006E457F" w:rsidRPr="000E52BC" w:rsidRDefault="006E457F" w:rsidP="00AE3C93">
                      <w:pPr>
                        <w:pStyle w:val="Paragraphedeliste"/>
                        <w:numPr>
                          <w:ilvl w:val="0"/>
                          <w:numId w:val="24"/>
                        </w:numPr>
                        <w:spacing w:line="276" w:lineRule="auto"/>
                        <w:jc w:val="both"/>
                        <w:rPr>
                          <w:rFonts w:ascii="Times New Roman" w:hAnsi="Times New Roman"/>
                          <w:sz w:val="18"/>
                          <w:szCs w:val="18"/>
                        </w:rPr>
                      </w:pPr>
                      <w:r w:rsidRPr="000E52BC">
                        <w:rPr>
                          <w:rFonts w:ascii="Times New Roman" w:hAnsi="Times New Roman"/>
                          <w:sz w:val="18"/>
                          <w:szCs w:val="18"/>
                        </w:rPr>
                        <w:t>Les proportions des fonctions appelées soins curatifs hospitaliers ont variés entre  13 à 29%.</w:t>
                      </w:r>
                    </w:p>
                    <w:p w:rsidR="006E457F" w:rsidRPr="000E52BC" w:rsidRDefault="006E457F" w:rsidP="00AE3C93">
                      <w:pPr>
                        <w:pStyle w:val="Paragraphedeliste"/>
                        <w:numPr>
                          <w:ilvl w:val="0"/>
                          <w:numId w:val="24"/>
                        </w:numPr>
                        <w:spacing w:line="276" w:lineRule="auto"/>
                        <w:jc w:val="both"/>
                        <w:rPr>
                          <w:rFonts w:ascii="Times New Roman" w:hAnsi="Times New Roman"/>
                          <w:sz w:val="18"/>
                          <w:szCs w:val="18"/>
                        </w:rPr>
                      </w:pPr>
                      <w:r w:rsidRPr="000E52BC">
                        <w:rPr>
                          <w:rFonts w:ascii="Times New Roman" w:hAnsi="Times New Roman"/>
                          <w:sz w:val="18"/>
                          <w:szCs w:val="18"/>
                        </w:rPr>
                        <w:t>Les parts  des fonctions  appelées soins curatifs  ambulatoires ont variés entre 13 à 23%.</w:t>
                      </w:r>
                    </w:p>
                    <w:p w:rsidR="006E457F" w:rsidRPr="000E52BC" w:rsidRDefault="006E457F" w:rsidP="00AE3C93">
                      <w:pPr>
                        <w:pStyle w:val="Paragraphedeliste"/>
                        <w:numPr>
                          <w:ilvl w:val="0"/>
                          <w:numId w:val="24"/>
                        </w:numPr>
                        <w:spacing w:line="276" w:lineRule="auto"/>
                        <w:jc w:val="both"/>
                        <w:rPr>
                          <w:rFonts w:ascii="Times New Roman" w:hAnsi="Times New Roman"/>
                          <w:sz w:val="18"/>
                          <w:szCs w:val="18"/>
                        </w:rPr>
                      </w:pPr>
                      <w:r w:rsidRPr="000E52BC">
                        <w:rPr>
                          <w:rFonts w:ascii="Times New Roman" w:hAnsi="Times New Roman"/>
                          <w:sz w:val="18"/>
                          <w:szCs w:val="18"/>
                        </w:rPr>
                        <w:t>Celles des fonctions appelées médicaments délivrés sur ordonnance ont variés entre 16 à 20%.</w:t>
                      </w:r>
                    </w:p>
                    <w:p w:rsidR="006E457F" w:rsidRPr="000E52BC" w:rsidRDefault="006E457F" w:rsidP="00AE3C93">
                      <w:pPr>
                        <w:pStyle w:val="Paragraphedeliste"/>
                        <w:numPr>
                          <w:ilvl w:val="0"/>
                          <w:numId w:val="24"/>
                        </w:numPr>
                        <w:spacing w:line="276" w:lineRule="auto"/>
                        <w:jc w:val="both"/>
                        <w:rPr>
                          <w:rFonts w:ascii="Times New Roman" w:hAnsi="Times New Roman"/>
                          <w:sz w:val="18"/>
                          <w:szCs w:val="18"/>
                        </w:rPr>
                      </w:pPr>
                      <w:r w:rsidRPr="000E52BC">
                        <w:rPr>
                          <w:rFonts w:ascii="Times New Roman" w:hAnsi="Times New Roman"/>
                          <w:sz w:val="18"/>
                          <w:szCs w:val="18"/>
                        </w:rPr>
                        <w:t>Les pourcentages des fonctions soins préventifs  ont connu une fluctuation allant de 11 à 20%.</w:t>
                      </w:r>
                    </w:p>
                    <w:p w:rsidR="006E457F" w:rsidRPr="000E52BC" w:rsidRDefault="006E457F" w:rsidP="00AE3C93">
                      <w:pPr>
                        <w:pStyle w:val="Paragraphedeliste"/>
                        <w:numPr>
                          <w:ilvl w:val="0"/>
                          <w:numId w:val="24"/>
                        </w:numPr>
                        <w:spacing w:line="276" w:lineRule="auto"/>
                        <w:jc w:val="both"/>
                        <w:rPr>
                          <w:rFonts w:ascii="Times New Roman" w:hAnsi="Times New Roman"/>
                          <w:sz w:val="18"/>
                          <w:szCs w:val="18"/>
                        </w:rPr>
                      </w:pPr>
                      <w:r w:rsidRPr="000E52BC">
                        <w:rPr>
                          <w:rFonts w:ascii="Times New Roman" w:hAnsi="Times New Roman"/>
                          <w:sz w:val="18"/>
                          <w:szCs w:val="18"/>
                        </w:rPr>
                        <w:t>Les pourcentages des fonctions gouvernance, administration du système de santé et des financements ont variés entre 16 à 38%.</w:t>
                      </w:r>
                    </w:p>
                    <w:p w:rsidR="006E457F" w:rsidRPr="000E52BC" w:rsidRDefault="006E457F" w:rsidP="00AE3C93">
                      <w:pPr>
                        <w:pStyle w:val="Paragraphedeliste"/>
                        <w:numPr>
                          <w:ilvl w:val="0"/>
                          <w:numId w:val="24"/>
                        </w:numPr>
                        <w:spacing w:line="276" w:lineRule="auto"/>
                        <w:jc w:val="both"/>
                        <w:rPr>
                          <w:rFonts w:ascii="Times New Roman" w:hAnsi="Times New Roman"/>
                          <w:sz w:val="18"/>
                          <w:szCs w:val="18"/>
                        </w:rPr>
                      </w:pPr>
                      <w:r w:rsidRPr="000E52BC">
                        <w:rPr>
                          <w:rFonts w:ascii="Times New Roman" w:hAnsi="Times New Roman"/>
                          <w:sz w:val="18"/>
                          <w:szCs w:val="18"/>
                        </w:rPr>
                        <w:t xml:space="preserve"> Les  trois autres fonctions (services de laboratoire d’analyse médicales, services d’imagerie et autres activités), ont connu des proportions  de moins de 2% chaque année.</w:t>
                      </w:r>
                    </w:p>
                  </w:txbxContent>
                </v:textbox>
              </v:shape>
            </w:pict>
          </mc:Fallback>
        </mc:AlternateContent>
      </w:r>
      <w:r w:rsidR="00492A76" w:rsidRPr="00492A76">
        <w:rPr>
          <w:noProof/>
          <w:color w:val="000000" w:themeColor="text1"/>
          <w:lang w:eastAsia="fr-FR" w:bidi="ar-SA"/>
        </w:rPr>
        <w:drawing>
          <wp:inline distT="0" distB="0" distL="0" distR="0">
            <wp:extent cx="3553706" cy="3003550"/>
            <wp:effectExtent l="19050" t="0" r="8644" b="0"/>
            <wp:docPr id="28"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8" cstate="print"/>
                    <a:srcRect/>
                    <a:stretch>
                      <a:fillRect/>
                    </a:stretch>
                  </pic:blipFill>
                  <pic:spPr bwMode="auto">
                    <a:xfrm>
                      <a:off x="0" y="0"/>
                      <a:ext cx="3555242" cy="3004848"/>
                    </a:xfrm>
                    <a:prstGeom prst="rect">
                      <a:avLst/>
                    </a:prstGeom>
                    <a:noFill/>
                  </pic:spPr>
                </pic:pic>
              </a:graphicData>
            </a:graphic>
          </wp:inline>
        </w:drawing>
      </w:r>
    </w:p>
    <w:p w:rsidR="00CF3A3D" w:rsidRDefault="00CF3A3D" w:rsidP="00492A76">
      <w:pPr>
        <w:pStyle w:val="Paragraphedeliste"/>
        <w:ind w:left="0"/>
        <w:jc w:val="both"/>
        <w:rPr>
          <w:rFonts w:ascii="Times New Roman" w:hAnsi="Times New Roman"/>
          <w:b/>
          <w:color w:val="000000" w:themeColor="text1"/>
        </w:rPr>
      </w:pPr>
    </w:p>
    <w:p w:rsidR="00CF3A3D" w:rsidRDefault="00CF3A3D" w:rsidP="00492A76">
      <w:pPr>
        <w:pStyle w:val="Paragraphedeliste"/>
        <w:ind w:left="0"/>
        <w:jc w:val="both"/>
        <w:rPr>
          <w:rFonts w:ascii="Times New Roman" w:hAnsi="Times New Roman"/>
          <w:b/>
          <w:color w:val="000000" w:themeColor="text1"/>
        </w:rPr>
      </w:pPr>
    </w:p>
    <w:p w:rsidR="00B744B8" w:rsidRDefault="00B744B8" w:rsidP="00492A76">
      <w:pPr>
        <w:pStyle w:val="Paragraphedeliste"/>
        <w:ind w:left="0"/>
        <w:jc w:val="both"/>
        <w:rPr>
          <w:rFonts w:ascii="Times New Roman" w:hAnsi="Times New Roman"/>
          <w:b/>
          <w:color w:val="000000" w:themeColor="text1"/>
        </w:rPr>
      </w:pPr>
    </w:p>
    <w:p w:rsidR="00B744B8" w:rsidRDefault="00B744B8" w:rsidP="00492A76">
      <w:pPr>
        <w:pStyle w:val="Paragraphedeliste"/>
        <w:ind w:left="0"/>
        <w:jc w:val="both"/>
        <w:rPr>
          <w:rFonts w:ascii="Times New Roman" w:hAnsi="Times New Roman"/>
          <w:b/>
          <w:color w:val="000000" w:themeColor="text1"/>
        </w:rPr>
      </w:pPr>
    </w:p>
    <w:p w:rsidR="00B744B8" w:rsidRDefault="00B744B8" w:rsidP="00492A76">
      <w:pPr>
        <w:pStyle w:val="Paragraphedeliste"/>
        <w:ind w:left="0"/>
        <w:jc w:val="both"/>
        <w:rPr>
          <w:rFonts w:ascii="Times New Roman" w:hAnsi="Times New Roman"/>
          <w:b/>
          <w:color w:val="000000" w:themeColor="text1"/>
        </w:rPr>
      </w:pPr>
    </w:p>
    <w:p w:rsidR="00B744B8" w:rsidRDefault="00B744B8" w:rsidP="00492A76">
      <w:pPr>
        <w:pStyle w:val="Paragraphedeliste"/>
        <w:ind w:left="0"/>
        <w:jc w:val="both"/>
        <w:rPr>
          <w:rFonts w:ascii="Times New Roman" w:hAnsi="Times New Roman"/>
          <w:b/>
          <w:color w:val="000000" w:themeColor="text1"/>
        </w:rPr>
      </w:pPr>
    </w:p>
    <w:p w:rsidR="00B744B8" w:rsidRDefault="00B744B8" w:rsidP="00492A76">
      <w:pPr>
        <w:pStyle w:val="Paragraphedeliste"/>
        <w:ind w:left="0"/>
        <w:jc w:val="both"/>
        <w:rPr>
          <w:rFonts w:ascii="Times New Roman" w:hAnsi="Times New Roman"/>
          <w:b/>
          <w:color w:val="000000" w:themeColor="text1"/>
        </w:rPr>
      </w:pPr>
    </w:p>
    <w:p w:rsidR="00492A76" w:rsidRDefault="00492A76" w:rsidP="00492A76">
      <w:pPr>
        <w:pStyle w:val="Paragraphedeliste"/>
        <w:ind w:left="0"/>
        <w:jc w:val="both"/>
        <w:rPr>
          <w:rFonts w:ascii="Times New Roman" w:hAnsi="Times New Roman"/>
          <w:b/>
          <w:color w:val="000000" w:themeColor="text1"/>
        </w:rPr>
      </w:pPr>
      <w:r w:rsidRPr="008F0532">
        <w:rPr>
          <w:rFonts w:ascii="Times New Roman" w:hAnsi="Times New Roman"/>
          <w:b/>
          <w:color w:val="000000" w:themeColor="text1"/>
        </w:rPr>
        <w:lastRenderedPageBreak/>
        <w:t>4.3.1.1. Répartition de la Dépense C</w:t>
      </w:r>
      <w:r w:rsidR="00AE3C93">
        <w:rPr>
          <w:rFonts w:ascii="Times New Roman" w:hAnsi="Times New Roman"/>
          <w:b/>
          <w:color w:val="000000" w:themeColor="text1"/>
        </w:rPr>
        <w:t>ourante de Santé de l’Administration publique</w:t>
      </w:r>
      <w:r w:rsidR="00D9571F" w:rsidRPr="000E52BC">
        <w:rPr>
          <w:rFonts w:ascii="Times New Roman" w:hAnsi="Times New Roman"/>
          <w:b/>
          <w:color w:val="000000" w:themeColor="text1"/>
        </w:rPr>
        <w:t xml:space="preserve"> (gouvernement)</w:t>
      </w:r>
      <w:r w:rsidRPr="008F0532">
        <w:rPr>
          <w:rFonts w:ascii="Times New Roman" w:hAnsi="Times New Roman"/>
          <w:b/>
          <w:color w:val="000000" w:themeColor="text1"/>
        </w:rPr>
        <w:t xml:space="preserve"> par Fonction</w:t>
      </w:r>
    </w:p>
    <w:p w:rsidR="00492A76" w:rsidRDefault="00492A76" w:rsidP="002C5736">
      <w:pPr>
        <w:jc w:val="both"/>
        <w:rPr>
          <w:color w:val="000000" w:themeColor="text1"/>
        </w:rPr>
      </w:pPr>
    </w:p>
    <w:p w:rsidR="00AE3C93" w:rsidRDefault="00AE3C93" w:rsidP="00B21DDC">
      <w:pPr>
        <w:pStyle w:val="Style2"/>
        <w:rPr>
          <w:rFonts w:eastAsia="Calibri"/>
          <w:color w:val="000000" w:themeColor="text1"/>
        </w:rPr>
      </w:pPr>
      <w:r w:rsidRPr="00051672">
        <w:rPr>
          <w:rFonts w:eastAsia="Calibri"/>
          <w:color w:val="000000" w:themeColor="text1"/>
        </w:rPr>
        <w:t>Au cours de la période allant de 2011 à 2015,</w:t>
      </w:r>
      <w:r w:rsidR="00544498">
        <w:rPr>
          <w:rFonts w:eastAsia="Calibri"/>
          <w:color w:val="000000" w:themeColor="text1"/>
        </w:rPr>
        <w:t xml:space="preserve"> les fonctions ci-après</w:t>
      </w:r>
      <w:r w:rsidR="00B21DDC">
        <w:rPr>
          <w:rFonts w:eastAsia="Calibri"/>
          <w:color w:val="000000" w:themeColor="text1"/>
        </w:rPr>
        <w:t xml:space="preserve"> (Gouvernance, administration de santé et des financements, Soins préventifs, Services de laboratoire d’analyses médicales, Soins curatifs</w:t>
      </w:r>
      <w:r w:rsidR="00544498">
        <w:rPr>
          <w:rFonts w:eastAsia="Calibri"/>
          <w:color w:val="000000" w:themeColor="text1"/>
        </w:rPr>
        <w:t xml:space="preserve"> </w:t>
      </w:r>
      <w:r w:rsidR="00B21DDC">
        <w:rPr>
          <w:rFonts w:eastAsia="Calibri"/>
          <w:color w:val="000000" w:themeColor="text1"/>
        </w:rPr>
        <w:t xml:space="preserve">ambulatoires, Soins curatifs </w:t>
      </w:r>
      <w:r w:rsidR="0094662B" w:rsidRPr="000E52BC">
        <w:rPr>
          <w:rFonts w:eastAsia="Calibri"/>
          <w:color w:val="000000" w:themeColor="text1"/>
        </w:rPr>
        <w:t>hospitaliers</w:t>
      </w:r>
      <w:r w:rsidR="00B21DDC">
        <w:rPr>
          <w:rFonts w:eastAsia="Calibri"/>
          <w:color w:val="000000" w:themeColor="text1"/>
        </w:rPr>
        <w:t xml:space="preserve">) </w:t>
      </w:r>
      <w:r w:rsidR="00544498">
        <w:rPr>
          <w:rFonts w:eastAsia="Calibri"/>
          <w:color w:val="000000" w:themeColor="text1"/>
        </w:rPr>
        <w:t xml:space="preserve">ont </w:t>
      </w:r>
      <w:r w:rsidR="0094662B" w:rsidRPr="000E52BC">
        <w:rPr>
          <w:rFonts w:eastAsia="Calibri"/>
          <w:color w:val="000000" w:themeColor="text1"/>
        </w:rPr>
        <w:t>reçu</w:t>
      </w:r>
      <w:r w:rsidR="00544498">
        <w:rPr>
          <w:rFonts w:eastAsia="Calibri"/>
          <w:color w:val="000000" w:themeColor="text1"/>
        </w:rPr>
        <w:t xml:space="preserve"> de la part de  </w:t>
      </w:r>
      <w:r w:rsidRPr="00051672">
        <w:rPr>
          <w:rFonts w:eastAsia="Calibri"/>
          <w:color w:val="000000" w:themeColor="text1"/>
        </w:rPr>
        <w:t xml:space="preserve"> l’administration publique </w:t>
      </w:r>
      <w:r>
        <w:rPr>
          <w:rFonts w:eastAsia="Calibri"/>
          <w:color w:val="000000" w:themeColor="text1"/>
        </w:rPr>
        <w:t>(</w:t>
      </w:r>
      <w:r w:rsidRPr="00051672">
        <w:rPr>
          <w:rFonts w:eastAsia="Calibri"/>
          <w:color w:val="000000" w:themeColor="text1"/>
        </w:rPr>
        <w:t>Ministère de la santé et autres  départements ministériels)</w:t>
      </w:r>
      <w:r w:rsidR="00544498">
        <w:rPr>
          <w:rFonts w:eastAsia="Calibri"/>
          <w:color w:val="000000" w:themeColor="text1"/>
        </w:rPr>
        <w:t xml:space="preserve"> les proportions des fonds représentées dans le graphique n° 27</w:t>
      </w:r>
      <w:r w:rsidR="00B21DDC">
        <w:rPr>
          <w:rFonts w:eastAsia="Calibri"/>
          <w:color w:val="000000" w:themeColor="text1"/>
        </w:rPr>
        <w:t>.</w:t>
      </w:r>
      <w:r w:rsidRPr="00051672">
        <w:rPr>
          <w:rFonts w:eastAsia="Calibri"/>
          <w:color w:val="000000" w:themeColor="text1"/>
        </w:rPr>
        <w:t xml:space="preserve"> </w:t>
      </w:r>
    </w:p>
    <w:p w:rsidR="00B21DDC" w:rsidRDefault="00B21DDC" w:rsidP="00B21DDC">
      <w:pPr>
        <w:pStyle w:val="Style2"/>
        <w:rPr>
          <w:color w:val="000000" w:themeColor="text1"/>
        </w:rPr>
      </w:pPr>
    </w:p>
    <w:p w:rsidR="0094662B" w:rsidRDefault="00797B9F" w:rsidP="0094662B">
      <w:pPr>
        <w:pStyle w:val="Style2"/>
        <w:rPr>
          <w:rFonts w:eastAsia="Calibri"/>
          <w:color w:val="000000" w:themeColor="text1"/>
        </w:rPr>
      </w:pPr>
      <w:r w:rsidRPr="0094662B">
        <w:rPr>
          <w:color w:val="FF0000"/>
        </w:rPr>
        <w:t>Graphique n°27</w:t>
      </w:r>
      <w:r w:rsidR="0094662B" w:rsidRPr="000E52BC">
        <w:rPr>
          <w:color w:val="FF0000"/>
        </w:rPr>
        <w:t xml:space="preserve"> : </w:t>
      </w:r>
      <w:r w:rsidR="0094662B">
        <w:rPr>
          <w:rFonts w:eastAsia="Calibri"/>
          <w:color w:val="000000" w:themeColor="text1"/>
        </w:rPr>
        <w:t>E</w:t>
      </w:r>
      <w:r w:rsidR="0094662B" w:rsidRPr="00051672">
        <w:rPr>
          <w:rFonts w:eastAsia="Calibri"/>
          <w:color w:val="000000" w:themeColor="text1"/>
        </w:rPr>
        <w:t xml:space="preserve">volution des fonds </w:t>
      </w:r>
      <w:r w:rsidR="0094662B">
        <w:rPr>
          <w:rFonts w:eastAsia="Calibri"/>
          <w:color w:val="000000" w:themeColor="text1"/>
        </w:rPr>
        <w:t xml:space="preserve">du gouvernement </w:t>
      </w:r>
      <w:r w:rsidR="0094662B" w:rsidRPr="000E52BC">
        <w:rPr>
          <w:rFonts w:eastAsia="Calibri"/>
          <w:color w:val="000000" w:themeColor="text1"/>
        </w:rPr>
        <w:t>reçus par les fonctions de santé</w:t>
      </w:r>
      <w:r w:rsidR="0094662B" w:rsidRPr="00051672">
        <w:rPr>
          <w:rFonts w:eastAsia="Calibri"/>
          <w:color w:val="000000" w:themeColor="text1"/>
        </w:rPr>
        <w:t xml:space="preserve"> </w:t>
      </w:r>
      <w:r w:rsidR="0094662B">
        <w:rPr>
          <w:rFonts w:eastAsia="Calibri"/>
          <w:color w:val="000000" w:themeColor="text1"/>
        </w:rPr>
        <w:t>de 2011 à 2015.</w:t>
      </w:r>
      <w:r w:rsidR="0094662B" w:rsidRPr="000E52BC">
        <w:rPr>
          <w:rFonts w:eastAsia="Calibri"/>
          <w:color w:val="000000" w:themeColor="text1"/>
        </w:rPr>
        <w:t xml:space="preserve"> </w:t>
      </w:r>
    </w:p>
    <w:p w:rsidR="00797B9F" w:rsidRDefault="00797B9F" w:rsidP="002C5736">
      <w:pPr>
        <w:jc w:val="both"/>
        <w:rPr>
          <w:color w:val="000000" w:themeColor="text1"/>
        </w:rPr>
      </w:pPr>
    </w:p>
    <w:p w:rsidR="00492A76" w:rsidRDefault="008B4E36" w:rsidP="002C5736">
      <w:pPr>
        <w:jc w:val="both"/>
        <w:rPr>
          <w:color w:val="000000" w:themeColor="text1"/>
        </w:rPr>
      </w:pPr>
      <w:r w:rsidRPr="008B4E36">
        <w:rPr>
          <w:noProof/>
          <w:color w:val="000000" w:themeColor="text1"/>
          <w:lang w:eastAsia="fr-FR" w:bidi="ar-SA"/>
        </w:rPr>
        <w:drawing>
          <wp:inline distT="0" distB="0" distL="0" distR="0">
            <wp:extent cx="5760720" cy="2311400"/>
            <wp:effectExtent l="19050" t="0" r="11430" b="0"/>
            <wp:docPr id="47" name="Graphique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rsidR="004E529E" w:rsidRDefault="004E529E" w:rsidP="002C5736">
      <w:pPr>
        <w:jc w:val="both"/>
        <w:rPr>
          <w:color w:val="000000" w:themeColor="text1"/>
        </w:rPr>
      </w:pPr>
    </w:p>
    <w:p w:rsidR="00033213" w:rsidRPr="000E52BC" w:rsidRDefault="004F0470" w:rsidP="00033213">
      <w:pPr>
        <w:jc w:val="both"/>
        <w:rPr>
          <w:color w:val="000000" w:themeColor="text1"/>
        </w:rPr>
      </w:pPr>
      <w:r w:rsidRPr="000E52BC">
        <w:rPr>
          <w:color w:val="000000" w:themeColor="text1"/>
        </w:rPr>
        <w:t>Au regard des données recueillies pour les cinq années, les fonds reçus</w:t>
      </w:r>
      <w:r w:rsidR="00033213" w:rsidRPr="000E52BC">
        <w:rPr>
          <w:color w:val="000000" w:themeColor="text1"/>
        </w:rPr>
        <w:t xml:space="preserve"> du gouvernement (Administration publique) se présente de la manière suivante : </w:t>
      </w:r>
    </w:p>
    <w:p w:rsidR="00033213" w:rsidRPr="000E52BC" w:rsidRDefault="00033213" w:rsidP="00033213">
      <w:pPr>
        <w:jc w:val="both"/>
        <w:rPr>
          <w:color w:val="000000" w:themeColor="text1"/>
        </w:rPr>
      </w:pPr>
    </w:p>
    <w:p w:rsidR="00033213" w:rsidRPr="000E52BC" w:rsidRDefault="00033213" w:rsidP="009F3E3A">
      <w:pPr>
        <w:pStyle w:val="Paragraphedeliste"/>
        <w:numPr>
          <w:ilvl w:val="0"/>
          <w:numId w:val="11"/>
        </w:numPr>
        <w:spacing w:line="276" w:lineRule="auto"/>
        <w:jc w:val="both"/>
        <w:rPr>
          <w:rFonts w:ascii="Times New Roman" w:hAnsi="Times New Roman"/>
          <w:color w:val="000000" w:themeColor="text1"/>
        </w:rPr>
      </w:pPr>
      <w:r w:rsidRPr="000E52BC">
        <w:rPr>
          <w:rFonts w:ascii="Times New Roman" w:hAnsi="Times New Roman"/>
          <w:color w:val="000000" w:themeColor="text1"/>
        </w:rPr>
        <w:t xml:space="preserve">Dans le cadre la Gouvernance, administration du système de santé et des financements </w:t>
      </w:r>
    </w:p>
    <w:p w:rsidR="00033213" w:rsidRPr="000E52BC" w:rsidRDefault="004F0470" w:rsidP="009F3E3A">
      <w:pPr>
        <w:pStyle w:val="Paragraphedeliste"/>
        <w:spacing w:line="276" w:lineRule="auto"/>
        <w:ind w:left="0"/>
        <w:jc w:val="both"/>
        <w:rPr>
          <w:rFonts w:ascii="Times New Roman" w:hAnsi="Times New Roman"/>
          <w:color w:val="000000" w:themeColor="text1"/>
        </w:rPr>
      </w:pPr>
      <w:r w:rsidRPr="000E52BC">
        <w:rPr>
          <w:rFonts w:ascii="Times New Roman" w:hAnsi="Times New Roman"/>
          <w:color w:val="000000" w:themeColor="text1"/>
        </w:rPr>
        <w:t xml:space="preserve"> on remarque </w:t>
      </w:r>
      <w:r w:rsidR="00033213" w:rsidRPr="000E52BC">
        <w:rPr>
          <w:rFonts w:ascii="Times New Roman" w:hAnsi="Times New Roman"/>
          <w:color w:val="000000" w:themeColor="text1"/>
        </w:rPr>
        <w:t>une augmentation progressive allant de 14% en 2011 à 71% en 2015</w:t>
      </w:r>
      <w:r w:rsidR="00203AFF" w:rsidRPr="000E52BC">
        <w:rPr>
          <w:rFonts w:ascii="Times New Roman" w:hAnsi="Times New Roman"/>
          <w:color w:val="000000" w:themeColor="text1"/>
        </w:rPr>
        <w:t> ;</w:t>
      </w:r>
    </w:p>
    <w:p w:rsidR="00203AFF" w:rsidRPr="000E52BC" w:rsidRDefault="00033213" w:rsidP="009F3E3A">
      <w:pPr>
        <w:pStyle w:val="Paragraphedeliste"/>
        <w:numPr>
          <w:ilvl w:val="0"/>
          <w:numId w:val="11"/>
        </w:numPr>
        <w:spacing w:line="276" w:lineRule="auto"/>
        <w:jc w:val="both"/>
        <w:rPr>
          <w:rFonts w:ascii="Times New Roman" w:hAnsi="Times New Roman"/>
          <w:color w:val="000000" w:themeColor="text1"/>
        </w:rPr>
      </w:pPr>
      <w:r w:rsidRPr="000E52BC">
        <w:rPr>
          <w:rFonts w:ascii="Times New Roman" w:hAnsi="Times New Roman"/>
          <w:color w:val="000000" w:themeColor="text1"/>
        </w:rPr>
        <w:t xml:space="preserve">Pour  les Soins préventifs, on remarque une décroissance de </w:t>
      </w:r>
      <w:r w:rsidR="00203AFF" w:rsidRPr="000E52BC">
        <w:rPr>
          <w:rFonts w:ascii="Times New Roman" w:hAnsi="Times New Roman"/>
          <w:color w:val="000000" w:themeColor="text1"/>
        </w:rPr>
        <w:t xml:space="preserve">26% en 2011 à </w:t>
      </w:r>
      <w:r w:rsidRPr="000E52BC">
        <w:rPr>
          <w:rFonts w:ascii="Times New Roman" w:hAnsi="Times New Roman"/>
          <w:color w:val="000000" w:themeColor="text1"/>
        </w:rPr>
        <w:t xml:space="preserve"> </w:t>
      </w:r>
      <w:r w:rsidR="00203AFF" w:rsidRPr="000E52BC">
        <w:rPr>
          <w:rFonts w:ascii="Times New Roman" w:hAnsi="Times New Roman"/>
          <w:color w:val="000000" w:themeColor="text1"/>
        </w:rPr>
        <w:t>9</w:t>
      </w:r>
      <w:r w:rsidRPr="000E52BC">
        <w:rPr>
          <w:rFonts w:ascii="Times New Roman" w:hAnsi="Times New Roman"/>
          <w:color w:val="000000" w:themeColor="text1"/>
        </w:rPr>
        <w:t xml:space="preserve">% en </w:t>
      </w:r>
      <w:r w:rsidR="00203AFF" w:rsidRPr="000E52BC">
        <w:rPr>
          <w:rFonts w:ascii="Times New Roman" w:hAnsi="Times New Roman"/>
          <w:color w:val="000000" w:themeColor="text1"/>
        </w:rPr>
        <w:t>2012, puis 13% en 2013 et 2014 avant de chuter à 3% en 2015 ;</w:t>
      </w:r>
    </w:p>
    <w:p w:rsidR="00203AFF" w:rsidRPr="000E52BC" w:rsidRDefault="00203AFF" w:rsidP="009F3E3A">
      <w:pPr>
        <w:pStyle w:val="Paragraphedeliste"/>
        <w:numPr>
          <w:ilvl w:val="0"/>
          <w:numId w:val="11"/>
        </w:numPr>
        <w:spacing w:line="276" w:lineRule="auto"/>
        <w:jc w:val="both"/>
        <w:rPr>
          <w:rFonts w:ascii="Times New Roman" w:hAnsi="Times New Roman"/>
          <w:color w:val="000000" w:themeColor="text1"/>
        </w:rPr>
      </w:pPr>
      <w:r w:rsidRPr="000E52BC">
        <w:rPr>
          <w:rFonts w:ascii="Times New Roman" w:hAnsi="Times New Roman"/>
          <w:color w:val="000000" w:themeColor="text1"/>
        </w:rPr>
        <w:t>En ce qui concerne  les soins curatifs ambulatoires, on note une décroissance allant de 54% en 2011 à 6% en 2016 ;</w:t>
      </w:r>
    </w:p>
    <w:p w:rsidR="009F3E3A" w:rsidRPr="000E52BC" w:rsidRDefault="009F3E3A" w:rsidP="009F3E3A">
      <w:pPr>
        <w:pStyle w:val="Paragraphedeliste"/>
        <w:numPr>
          <w:ilvl w:val="0"/>
          <w:numId w:val="11"/>
        </w:numPr>
        <w:spacing w:line="276" w:lineRule="auto"/>
        <w:jc w:val="both"/>
        <w:rPr>
          <w:rFonts w:ascii="Times New Roman" w:hAnsi="Times New Roman"/>
          <w:color w:val="000000" w:themeColor="text1"/>
        </w:rPr>
      </w:pPr>
      <w:r w:rsidRPr="000E52BC">
        <w:rPr>
          <w:rFonts w:ascii="Times New Roman" w:hAnsi="Times New Roman"/>
          <w:color w:val="000000" w:themeColor="text1"/>
        </w:rPr>
        <w:t xml:space="preserve">Pour ce qui est des soins curatifs hospitaliers, il apparait d’abord une augmentation importante de  6% en 2011 à 52% en 2012 </w:t>
      </w:r>
      <w:r w:rsidR="00EB4227" w:rsidRPr="000E52BC">
        <w:rPr>
          <w:rFonts w:ascii="Times New Roman" w:hAnsi="Times New Roman"/>
          <w:color w:val="000000" w:themeColor="text1"/>
        </w:rPr>
        <w:t xml:space="preserve">et ensuite, </w:t>
      </w:r>
      <w:r w:rsidRPr="000E52BC">
        <w:rPr>
          <w:rFonts w:ascii="Times New Roman" w:hAnsi="Times New Roman"/>
          <w:color w:val="000000" w:themeColor="text1"/>
        </w:rPr>
        <w:t>une décroissance jusqu’en 2015 où cette proportion atteint 18</w:t>
      </w:r>
      <w:r w:rsidR="00EB4227" w:rsidRPr="000E52BC">
        <w:rPr>
          <w:rFonts w:ascii="Times New Roman" w:hAnsi="Times New Roman"/>
          <w:color w:val="000000" w:themeColor="text1"/>
        </w:rPr>
        <w:t>% ;</w:t>
      </w:r>
    </w:p>
    <w:p w:rsidR="00D9571F" w:rsidRPr="000E52BC" w:rsidRDefault="00EB4227" w:rsidP="000C3D7D">
      <w:pPr>
        <w:pStyle w:val="Paragraphedeliste"/>
        <w:numPr>
          <w:ilvl w:val="0"/>
          <w:numId w:val="11"/>
        </w:numPr>
        <w:spacing w:line="276" w:lineRule="auto"/>
        <w:jc w:val="both"/>
        <w:rPr>
          <w:rFonts w:ascii="Times New Roman" w:hAnsi="Times New Roman"/>
          <w:color w:val="000000" w:themeColor="text1"/>
        </w:rPr>
      </w:pPr>
      <w:r w:rsidRPr="000E52BC">
        <w:rPr>
          <w:rFonts w:ascii="Times New Roman" w:hAnsi="Times New Roman"/>
          <w:color w:val="000000" w:themeColor="text1"/>
        </w:rPr>
        <w:t xml:space="preserve">S’agissant des services de laboratoire d’analyses médicales, </w:t>
      </w:r>
      <w:r w:rsidR="00040D45" w:rsidRPr="000E52BC">
        <w:rPr>
          <w:rFonts w:ascii="Times New Roman" w:hAnsi="Times New Roman"/>
          <w:color w:val="000000" w:themeColor="text1"/>
        </w:rPr>
        <w:t>les fonds reçus ne dépassent guère 2% pour l’ensemble de la période.</w:t>
      </w:r>
    </w:p>
    <w:p w:rsidR="0094662B" w:rsidRPr="000E52BC" w:rsidRDefault="0094662B" w:rsidP="004E529E">
      <w:pPr>
        <w:pStyle w:val="Paragraphedeliste"/>
        <w:ind w:left="0"/>
        <w:jc w:val="both"/>
        <w:rPr>
          <w:rFonts w:ascii="Times New Roman" w:hAnsi="Times New Roman"/>
          <w:b/>
          <w:color w:val="000000" w:themeColor="text1"/>
        </w:rPr>
      </w:pPr>
    </w:p>
    <w:p w:rsidR="00B744B8" w:rsidRDefault="00B744B8">
      <w:pPr>
        <w:spacing w:after="200" w:line="20" w:lineRule="atLeast"/>
        <w:rPr>
          <w:b/>
          <w:color w:val="000000" w:themeColor="text1"/>
        </w:rPr>
      </w:pPr>
      <w:r>
        <w:rPr>
          <w:b/>
          <w:color w:val="000000" w:themeColor="text1"/>
        </w:rPr>
        <w:br w:type="page"/>
      </w:r>
    </w:p>
    <w:p w:rsidR="004E529E" w:rsidRDefault="004E529E" w:rsidP="004E529E">
      <w:pPr>
        <w:pStyle w:val="Paragraphedeliste"/>
        <w:ind w:left="0"/>
        <w:jc w:val="both"/>
        <w:rPr>
          <w:rFonts w:ascii="Times New Roman" w:hAnsi="Times New Roman"/>
          <w:b/>
          <w:color w:val="000000" w:themeColor="text1"/>
        </w:rPr>
      </w:pPr>
      <w:r w:rsidRPr="008F0532">
        <w:rPr>
          <w:rFonts w:ascii="Times New Roman" w:hAnsi="Times New Roman"/>
          <w:b/>
          <w:color w:val="000000" w:themeColor="text1"/>
        </w:rPr>
        <w:lastRenderedPageBreak/>
        <w:t>4.3.1.2. Répartition de la Dépense Cou</w:t>
      </w:r>
      <w:r w:rsidR="00090E29" w:rsidRPr="000E52BC">
        <w:rPr>
          <w:rFonts w:ascii="Times New Roman" w:hAnsi="Times New Roman"/>
          <w:b/>
          <w:color w:val="000000" w:themeColor="text1"/>
        </w:rPr>
        <w:t>rante de Santé des Manages par F</w:t>
      </w:r>
      <w:r w:rsidRPr="008F0532">
        <w:rPr>
          <w:rFonts w:ascii="Times New Roman" w:hAnsi="Times New Roman"/>
          <w:b/>
          <w:color w:val="000000" w:themeColor="text1"/>
        </w:rPr>
        <w:t>onction</w:t>
      </w:r>
    </w:p>
    <w:p w:rsidR="004E529E" w:rsidRDefault="004E529E" w:rsidP="004E529E">
      <w:pPr>
        <w:pStyle w:val="Paragraphedeliste"/>
        <w:ind w:left="0"/>
        <w:jc w:val="both"/>
        <w:rPr>
          <w:rFonts w:ascii="Times New Roman" w:hAnsi="Times New Roman"/>
          <w:b/>
          <w:color w:val="000000" w:themeColor="text1"/>
        </w:rPr>
      </w:pPr>
    </w:p>
    <w:p w:rsidR="00797B9F" w:rsidRPr="000E52BC" w:rsidRDefault="000201F5" w:rsidP="004E529E">
      <w:pPr>
        <w:pStyle w:val="Paragraphedeliste"/>
        <w:ind w:left="0"/>
        <w:jc w:val="both"/>
        <w:rPr>
          <w:rFonts w:ascii="Times New Roman" w:hAnsi="Times New Roman"/>
          <w:color w:val="000000" w:themeColor="text1"/>
        </w:rPr>
      </w:pPr>
      <w:r w:rsidRPr="000201F5">
        <w:rPr>
          <w:rFonts w:ascii="Times New Roman" w:hAnsi="Times New Roman"/>
          <w:color w:val="000000" w:themeColor="text1"/>
        </w:rPr>
        <w:t>Les dépenses de ménages</w:t>
      </w:r>
      <w:r w:rsidR="00090E29" w:rsidRPr="000E52BC">
        <w:rPr>
          <w:rFonts w:ascii="Times New Roman" w:hAnsi="Times New Roman"/>
          <w:color w:val="000000" w:themeColor="text1"/>
        </w:rPr>
        <w:t xml:space="preserve"> effectuées </w:t>
      </w:r>
      <w:r w:rsidR="00797B9F">
        <w:rPr>
          <w:rFonts w:ascii="Times New Roman" w:hAnsi="Times New Roman"/>
          <w:color w:val="000000" w:themeColor="text1"/>
        </w:rPr>
        <w:t>auprès des</w:t>
      </w:r>
      <w:r>
        <w:rPr>
          <w:rFonts w:ascii="Times New Roman" w:hAnsi="Times New Roman"/>
          <w:color w:val="000000" w:themeColor="text1"/>
        </w:rPr>
        <w:t xml:space="preserve"> prestataires </w:t>
      </w:r>
      <w:r w:rsidR="00797B9F">
        <w:rPr>
          <w:rFonts w:ascii="Times New Roman" w:hAnsi="Times New Roman"/>
          <w:color w:val="000000" w:themeColor="text1"/>
        </w:rPr>
        <w:t xml:space="preserve">ci-haut </w:t>
      </w:r>
      <w:r>
        <w:rPr>
          <w:rFonts w:ascii="Times New Roman" w:hAnsi="Times New Roman"/>
          <w:color w:val="000000" w:themeColor="text1"/>
        </w:rPr>
        <w:t>évoqués</w:t>
      </w:r>
      <w:r w:rsidR="00797B9F">
        <w:rPr>
          <w:rFonts w:ascii="Times New Roman" w:hAnsi="Times New Roman"/>
          <w:color w:val="000000" w:themeColor="text1"/>
        </w:rPr>
        <w:t xml:space="preserve"> dans  le graphique n°25 on</w:t>
      </w:r>
      <w:r w:rsidR="002E5269" w:rsidRPr="000E52BC">
        <w:rPr>
          <w:rFonts w:ascii="Times New Roman" w:hAnsi="Times New Roman"/>
          <w:color w:val="000000" w:themeColor="text1"/>
        </w:rPr>
        <w:t>t</w:t>
      </w:r>
      <w:r w:rsidR="00797B9F">
        <w:rPr>
          <w:rFonts w:ascii="Times New Roman" w:hAnsi="Times New Roman"/>
          <w:color w:val="000000" w:themeColor="text1"/>
        </w:rPr>
        <w:t xml:space="preserve"> été utilisé</w:t>
      </w:r>
      <w:r w:rsidR="00D9571F" w:rsidRPr="000E52BC">
        <w:rPr>
          <w:rFonts w:ascii="Times New Roman" w:hAnsi="Times New Roman"/>
          <w:color w:val="000000" w:themeColor="text1"/>
        </w:rPr>
        <w:t>es</w:t>
      </w:r>
      <w:r w:rsidR="00797B9F">
        <w:rPr>
          <w:rFonts w:ascii="Times New Roman" w:hAnsi="Times New Roman"/>
          <w:color w:val="000000" w:themeColor="text1"/>
        </w:rPr>
        <w:t xml:space="preserve"> pour les activités des soins </w:t>
      </w:r>
      <w:r w:rsidR="00797B9F" w:rsidRPr="00797B9F">
        <w:rPr>
          <w:rFonts w:ascii="Times New Roman" w:hAnsi="Times New Roman"/>
          <w:color w:val="000000" w:themeColor="text1"/>
        </w:rPr>
        <w:t>curatifs hospitaliers</w:t>
      </w:r>
      <w:r w:rsidR="00797B9F">
        <w:rPr>
          <w:rFonts w:ascii="Times New Roman" w:hAnsi="Times New Roman"/>
          <w:color w:val="000000" w:themeColor="text1"/>
        </w:rPr>
        <w:t>, s</w:t>
      </w:r>
      <w:r w:rsidR="00797B9F" w:rsidRPr="00797B9F">
        <w:rPr>
          <w:rFonts w:ascii="Times New Roman" w:hAnsi="Times New Roman"/>
          <w:color w:val="000000" w:themeColor="text1"/>
        </w:rPr>
        <w:t>oins curatifs ambulatoires</w:t>
      </w:r>
      <w:r w:rsidR="00797B9F">
        <w:rPr>
          <w:rFonts w:ascii="Times New Roman" w:hAnsi="Times New Roman"/>
          <w:color w:val="000000" w:themeColor="text1"/>
        </w:rPr>
        <w:t>, s</w:t>
      </w:r>
      <w:r w:rsidR="00797B9F" w:rsidRPr="00797B9F">
        <w:rPr>
          <w:rFonts w:ascii="Times New Roman" w:hAnsi="Times New Roman"/>
          <w:color w:val="000000" w:themeColor="text1"/>
        </w:rPr>
        <w:t>oins préventifs</w:t>
      </w:r>
      <w:r w:rsidR="00797B9F">
        <w:rPr>
          <w:rFonts w:ascii="Times New Roman" w:hAnsi="Times New Roman"/>
          <w:color w:val="000000" w:themeColor="text1"/>
        </w:rPr>
        <w:t>, s</w:t>
      </w:r>
      <w:r w:rsidR="00797B9F" w:rsidRPr="00797B9F">
        <w:rPr>
          <w:rFonts w:ascii="Times New Roman" w:hAnsi="Times New Roman"/>
          <w:color w:val="000000" w:themeColor="text1"/>
        </w:rPr>
        <w:t>ervices auxiliai</w:t>
      </w:r>
      <w:r w:rsidR="00797B9F">
        <w:rPr>
          <w:rFonts w:ascii="Times New Roman" w:hAnsi="Times New Roman"/>
          <w:color w:val="000000" w:themeColor="text1"/>
        </w:rPr>
        <w:t>res (non-spécifié par fonction), m</w:t>
      </w:r>
      <w:r w:rsidR="00797B9F" w:rsidRPr="00797B9F">
        <w:rPr>
          <w:rFonts w:ascii="Times New Roman" w:hAnsi="Times New Roman"/>
          <w:color w:val="000000" w:themeColor="text1"/>
        </w:rPr>
        <w:t>édicaments délivrés sur ordonnance</w:t>
      </w:r>
      <w:r w:rsidR="00797B9F">
        <w:rPr>
          <w:rFonts w:ascii="Times New Roman" w:hAnsi="Times New Roman"/>
          <w:color w:val="000000" w:themeColor="text1"/>
        </w:rPr>
        <w:t>, a</w:t>
      </w:r>
      <w:r w:rsidR="00797B9F" w:rsidRPr="00797B9F">
        <w:rPr>
          <w:rFonts w:ascii="Times New Roman" w:hAnsi="Times New Roman"/>
          <w:color w:val="000000" w:themeColor="text1"/>
        </w:rPr>
        <w:t xml:space="preserve">ppareils thérapeutiques et autres biens médicaux </w:t>
      </w:r>
      <w:r w:rsidR="00797B9F">
        <w:rPr>
          <w:rFonts w:ascii="Times New Roman" w:hAnsi="Times New Roman"/>
          <w:color w:val="000000" w:themeColor="text1"/>
        </w:rPr>
        <w:t>ainsi que les</w:t>
      </w:r>
      <w:r w:rsidR="00797B9F" w:rsidRPr="00797B9F">
        <w:rPr>
          <w:rFonts w:ascii="Times New Roman" w:hAnsi="Times New Roman"/>
          <w:color w:val="000000" w:themeColor="text1"/>
        </w:rPr>
        <w:t xml:space="preserve"> Biens médicaux non spécifiés</w:t>
      </w:r>
      <w:r w:rsidR="00797B9F">
        <w:rPr>
          <w:rFonts w:ascii="Times New Roman" w:hAnsi="Times New Roman"/>
          <w:color w:val="000000" w:themeColor="text1"/>
        </w:rPr>
        <w:t>.</w:t>
      </w:r>
    </w:p>
    <w:p w:rsidR="00090E29" w:rsidRPr="000E52BC" w:rsidRDefault="00090E29" w:rsidP="004E529E">
      <w:pPr>
        <w:pStyle w:val="Paragraphedeliste"/>
        <w:ind w:left="0"/>
        <w:jc w:val="both"/>
        <w:rPr>
          <w:rFonts w:ascii="Times New Roman" w:hAnsi="Times New Roman"/>
          <w:color w:val="000000" w:themeColor="text1"/>
        </w:rPr>
      </w:pPr>
    </w:p>
    <w:p w:rsidR="00090E29" w:rsidRDefault="00090E29" w:rsidP="004E529E">
      <w:pPr>
        <w:pStyle w:val="Paragraphedeliste"/>
        <w:ind w:left="0"/>
        <w:jc w:val="both"/>
        <w:rPr>
          <w:rFonts w:ascii="Times New Roman" w:hAnsi="Times New Roman"/>
          <w:color w:val="000000" w:themeColor="text1"/>
        </w:rPr>
      </w:pPr>
      <w:r w:rsidRPr="00090E29">
        <w:rPr>
          <w:rFonts w:ascii="Times New Roman" w:hAnsi="Times New Roman"/>
          <w:color w:val="000000" w:themeColor="text1"/>
        </w:rPr>
        <w:t xml:space="preserve">Les dépenses des Ménages </w:t>
      </w:r>
      <w:r w:rsidR="00067E09" w:rsidRPr="000E52BC">
        <w:rPr>
          <w:rFonts w:ascii="Times New Roman" w:hAnsi="Times New Roman"/>
          <w:color w:val="000000" w:themeColor="text1"/>
        </w:rPr>
        <w:t>sont</w:t>
      </w:r>
      <w:r w:rsidRPr="00090E29">
        <w:rPr>
          <w:rFonts w:ascii="Times New Roman" w:hAnsi="Times New Roman"/>
          <w:color w:val="000000" w:themeColor="text1"/>
        </w:rPr>
        <w:t xml:space="preserve"> issue</w:t>
      </w:r>
      <w:r w:rsidR="00B732D8" w:rsidRPr="000E52BC">
        <w:rPr>
          <w:rFonts w:ascii="Times New Roman" w:hAnsi="Times New Roman"/>
          <w:color w:val="000000" w:themeColor="text1"/>
        </w:rPr>
        <w:t>s</w:t>
      </w:r>
      <w:r w:rsidRPr="00090E29">
        <w:rPr>
          <w:rFonts w:ascii="Times New Roman" w:hAnsi="Times New Roman"/>
          <w:color w:val="000000" w:themeColor="text1"/>
        </w:rPr>
        <w:t xml:space="preserve"> de l'enquête ECOM </w:t>
      </w:r>
      <w:r w:rsidR="0010312E" w:rsidRPr="000E52BC">
        <w:rPr>
          <w:rFonts w:ascii="Times New Roman" w:hAnsi="Times New Roman"/>
          <w:color w:val="000000" w:themeColor="text1"/>
        </w:rPr>
        <w:t>réalisé</w:t>
      </w:r>
      <w:r w:rsidRPr="00090E29">
        <w:rPr>
          <w:rFonts w:ascii="Times New Roman" w:hAnsi="Times New Roman"/>
          <w:color w:val="000000" w:themeColor="text1"/>
        </w:rPr>
        <w:t xml:space="preserve"> en 2011 par l'INS. </w:t>
      </w:r>
      <w:r w:rsidR="0010312E" w:rsidRPr="000E52BC">
        <w:rPr>
          <w:rFonts w:ascii="Times New Roman" w:hAnsi="Times New Roman"/>
          <w:color w:val="000000" w:themeColor="text1"/>
        </w:rPr>
        <w:t xml:space="preserve">Pour  cette étude, nous avons supposé que </w:t>
      </w:r>
      <w:r w:rsidRPr="000E52BC">
        <w:rPr>
          <w:rFonts w:ascii="Times New Roman" w:hAnsi="Times New Roman"/>
          <w:color w:val="000000" w:themeColor="text1"/>
        </w:rPr>
        <w:t>les dépenses des ménages en ce qui concerne la consommation des produits et services de santé est indépendante</w:t>
      </w:r>
      <w:r w:rsidR="00B732D8" w:rsidRPr="000E52BC">
        <w:rPr>
          <w:rFonts w:ascii="Times New Roman" w:hAnsi="Times New Roman"/>
          <w:color w:val="000000" w:themeColor="text1"/>
        </w:rPr>
        <w:t xml:space="preserve"> de leur </w:t>
      </w:r>
      <w:r w:rsidRPr="00090E29">
        <w:rPr>
          <w:rFonts w:ascii="Times New Roman" w:hAnsi="Times New Roman"/>
          <w:color w:val="000000" w:themeColor="text1"/>
        </w:rPr>
        <w:t xml:space="preserve"> situation économique et sociale</w:t>
      </w:r>
      <w:r w:rsidR="00B732D8" w:rsidRPr="000E52BC">
        <w:rPr>
          <w:rFonts w:ascii="Times New Roman" w:hAnsi="Times New Roman"/>
          <w:color w:val="000000" w:themeColor="text1"/>
        </w:rPr>
        <w:t>.</w:t>
      </w:r>
      <w:r w:rsidRPr="00090E29">
        <w:rPr>
          <w:rFonts w:ascii="Times New Roman" w:hAnsi="Times New Roman"/>
          <w:color w:val="000000" w:themeColor="text1"/>
        </w:rPr>
        <w:t xml:space="preserve"> </w:t>
      </w:r>
      <w:r w:rsidR="00B732D8" w:rsidRPr="000E52BC">
        <w:rPr>
          <w:rFonts w:ascii="Times New Roman" w:hAnsi="Times New Roman"/>
          <w:color w:val="000000" w:themeColor="text1"/>
        </w:rPr>
        <w:t>En d’autres termes, l</w:t>
      </w:r>
      <w:r w:rsidRPr="00090E29">
        <w:rPr>
          <w:rFonts w:ascii="Times New Roman" w:hAnsi="Times New Roman"/>
          <w:color w:val="000000" w:themeColor="text1"/>
        </w:rPr>
        <w:t>es ménages</w:t>
      </w:r>
      <w:r w:rsidR="007637FB" w:rsidRPr="000E52BC">
        <w:rPr>
          <w:rFonts w:ascii="Times New Roman" w:hAnsi="Times New Roman"/>
          <w:color w:val="000000" w:themeColor="text1"/>
        </w:rPr>
        <w:t xml:space="preserve"> vont dépenser de la même façon en 2011, 2012</w:t>
      </w:r>
      <w:r w:rsidR="000C3D7D" w:rsidRPr="000E52BC">
        <w:rPr>
          <w:rFonts w:ascii="Times New Roman" w:hAnsi="Times New Roman"/>
          <w:color w:val="000000" w:themeColor="text1"/>
        </w:rPr>
        <w:t>, 2013,2014</w:t>
      </w:r>
      <w:r w:rsidR="007637FB" w:rsidRPr="000E52BC">
        <w:rPr>
          <w:rFonts w:ascii="Times New Roman" w:hAnsi="Times New Roman"/>
          <w:color w:val="000000" w:themeColor="text1"/>
        </w:rPr>
        <w:t xml:space="preserve"> et 2015 et que ces dépenses </w:t>
      </w:r>
      <w:r w:rsidR="00B732D8" w:rsidRPr="000E52BC">
        <w:rPr>
          <w:rFonts w:ascii="Times New Roman" w:hAnsi="Times New Roman"/>
          <w:color w:val="000000" w:themeColor="text1"/>
        </w:rPr>
        <w:t>v</w:t>
      </w:r>
      <w:r w:rsidRPr="00090E29">
        <w:rPr>
          <w:rFonts w:ascii="Times New Roman" w:hAnsi="Times New Roman"/>
          <w:color w:val="000000" w:themeColor="text1"/>
        </w:rPr>
        <w:t>ont</w:t>
      </w:r>
      <w:r w:rsidR="00B732D8" w:rsidRPr="000E52BC">
        <w:rPr>
          <w:rFonts w:ascii="Times New Roman" w:hAnsi="Times New Roman"/>
          <w:color w:val="000000" w:themeColor="text1"/>
        </w:rPr>
        <w:t xml:space="preserve"> garder les mêmes</w:t>
      </w:r>
      <w:r w:rsidR="00067E09" w:rsidRPr="000E52BC">
        <w:rPr>
          <w:rFonts w:ascii="Times New Roman" w:hAnsi="Times New Roman"/>
          <w:color w:val="000000" w:themeColor="text1"/>
        </w:rPr>
        <w:t xml:space="preserve"> proportions au cours  </w:t>
      </w:r>
      <w:r w:rsidR="007637FB" w:rsidRPr="000E52BC">
        <w:rPr>
          <w:rFonts w:ascii="Times New Roman" w:hAnsi="Times New Roman"/>
          <w:color w:val="000000" w:themeColor="text1"/>
        </w:rPr>
        <w:t>de ces années</w:t>
      </w:r>
      <w:r w:rsidR="00067E09" w:rsidRPr="000E52BC">
        <w:rPr>
          <w:rFonts w:ascii="Times New Roman" w:hAnsi="Times New Roman"/>
          <w:color w:val="000000" w:themeColor="text1"/>
        </w:rPr>
        <w:t>.</w:t>
      </w:r>
    </w:p>
    <w:p w:rsidR="00797B9F" w:rsidRDefault="00797B9F" w:rsidP="004E529E">
      <w:pPr>
        <w:pStyle w:val="Paragraphedeliste"/>
        <w:ind w:left="0"/>
        <w:jc w:val="both"/>
        <w:rPr>
          <w:rFonts w:ascii="Times New Roman" w:hAnsi="Times New Roman"/>
          <w:color w:val="000000" w:themeColor="text1"/>
        </w:rPr>
      </w:pPr>
    </w:p>
    <w:p w:rsidR="00090E29" w:rsidRPr="000C3D7D" w:rsidRDefault="00797B9F" w:rsidP="004E529E">
      <w:pPr>
        <w:pStyle w:val="Paragraphedeliste"/>
        <w:ind w:left="0"/>
        <w:jc w:val="both"/>
        <w:rPr>
          <w:rFonts w:ascii="Times New Roman" w:hAnsi="Times New Roman"/>
          <w:b/>
          <w:color w:val="FF0000"/>
        </w:rPr>
      </w:pPr>
      <w:r>
        <w:rPr>
          <w:rFonts w:ascii="Times New Roman" w:hAnsi="Times New Roman"/>
          <w:color w:val="000000" w:themeColor="text1"/>
        </w:rPr>
        <w:t>Graphique n° 28</w:t>
      </w:r>
      <w:r w:rsidRPr="00797B9F">
        <w:rPr>
          <w:rFonts w:ascii="Times New Roman" w:hAnsi="Times New Roman"/>
          <w:color w:val="000000" w:themeColor="text1"/>
        </w:rPr>
        <w:t xml:space="preserve"> </w:t>
      </w:r>
      <w:r w:rsidR="000201F5">
        <w:rPr>
          <w:rFonts w:ascii="Times New Roman" w:hAnsi="Times New Roman"/>
          <w:color w:val="000000" w:themeColor="text1"/>
        </w:rPr>
        <w:t xml:space="preserve"> </w:t>
      </w:r>
      <w:r w:rsidR="00090E29" w:rsidRPr="000E52BC">
        <w:rPr>
          <w:rFonts w:ascii="Times New Roman" w:hAnsi="Times New Roman"/>
          <w:color w:val="000000" w:themeColor="text1"/>
        </w:rPr>
        <w:t>Dépense courante de Ménage par f</w:t>
      </w:r>
      <w:r>
        <w:rPr>
          <w:rFonts w:ascii="Times New Roman" w:hAnsi="Times New Roman"/>
          <w:color w:val="000000" w:themeColor="text1"/>
        </w:rPr>
        <w:t>onction</w:t>
      </w:r>
      <w:r w:rsidR="00090E29" w:rsidRPr="000E52BC">
        <w:rPr>
          <w:rFonts w:ascii="Times New Roman" w:hAnsi="Times New Roman"/>
          <w:color w:val="000000" w:themeColor="text1"/>
        </w:rPr>
        <w:t xml:space="preserve"> de 2011 à 2015</w:t>
      </w:r>
      <w:r w:rsidR="001A7FDE" w:rsidRPr="000E52BC">
        <w:rPr>
          <w:rFonts w:ascii="Times New Roman" w:hAnsi="Times New Roman"/>
          <w:color w:val="000000" w:themeColor="text1"/>
        </w:rPr>
        <w:t xml:space="preserve"> </w:t>
      </w:r>
      <w:r w:rsidR="000C3D7D" w:rsidRPr="000E52BC">
        <w:rPr>
          <w:rFonts w:ascii="Times New Roman" w:hAnsi="Times New Roman"/>
          <w:color w:val="FF0000"/>
        </w:rPr>
        <w:t>(remplacer par un camber)</w:t>
      </w:r>
    </w:p>
    <w:p w:rsidR="004E529E" w:rsidRDefault="004E529E" w:rsidP="004E529E">
      <w:pPr>
        <w:pStyle w:val="Paragraphedeliste"/>
        <w:ind w:left="0"/>
        <w:jc w:val="both"/>
        <w:rPr>
          <w:rFonts w:ascii="Times New Roman" w:hAnsi="Times New Roman"/>
          <w:b/>
          <w:color w:val="000000" w:themeColor="text1"/>
        </w:rPr>
      </w:pPr>
    </w:p>
    <w:p w:rsidR="004E529E" w:rsidRDefault="006631CA" w:rsidP="004E529E">
      <w:pPr>
        <w:pStyle w:val="Paragraphedeliste"/>
        <w:ind w:left="0"/>
        <w:jc w:val="both"/>
        <w:rPr>
          <w:rFonts w:ascii="Times New Roman" w:hAnsi="Times New Roman"/>
          <w:b/>
          <w:color w:val="000000" w:themeColor="text1"/>
        </w:rPr>
      </w:pPr>
      <w:r w:rsidRPr="006631CA">
        <w:rPr>
          <w:rFonts w:ascii="Times New Roman" w:hAnsi="Times New Roman"/>
          <w:b/>
          <w:noProof/>
          <w:color w:val="000000" w:themeColor="text1"/>
          <w:lang w:eastAsia="fr-FR" w:bidi="ar-SA"/>
        </w:rPr>
        <w:drawing>
          <wp:inline distT="0" distB="0" distL="0" distR="0">
            <wp:extent cx="4617720" cy="2286000"/>
            <wp:effectExtent l="19050" t="0" r="11430" b="0"/>
            <wp:docPr id="48" name="Graphique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rsidR="004E529E" w:rsidRDefault="004E529E" w:rsidP="004E529E">
      <w:pPr>
        <w:pStyle w:val="Paragraphedeliste"/>
        <w:ind w:left="0"/>
        <w:jc w:val="both"/>
        <w:rPr>
          <w:rFonts w:ascii="Times New Roman" w:hAnsi="Times New Roman"/>
          <w:b/>
          <w:color w:val="000000" w:themeColor="text1"/>
        </w:rPr>
      </w:pPr>
    </w:p>
    <w:p w:rsidR="004E529E" w:rsidRPr="000E52BC" w:rsidRDefault="001A7FDE" w:rsidP="004E529E">
      <w:pPr>
        <w:pStyle w:val="Paragraphedeliste"/>
        <w:ind w:left="0"/>
        <w:jc w:val="both"/>
        <w:rPr>
          <w:rFonts w:ascii="Times New Roman" w:hAnsi="Times New Roman"/>
          <w:color w:val="000000" w:themeColor="text1"/>
        </w:rPr>
      </w:pPr>
      <w:r w:rsidRPr="000E52BC">
        <w:rPr>
          <w:rFonts w:ascii="Times New Roman" w:hAnsi="Times New Roman"/>
          <w:color w:val="000000" w:themeColor="text1"/>
        </w:rPr>
        <w:t xml:space="preserve">Le graphique ci-dessus indique qu’en ce qui concerne </w:t>
      </w:r>
      <w:r w:rsidR="00797B9F" w:rsidRPr="009B77A5">
        <w:rPr>
          <w:rFonts w:ascii="Times New Roman" w:hAnsi="Times New Roman"/>
          <w:color w:val="000000" w:themeColor="text1"/>
        </w:rPr>
        <w:t xml:space="preserve">les </w:t>
      </w:r>
      <w:r w:rsidRPr="000E52BC">
        <w:rPr>
          <w:rFonts w:ascii="Times New Roman" w:hAnsi="Times New Roman"/>
          <w:color w:val="000000" w:themeColor="text1"/>
        </w:rPr>
        <w:t xml:space="preserve"> </w:t>
      </w:r>
      <w:r w:rsidR="00797B9F" w:rsidRPr="009B77A5">
        <w:rPr>
          <w:rFonts w:ascii="Times New Roman" w:hAnsi="Times New Roman"/>
          <w:color w:val="000000" w:themeColor="text1"/>
        </w:rPr>
        <w:t>dépenses</w:t>
      </w:r>
      <w:r w:rsidR="0075215D" w:rsidRPr="000E52BC">
        <w:rPr>
          <w:rFonts w:ascii="Times New Roman" w:hAnsi="Times New Roman"/>
          <w:color w:val="000000" w:themeColor="text1"/>
        </w:rPr>
        <w:t xml:space="preserve"> courantes</w:t>
      </w:r>
      <w:r w:rsidRPr="000E52BC">
        <w:rPr>
          <w:rFonts w:ascii="Times New Roman" w:hAnsi="Times New Roman"/>
          <w:color w:val="000000" w:themeColor="text1"/>
        </w:rPr>
        <w:t xml:space="preserve"> de santé, les ménages dé</w:t>
      </w:r>
      <w:r w:rsidR="0075215D" w:rsidRPr="000E52BC">
        <w:rPr>
          <w:rFonts w:ascii="Times New Roman" w:hAnsi="Times New Roman"/>
          <w:color w:val="000000" w:themeColor="text1"/>
        </w:rPr>
        <w:t>pensent</w:t>
      </w:r>
      <w:r w:rsidR="00797B9F" w:rsidRPr="009B77A5">
        <w:rPr>
          <w:rFonts w:ascii="Times New Roman" w:hAnsi="Times New Roman"/>
          <w:color w:val="000000" w:themeColor="text1"/>
        </w:rPr>
        <w:t xml:space="preserve"> pri</w:t>
      </w:r>
      <w:r w:rsidRPr="000E52BC">
        <w:rPr>
          <w:rFonts w:ascii="Times New Roman" w:hAnsi="Times New Roman"/>
          <w:color w:val="000000" w:themeColor="text1"/>
        </w:rPr>
        <w:t>ncipalement pour l’achat</w:t>
      </w:r>
      <w:r w:rsidR="00797B9F" w:rsidRPr="009B77A5">
        <w:rPr>
          <w:rFonts w:ascii="Times New Roman" w:hAnsi="Times New Roman"/>
          <w:color w:val="000000" w:themeColor="text1"/>
        </w:rPr>
        <w:t xml:space="preserve"> des médicaments prescr</w:t>
      </w:r>
      <w:r w:rsidR="0075215D" w:rsidRPr="000E52BC">
        <w:rPr>
          <w:rFonts w:ascii="Times New Roman" w:hAnsi="Times New Roman"/>
          <w:color w:val="000000" w:themeColor="text1"/>
        </w:rPr>
        <w:t xml:space="preserve">it sur ordonnance (48%). En deuxième  position se situe les soins curatifs à hauteur de </w:t>
      </w:r>
      <w:r w:rsidR="009B77A5" w:rsidRPr="000E52BC">
        <w:rPr>
          <w:rFonts w:ascii="Times New Roman" w:hAnsi="Times New Roman"/>
          <w:color w:val="000000" w:themeColor="text1"/>
        </w:rPr>
        <w:t>43</w:t>
      </w:r>
      <w:r w:rsidR="00800975" w:rsidRPr="009B77A5">
        <w:rPr>
          <w:rFonts w:ascii="Times New Roman" w:hAnsi="Times New Roman"/>
          <w:color w:val="000000" w:themeColor="text1"/>
        </w:rPr>
        <w:t>%</w:t>
      </w:r>
      <w:r w:rsidR="009B77A5" w:rsidRPr="000E52BC">
        <w:rPr>
          <w:rFonts w:ascii="Times New Roman" w:hAnsi="Times New Roman"/>
          <w:color w:val="000000" w:themeColor="text1"/>
        </w:rPr>
        <w:t xml:space="preserve"> </w:t>
      </w:r>
      <w:r w:rsidR="00EC661C" w:rsidRPr="000E52BC">
        <w:rPr>
          <w:rFonts w:ascii="Times New Roman" w:hAnsi="Times New Roman"/>
          <w:color w:val="000000" w:themeColor="text1"/>
        </w:rPr>
        <w:t>(</w:t>
      </w:r>
      <w:r w:rsidR="0075215D" w:rsidRPr="000E52BC">
        <w:rPr>
          <w:rFonts w:ascii="Times New Roman" w:hAnsi="Times New Roman"/>
          <w:color w:val="000000" w:themeColor="text1"/>
        </w:rPr>
        <w:t>dont 27% pour  les soins curatifs  hospitaliers et</w:t>
      </w:r>
      <w:r w:rsidR="009B77A5" w:rsidRPr="000E52BC">
        <w:rPr>
          <w:rFonts w:ascii="Times New Roman" w:hAnsi="Times New Roman"/>
          <w:color w:val="000000" w:themeColor="text1"/>
        </w:rPr>
        <w:t xml:space="preserve"> 14% pour les soins curatifs</w:t>
      </w:r>
      <w:r w:rsidR="00EC661C" w:rsidRPr="000E52BC">
        <w:rPr>
          <w:rFonts w:ascii="Times New Roman" w:hAnsi="Times New Roman"/>
          <w:color w:val="000000" w:themeColor="text1"/>
        </w:rPr>
        <w:t xml:space="preserve"> ambulatoires </w:t>
      </w:r>
      <w:r w:rsidR="00D23762" w:rsidRPr="000E52BC">
        <w:rPr>
          <w:rFonts w:ascii="Times New Roman" w:hAnsi="Times New Roman"/>
          <w:color w:val="000000" w:themeColor="text1"/>
        </w:rPr>
        <w:t xml:space="preserve">dentaires. </w:t>
      </w:r>
      <w:r w:rsidR="00800975" w:rsidRPr="00D23762">
        <w:rPr>
          <w:rFonts w:ascii="Times New Roman" w:hAnsi="Times New Roman"/>
          <w:color w:val="000000" w:themeColor="text1"/>
        </w:rPr>
        <w:t>Le</w:t>
      </w:r>
      <w:r w:rsidR="00FB7984" w:rsidRPr="00D23762">
        <w:rPr>
          <w:rFonts w:ascii="Times New Roman" w:hAnsi="Times New Roman"/>
          <w:color w:val="000000" w:themeColor="text1"/>
        </w:rPr>
        <w:t>s examens de labor</w:t>
      </w:r>
      <w:r w:rsidR="00800975" w:rsidRPr="00D23762">
        <w:rPr>
          <w:rFonts w:ascii="Times New Roman" w:hAnsi="Times New Roman"/>
          <w:color w:val="000000" w:themeColor="text1"/>
        </w:rPr>
        <w:t>atoires et imagerie à 6% de la DCS.</w:t>
      </w:r>
      <w:r w:rsidR="00FB7984" w:rsidRPr="00EB35F4">
        <w:rPr>
          <w:rFonts w:ascii="Times New Roman" w:hAnsi="Times New Roman"/>
          <w:color w:val="000000" w:themeColor="text1"/>
        </w:rPr>
        <w:t xml:space="preserve"> </w:t>
      </w:r>
    </w:p>
    <w:p w:rsidR="00090E29" w:rsidRPr="00EB35F4" w:rsidRDefault="00090E29" w:rsidP="004E529E">
      <w:pPr>
        <w:pStyle w:val="Paragraphedeliste"/>
        <w:ind w:left="0"/>
        <w:jc w:val="both"/>
        <w:rPr>
          <w:rFonts w:ascii="Times New Roman" w:hAnsi="Times New Roman"/>
          <w:color w:val="000000" w:themeColor="text1"/>
        </w:rPr>
      </w:pPr>
    </w:p>
    <w:p w:rsidR="00800975" w:rsidRDefault="00800975" w:rsidP="004E529E">
      <w:pPr>
        <w:pStyle w:val="Paragraphedeliste"/>
        <w:ind w:left="0"/>
        <w:jc w:val="both"/>
        <w:rPr>
          <w:rFonts w:ascii="Times New Roman" w:hAnsi="Times New Roman"/>
          <w:b/>
          <w:color w:val="000000" w:themeColor="text1"/>
        </w:rPr>
      </w:pPr>
    </w:p>
    <w:p w:rsidR="004E529E" w:rsidRDefault="004E529E" w:rsidP="004E529E">
      <w:pPr>
        <w:pStyle w:val="Paragraphedeliste"/>
        <w:ind w:left="0"/>
        <w:jc w:val="both"/>
        <w:rPr>
          <w:rFonts w:ascii="Times New Roman" w:hAnsi="Times New Roman"/>
          <w:b/>
          <w:color w:val="000000" w:themeColor="text1"/>
        </w:rPr>
      </w:pPr>
      <w:r>
        <w:rPr>
          <w:rFonts w:ascii="Times New Roman" w:hAnsi="Times New Roman"/>
          <w:b/>
          <w:color w:val="000000" w:themeColor="text1"/>
        </w:rPr>
        <w:t>4</w:t>
      </w:r>
      <w:r w:rsidRPr="008F0532">
        <w:rPr>
          <w:rFonts w:ascii="Times New Roman" w:hAnsi="Times New Roman"/>
          <w:b/>
          <w:color w:val="000000" w:themeColor="text1"/>
        </w:rPr>
        <w:t>.3.1.3. Répartition de la Dépense Courante de Santé du RDM par Fonction</w:t>
      </w:r>
    </w:p>
    <w:p w:rsidR="00FB7984" w:rsidRDefault="00FB7984" w:rsidP="004E529E">
      <w:pPr>
        <w:pStyle w:val="Paragraphedeliste"/>
        <w:ind w:left="0"/>
        <w:jc w:val="both"/>
        <w:rPr>
          <w:rFonts w:ascii="Times New Roman" w:hAnsi="Times New Roman"/>
          <w:b/>
          <w:color w:val="000000" w:themeColor="text1"/>
        </w:rPr>
      </w:pPr>
    </w:p>
    <w:p w:rsidR="00BA1945" w:rsidRDefault="00EB35F4" w:rsidP="00800975">
      <w:pPr>
        <w:jc w:val="both"/>
      </w:pPr>
      <w:r w:rsidRPr="000E52BC">
        <w:t xml:space="preserve">Le Reste du Monde (financement externe) </w:t>
      </w:r>
      <w:r w:rsidR="00BA1945">
        <w:t xml:space="preserve">joue un rôle non négligeable dans le financement du système </w:t>
      </w:r>
      <w:r w:rsidR="007634C2" w:rsidRPr="000E52BC">
        <w:t>de santé en République du Congo. Leur part représente</w:t>
      </w:r>
      <w:r w:rsidR="00883DEA" w:rsidRPr="000E52BC">
        <w:t xml:space="preserve"> près</w:t>
      </w:r>
      <w:r w:rsidR="00BA1945">
        <w:t xml:space="preserve"> d’un tiers</w:t>
      </w:r>
      <w:r w:rsidR="00032F24" w:rsidRPr="000E52BC">
        <w:t xml:space="preserve"> (1/3) de la DCS, soit 28%, comme indiqué dans  </w:t>
      </w:r>
      <w:r w:rsidR="009E2C43" w:rsidRPr="000E52BC">
        <w:t>le graphique n°13.</w:t>
      </w:r>
    </w:p>
    <w:p w:rsidR="00BA1945" w:rsidRDefault="00BA1945" w:rsidP="00800975">
      <w:pPr>
        <w:jc w:val="both"/>
      </w:pPr>
    </w:p>
    <w:p w:rsidR="00800975" w:rsidRDefault="00BA1945" w:rsidP="00800975">
      <w:pPr>
        <w:jc w:val="both"/>
      </w:pPr>
      <w:r>
        <w:t xml:space="preserve">Ainsi, dans ce financement, la grande partie est </w:t>
      </w:r>
      <w:r w:rsidR="00883DEA" w:rsidRPr="000E52BC">
        <w:t xml:space="preserve">utilisée </w:t>
      </w:r>
      <w:r w:rsidR="007E1D1A" w:rsidRPr="000E52BC">
        <w:t xml:space="preserve"> pour les</w:t>
      </w:r>
      <w:r w:rsidR="00883DEA" w:rsidRPr="000E52BC">
        <w:t xml:space="preserve"> fonction</w:t>
      </w:r>
      <w:r w:rsidR="007E1D1A" w:rsidRPr="000E52BC">
        <w:t>s</w:t>
      </w:r>
      <w:r w:rsidR="00883DEA" w:rsidRPr="000E52BC">
        <w:t xml:space="preserve"> </w:t>
      </w:r>
      <w:r>
        <w:t>soins préventifs</w:t>
      </w:r>
      <w:r w:rsidR="007E1D1A" w:rsidRPr="000E52BC">
        <w:t xml:space="preserve">, </w:t>
      </w:r>
      <w:r w:rsidR="00027763" w:rsidRPr="000E52BC">
        <w:t xml:space="preserve"> gouvernance, </w:t>
      </w:r>
      <w:r>
        <w:t xml:space="preserve">soins curatifs </w:t>
      </w:r>
      <w:r w:rsidR="00AB74B2">
        <w:t xml:space="preserve">et services auxiliaires. </w:t>
      </w:r>
    </w:p>
    <w:p w:rsidR="00FB7984" w:rsidRPr="00FB7984" w:rsidRDefault="00FB7984" w:rsidP="004E529E">
      <w:pPr>
        <w:pStyle w:val="Paragraphedeliste"/>
        <w:ind w:left="0"/>
        <w:jc w:val="both"/>
        <w:rPr>
          <w:rFonts w:ascii="Times New Roman" w:hAnsi="Times New Roman"/>
          <w:color w:val="000000" w:themeColor="text1"/>
        </w:rPr>
      </w:pPr>
    </w:p>
    <w:p w:rsidR="006631CA" w:rsidRDefault="006631CA" w:rsidP="00AB74B2">
      <w:pPr>
        <w:pStyle w:val="Style2"/>
        <w:rPr>
          <w:rStyle w:val="Style2Car"/>
          <w:color w:val="000000" w:themeColor="text1"/>
        </w:rPr>
      </w:pPr>
    </w:p>
    <w:p w:rsidR="00AB74B2" w:rsidRPr="00A94A8C" w:rsidRDefault="00884CB0" w:rsidP="00AB74B2">
      <w:pPr>
        <w:pStyle w:val="Style2"/>
        <w:rPr>
          <w:color w:val="000000" w:themeColor="text1"/>
        </w:rPr>
      </w:pPr>
      <w:r w:rsidRPr="000E52BC">
        <w:rPr>
          <w:rStyle w:val="Style2Car"/>
          <w:color w:val="000000" w:themeColor="text1"/>
        </w:rPr>
        <w:lastRenderedPageBreak/>
        <w:t>Le graphique</w:t>
      </w:r>
      <w:r w:rsidR="00B27DE0" w:rsidRPr="008D45CE">
        <w:rPr>
          <w:rStyle w:val="Style2Car"/>
          <w:color w:val="000000" w:themeColor="text1"/>
        </w:rPr>
        <w:t xml:space="preserve"> ci-dessous montre </w:t>
      </w:r>
      <w:r w:rsidR="00AB74B2">
        <w:rPr>
          <w:rStyle w:val="Style2Car"/>
          <w:color w:val="000000" w:themeColor="text1"/>
        </w:rPr>
        <w:t xml:space="preserve">l'évolution </w:t>
      </w:r>
      <w:r w:rsidR="00B27DE0" w:rsidRPr="008D45CE">
        <w:rPr>
          <w:rStyle w:val="Style2Car"/>
          <w:color w:val="000000" w:themeColor="text1"/>
        </w:rPr>
        <w:t xml:space="preserve">de la Dépense Courante en Santé </w:t>
      </w:r>
      <w:r w:rsidR="00AB74B2">
        <w:rPr>
          <w:rStyle w:val="Style2Car"/>
          <w:color w:val="000000" w:themeColor="text1"/>
        </w:rPr>
        <w:t>du RDM par fonction de 2011 à 2015.</w:t>
      </w:r>
    </w:p>
    <w:p w:rsidR="007400B2" w:rsidRDefault="007400B2" w:rsidP="00AB74B2">
      <w:pPr>
        <w:pStyle w:val="Style2"/>
        <w:rPr>
          <w:color w:val="FF0000"/>
        </w:rPr>
      </w:pPr>
    </w:p>
    <w:p w:rsidR="00AB74B2" w:rsidRDefault="00A94A8C" w:rsidP="00AB74B2">
      <w:pPr>
        <w:pStyle w:val="Style2"/>
        <w:rPr>
          <w:rFonts w:eastAsia="Calibri"/>
          <w:color w:val="000000" w:themeColor="text1"/>
        </w:rPr>
      </w:pPr>
      <w:r w:rsidRPr="000E52BC">
        <w:rPr>
          <w:color w:val="FF0000"/>
        </w:rPr>
        <w:t>Graphique</w:t>
      </w:r>
      <w:r w:rsidR="00B27DE0">
        <w:rPr>
          <w:color w:val="FF0000"/>
        </w:rPr>
        <w:t xml:space="preserve"> n°29 </w:t>
      </w:r>
      <w:r w:rsidR="00B27DE0">
        <w:rPr>
          <w:rFonts w:eastAsia="Calibri"/>
          <w:color w:val="000000" w:themeColor="text1"/>
        </w:rPr>
        <w:t>E</w:t>
      </w:r>
      <w:r w:rsidR="00B27DE0" w:rsidRPr="00051672">
        <w:rPr>
          <w:rFonts w:eastAsia="Calibri"/>
          <w:color w:val="000000" w:themeColor="text1"/>
        </w:rPr>
        <w:t xml:space="preserve">volution des fonds </w:t>
      </w:r>
      <w:r w:rsidR="00B27DE0">
        <w:rPr>
          <w:rFonts w:eastAsia="Calibri"/>
          <w:color w:val="000000" w:themeColor="text1"/>
        </w:rPr>
        <w:t>du RDM par fonction des soins de santé</w:t>
      </w:r>
      <w:r w:rsidR="00B27DE0" w:rsidRPr="00051672">
        <w:rPr>
          <w:rFonts w:eastAsia="Calibri"/>
          <w:color w:val="000000" w:themeColor="text1"/>
        </w:rPr>
        <w:t xml:space="preserve"> </w:t>
      </w:r>
      <w:r w:rsidR="00B27DE0">
        <w:rPr>
          <w:rFonts w:eastAsia="Calibri"/>
          <w:color w:val="000000" w:themeColor="text1"/>
        </w:rPr>
        <w:t>de 2011 à 2015.</w:t>
      </w:r>
    </w:p>
    <w:p w:rsidR="00AB74B2" w:rsidRDefault="00AB74B2" w:rsidP="00AB74B2">
      <w:pPr>
        <w:pStyle w:val="Style2"/>
        <w:rPr>
          <w:rFonts w:eastAsia="Calibri"/>
          <w:color w:val="000000" w:themeColor="text1"/>
        </w:rPr>
      </w:pPr>
    </w:p>
    <w:p w:rsidR="00492A76" w:rsidRPr="008D45CE" w:rsidRDefault="00492A76" w:rsidP="00AB74B2">
      <w:pPr>
        <w:pStyle w:val="Style2"/>
        <w:rPr>
          <w:color w:val="000000" w:themeColor="text1"/>
        </w:rPr>
      </w:pPr>
      <w:r w:rsidRPr="00492A76">
        <w:rPr>
          <w:noProof/>
          <w:color w:val="000000" w:themeColor="text1"/>
          <w:lang w:eastAsia="fr-FR" w:bidi="ar-SA"/>
        </w:rPr>
        <w:drawing>
          <wp:inline distT="0" distB="0" distL="0" distR="0">
            <wp:extent cx="5334000" cy="2717800"/>
            <wp:effectExtent l="19050" t="0" r="19050" b="6350"/>
            <wp:docPr id="16" name="Graphique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rsidR="006631CA" w:rsidRDefault="006631CA" w:rsidP="006F65A5">
      <w:pPr>
        <w:pStyle w:val="Style2"/>
        <w:rPr>
          <w:rFonts w:eastAsia="Calibri"/>
          <w:color w:val="000000" w:themeColor="text1"/>
        </w:rPr>
      </w:pPr>
      <w:bookmarkStart w:id="66" w:name="_Toc483474513"/>
    </w:p>
    <w:p w:rsidR="00492A76" w:rsidRPr="000E52BC" w:rsidRDefault="006F65A5" w:rsidP="006F65A5">
      <w:pPr>
        <w:pStyle w:val="Style2"/>
        <w:rPr>
          <w:rFonts w:eastAsia="Calibri"/>
          <w:color w:val="000000" w:themeColor="text1"/>
        </w:rPr>
      </w:pPr>
      <w:r w:rsidRPr="000E52BC">
        <w:rPr>
          <w:rFonts w:eastAsia="Calibri"/>
          <w:color w:val="000000" w:themeColor="text1"/>
        </w:rPr>
        <w:t xml:space="preserve">Pour la fonction </w:t>
      </w:r>
      <w:r w:rsidR="00D17D15" w:rsidRPr="000E52BC">
        <w:rPr>
          <w:rFonts w:eastAsia="Calibri"/>
          <w:color w:val="000000" w:themeColor="text1"/>
        </w:rPr>
        <w:t>Gouvernance</w:t>
      </w:r>
      <w:r w:rsidRPr="000E52BC">
        <w:rPr>
          <w:rFonts w:eastAsia="Calibri"/>
          <w:color w:val="000000" w:themeColor="text1"/>
        </w:rPr>
        <w:t>,</w:t>
      </w:r>
      <w:r w:rsidR="00D17D15" w:rsidRPr="000E52BC">
        <w:rPr>
          <w:rFonts w:eastAsia="Calibri"/>
          <w:color w:val="000000" w:themeColor="text1"/>
        </w:rPr>
        <w:t xml:space="preserve"> administration du système de santé et des financements</w:t>
      </w:r>
      <w:r w:rsidRPr="000E52BC">
        <w:rPr>
          <w:rFonts w:eastAsia="Calibri"/>
          <w:color w:val="000000" w:themeColor="text1"/>
        </w:rPr>
        <w:t xml:space="preserve"> on constate une baisse des fonds issue du reste du monde de 2011 à 2012  et reste presque constant autour de 38% jusqu’en 2015.</w:t>
      </w:r>
    </w:p>
    <w:p w:rsidR="006F65A5" w:rsidRPr="000E52BC" w:rsidRDefault="006F65A5" w:rsidP="006F65A5">
      <w:pPr>
        <w:pStyle w:val="Style2"/>
        <w:rPr>
          <w:rFonts w:eastAsia="Calibri"/>
          <w:color w:val="000000" w:themeColor="text1"/>
        </w:rPr>
      </w:pPr>
      <w:r w:rsidRPr="000E52BC">
        <w:rPr>
          <w:rFonts w:eastAsia="Calibri"/>
          <w:color w:val="000000" w:themeColor="text1"/>
        </w:rPr>
        <w:t xml:space="preserve">S’agissant  de la fonction soins préventifs, les financements externes ont baissé de 35% en 2011 à 33% en 2012. Ces financements ont connu une hausse sensible à partir de 2013 où leur proportion a stagné entre </w:t>
      </w:r>
      <w:r w:rsidR="00CA587C" w:rsidRPr="000E52BC">
        <w:rPr>
          <w:rFonts w:eastAsia="Calibri"/>
          <w:color w:val="000000" w:themeColor="text1"/>
        </w:rPr>
        <w:t xml:space="preserve">43% et 44% en 2015. </w:t>
      </w:r>
    </w:p>
    <w:p w:rsidR="00CA587C" w:rsidRPr="000E52BC" w:rsidRDefault="00CA587C" w:rsidP="006F65A5">
      <w:pPr>
        <w:pStyle w:val="Style2"/>
        <w:rPr>
          <w:rFonts w:eastAsia="Calibri"/>
          <w:color w:val="000000" w:themeColor="text1"/>
        </w:rPr>
      </w:pPr>
      <w:r w:rsidRPr="000E52BC">
        <w:rPr>
          <w:rFonts w:eastAsia="Calibri"/>
          <w:color w:val="000000" w:themeColor="text1"/>
        </w:rPr>
        <w:t>En ce qui concerne la fonction de soins  curatifs ambulatoires, les financements externes ont significativement augmenté de 8% en 2011 à 30% en 2012, avant de baisser progressivement de 21% en 2013 à 19% en 2015.</w:t>
      </w:r>
    </w:p>
    <w:p w:rsidR="006631CA" w:rsidRDefault="006631CA" w:rsidP="00FB7984"/>
    <w:p w:rsidR="00D17D15" w:rsidRDefault="00CA587C" w:rsidP="00FB7984">
      <w:r w:rsidRPr="000E52BC">
        <w:t xml:space="preserve">Ce graphique  montre que les financements extérieurs sont le moins souvent orientés vers les fonctions </w:t>
      </w:r>
      <w:r w:rsidR="00D17D15" w:rsidRPr="000E52BC">
        <w:t>services auxiliaires (</w:t>
      </w:r>
      <w:r w:rsidRPr="000E52BC">
        <w:t xml:space="preserve">non-spécifié par fonction) et  </w:t>
      </w:r>
      <w:r w:rsidR="00D17D15" w:rsidRPr="000E52BC">
        <w:t>soins curatifs hospitaliers o</w:t>
      </w:r>
      <w:r w:rsidR="00B41B92" w:rsidRPr="000E52BC">
        <w:t>ù ils sont pratiquement nuls sur l’ensemble de la période allant de 2011 à 2015.</w:t>
      </w:r>
    </w:p>
    <w:bookmarkEnd w:id="66"/>
    <w:p w:rsidR="00CF3A3D" w:rsidRPr="00FB7984" w:rsidRDefault="00CF3A3D" w:rsidP="00CF3A3D">
      <w:pPr>
        <w:pStyle w:val="Titre3"/>
        <w:rPr>
          <w:i w:val="0"/>
          <w:color w:val="000000" w:themeColor="text1"/>
        </w:rPr>
      </w:pPr>
      <w:r w:rsidRPr="00FB7984">
        <w:rPr>
          <w:i w:val="0"/>
          <w:color w:val="000000" w:themeColor="text1"/>
        </w:rPr>
        <w:t xml:space="preserve">4.3.2. </w:t>
      </w:r>
      <w:r w:rsidR="00F31F34">
        <w:rPr>
          <w:i w:val="0"/>
          <w:color w:val="000000" w:themeColor="text1"/>
        </w:rPr>
        <w:t>Analyse de la DCS par</w:t>
      </w:r>
      <w:r w:rsidRPr="00FB7984">
        <w:rPr>
          <w:i w:val="0"/>
          <w:color w:val="000000" w:themeColor="text1"/>
        </w:rPr>
        <w:t xml:space="preserve"> Facteurs de prestation</w:t>
      </w:r>
      <w:r w:rsidR="00F31F34">
        <w:rPr>
          <w:i w:val="0"/>
          <w:color w:val="000000" w:themeColor="text1"/>
        </w:rPr>
        <w:t xml:space="preserve"> de 2011 à 2015</w:t>
      </w:r>
    </w:p>
    <w:p w:rsidR="00CF3A3D" w:rsidRDefault="00CF3A3D" w:rsidP="00CF3A3D">
      <w:pPr>
        <w:pStyle w:val="Style2"/>
        <w:rPr>
          <w:rStyle w:val="Style2Car"/>
          <w:rFonts w:eastAsia="+mn-ea"/>
        </w:rPr>
      </w:pPr>
      <w:r>
        <w:rPr>
          <w:b/>
          <w:bCs/>
          <w:color w:val="000000" w:themeColor="text1"/>
        </w:rPr>
        <w:t>L</w:t>
      </w:r>
      <w:r w:rsidRPr="00B27DE0">
        <w:rPr>
          <w:rStyle w:val="Style2Car"/>
          <w:rFonts w:eastAsia="+mn-ea"/>
        </w:rPr>
        <w:t xml:space="preserve">es facteurs de </w:t>
      </w:r>
      <w:r>
        <w:rPr>
          <w:rStyle w:val="Style2Car"/>
          <w:rFonts w:eastAsia="+mn-ea"/>
        </w:rPr>
        <w:t xml:space="preserve">prestation </w:t>
      </w:r>
      <w:r w:rsidRPr="00B27DE0">
        <w:rPr>
          <w:rStyle w:val="Style2Car"/>
          <w:rFonts w:eastAsia="+mn-ea"/>
        </w:rPr>
        <w:t>de soins de santé représentent la valeur totale des ressources, en espèces ou en nature, utilisée dans la fourniture des biens et services de santé. Elle est égale au montant payable aux prestataires de soins de santé par les régimes de financement pour les biens et services de santé consommés au cours de la période comptable. Les dépenses en facteurs de fourniture sont relatives aux dépenses courantes pour la fourniture des biens et services de santé</w:t>
      </w:r>
      <w:r>
        <w:rPr>
          <w:rStyle w:val="Style2Car"/>
          <w:rFonts w:eastAsia="+mn-ea"/>
        </w:rPr>
        <w:t>.</w:t>
      </w:r>
    </w:p>
    <w:p w:rsidR="00CF3A3D" w:rsidRDefault="00CF3A3D" w:rsidP="00CF3A3D">
      <w:pPr>
        <w:pStyle w:val="Style2"/>
        <w:rPr>
          <w:rStyle w:val="Style2Car"/>
          <w:rFonts w:eastAsia="+mn-ea"/>
        </w:rPr>
      </w:pPr>
    </w:p>
    <w:p w:rsidR="006631CA" w:rsidRDefault="006631CA" w:rsidP="00CF3A3D">
      <w:pPr>
        <w:pStyle w:val="Style2"/>
        <w:rPr>
          <w:rStyle w:val="Style2Car"/>
          <w:rFonts w:eastAsia="+mn-ea"/>
        </w:rPr>
      </w:pPr>
    </w:p>
    <w:p w:rsidR="006631CA" w:rsidRDefault="006631CA" w:rsidP="00CF3A3D">
      <w:pPr>
        <w:pStyle w:val="Style2"/>
        <w:rPr>
          <w:rStyle w:val="Style2Car"/>
          <w:rFonts w:eastAsia="+mn-ea"/>
        </w:rPr>
      </w:pPr>
    </w:p>
    <w:p w:rsidR="00CF3A3D" w:rsidRDefault="00CF3A3D" w:rsidP="00CF3A3D">
      <w:pPr>
        <w:pStyle w:val="Style2"/>
        <w:rPr>
          <w:rStyle w:val="Style2Car"/>
          <w:rFonts w:eastAsia="+mn-ea"/>
        </w:rPr>
      </w:pPr>
      <w:r>
        <w:rPr>
          <w:rStyle w:val="Style2Car"/>
          <w:rFonts w:eastAsia="+mn-ea"/>
        </w:rPr>
        <w:lastRenderedPageBreak/>
        <w:t>Dans ce rapport, les facteurs de prestation de soins de santé sont composés de:</w:t>
      </w:r>
    </w:p>
    <w:p w:rsidR="00CF3A3D" w:rsidRDefault="00CF3A3D" w:rsidP="00CF3A3D">
      <w:pPr>
        <w:pStyle w:val="Style2"/>
        <w:numPr>
          <w:ilvl w:val="0"/>
          <w:numId w:val="25"/>
        </w:numPr>
        <w:rPr>
          <w:rStyle w:val="Style2Car"/>
          <w:rFonts w:eastAsia="+mn-ea"/>
        </w:rPr>
      </w:pPr>
      <w:r>
        <w:rPr>
          <w:rStyle w:val="Style2Car"/>
          <w:rFonts w:eastAsia="+mn-ea"/>
        </w:rPr>
        <w:t>La r</w:t>
      </w:r>
      <w:r w:rsidRPr="00FF03BB">
        <w:rPr>
          <w:rStyle w:val="Style2Car"/>
          <w:rFonts w:eastAsia="+mn-ea"/>
        </w:rPr>
        <w:t>émunération des employés</w:t>
      </w:r>
      <w:r>
        <w:rPr>
          <w:rStyle w:val="Style2Car"/>
          <w:rFonts w:eastAsia="+mn-ea"/>
        </w:rPr>
        <w:t xml:space="preserve"> (t</w:t>
      </w:r>
      <w:r w:rsidRPr="00FF03BB">
        <w:rPr>
          <w:rStyle w:val="Style2Car"/>
          <w:rFonts w:eastAsia="+mn-ea"/>
        </w:rPr>
        <w:t>raitements et salaires</w:t>
      </w:r>
      <w:r>
        <w:rPr>
          <w:rStyle w:val="Style2Car"/>
          <w:rFonts w:eastAsia="+mn-ea"/>
        </w:rPr>
        <w:t>, c</w:t>
      </w:r>
      <w:r w:rsidRPr="00FF03BB">
        <w:rPr>
          <w:rStyle w:val="Style2Car"/>
          <w:rFonts w:eastAsia="+mn-ea"/>
        </w:rPr>
        <w:t>otisations sociales</w:t>
      </w:r>
      <w:r>
        <w:rPr>
          <w:rStyle w:val="Style2Car"/>
          <w:rFonts w:eastAsia="+mn-ea"/>
        </w:rPr>
        <w:t xml:space="preserve"> et t</w:t>
      </w:r>
      <w:r w:rsidRPr="00FF03BB">
        <w:rPr>
          <w:rStyle w:val="Style2Car"/>
          <w:rFonts w:eastAsia="+mn-ea"/>
        </w:rPr>
        <w:t>ous autres coûts relatifs aux employés</w:t>
      </w:r>
      <w:r>
        <w:rPr>
          <w:rStyle w:val="Style2Car"/>
          <w:rFonts w:eastAsia="+mn-ea"/>
        </w:rPr>
        <w:t>);</w:t>
      </w:r>
    </w:p>
    <w:p w:rsidR="00CF3A3D" w:rsidRDefault="00CF3A3D" w:rsidP="00CF3A3D">
      <w:pPr>
        <w:pStyle w:val="Style2"/>
        <w:numPr>
          <w:ilvl w:val="0"/>
          <w:numId w:val="25"/>
        </w:numPr>
        <w:rPr>
          <w:rStyle w:val="Style2Car"/>
          <w:rFonts w:eastAsia="+mn-ea"/>
        </w:rPr>
      </w:pPr>
      <w:r>
        <w:rPr>
          <w:rStyle w:val="Style2Car"/>
          <w:rFonts w:eastAsia="+mn-ea"/>
        </w:rPr>
        <w:t>Petits é</w:t>
      </w:r>
      <w:r w:rsidRPr="00FF03BB">
        <w:rPr>
          <w:rStyle w:val="Style2Car"/>
          <w:rFonts w:eastAsia="+mn-ea"/>
        </w:rPr>
        <w:t>quipements et services utilisés</w:t>
      </w:r>
      <w:r>
        <w:rPr>
          <w:rStyle w:val="Style2Car"/>
          <w:rFonts w:eastAsia="+mn-ea"/>
        </w:rPr>
        <w:t xml:space="preserve"> (s</w:t>
      </w:r>
      <w:r w:rsidRPr="00FF03BB">
        <w:rPr>
          <w:rStyle w:val="Style2Car"/>
          <w:rFonts w:eastAsia="+mn-ea"/>
        </w:rPr>
        <w:t>ervices de soins de santé</w:t>
      </w:r>
      <w:r>
        <w:rPr>
          <w:rStyle w:val="Style2Car"/>
          <w:rFonts w:eastAsia="+mn-ea"/>
        </w:rPr>
        <w:t>, b</w:t>
      </w:r>
      <w:r w:rsidRPr="00FF03BB">
        <w:rPr>
          <w:rStyle w:val="Style2Car"/>
          <w:rFonts w:eastAsia="+mn-ea"/>
        </w:rPr>
        <w:t>iens de santé</w:t>
      </w:r>
      <w:r>
        <w:rPr>
          <w:rStyle w:val="Style2Car"/>
          <w:rFonts w:eastAsia="+mn-ea"/>
        </w:rPr>
        <w:t>, s</w:t>
      </w:r>
      <w:r w:rsidRPr="00FF03BB">
        <w:rPr>
          <w:rStyle w:val="Style2Car"/>
          <w:rFonts w:eastAsia="+mn-ea"/>
        </w:rPr>
        <w:t>ervices non sanitaires</w:t>
      </w:r>
      <w:r>
        <w:rPr>
          <w:rStyle w:val="Style2Car"/>
          <w:rFonts w:eastAsia="+mn-ea"/>
        </w:rPr>
        <w:t xml:space="preserve"> et b</w:t>
      </w:r>
      <w:r w:rsidRPr="00FF03BB">
        <w:rPr>
          <w:rStyle w:val="Style2Car"/>
          <w:rFonts w:eastAsia="+mn-ea"/>
        </w:rPr>
        <w:t>iens non sanitaire</w:t>
      </w:r>
      <w:r>
        <w:rPr>
          <w:rStyle w:val="Style2Car"/>
          <w:rFonts w:eastAsia="+mn-ea"/>
        </w:rPr>
        <w:t>)</w:t>
      </w:r>
    </w:p>
    <w:p w:rsidR="00CF3A3D" w:rsidRDefault="00CF3A3D" w:rsidP="00CF3A3D">
      <w:pPr>
        <w:pStyle w:val="Style2"/>
        <w:numPr>
          <w:ilvl w:val="0"/>
          <w:numId w:val="25"/>
        </w:numPr>
        <w:rPr>
          <w:rStyle w:val="Style2Car"/>
          <w:rFonts w:eastAsia="+mn-ea"/>
        </w:rPr>
      </w:pPr>
      <w:r>
        <w:rPr>
          <w:rStyle w:val="Style2Car"/>
          <w:rFonts w:eastAsia="+mn-ea"/>
        </w:rPr>
        <w:t>Autres dépenses non spécifiées.</w:t>
      </w:r>
    </w:p>
    <w:p w:rsidR="00CF3A3D" w:rsidRDefault="00CF3A3D" w:rsidP="00CF3A3D">
      <w:pPr>
        <w:pStyle w:val="Style2"/>
        <w:ind w:left="770"/>
        <w:rPr>
          <w:rStyle w:val="Style2Car"/>
          <w:rFonts w:eastAsia="+mn-ea"/>
        </w:rPr>
      </w:pPr>
    </w:p>
    <w:p w:rsidR="00CF3A3D" w:rsidRPr="008D45CE" w:rsidRDefault="00CF3A3D" w:rsidP="00CF3A3D">
      <w:pPr>
        <w:pStyle w:val="Style2"/>
        <w:rPr>
          <w:rStyle w:val="Style2Car"/>
          <w:color w:val="000000" w:themeColor="text1"/>
        </w:rPr>
      </w:pPr>
      <w:r>
        <w:rPr>
          <w:rStyle w:val="Style2Car"/>
          <w:color w:val="000000" w:themeColor="text1"/>
        </w:rPr>
        <w:t>La</w:t>
      </w:r>
      <w:r w:rsidRPr="008D45CE">
        <w:rPr>
          <w:rStyle w:val="Style2Car"/>
          <w:color w:val="000000" w:themeColor="text1"/>
        </w:rPr>
        <w:t xml:space="preserve"> </w:t>
      </w:r>
      <w:r>
        <w:rPr>
          <w:rStyle w:val="Style2Car"/>
          <w:color w:val="000000" w:themeColor="text1"/>
        </w:rPr>
        <w:t>figure</w:t>
      </w:r>
      <w:r w:rsidRPr="008D45CE">
        <w:rPr>
          <w:rStyle w:val="Style2Car"/>
          <w:color w:val="000000" w:themeColor="text1"/>
        </w:rPr>
        <w:t xml:space="preserve"> ci-dessous </w:t>
      </w:r>
      <w:r>
        <w:rPr>
          <w:rStyle w:val="Style2Car"/>
          <w:color w:val="000000" w:themeColor="text1"/>
        </w:rPr>
        <w:t>résume</w:t>
      </w:r>
      <w:r w:rsidRPr="008D45CE">
        <w:rPr>
          <w:rStyle w:val="Style2Car"/>
          <w:color w:val="000000" w:themeColor="text1"/>
        </w:rPr>
        <w:t xml:space="preserve"> la répartition de la Dépense Courante en Santé </w:t>
      </w:r>
      <w:r>
        <w:rPr>
          <w:rStyle w:val="Style2Car"/>
          <w:color w:val="000000" w:themeColor="text1"/>
        </w:rPr>
        <w:t xml:space="preserve">par </w:t>
      </w:r>
      <w:r w:rsidRPr="008D45CE">
        <w:rPr>
          <w:rStyle w:val="Style2Car"/>
          <w:color w:val="000000" w:themeColor="text1"/>
        </w:rPr>
        <w:t>facteurs de prestation.</w:t>
      </w:r>
    </w:p>
    <w:p w:rsidR="00CF3A3D" w:rsidRDefault="00CF3A3D" w:rsidP="00CF3A3D"/>
    <w:p w:rsidR="00CF3A3D" w:rsidRDefault="00CF3A3D" w:rsidP="00CF3A3D">
      <w:pPr>
        <w:rPr>
          <w:b/>
          <w:bCs/>
        </w:rPr>
      </w:pPr>
      <w:r>
        <w:t xml:space="preserve">Figure n°30 </w:t>
      </w:r>
      <w:r w:rsidRPr="00AB74B2">
        <w:rPr>
          <w:b/>
          <w:bCs/>
        </w:rPr>
        <w:t>La répartition de la DCS par facteur de prest</w:t>
      </w:r>
      <w:r>
        <w:rPr>
          <w:b/>
          <w:bCs/>
        </w:rPr>
        <w:t>at</w:t>
      </w:r>
      <w:r w:rsidRPr="00AB74B2">
        <w:rPr>
          <w:b/>
          <w:bCs/>
        </w:rPr>
        <w:t>ion de 2011 à 201</w:t>
      </w:r>
      <w:r>
        <w:rPr>
          <w:b/>
          <w:bCs/>
        </w:rPr>
        <w:t>5</w:t>
      </w:r>
    </w:p>
    <w:p w:rsidR="00CF3A3D" w:rsidRPr="00AB74B2" w:rsidRDefault="00CF3A3D" w:rsidP="00CF3A3D">
      <w:r>
        <w:rPr>
          <w:noProof/>
          <w:lang w:eastAsia="fr-FR" w:bidi="ar-SA"/>
        </w:rPr>
        <w:drawing>
          <wp:inline distT="0" distB="0" distL="0" distR="0">
            <wp:extent cx="5041899" cy="2406650"/>
            <wp:effectExtent l="19050" t="0" r="6351" b="0"/>
            <wp:docPr id="49"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2" cstate="print"/>
                    <a:srcRect/>
                    <a:stretch>
                      <a:fillRect/>
                    </a:stretch>
                  </pic:blipFill>
                  <pic:spPr bwMode="auto">
                    <a:xfrm>
                      <a:off x="0" y="0"/>
                      <a:ext cx="5044749" cy="2408010"/>
                    </a:xfrm>
                    <a:prstGeom prst="rect">
                      <a:avLst/>
                    </a:prstGeom>
                    <a:noFill/>
                  </pic:spPr>
                </pic:pic>
              </a:graphicData>
            </a:graphic>
          </wp:inline>
        </w:drawing>
      </w:r>
    </w:p>
    <w:p w:rsidR="00CF3A3D" w:rsidRDefault="00CF3A3D" w:rsidP="00CF3A3D"/>
    <w:p w:rsidR="00CF3A3D" w:rsidRDefault="00CF3A3D" w:rsidP="00CF3A3D">
      <w:pPr>
        <w:pStyle w:val="Style2"/>
        <w:rPr>
          <w:color w:val="000000" w:themeColor="text1"/>
        </w:rPr>
      </w:pPr>
      <w:r>
        <w:rPr>
          <w:color w:val="000000" w:themeColor="text1"/>
        </w:rPr>
        <w:t xml:space="preserve">Dans l'ensemble des dépenses courantes en santé, hormis les autres dépenses non spécifiés, plus des dépenses ont été affectées aux </w:t>
      </w:r>
      <w:r w:rsidRPr="008D45CE">
        <w:rPr>
          <w:color w:val="000000" w:themeColor="text1"/>
        </w:rPr>
        <w:t>produits pharmaceutiques</w:t>
      </w:r>
      <w:r>
        <w:rPr>
          <w:color w:val="000000" w:themeColor="text1"/>
        </w:rPr>
        <w:t xml:space="preserve"> et à la rémunération des employés. Les services </w:t>
      </w:r>
      <w:r w:rsidRPr="00E613F2">
        <w:rPr>
          <w:color w:val="000000" w:themeColor="text1"/>
        </w:rPr>
        <w:t>non sanitaires</w:t>
      </w:r>
      <w:r>
        <w:rPr>
          <w:color w:val="000000" w:themeColor="text1"/>
        </w:rPr>
        <w:t xml:space="preserve"> ont occupé la troisième place suivis respectivement des biens non sanitaires, a</w:t>
      </w:r>
      <w:r w:rsidRPr="00E613F2">
        <w:rPr>
          <w:color w:val="000000" w:themeColor="text1"/>
        </w:rPr>
        <w:t>utres produits de santé</w:t>
      </w:r>
      <w:r>
        <w:rPr>
          <w:color w:val="000000" w:themeColor="text1"/>
        </w:rPr>
        <w:t xml:space="preserve"> et le s</w:t>
      </w:r>
      <w:r w:rsidRPr="00E613F2">
        <w:rPr>
          <w:color w:val="000000" w:themeColor="text1"/>
        </w:rPr>
        <w:t>ervice de laboratoire et d'imagerie</w:t>
      </w:r>
      <w:r>
        <w:rPr>
          <w:color w:val="000000" w:themeColor="text1"/>
        </w:rPr>
        <w:t>.</w:t>
      </w:r>
    </w:p>
    <w:p w:rsidR="00CF3A3D" w:rsidRDefault="00CF3A3D" w:rsidP="00CF3A3D">
      <w:pPr>
        <w:pStyle w:val="Style2"/>
        <w:rPr>
          <w:color w:val="000000" w:themeColor="text1"/>
        </w:rPr>
      </w:pPr>
    </w:p>
    <w:p w:rsidR="00CF3A3D" w:rsidRDefault="00CF3A3D" w:rsidP="00CF3A3D">
      <w:pPr>
        <w:pStyle w:val="Style2"/>
        <w:rPr>
          <w:color w:val="000000" w:themeColor="text1"/>
        </w:rPr>
      </w:pPr>
      <w:r>
        <w:rPr>
          <w:color w:val="000000" w:themeColor="text1"/>
        </w:rPr>
        <w:t>Le point suivant est uniquement consacré à l'analyse des facteurs productions qui ont été financés par le Gouvernement de 2011 à 2015.</w:t>
      </w:r>
    </w:p>
    <w:p w:rsidR="00CF3A3D" w:rsidRDefault="00CF3A3D" w:rsidP="00CF3A3D">
      <w:pPr>
        <w:pStyle w:val="Style2"/>
        <w:rPr>
          <w:color w:val="000000" w:themeColor="text1"/>
        </w:rPr>
      </w:pPr>
    </w:p>
    <w:p w:rsidR="00CF3A3D" w:rsidRDefault="00CF3A3D" w:rsidP="00CF3A3D">
      <w:pPr>
        <w:pStyle w:val="Style2"/>
        <w:rPr>
          <w:b/>
          <w:color w:val="000000" w:themeColor="text1"/>
        </w:rPr>
      </w:pPr>
      <w:r>
        <w:rPr>
          <w:b/>
          <w:color w:val="000000" w:themeColor="text1"/>
        </w:rPr>
        <w:t xml:space="preserve">4.3.2.1 </w:t>
      </w:r>
      <w:r w:rsidRPr="009B0F0E">
        <w:rPr>
          <w:b/>
          <w:color w:val="000000" w:themeColor="text1"/>
        </w:rPr>
        <w:t>Dépense Courante du Gouvernement par Facteur de prestation</w:t>
      </w:r>
      <w:r w:rsidRPr="007400B2">
        <w:rPr>
          <w:b/>
          <w:color w:val="000000" w:themeColor="text1"/>
        </w:rPr>
        <w:t xml:space="preserve"> </w:t>
      </w:r>
    </w:p>
    <w:p w:rsidR="00CF3A3D" w:rsidRDefault="00CF3A3D" w:rsidP="00CF3A3D">
      <w:pPr>
        <w:pStyle w:val="Style2"/>
        <w:rPr>
          <w:color w:val="000000" w:themeColor="text1"/>
        </w:rPr>
      </w:pPr>
    </w:p>
    <w:p w:rsidR="00CF3A3D" w:rsidRDefault="00CF3A3D" w:rsidP="00CF3A3D">
      <w:pPr>
        <w:pStyle w:val="Style2"/>
        <w:rPr>
          <w:color w:val="000000" w:themeColor="text1"/>
        </w:rPr>
      </w:pPr>
      <w:r w:rsidRPr="009B0F0E">
        <w:rPr>
          <w:color w:val="000000" w:themeColor="text1"/>
        </w:rPr>
        <w:t xml:space="preserve">Cette partie est consacrée </w:t>
      </w:r>
      <w:r>
        <w:rPr>
          <w:color w:val="000000" w:themeColor="text1"/>
        </w:rPr>
        <w:t>aux coûts des différents facteurs de prestation financés par le Gouvernement. Il s'agit notamment de : (i) la rémunération des employés, (ii) produits pharmaceutiques (</w:t>
      </w:r>
      <w:r w:rsidRPr="009B0F0E">
        <w:rPr>
          <w:color w:val="000000" w:themeColor="text1"/>
        </w:rPr>
        <w:t>ARV</w:t>
      </w:r>
      <w:r>
        <w:rPr>
          <w:color w:val="000000" w:themeColor="text1"/>
        </w:rPr>
        <w:t xml:space="preserve">, </w:t>
      </w:r>
      <w:r w:rsidRPr="009B0F0E">
        <w:rPr>
          <w:color w:val="000000" w:themeColor="text1"/>
        </w:rPr>
        <w:t>Antituberculeux</w:t>
      </w:r>
      <w:r>
        <w:rPr>
          <w:color w:val="000000" w:themeColor="text1"/>
        </w:rPr>
        <w:t xml:space="preserve">, </w:t>
      </w:r>
      <w:r w:rsidRPr="009B0F0E">
        <w:rPr>
          <w:color w:val="000000" w:themeColor="text1"/>
        </w:rPr>
        <w:t>Antipaludiques</w:t>
      </w:r>
      <w:r>
        <w:rPr>
          <w:color w:val="000000" w:themeColor="text1"/>
        </w:rPr>
        <w:t xml:space="preserve">, </w:t>
      </w:r>
      <w:r w:rsidRPr="009B0F0E">
        <w:rPr>
          <w:color w:val="000000" w:themeColor="text1"/>
        </w:rPr>
        <w:t>Vaccins</w:t>
      </w:r>
      <w:r>
        <w:rPr>
          <w:color w:val="000000" w:themeColor="text1"/>
        </w:rPr>
        <w:t xml:space="preserve"> et </w:t>
      </w:r>
      <w:r w:rsidRPr="009B0F0E">
        <w:rPr>
          <w:color w:val="000000" w:themeColor="text1"/>
        </w:rPr>
        <w:t xml:space="preserve">Autres </w:t>
      </w:r>
      <w:r>
        <w:rPr>
          <w:color w:val="000000" w:themeColor="text1"/>
        </w:rPr>
        <w:t xml:space="preserve">produits pharmaceutiques), (iii) autres produits de santé, (iv) services non sanitaires, (v) biens non sanitaires et (vi) autres facteurs de prestation non specifiés. </w:t>
      </w:r>
    </w:p>
    <w:p w:rsidR="00CF3A3D" w:rsidRDefault="00CF3A3D" w:rsidP="00CF3A3D">
      <w:pPr>
        <w:pStyle w:val="Style2"/>
        <w:rPr>
          <w:color w:val="000000" w:themeColor="text1"/>
        </w:rPr>
      </w:pPr>
    </w:p>
    <w:p w:rsidR="00CF3A3D" w:rsidRDefault="00CF3A3D" w:rsidP="00CF3A3D">
      <w:pPr>
        <w:pStyle w:val="Style2"/>
        <w:rPr>
          <w:color w:val="000000" w:themeColor="text1"/>
        </w:rPr>
      </w:pPr>
      <w:r>
        <w:rPr>
          <w:color w:val="000000" w:themeColor="text1"/>
        </w:rPr>
        <w:t>Le graphique ci dessous montre l'évolution de la DCS du Gouvernement par facteur de prestation de 2011 à 2015.</w:t>
      </w:r>
    </w:p>
    <w:p w:rsidR="00CF3A3D" w:rsidRDefault="00CF3A3D" w:rsidP="00CF3A3D">
      <w:pPr>
        <w:pStyle w:val="Style2"/>
        <w:rPr>
          <w:b/>
          <w:color w:val="000000" w:themeColor="text1"/>
        </w:rPr>
      </w:pPr>
      <w:r>
        <w:rPr>
          <w:b/>
          <w:color w:val="000000" w:themeColor="text1"/>
        </w:rPr>
        <w:lastRenderedPageBreak/>
        <w:t>Graphique n°31 Evolution de la DCS du Gouvernement par facteur de prestation de 2011 à 2015.</w:t>
      </w:r>
    </w:p>
    <w:p w:rsidR="00CF3A3D" w:rsidRDefault="00CF3A3D" w:rsidP="00CF3A3D">
      <w:pPr>
        <w:pStyle w:val="Style2"/>
        <w:rPr>
          <w:b/>
          <w:color w:val="000000" w:themeColor="text1"/>
        </w:rPr>
      </w:pPr>
      <w:r>
        <w:rPr>
          <w:b/>
          <w:noProof/>
          <w:color w:val="000000" w:themeColor="text1"/>
          <w:lang w:eastAsia="fr-FR" w:bidi="ar-SA"/>
        </w:rPr>
        <w:drawing>
          <wp:inline distT="0" distB="0" distL="0" distR="0">
            <wp:extent cx="5105400" cy="2303385"/>
            <wp:effectExtent l="19050" t="0" r="0" b="0"/>
            <wp:docPr id="37"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3" cstate="print"/>
                    <a:srcRect/>
                    <a:stretch>
                      <a:fillRect/>
                    </a:stretch>
                  </pic:blipFill>
                  <pic:spPr bwMode="auto">
                    <a:xfrm>
                      <a:off x="0" y="0"/>
                      <a:ext cx="5109034" cy="2305025"/>
                    </a:xfrm>
                    <a:prstGeom prst="rect">
                      <a:avLst/>
                    </a:prstGeom>
                    <a:noFill/>
                  </pic:spPr>
                </pic:pic>
              </a:graphicData>
            </a:graphic>
          </wp:inline>
        </w:drawing>
      </w:r>
    </w:p>
    <w:p w:rsidR="00CF3A3D" w:rsidRDefault="00CF3A3D" w:rsidP="00CF3A3D">
      <w:pPr>
        <w:pStyle w:val="Style2"/>
        <w:rPr>
          <w:b/>
          <w:color w:val="000000" w:themeColor="text1"/>
        </w:rPr>
      </w:pPr>
    </w:p>
    <w:p w:rsidR="00CF3A3D" w:rsidRDefault="00CF3A3D" w:rsidP="00CF3A3D">
      <w:pPr>
        <w:jc w:val="both"/>
        <w:rPr>
          <w:rFonts w:eastAsiaTheme="minorHAnsi"/>
          <w:bCs/>
          <w:color w:val="000000"/>
          <w:sz w:val="22"/>
          <w:szCs w:val="22"/>
          <w:lang w:bidi="ar-SA"/>
        </w:rPr>
      </w:pPr>
      <w:r>
        <w:rPr>
          <w:rFonts w:eastAsiaTheme="minorHAnsi"/>
          <w:bCs/>
          <w:color w:val="000000"/>
          <w:sz w:val="22"/>
          <w:szCs w:val="22"/>
          <w:lang w:bidi="ar-SA"/>
        </w:rPr>
        <w:t>Au cours de la période sous revue; la rémunération des employés( salaires, cotisations sociales et autres couts des employés) a représenté en moyenne 27% de la DCS Publique. Quant aux produits pharmaceutiques (</w:t>
      </w:r>
      <w:r w:rsidRPr="009B0F0E">
        <w:rPr>
          <w:color w:val="000000" w:themeColor="text1"/>
        </w:rPr>
        <w:t>ARV</w:t>
      </w:r>
      <w:r>
        <w:rPr>
          <w:color w:val="000000" w:themeColor="text1"/>
        </w:rPr>
        <w:t xml:space="preserve">, </w:t>
      </w:r>
      <w:r w:rsidRPr="009B0F0E">
        <w:rPr>
          <w:color w:val="000000" w:themeColor="text1"/>
        </w:rPr>
        <w:t>Antituberculeux</w:t>
      </w:r>
      <w:r>
        <w:rPr>
          <w:color w:val="000000" w:themeColor="text1"/>
        </w:rPr>
        <w:t xml:space="preserve">, </w:t>
      </w:r>
      <w:r w:rsidRPr="009B0F0E">
        <w:rPr>
          <w:color w:val="000000" w:themeColor="text1"/>
        </w:rPr>
        <w:t>Antipaludiques</w:t>
      </w:r>
      <w:r>
        <w:rPr>
          <w:color w:val="000000" w:themeColor="text1"/>
        </w:rPr>
        <w:t xml:space="preserve">, </w:t>
      </w:r>
      <w:r w:rsidRPr="009B0F0E">
        <w:rPr>
          <w:color w:val="000000" w:themeColor="text1"/>
        </w:rPr>
        <w:t>Vaccins</w:t>
      </w:r>
      <w:r>
        <w:rPr>
          <w:color w:val="000000" w:themeColor="text1"/>
        </w:rPr>
        <w:t xml:space="preserve"> et </w:t>
      </w:r>
      <w:r w:rsidRPr="009B0F0E">
        <w:rPr>
          <w:color w:val="000000" w:themeColor="text1"/>
        </w:rPr>
        <w:t xml:space="preserve">Autres </w:t>
      </w:r>
      <w:r>
        <w:rPr>
          <w:color w:val="000000" w:themeColor="text1"/>
        </w:rPr>
        <w:t>produits pharmaceutiques)</w:t>
      </w:r>
      <w:r>
        <w:rPr>
          <w:rFonts w:eastAsiaTheme="minorHAnsi"/>
          <w:bCs/>
          <w:color w:val="000000"/>
          <w:sz w:val="22"/>
          <w:szCs w:val="22"/>
          <w:lang w:bidi="ar-SA"/>
        </w:rPr>
        <w:t xml:space="preserve"> et </w:t>
      </w:r>
      <w:r w:rsidRPr="00F264E1">
        <w:rPr>
          <w:rFonts w:eastAsiaTheme="minorHAnsi"/>
          <w:bCs/>
          <w:color w:val="000000"/>
          <w:sz w:val="22"/>
          <w:szCs w:val="22"/>
          <w:lang w:bidi="ar-SA"/>
        </w:rPr>
        <w:t>Autres dépenses</w:t>
      </w:r>
      <w:r>
        <w:rPr>
          <w:rFonts w:eastAsiaTheme="minorHAnsi"/>
          <w:bCs/>
          <w:color w:val="000000"/>
          <w:sz w:val="22"/>
          <w:szCs w:val="22"/>
          <w:lang w:bidi="ar-SA"/>
        </w:rPr>
        <w:t xml:space="preserve"> non spécifiées, ils ont représenté 19% de la DCS Publique. Les </w:t>
      </w:r>
      <w:r w:rsidRPr="00F264E1">
        <w:rPr>
          <w:rFonts w:eastAsiaTheme="minorHAnsi"/>
          <w:bCs/>
          <w:color w:val="000000"/>
          <w:sz w:val="22"/>
          <w:szCs w:val="22"/>
          <w:lang w:bidi="ar-SA"/>
        </w:rPr>
        <w:t>Services non sanitaires</w:t>
      </w:r>
      <w:r>
        <w:rPr>
          <w:rFonts w:eastAsiaTheme="minorHAnsi"/>
          <w:bCs/>
          <w:color w:val="000000"/>
          <w:sz w:val="22"/>
          <w:szCs w:val="22"/>
          <w:lang w:bidi="ar-SA"/>
        </w:rPr>
        <w:t xml:space="preserve"> ( eau, électricité, entretien, formation, etc...) ont représenté 18% et enfin les</w:t>
      </w:r>
      <w:r w:rsidRPr="00F264E1">
        <w:rPr>
          <w:rFonts w:eastAsiaTheme="minorHAnsi"/>
          <w:bCs/>
          <w:color w:val="000000"/>
          <w:sz w:val="22"/>
          <w:szCs w:val="22"/>
          <w:lang w:bidi="ar-SA"/>
        </w:rPr>
        <w:t xml:space="preserve"> Biens non sanitaire</w:t>
      </w:r>
      <w:r>
        <w:rPr>
          <w:rFonts w:eastAsiaTheme="minorHAnsi"/>
          <w:bCs/>
          <w:color w:val="000000"/>
          <w:sz w:val="22"/>
          <w:szCs w:val="22"/>
          <w:lang w:bidi="ar-SA"/>
        </w:rPr>
        <w:t>s ( fournitures de bureau, petit matériel de bureau et autres) ont représenté 17%.</w:t>
      </w:r>
    </w:p>
    <w:p w:rsidR="00CF3A3D" w:rsidRDefault="00CF3A3D" w:rsidP="00CF3A3D">
      <w:pPr>
        <w:jc w:val="both"/>
        <w:rPr>
          <w:rFonts w:eastAsiaTheme="minorHAnsi"/>
          <w:bCs/>
          <w:color w:val="000000"/>
          <w:sz w:val="22"/>
          <w:szCs w:val="22"/>
          <w:lang w:bidi="ar-SA"/>
        </w:rPr>
      </w:pPr>
    </w:p>
    <w:p w:rsidR="00CF3A3D" w:rsidRDefault="00CF3A3D" w:rsidP="00CF3A3D">
      <w:pPr>
        <w:jc w:val="both"/>
        <w:rPr>
          <w:rFonts w:eastAsiaTheme="minorHAnsi"/>
          <w:bCs/>
          <w:color w:val="000000"/>
          <w:sz w:val="22"/>
          <w:szCs w:val="22"/>
          <w:lang w:bidi="ar-SA"/>
        </w:rPr>
      </w:pPr>
      <w:r>
        <w:rPr>
          <w:rFonts w:eastAsiaTheme="minorHAnsi"/>
          <w:bCs/>
          <w:color w:val="000000"/>
          <w:sz w:val="22"/>
          <w:szCs w:val="22"/>
          <w:lang w:bidi="ar-SA"/>
        </w:rPr>
        <w:t>il apparait de l'analyse du graphique ci- dessus, qu'entre 2011 à 2012,  les dépenses du Gouvernement pour les produits pharmaceutiques ont chuté de 58% à 3% avant d'évoluer en dent de scie entre 2012 et 2015. Cette baisse entre 2011 et 2012 s'explique par l'achat en 2011 des Antirétroviraux d'un montant de plus de 6 milliards de FCFA par le Gouvernement dans le cadre de sa politique de gratuité.</w:t>
      </w:r>
    </w:p>
    <w:p w:rsidR="00B744B8" w:rsidRDefault="00B744B8" w:rsidP="00CF3A3D">
      <w:pPr>
        <w:jc w:val="both"/>
        <w:rPr>
          <w:rFonts w:eastAsiaTheme="minorHAnsi"/>
          <w:bCs/>
          <w:color w:val="000000"/>
          <w:sz w:val="22"/>
          <w:szCs w:val="22"/>
          <w:lang w:bidi="ar-SA"/>
        </w:rPr>
      </w:pPr>
    </w:p>
    <w:p w:rsidR="00CF3A3D" w:rsidRPr="00B744B8" w:rsidRDefault="00CF3A3D" w:rsidP="00CF3A3D">
      <w:pPr>
        <w:jc w:val="both"/>
        <w:rPr>
          <w:rFonts w:eastAsiaTheme="minorHAnsi"/>
          <w:bCs/>
          <w:color w:val="000000"/>
          <w:sz w:val="22"/>
          <w:szCs w:val="22"/>
          <w:lang w:bidi="ar-SA"/>
        </w:rPr>
      </w:pPr>
      <w:r>
        <w:rPr>
          <w:rFonts w:eastAsiaTheme="minorHAnsi"/>
          <w:bCs/>
          <w:color w:val="000000"/>
          <w:sz w:val="22"/>
          <w:szCs w:val="22"/>
          <w:lang w:bidi="ar-SA"/>
        </w:rPr>
        <w:t>Concernant la rémunération des employés, elle a augmenté de 2011 à 2013 passant de 2 à 39% avant de chuter en 2014 à 26% et de remonter enfin à 38% en 2015.</w:t>
      </w:r>
      <w:r w:rsidR="00B744B8">
        <w:rPr>
          <w:rFonts w:eastAsiaTheme="minorHAnsi"/>
          <w:bCs/>
          <w:color w:val="000000"/>
          <w:sz w:val="22"/>
          <w:szCs w:val="22"/>
          <w:lang w:bidi="ar-SA"/>
        </w:rPr>
        <w:t xml:space="preserve"> </w:t>
      </w:r>
      <w:r>
        <w:t>En ce qui concerne la DCS Publique relative aux biens non sanitaires, elle a connu une croissance constante  de 2011 à 2015 de 4 à 38%.</w:t>
      </w:r>
    </w:p>
    <w:p w:rsidR="00CF3A3D" w:rsidRDefault="00CF3A3D" w:rsidP="00CF3A3D">
      <w:pPr>
        <w:jc w:val="both"/>
      </w:pPr>
      <w:r>
        <w:t>En ce qui concerne la DCS Publique relative aux services non sanitaires, elles ont chuté entre 2011 et 2012 passant de 37 à   13% avant de remonter légèrement entre 2012 et 2013 et de rechuter de nouveau jusqu'à 2015 atteignant ainsi 6%.</w:t>
      </w:r>
    </w:p>
    <w:p w:rsidR="00CF3A3D" w:rsidRDefault="00CF3A3D" w:rsidP="00CF3A3D">
      <w:pPr>
        <w:jc w:val="both"/>
      </w:pPr>
      <w:r>
        <w:t>les autres dépenses de santé ont connu au cours de la période sous revue, une évolution en dents de scie. Elles sont passées ainsi, de 0 à 36% entre 2011 et 2012 puis de 11% en 2013 à 33% en 2014 avant de redescendre à 12% en 2015.</w:t>
      </w:r>
    </w:p>
    <w:p w:rsidR="00B744B8" w:rsidRDefault="00B744B8">
      <w:pPr>
        <w:spacing w:after="200" w:line="20" w:lineRule="atLeast"/>
        <w:rPr>
          <w:b/>
          <w:bCs/>
          <w:color w:val="000000" w:themeColor="text1"/>
        </w:rPr>
      </w:pPr>
      <w:bookmarkStart w:id="67" w:name="_Toc465262367"/>
      <w:bookmarkStart w:id="68" w:name="_Toc483474622"/>
      <w:r>
        <w:rPr>
          <w:i/>
          <w:color w:val="000000" w:themeColor="text1"/>
        </w:rPr>
        <w:br w:type="page"/>
      </w:r>
    </w:p>
    <w:p w:rsidR="00CF3A3D" w:rsidRDefault="00CF3A3D" w:rsidP="00CF3A3D">
      <w:pPr>
        <w:pStyle w:val="Titre3"/>
        <w:rPr>
          <w:i w:val="0"/>
          <w:color w:val="000000" w:themeColor="text1"/>
        </w:rPr>
      </w:pPr>
      <w:r w:rsidRPr="008D45CE">
        <w:rPr>
          <w:i w:val="0"/>
          <w:color w:val="000000" w:themeColor="text1"/>
        </w:rPr>
        <w:lastRenderedPageBreak/>
        <w:t>4.3.3. Dépenses d’Investissemen</w:t>
      </w:r>
      <w:bookmarkStart w:id="69" w:name="_Toc483474514"/>
      <w:bookmarkEnd w:id="67"/>
      <w:bookmarkEnd w:id="68"/>
      <w:r>
        <w:rPr>
          <w:i w:val="0"/>
          <w:color w:val="000000" w:themeColor="text1"/>
        </w:rPr>
        <w:t>t</w:t>
      </w:r>
    </w:p>
    <w:p w:rsidR="00D23762" w:rsidRDefault="00D23762" w:rsidP="00D23762">
      <w:pPr>
        <w:pStyle w:val="Style2"/>
        <w:rPr>
          <w:rFonts w:eastAsia="Calibri"/>
          <w:color w:val="000000" w:themeColor="text1"/>
          <w:sz w:val="23"/>
          <w:szCs w:val="23"/>
          <w:lang w:bidi="ar-SA"/>
        </w:rPr>
      </w:pPr>
      <w:r>
        <w:rPr>
          <w:rFonts w:eastAsia="Calibri"/>
          <w:color w:val="000000" w:themeColor="text1"/>
          <w:sz w:val="23"/>
          <w:szCs w:val="23"/>
          <w:lang w:bidi="ar-SA"/>
        </w:rPr>
        <w:t xml:space="preserve">L'investissement </w:t>
      </w:r>
      <w:r w:rsidRPr="008D45CE">
        <w:rPr>
          <w:rFonts w:eastAsia="Calibri"/>
          <w:color w:val="000000" w:themeColor="text1"/>
          <w:sz w:val="23"/>
          <w:szCs w:val="23"/>
          <w:lang w:bidi="ar-SA"/>
        </w:rPr>
        <w:t>constituent un</w:t>
      </w:r>
      <w:r>
        <w:rPr>
          <w:rFonts w:eastAsia="Calibri"/>
          <w:color w:val="000000" w:themeColor="text1"/>
          <w:sz w:val="23"/>
          <w:szCs w:val="23"/>
          <w:lang w:bidi="ar-SA"/>
        </w:rPr>
        <w:t xml:space="preserve"> ensemble des équipements, infrastructures,  </w:t>
      </w:r>
      <w:r w:rsidRPr="008D45CE">
        <w:rPr>
          <w:rFonts w:eastAsia="Calibri"/>
          <w:color w:val="000000" w:themeColor="text1"/>
          <w:sz w:val="23"/>
          <w:szCs w:val="23"/>
          <w:lang w:bidi="ar-SA"/>
        </w:rPr>
        <w:t xml:space="preserve"> composante essentielle de la demande des prestataires de services de santé et jouent un rôle crucial dans la fourniture des services et biens de santé afin de maintenir ou accroitre leur production. </w:t>
      </w:r>
    </w:p>
    <w:p w:rsidR="00CF3A3D" w:rsidRPr="00E850B7" w:rsidRDefault="003404A6" w:rsidP="00E850B7">
      <w:pPr>
        <w:pStyle w:val="Style2"/>
        <w:rPr>
          <w:rFonts w:eastAsia="Calibri"/>
          <w:color w:val="000000" w:themeColor="text1"/>
          <w:sz w:val="23"/>
          <w:szCs w:val="23"/>
          <w:lang w:bidi="ar-SA"/>
        </w:rPr>
      </w:pPr>
      <w:r>
        <w:rPr>
          <w:rFonts w:eastAsia="Calibri"/>
          <w:color w:val="000000" w:themeColor="text1"/>
          <w:sz w:val="23"/>
          <w:szCs w:val="23"/>
          <w:lang w:bidi="ar-SA"/>
        </w:rPr>
        <w:t>Au Congo les dépenses d’investissement ont concerné essentiellement les infrastructures (bâtiment administratif, bâtiment résidentiel, locaux sanitaires et autres ouvrages) en terme de construction et réhabilitation, les équipements (informatiques et médicaux), le matériel de transport. Il faut noter cependant que toutes les dépenses d’investissement n’ont pas été captées durant la période concernée.</w:t>
      </w:r>
    </w:p>
    <w:p w:rsidR="003404A6" w:rsidRDefault="003404A6" w:rsidP="003404A6">
      <w:pPr>
        <w:pStyle w:val="Titre3"/>
        <w:rPr>
          <w:rFonts w:eastAsia="Calibri"/>
          <w:b w:val="0"/>
          <w:i w:val="0"/>
          <w:color w:val="000000" w:themeColor="text1"/>
          <w:sz w:val="23"/>
          <w:szCs w:val="23"/>
          <w:lang w:bidi="ar-SA"/>
        </w:rPr>
      </w:pPr>
      <w:r w:rsidRPr="003404A6">
        <w:rPr>
          <w:rFonts w:eastAsia="Calibri"/>
          <w:b w:val="0"/>
          <w:i w:val="0"/>
          <w:color w:val="000000" w:themeColor="text1"/>
          <w:sz w:val="23"/>
          <w:szCs w:val="23"/>
          <w:lang w:bidi="ar-SA"/>
        </w:rPr>
        <w:t>Le tableau N°</w:t>
      </w:r>
      <w:r w:rsidRPr="003404A6">
        <w:rPr>
          <w:rFonts w:eastAsia="Calibri"/>
          <w:b w:val="0"/>
          <w:i w:val="0"/>
          <w:color w:val="FF0000"/>
          <w:sz w:val="23"/>
          <w:szCs w:val="23"/>
          <w:lang w:bidi="ar-SA"/>
        </w:rPr>
        <w:t>xx</w:t>
      </w:r>
      <w:r w:rsidRPr="003404A6">
        <w:rPr>
          <w:rFonts w:eastAsia="Calibri"/>
          <w:b w:val="0"/>
          <w:i w:val="0"/>
          <w:color w:val="000000" w:themeColor="text1"/>
          <w:sz w:val="23"/>
          <w:szCs w:val="23"/>
          <w:lang w:bidi="ar-SA"/>
        </w:rPr>
        <w:t xml:space="preserve"> renseigne sur l’évolution de la dépense liée à l’investissement selon la période </w:t>
      </w:r>
    </w:p>
    <w:p w:rsidR="003404A6" w:rsidRPr="003404A6" w:rsidRDefault="003404A6" w:rsidP="003404A6">
      <w:pPr>
        <w:pStyle w:val="Titre3"/>
        <w:rPr>
          <w:rFonts w:eastAsia="Calibri"/>
          <w:b w:val="0"/>
          <w:i w:val="0"/>
          <w:color w:val="000000" w:themeColor="text1"/>
          <w:sz w:val="23"/>
          <w:szCs w:val="23"/>
          <w:lang w:bidi="ar-SA"/>
        </w:rPr>
      </w:pPr>
      <w:r w:rsidRPr="003404A6">
        <w:rPr>
          <w:rFonts w:eastAsia="Calibri"/>
          <w:b w:val="0"/>
          <w:i w:val="0"/>
          <w:color w:val="000000" w:themeColor="text1"/>
          <w:sz w:val="23"/>
          <w:szCs w:val="23"/>
          <w:lang w:bidi="ar-SA"/>
        </w:rPr>
        <w:t>sous revue.</w:t>
      </w:r>
    </w:p>
    <w:p w:rsidR="00D04CCB" w:rsidRDefault="0071492D" w:rsidP="00E850B7">
      <w:pPr>
        <w:pStyle w:val="Titre3"/>
        <w:rPr>
          <w:color w:val="000000" w:themeColor="text1"/>
        </w:rPr>
      </w:pPr>
      <w:r>
        <w:rPr>
          <w:color w:val="000000" w:themeColor="text1"/>
        </w:rPr>
        <w:t xml:space="preserve">Tableau n° </w:t>
      </w:r>
      <w:r w:rsidR="00CF3A3D" w:rsidRPr="008D45CE">
        <w:rPr>
          <w:color w:val="000000" w:themeColor="text1"/>
          <w:lang w:val="fr-BE"/>
        </w:rPr>
        <w:t>:</w:t>
      </w:r>
      <w:r w:rsidR="00CF3A3D" w:rsidRPr="008D45CE">
        <w:rPr>
          <w:color w:val="000000" w:themeColor="text1"/>
        </w:rPr>
        <w:t xml:space="preserve"> </w:t>
      </w:r>
      <w:r w:rsidR="008A24A1">
        <w:rPr>
          <w:color w:val="000000" w:themeColor="text1"/>
        </w:rPr>
        <w:t xml:space="preserve">Evolution de la dépense d'investissement </w:t>
      </w:r>
      <w:bookmarkEnd w:id="69"/>
      <w:r w:rsidR="008A24A1">
        <w:rPr>
          <w:color w:val="000000" w:themeColor="text1"/>
        </w:rPr>
        <w:t>de 2011-2015</w:t>
      </w:r>
    </w:p>
    <w:p w:rsidR="00D04CCB" w:rsidRDefault="00F614DD" w:rsidP="00A401E9">
      <w:pPr>
        <w:pStyle w:val="Style2"/>
        <w:rPr>
          <w:color w:val="000000" w:themeColor="text1"/>
        </w:rPr>
      </w:pPr>
      <w:r w:rsidRPr="00F614DD">
        <w:rPr>
          <w:noProof/>
          <w:lang w:eastAsia="fr-FR" w:bidi="ar-SA"/>
        </w:rPr>
        <w:drawing>
          <wp:inline distT="0" distB="0" distL="0" distR="0">
            <wp:extent cx="5753100" cy="1746250"/>
            <wp:effectExtent l="19050" t="0" r="0" b="0"/>
            <wp:docPr id="38"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4" cstate="print"/>
                    <a:srcRect/>
                    <a:stretch>
                      <a:fillRect/>
                    </a:stretch>
                  </pic:blipFill>
                  <pic:spPr bwMode="auto">
                    <a:xfrm>
                      <a:off x="0" y="0"/>
                      <a:ext cx="5760720" cy="1748563"/>
                    </a:xfrm>
                    <a:prstGeom prst="rect">
                      <a:avLst/>
                    </a:prstGeom>
                    <a:noFill/>
                    <a:ln w="9525">
                      <a:noFill/>
                      <a:miter lim="800000"/>
                      <a:headEnd/>
                      <a:tailEnd/>
                    </a:ln>
                  </pic:spPr>
                </pic:pic>
              </a:graphicData>
            </a:graphic>
          </wp:inline>
        </w:drawing>
      </w:r>
    </w:p>
    <w:p w:rsidR="00D04CCB" w:rsidRDefault="00D04CCB" w:rsidP="00A401E9">
      <w:pPr>
        <w:pStyle w:val="Style2"/>
        <w:rPr>
          <w:color w:val="000000" w:themeColor="text1"/>
        </w:rPr>
      </w:pPr>
    </w:p>
    <w:p w:rsidR="0044639B" w:rsidRDefault="00535891" w:rsidP="00A40FE1">
      <w:pPr>
        <w:jc w:val="both"/>
        <w:rPr>
          <w:color w:val="000000" w:themeColor="text1"/>
        </w:rPr>
      </w:pPr>
      <w:r>
        <w:rPr>
          <w:color w:val="000000" w:themeColor="text1"/>
        </w:rPr>
        <w:t xml:space="preserve">De 2011 de 2012 </w:t>
      </w:r>
      <w:r w:rsidR="00474063" w:rsidRPr="00474063">
        <w:rPr>
          <w:color w:val="000000" w:themeColor="text1"/>
        </w:rPr>
        <w:t>on constate</w:t>
      </w:r>
      <w:r>
        <w:rPr>
          <w:color w:val="000000" w:themeColor="text1"/>
        </w:rPr>
        <w:t xml:space="preserve"> une augmentation </w:t>
      </w:r>
      <w:r w:rsidR="00474063" w:rsidRPr="00474063">
        <w:rPr>
          <w:color w:val="000000" w:themeColor="text1"/>
        </w:rPr>
        <w:t xml:space="preserve"> allant de </w:t>
      </w:r>
      <w:r w:rsidR="00474063" w:rsidRPr="00474063">
        <w:rPr>
          <w:b/>
          <w:color w:val="000000" w:themeColor="text1"/>
        </w:rPr>
        <w:t>4 610 813 878</w:t>
      </w:r>
      <w:r w:rsidR="00474063" w:rsidRPr="00474063">
        <w:rPr>
          <w:color w:val="000000" w:themeColor="text1"/>
        </w:rPr>
        <w:t xml:space="preserve"> à </w:t>
      </w:r>
      <w:r w:rsidR="00474063" w:rsidRPr="00474063">
        <w:rPr>
          <w:b/>
          <w:color w:val="000000" w:themeColor="text1"/>
        </w:rPr>
        <w:t>18 661 166 048</w:t>
      </w:r>
      <w:r w:rsidR="00474063" w:rsidRPr="00474063">
        <w:rPr>
          <w:color w:val="000000" w:themeColor="text1"/>
        </w:rPr>
        <w:t xml:space="preserve"> </w:t>
      </w:r>
      <w:r>
        <w:rPr>
          <w:color w:val="000000" w:themeColor="text1"/>
        </w:rPr>
        <w:t>FCFA</w:t>
      </w:r>
      <w:r w:rsidR="00474063" w:rsidRPr="00474063">
        <w:rPr>
          <w:color w:val="000000" w:themeColor="text1"/>
        </w:rPr>
        <w:t xml:space="preserve"> soit un bon de</w:t>
      </w:r>
      <w:r>
        <w:rPr>
          <w:rFonts w:ascii="Calibri" w:hAnsi="Calibri"/>
          <w:color w:val="000000"/>
          <w:sz w:val="22"/>
          <w:szCs w:val="22"/>
          <w:lang w:eastAsia="fr-FR" w:bidi="ar-SA"/>
        </w:rPr>
        <w:t xml:space="preserve"> </w:t>
      </w:r>
      <w:r w:rsidR="00474063" w:rsidRPr="00474063">
        <w:rPr>
          <w:color w:val="000000"/>
          <w:lang w:eastAsia="fr-FR" w:bidi="ar-SA"/>
        </w:rPr>
        <w:t>14 050 352 170</w:t>
      </w:r>
      <w:r>
        <w:rPr>
          <w:rFonts w:ascii="Calibri" w:hAnsi="Calibri"/>
          <w:color w:val="000000"/>
          <w:sz w:val="22"/>
          <w:szCs w:val="22"/>
          <w:lang w:eastAsia="fr-FR" w:bidi="ar-SA"/>
        </w:rPr>
        <w:t xml:space="preserve"> </w:t>
      </w:r>
      <w:r w:rsidR="00474063" w:rsidRPr="00474063">
        <w:rPr>
          <w:rFonts w:ascii="Calibri" w:hAnsi="Calibri"/>
          <w:color w:val="000000"/>
          <w:sz w:val="22"/>
          <w:szCs w:val="22"/>
          <w:lang w:eastAsia="fr-FR" w:bidi="ar-SA"/>
        </w:rPr>
        <w:t xml:space="preserve"> </w:t>
      </w:r>
      <w:r>
        <w:rPr>
          <w:color w:val="000000" w:themeColor="text1"/>
        </w:rPr>
        <w:t>F</w:t>
      </w:r>
      <w:r w:rsidR="00474063" w:rsidRPr="00474063">
        <w:rPr>
          <w:color w:val="000000" w:themeColor="text1"/>
        </w:rPr>
        <w:t>cfa</w:t>
      </w:r>
      <w:r>
        <w:rPr>
          <w:color w:val="000000" w:themeColor="text1"/>
        </w:rPr>
        <w:t>. L’année suivante les dépenses ont baissé 12 824 237266FCFA.</w:t>
      </w:r>
      <w:r w:rsidR="0044639B">
        <w:rPr>
          <w:color w:val="000000" w:themeColor="text1"/>
        </w:rPr>
        <w:t xml:space="preserve"> </w:t>
      </w:r>
      <w:r>
        <w:rPr>
          <w:color w:val="000000" w:themeColor="text1"/>
        </w:rPr>
        <w:t>Les deux dernières années ces dépenses ont connu une augmentation progressive.</w:t>
      </w:r>
      <w:r w:rsidR="008079ED">
        <w:rPr>
          <w:color w:val="000000" w:themeColor="text1"/>
        </w:rPr>
        <w:t xml:space="preserve"> Pour tout le quinquenat, la construction des in</w:t>
      </w:r>
      <w:r w:rsidR="0044639B">
        <w:rPr>
          <w:color w:val="000000" w:themeColor="text1"/>
        </w:rPr>
        <w:t xml:space="preserve">frastructures sanitaires a consommé </w:t>
      </w:r>
      <w:r w:rsidR="008079ED">
        <w:rPr>
          <w:color w:val="000000" w:themeColor="text1"/>
        </w:rPr>
        <w:t xml:space="preserve"> une </w:t>
      </w:r>
      <w:r w:rsidR="0044639B">
        <w:rPr>
          <w:color w:val="000000" w:themeColor="text1"/>
        </w:rPr>
        <w:t xml:space="preserve">part importante de la dépense d’investissement allant de 14 à 68%. </w:t>
      </w:r>
    </w:p>
    <w:p w:rsidR="0044639B" w:rsidRDefault="0044639B" w:rsidP="00A40FE1">
      <w:pPr>
        <w:jc w:val="both"/>
        <w:rPr>
          <w:color w:val="000000" w:themeColor="text1"/>
        </w:rPr>
      </w:pPr>
    </w:p>
    <w:p w:rsidR="00474063" w:rsidRDefault="0044639B" w:rsidP="00A40FE1">
      <w:pPr>
        <w:jc w:val="both"/>
        <w:rPr>
          <w:color w:val="000000" w:themeColor="text1"/>
        </w:rPr>
      </w:pPr>
      <w:r>
        <w:rPr>
          <w:color w:val="000000" w:themeColor="text1"/>
        </w:rPr>
        <w:t>Aussi, les équipements médicaux ayant un lien avec les contructions des infrastructures sanitaires ont consommé une part importante de la dépense puisque variant entre 6 et 48%. Ce qui traduit la volonté du gouvernement d’émailler le pays en hôpitaux généraux au niveau départemental.</w:t>
      </w:r>
    </w:p>
    <w:p w:rsidR="0044639B" w:rsidRDefault="0044639B" w:rsidP="00A40FE1">
      <w:pPr>
        <w:jc w:val="both"/>
        <w:rPr>
          <w:color w:val="000000" w:themeColor="text1"/>
        </w:rPr>
      </w:pPr>
    </w:p>
    <w:p w:rsidR="00535891" w:rsidRDefault="00535891" w:rsidP="00A40FE1">
      <w:pPr>
        <w:jc w:val="both"/>
        <w:rPr>
          <w:color w:val="000000" w:themeColor="text1"/>
        </w:rPr>
      </w:pPr>
      <w:r>
        <w:rPr>
          <w:color w:val="000000" w:themeColor="text1"/>
        </w:rPr>
        <w:t>Les infrastructures sanitaires ont représenté 68% de la dépense totale d’investissement</w:t>
      </w:r>
      <w:r w:rsidR="0044639B">
        <w:rPr>
          <w:color w:val="000000" w:themeColor="text1"/>
        </w:rPr>
        <w:t xml:space="preserve"> en 2011 tandisque l</w:t>
      </w:r>
      <w:r w:rsidR="003404A6">
        <w:rPr>
          <w:color w:val="000000" w:themeColor="text1"/>
        </w:rPr>
        <w:t>e materiel de transport  a représenté 13%. L</w:t>
      </w:r>
      <w:r w:rsidR="00A40FE1">
        <w:rPr>
          <w:color w:val="000000" w:themeColor="text1"/>
        </w:rPr>
        <w:t>es autres dépenses ont été mondres.</w:t>
      </w:r>
    </w:p>
    <w:p w:rsidR="0044639B" w:rsidRDefault="0044639B" w:rsidP="00A40FE1">
      <w:pPr>
        <w:jc w:val="both"/>
        <w:rPr>
          <w:color w:val="000000" w:themeColor="text1"/>
        </w:rPr>
      </w:pPr>
    </w:p>
    <w:p w:rsidR="008079ED" w:rsidRDefault="00A40FE1" w:rsidP="00A40FE1">
      <w:pPr>
        <w:jc w:val="both"/>
        <w:rPr>
          <w:color w:val="000000" w:themeColor="text1"/>
        </w:rPr>
      </w:pPr>
      <w:r>
        <w:rPr>
          <w:color w:val="000000" w:themeColor="text1"/>
        </w:rPr>
        <w:t xml:space="preserve">En 2012 une importance particulière a été accordée à la dépénse liée à l’investisement  de la rehabilitation des infrastructures sanitaires (30%) et des machines et équipements </w:t>
      </w:r>
      <w:r w:rsidR="008079ED">
        <w:rPr>
          <w:color w:val="000000" w:themeColor="text1"/>
        </w:rPr>
        <w:t>(</w:t>
      </w:r>
      <w:r>
        <w:rPr>
          <w:color w:val="000000" w:themeColor="text1"/>
        </w:rPr>
        <w:t>28%</w:t>
      </w:r>
      <w:r w:rsidR="008079ED">
        <w:rPr>
          <w:color w:val="000000" w:themeColor="text1"/>
        </w:rPr>
        <w:t>)</w:t>
      </w:r>
      <w:r>
        <w:rPr>
          <w:color w:val="000000" w:themeColor="text1"/>
        </w:rPr>
        <w:t xml:space="preserve"> de la dépense totale annuelle.</w:t>
      </w:r>
      <w:r w:rsidR="008079ED">
        <w:rPr>
          <w:color w:val="000000" w:themeColor="text1"/>
        </w:rPr>
        <w:t xml:space="preserve"> Quant aux équipements médicaux et construction des infrastructures sanitaires ils ont représenté respectivement 22 et 14% de la dépense totale de 2012.</w:t>
      </w:r>
    </w:p>
    <w:p w:rsidR="0044639B" w:rsidRDefault="0044639B" w:rsidP="00A40FE1">
      <w:pPr>
        <w:jc w:val="both"/>
        <w:rPr>
          <w:color w:val="000000" w:themeColor="text1"/>
        </w:rPr>
      </w:pPr>
    </w:p>
    <w:p w:rsidR="008079ED" w:rsidRDefault="008079ED" w:rsidP="00A40FE1">
      <w:pPr>
        <w:jc w:val="both"/>
        <w:rPr>
          <w:color w:val="000000" w:themeColor="text1"/>
        </w:rPr>
      </w:pPr>
      <w:r>
        <w:rPr>
          <w:color w:val="000000" w:themeColor="text1"/>
        </w:rPr>
        <w:t>Les infrastructures en terme de construction et de réhanilitation ont consommé plus de la moitié (73%) de la dépense totale d’investissement de 2013. Pour la meme année les équipements médicaux ont représenté 21%.</w:t>
      </w:r>
    </w:p>
    <w:p w:rsidR="0044639B" w:rsidRDefault="00E33986" w:rsidP="00A40FE1">
      <w:pPr>
        <w:jc w:val="both"/>
        <w:rPr>
          <w:color w:val="000000" w:themeColor="text1"/>
        </w:rPr>
      </w:pPr>
      <w:r>
        <w:rPr>
          <w:color w:val="000000" w:themeColor="text1"/>
        </w:rPr>
        <w:lastRenderedPageBreak/>
        <w:t>En 2014, les équipements médicaux et les constructions des infrastructures sanitaires ont représenté 96% (à part égale) de la dépense totale d’investissement. Les autres rubriques ont été faiblement financés (4%).</w:t>
      </w:r>
    </w:p>
    <w:p w:rsidR="00E33986" w:rsidRDefault="00E33986" w:rsidP="00A40FE1">
      <w:pPr>
        <w:jc w:val="both"/>
        <w:rPr>
          <w:color w:val="000000" w:themeColor="text1"/>
        </w:rPr>
      </w:pPr>
    </w:p>
    <w:p w:rsidR="00E33986" w:rsidRDefault="00E33986" w:rsidP="00A40FE1">
      <w:pPr>
        <w:jc w:val="both"/>
        <w:rPr>
          <w:color w:val="000000" w:themeColor="text1"/>
        </w:rPr>
      </w:pPr>
      <w:r>
        <w:rPr>
          <w:color w:val="000000" w:themeColor="text1"/>
        </w:rPr>
        <w:t>Comme en 2014, l’année suivante a connu la priorisation des memes rubriques avec 89% de la dépense totale d’investissement, suivi de la contruction des bâtiment administratuf avec 9%.</w:t>
      </w:r>
    </w:p>
    <w:p w:rsidR="0044639B" w:rsidRDefault="0044639B" w:rsidP="00A40FE1">
      <w:pPr>
        <w:jc w:val="both"/>
        <w:rPr>
          <w:color w:val="000000" w:themeColor="text1"/>
        </w:rPr>
      </w:pPr>
    </w:p>
    <w:p w:rsidR="008079ED" w:rsidRPr="008079ED" w:rsidRDefault="008079ED" w:rsidP="00A40FE1">
      <w:pPr>
        <w:jc w:val="both"/>
        <w:rPr>
          <w:color w:val="000000" w:themeColor="text1"/>
        </w:rPr>
      </w:pPr>
    </w:p>
    <w:p w:rsidR="00474063" w:rsidRDefault="00E33986" w:rsidP="00E33986">
      <w:pPr>
        <w:pStyle w:val="Titre3"/>
        <w:ind w:left="0" w:firstLine="0"/>
        <w:rPr>
          <w:color w:val="000000" w:themeColor="text1"/>
        </w:rPr>
      </w:pPr>
      <w:r>
        <w:rPr>
          <w:b w:val="0"/>
          <w:i w:val="0"/>
          <w:color w:val="000000" w:themeColor="text1"/>
        </w:rPr>
        <w:t xml:space="preserve">Reparti par source de financement l’évolution de la dépense d’investissement  est représentée dans le graphique ci-dessous </w:t>
      </w:r>
    </w:p>
    <w:p w:rsidR="00E5269A" w:rsidRDefault="0071492D" w:rsidP="00E5269A">
      <w:pPr>
        <w:pStyle w:val="Titre3"/>
        <w:rPr>
          <w:color w:val="000000" w:themeColor="text1"/>
        </w:rPr>
      </w:pPr>
      <w:r>
        <w:rPr>
          <w:color w:val="000000" w:themeColor="text1"/>
        </w:rPr>
        <w:t>Graphique n°</w:t>
      </w:r>
      <w:r w:rsidR="00E5269A" w:rsidRPr="008D45CE">
        <w:rPr>
          <w:color w:val="000000" w:themeColor="text1"/>
          <w:lang w:val="fr-BE"/>
        </w:rPr>
        <w:t>:</w:t>
      </w:r>
      <w:r w:rsidR="00E5269A" w:rsidRPr="008D45CE">
        <w:rPr>
          <w:color w:val="000000" w:themeColor="text1"/>
        </w:rPr>
        <w:t xml:space="preserve"> </w:t>
      </w:r>
      <w:r w:rsidR="00E5269A">
        <w:rPr>
          <w:color w:val="000000" w:themeColor="text1"/>
        </w:rPr>
        <w:t>Evolution de la dépense d'investissement par Source de 2011-2015</w:t>
      </w:r>
    </w:p>
    <w:p w:rsidR="00E5269A" w:rsidRDefault="00E5269A" w:rsidP="00A401E9">
      <w:pPr>
        <w:pStyle w:val="Style2"/>
        <w:rPr>
          <w:color w:val="000000" w:themeColor="text1"/>
        </w:rPr>
      </w:pPr>
    </w:p>
    <w:p w:rsidR="00E5269A" w:rsidRDefault="00E5269A" w:rsidP="00A401E9">
      <w:pPr>
        <w:pStyle w:val="Style2"/>
        <w:rPr>
          <w:color w:val="000000" w:themeColor="text1"/>
        </w:rPr>
      </w:pPr>
      <w:r w:rsidRPr="00E5269A">
        <w:rPr>
          <w:noProof/>
          <w:color w:val="000000" w:themeColor="text1"/>
          <w:lang w:eastAsia="fr-FR" w:bidi="ar-SA"/>
        </w:rPr>
        <w:drawing>
          <wp:inline distT="0" distB="0" distL="0" distR="0">
            <wp:extent cx="5092700" cy="1866900"/>
            <wp:effectExtent l="19050" t="0" r="12700" b="0"/>
            <wp:docPr id="42" name="Graphique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rsidR="00E5269A" w:rsidRDefault="00C3004E" w:rsidP="00A401E9">
      <w:pPr>
        <w:pStyle w:val="Style2"/>
        <w:rPr>
          <w:color w:val="FF0000"/>
        </w:rPr>
      </w:pPr>
      <w:r>
        <w:rPr>
          <w:color w:val="FF0000"/>
        </w:rPr>
        <w:t xml:space="preserve"> </w:t>
      </w:r>
    </w:p>
    <w:p w:rsidR="00C3004E" w:rsidRPr="00C3004E" w:rsidRDefault="00C3004E" w:rsidP="00A401E9">
      <w:pPr>
        <w:pStyle w:val="Style2"/>
      </w:pPr>
      <w:r w:rsidRPr="00C3004E">
        <w:t>Comparativement au financement du RDM qui évolue de façon décroissante, la part du gouvernement  a connu une évolution croissante. Ce qui traduit la volonté du gouvernement de rechercher l’amélioration de la couverture sanitaire nationale en infrastructure.</w:t>
      </w:r>
    </w:p>
    <w:p w:rsidR="00304FB8" w:rsidRDefault="00304FB8">
      <w:pPr>
        <w:spacing w:after="200" w:line="20" w:lineRule="atLeast"/>
        <w:rPr>
          <w:b/>
          <w:bCs/>
          <w:color w:val="4F81BD" w:themeColor="accent1"/>
          <w:sz w:val="22"/>
          <w:szCs w:val="22"/>
          <w:lang w:val="fr-CD"/>
        </w:rPr>
      </w:pPr>
      <w:bookmarkStart w:id="70" w:name="_Toc465262368"/>
      <w:bookmarkStart w:id="71" w:name="_Toc483474623"/>
      <w:r>
        <w:rPr>
          <w:color w:val="4F81BD" w:themeColor="accent1"/>
          <w:szCs w:val="22"/>
          <w:lang w:val="fr-CD"/>
        </w:rPr>
        <w:br w:type="page"/>
      </w:r>
    </w:p>
    <w:p w:rsidR="00A10E04" w:rsidRPr="00ED7535" w:rsidRDefault="00A10E04" w:rsidP="00A41279">
      <w:pPr>
        <w:pStyle w:val="Titre2"/>
        <w:jc w:val="both"/>
        <w:rPr>
          <w:color w:val="4F81BD" w:themeColor="accent1"/>
          <w:szCs w:val="22"/>
        </w:rPr>
      </w:pPr>
      <w:r w:rsidRPr="00ED7535">
        <w:rPr>
          <w:color w:val="4F81BD" w:themeColor="accent1"/>
          <w:szCs w:val="22"/>
          <w:lang w:val="fr-CD"/>
        </w:rPr>
        <w:lastRenderedPageBreak/>
        <w:t>4.</w:t>
      </w:r>
      <w:bookmarkStart w:id="72" w:name="_Toc465262369"/>
      <w:bookmarkEnd w:id="70"/>
      <w:r w:rsidR="00A41279" w:rsidRPr="00ED7535">
        <w:rPr>
          <w:color w:val="4F81BD" w:themeColor="accent1"/>
          <w:szCs w:val="22"/>
          <w:lang w:val="fr-CD"/>
        </w:rPr>
        <w:t>.4.</w:t>
      </w:r>
      <w:r w:rsidRPr="00ED7535">
        <w:rPr>
          <w:color w:val="4F81BD" w:themeColor="accent1"/>
          <w:szCs w:val="22"/>
          <w:lang w:val="fr-CD"/>
        </w:rPr>
        <w:t xml:space="preserve"> DISTRIBUTION DE LA DÉPENSE COURANTE DE SANTÉ PAR MALADIE SELON LA CLASSIFICATION INTERNATIONALE DES MALADIES (CIM 10) ET PAR SOURCE DE FINANCEMENT</w:t>
      </w:r>
      <w:bookmarkEnd w:id="71"/>
      <w:bookmarkEnd w:id="72"/>
    </w:p>
    <w:p w:rsidR="00D04CCB" w:rsidRDefault="00D04CCB" w:rsidP="00D04CCB">
      <w:pPr>
        <w:spacing w:line="276" w:lineRule="auto"/>
        <w:jc w:val="both"/>
        <w:rPr>
          <w:color w:val="000000" w:themeColor="text1"/>
          <w:sz w:val="22"/>
          <w:szCs w:val="22"/>
        </w:rPr>
      </w:pPr>
      <w:r>
        <w:rPr>
          <w:color w:val="000000" w:themeColor="text1"/>
          <w:sz w:val="22"/>
          <w:szCs w:val="22"/>
        </w:rPr>
        <w:t xml:space="preserve">Cette section sera consacrée à l’analyse de la répartition de la DCS par maladie conformément à la classification internationale des maladies (CIM 10). Il s’agira notamment des DSC concernant : (i) les maladies infectieuses et parasitaires,(ii) santé de la reproduction, (iii) carences nutritionnelles, (iv) maladies non transmissibles, (v) traumatismes, et enfin (vi) autres maladies non spécifiées. </w:t>
      </w:r>
    </w:p>
    <w:p w:rsidR="00D04CCB" w:rsidRDefault="00D04CCB" w:rsidP="00D04CCB">
      <w:pPr>
        <w:spacing w:line="276" w:lineRule="auto"/>
        <w:jc w:val="both"/>
        <w:rPr>
          <w:color w:val="000000" w:themeColor="text1"/>
          <w:sz w:val="22"/>
          <w:szCs w:val="22"/>
        </w:rPr>
      </w:pPr>
    </w:p>
    <w:p w:rsidR="00D04CCB" w:rsidRDefault="00D04CCB" w:rsidP="00D04CCB">
      <w:pPr>
        <w:spacing w:line="276" w:lineRule="auto"/>
        <w:jc w:val="both"/>
        <w:rPr>
          <w:color w:val="000000" w:themeColor="text1"/>
          <w:sz w:val="22"/>
          <w:szCs w:val="22"/>
        </w:rPr>
      </w:pPr>
      <w:r>
        <w:rPr>
          <w:color w:val="000000" w:themeColor="text1"/>
          <w:sz w:val="22"/>
          <w:szCs w:val="22"/>
        </w:rPr>
        <w:t>L’analyse de la DCS ci-dessous se focalisera en particulier sur les dépenses de santé relatives aux maladies infectieuses et parasitaires, et à la santé de la reproduction.</w:t>
      </w:r>
    </w:p>
    <w:p w:rsidR="00E5269A" w:rsidRDefault="00E5269A" w:rsidP="00465CCA">
      <w:pPr>
        <w:pStyle w:val="Style2"/>
        <w:rPr>
          <w:b/>
          <w:color w:val="000000" w:themeColor="text1"/>
        </w:rPr>
      </w:pPr>
    </w:p>
    <w:p w:rsidR="00465CCA" w:rsidRDefault="00465CCA" w:rsidP="00465CCA">
      <w:pPr>
        <w:pStyle w:val="Style2"/>
        <w:rPr>
          <w:b/>
          <w:color w:val="000000" w:themeColor="text1"/>
        </w:rPr>
      </w:pPr>
      <w:r>
        <w:rPr>
          <w:b/>
          <w:color w:val="000000" w:themeColor="text1"/>
        </w:rPr>
        <w:t xml:space="preserve">Graphique n°32 : </w:t>
      </w:r>
      <w:r w:rsidR="0071492D">
        <w:rPr>
          <w:b/>
          <w:color w:val="000000" w:themeColor="text1"/>
        </w:rPr>
        <w:t xml:space="preserve">Evolution de la DCS par maladie </w:t>
      </w:r>
      <w:r w:rsidR="00304FB8">
        <w:rPr>
          <w:b/>
          <w:color w:val="000000" w:themeColor="text1"/>
        </w:rPr>
        <w:t xml:space="preserve">selon CIM 10 </w:t>
      </w:r>
      <w:r w:rsidR="0071492D">
        <w:rPr>
          <w:b/>
          <w:color w:val="000000" w:themeColor="text1"/>
        </w:rPr>
        <w:t>de 2011 à 2015</w:t>
      </w:r>
    </w:p>
    <w:p w:rsidR="00E5269A" w:rsidRDefault="00E5269A" w:rsidP="00465CCA">
      <w:pPr>
        <w:pStyle w:val="Style2"/>
        <w:rPr>
          <w:b/>
          <w:color w:val="000000" w:themeColor="text1"/>
        </w:rPr>
      </w:pPr>
    </w:p>
    <w:p w:rsidR="00D04CCB" w:rsidRPr="00EB3FD0" w:rsidRDefault="00E717A4" w:rsidP="00D04CCB">
      <w:pPr>
        <w:spacing w:line="276" w:lineRule="auto"/>
        <w:jc w:val="both"/>
        <w:rPr>
          <w:b/>
          <w:color w:val="FF0000"/>
          <w:sz w:val="32"/>
          <w:szCs w:val="32"/>
        </w:rPr>
      </w:pPr>
      <w:r w:rsidRPr="00E717A4">
        <w:rPr>
          <w:b/>
          <w:noProof/>
          <w:color w:val="FF0000"/>
          <w:sz w:val="32"/>
          <w:szCs w:val="32"/>
          <w:lang w:eastAsia="fr-FR" w:bidi="ar-SA"/>
        </w:rPr>
        <w:drawing>
          <wp:inline distT="0" distB="0" distL="0" distR="0">
            <wp:extent cx="5575300" cy="2216150"/>
            <wp:effectExtent l="19050" t="0" r="25400" b="0"/>
            <wp:docPr id="31" name="Graphique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rsidR="00E5269A" w:rsidRDefault="00E5269A" w:rsidP="00B140AD">
      <w:pPr>
        <w:spacing w:after="200" w:line="20" w:lineRule="atLeast"/>
        <w:jc w:val="both"/>
        <w:rPr>
          <w:color w:val="000000" w:themeColor="text1"/>
        </w:rPr>
      </w:pPr>
    </w:p>
    <w:p w:rsidR="00B140AD" w:rsidRDefault="00C961A3" w:rsidP="00B140AD">
      <w:pPr>
        <w:spacing w:after="200" w:line="20" w:lineRule="atLeast"/>
        <w:jc w:val="both"/>
        <w:rPr>
          <w:color w:val="000000" w:themeColor="text1"/>
        </w:rPr>
      </w:pPr>
      <w:r>
        <w:rPr>
          <w:color w:val="000000" w:themeColor="text1"/>
        </w:rPr>
        <w:t xml:space="preserve">Il ressort de l’analyse de ce graphique que les maladies infectieuses ont représenté  la première part de la DCS publiques. Cette part  a été en effet de 62% en 2011, 52% en 2013 et en moyenne de </w:t>
      </w:r>
      <w:r w:rsidR="00B140AD">
        <w:rPr>
          <w:color w:val="000000" w:themeColor="text1"/>
        </w:rPr>
        <w:t xml:space="preserve">49% entre 2012 et 2015. </w:t>
      </w:r>
      <w:r>
        <w:rPr>
          <w:color w:val="000000" w:themeColor="text1"/>
        </w:rPr>
        <w:t>La santé de la reproduction a représenté  la seconde part de la DCS publiques</w:t>
      </w:r>
      <w:r w:rsidR="006E65DE">
        <w:rPr>
          <w:color w:val="000000" w:themeColor="text1"/>
        </w:rPr>
        <w:t>. Elle a évolué de 17% à 36% entre 2011 et 2014 avant de redescendre à 26% en 2015.</w:t>
      </w:r>
      <w:bookmarkStart w:id="73" w:name="_Toc483474515"/>
    </w:p>
    <w:p w:rsidR="0071492D" w:rsidRDefault="00304FB8" w:rsidP="0071492D">
      <w:pPr>
        <w:spacing w:after="200" w:line="20" w:lineRule="atLeast"/>
        <w:jc w:val="both"/>
        <w:rPr>
          <w:color w:val="000000" w:themeColor="text1"/>
        </w:rPr>
      </w:pPr>
      <w:r>
        <w:rPr>
          <w:color w:val="000000" w:themeColor="text1"/>
        </w:rPr>
        <w:t>G</w:t>
      </w:r>
      <w:r w:rsidR="0071492D" w:rsidRPr="0071492D">
        <w:rPr>
          <w:color w:val="000000" w:themeColor="text1"/>
        </w:rPr>
        <w:t>raphique 33 : Réparation de la DCS par Maladies infectieuses et parasitaires de 2011 à 2015</w:t>
      </w:r>
    </w:p>
    <w:p w:rsidR="0071492D" w:rsidRDefault="00304FB8" w:rsidP="00B140AD">
      <w:pPr>
        <w:spacing w:after="200" w:line="20" w:lineRule="atLeast"/>
        <w:jc w:val="both"/>
        <w:rPr>
          <w:color w:val="000000" w:themeColor="text1"/>
        </w:rPr>
      </w:pPr>
      <w:r>
        <w:rPr>
          <w:noProof/>
          <w:color w:val="000000" w:themeColor="text1"/>
          <w:lang w:eastAsia="fr-FR" w:bidi="ar-SA"/>
        </w:rPr>
        <w:drawing>
          <wp:anchor distT="0" distB="0" distL="114300" distR="114300" simplePos="0" relativeHeight="251693056" behindDoc="0" locked="0" layoutInCell="1" allowOverlap="1">
            <wp:simplePos x="0" y="0"/>
            <wp:positionH relativeFrom="margin">
              <wp:posOffset>344805</wp:posOffset>
            </wp:positionH>
            <wp:positionV relativeFrom="margin">
              <wp:posOffset>6426200</wp:posOffset>
            </wp:positionV>
            <wp:extent cx="4768850" cy="2190750"/>
            <wp:effectExtent l="0" t="0" r="0" b="0"/>
            <wp:wrapSquare wrapText="bothSides"/>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4768850" cy="2190750"/>
                    </a:xfrm>
                    <a:prstGeom prst="rect">
                      <a:avLst/>
                    </a:prstGeom>
                    <a:noFill/>
                  </pic:spPr>
                </pic:pic>
              </a:graphicData>
            </a:graphic>
          </wp:anchor>
        </w:drawing>
      </w:r>
    </w:p>
    <w:bookmarkEnd w:id="73"/>
    <w:p w:rsidR="0071492D" w:rsidRDefault="0071492D" w:rsidP="00A401E9">
      <w:pPr>
        <w:pStyle w:val="Style2"/>
        <w:rPr>
          <w:color w:val="000000" w:themeColor="text1"/>
        </w:rPr>
      </w:pPr>
    </w:p>
    <w:p w:rsidR="0071492D" w:rsidRDefault="0071492D" w:rsidP="00A401E9">
      <w:pPr>
        <w:pStyle w:val="Style2"/>
        <w:rPr>
          <w:color w:val="000000" w:themeColor="text1"/>
        </w:rPr>
      </w:pPr>
    </w:p>
    <w:p w:rsidR="0071492D" w:rsidRDefault="0071492D" w:rsidP="00A401E9">
      <w:pPr>
        <w:pStyle w:val="Style2"/>
        <w:rPr>
          <w:color w:val="000000" w:themeColor="text1"/>
        </w:rPr>
      </w:pPr>
    </w:p>
    <w:p w:rsidR="0071492D" w:rsidRDefault="0071492D" w:rsidP="00A401E9">
      <w:pPr>
        <w:pStyle w:val="Style2"/>
        <w:rPr>
          <w:color w:val="000000" w:themeColor="text1"/>
        </w:rPr>
      </w:pPr>
    </w:p>
    <w:p w:rsidR="0071492D" w:rsidRDefault="0071492D" w:rsidP="00A401E9">
      <w:pPr>
        <w:pStyle w:val="Style2"/>
        <w:rPr>
          <w:color w:val="000000" w:themeColor="text1"/>
        </w:rPr>
      </w:pPr>
    </w:p>
    <w:p w:rsidR="0071492D" w:rsidRDefault="0071492D" w:rsidP="00A401E9">
      <w:pPr>
        <w:pStyle w:val="Style2"/>
        <w:rPr>
          <w:color w:val="000000" w:themeColor="text1"/>
        </w:rPr>
      </w:pPr>
    </w:p>
    <w:p w:rsidR="0071492D" w:rsidRDefault="0071492D" w:rsidP="00A401E9">
      <w:pPr>
        <w:pStyle w:val="Style2"/>
        <w:rPr>
          <w:color w:val="000000" w:themeColor="text1"/>
        </w:rPr>
      </w:pPr>
    </w:p>
    <w:p w:rsidR="0071492D" w:rsidRDefault="0071492D" w:rsidP="00A401E9">
      <w:pPr>
        <w:pStyle w:val="Style2"/>
        <w:rPr>
          <w:color w:val="000000" w:themeColor="text1"/>
        </w:rPr>
      </w:pPr>
    </w:p>
    <w:p w:rsidR="005E5183" w:rsidRDefault="005E5183" w:rsidP="00CE0595">
      <w:pPr>
        <w:pStyle w:val="Style2"/>
        <w:rPr>
          <w:color w:val="000000" w:themeColor="text1"/>
        </w:rPr>
      </w:pPr>
    </w:p>
    <w:p w:rsidR="005E5183" w:rsidRDefault="00720185" w:rsidP="00CE0595">
      <w:pPr>
        <w:pStyle w:val="Style2"/>
        <w:rPr>
          <w:color w:val="000000" w:themeColor="text1"/>
        </w:rPr>
      </w:pPr>
      <w:r>
        <w:rPr>
          <w:color w:val="000000" w:themeColor="text1"/>
        </w:rPr>
        <w:lastRenderedPageBreak/>
        <w:t>En analys</w:t>
      </w:r>
      <w:r w:rsidR="00086156">
        <w:rPr>
          <w:color w:val="000000" w:themeColor="text1"/>
        </w:rPr>
        <w:t>ant les données du graphique n°</w:t>
      </w:r>
      <w:r>
        <w:rPr>
          <w:color w:val="000000" w:themeColor="text1"/>
        </w:rPr>
        <w:t xml:space="preserve">33, on constate que les DCS par maladies se répartissent en deux blocs : </w:t>
      </w:r>
    </w:p>
    <w:p w:rsidR="00720185" w:rsidRDefault="00720185" w:rsidP="005E5183">
      <w:pPr>
        <w:pStyle w:val="Style2"/>
        <w:numPr>
          <w:ilvl w:val="0"/>
          <w:numId w:val="11"/>
        </w:numPr>
        <w:rPr>
          <w:color w:val="000000" w:themeColor="text1"/>
        </w:rPr>
      </w:pPr>
      <w:r>
        <w:rPr>
          <w:color w:val="000000" w:themeColor="text1"/>
        </w:rPr>
        <w:t xml:space="preserve">le premier bloc  est constitué des pathologies dont </w:t>
      </w:r>
      <w:r w:rsidR="005E5183">
        <w:rPr>
          <w:color w:val="000000" w:themeColor="text1"/>
        </w:rPr>
        <w:t>le</w:t>
      </w:r>
      <w:r>
        <w:rPr>
          <w:color w:val="000000" w:themeColor="text1"/>
        </w:rPr>
        <w:t xml:space="preserve">s dépenses sont supérieures </w:t>
      </w:r>
      <w:r w:rsidR="005E5183">
        <w:rPr>
          <w:color w:val="000000" w:themeColor="text1"/>
        </w:rPr>
        <w:t>à 20%, notamment</w:t>
      </w:r>
      <w:r w:rsidR="00E006CB">
        <w:rPr>
          <w:color w:val="000000" w:themeColor="text1"/>
        </w:rPr>
        <w:t xml:space="preserve">, </w:t>
      </w:r>
      <w:r w:rsidR="005E5183">
        <w:rPr>
          <w:color w:val="000000" w:themeColor="text1"/>
        </w:rPr>
        <w:t>le VIH/SIDA,</w:t>
      </w:r>
      <w:r w:rsidR="00E006CB">
        <w:rPr>
          <w:color w:val="000000" w:themeColor="text1"/>
        </w:rPr>
        <w:t xml:space="preserve"> </w:t>
      </w:r>
      <w:r w:rsidR="005E5183">
        <w:rPr>
          <w:color w:val="000000" w:themeColor="text1"/>
        </w:rPr>
        <w:t>le paludisme et les  autres maladies, et maladies non spécifiées, infectieuses et parasitaires</w:t>
      </w:r>
      <w:r w:rsidR="00E006CB">
        <w:rPr>
          <w:color w:val="000000" w:themeColor="text1"/>
        </w:rPr>
        <w:t> ;</w:t>
      </w:r>
    </w:p>
    <w:p w:rsidR="005E5183" w:rsidRDefault="00E006CB" w:rsidP="005E5183">
      <w:pPr>
        <w:pStyle w:val="Style2"/>
        <w:numPr>
          <w:ilvl w:val="0"/>
          <w:numId w:val="11"/>
        </w:numPr>
        <w:rPr>
          <w:color w:val="000000" w:themeColor="text1"/>
        </w:rPr>
      </w:pPr>
      <w:r>
        <w:rPr>
          <w:color w:val="000000" w:themeColor="text1"/>
        </w:rPr>
        <w:t xml:space="preserve">le deuxième bloc englobe les pathologies dont les dépenses sont inférieures à 10%, notamment, les maladies évitables  par la vaccination, </w:t>
      </w:r>
      <w:r w:rsidR="00BD0896">
        <w:rPr>
          <w:color w:val="000000" w:themeColor="text1"/>
        </w:rPr>
        <w:t>les maladies diarrhéiques, les maladies tropicales négligées, la tuberculose et les infections des voies respiratoires.</w:t>
      </w:r>
    </w:p>
    <w:p w:rsidR="00B140AD" w:rsidRDefault="00B140AD" w:rsidP="00B140AD">
      <w:pPr>
        <w:pStyle w:val="Style2"/>
        <w:ind w:left="720"/>
        <w:rPr>
          <w:color w:val="000000" w:themeColor="text1"/>
        </w:rPr>
      </w:pPr>
    </w:p>
    <w:p w:rsidR="00A10E04" w:rsidRDefault="005B2987" w:rsidP="005973EC">
      <w:pPr>
        <w:pStyle w:val="Titre3"/>
        <w:rPr>
          <w:i w:val="0"/>
          <w:color w:val="000000" w:themeColor="text1"/>
        </w:rPr>
      </w:pPr>
      <w:bookmarkStart w:id="74" w:name="_Toc465262370"/>
      <w:bookmarkStart w:id="75" w:name="_Toc483474624"/>
      <w:r w:rsidRPr="008D45CE">
        <w:rPr>
          <w:i w:val="0"/>
          <w:color w:val="000000" w:themeColor="text1"/>
        </w:rPr>
        <w:t>4.4.</w:t>
      </w:r>
      <w:r w:rsidR="005973EC" w:rsidRPr="008D45CE">
        <w:rPr>
          <w:i w:val="0"/>
          <w:color w:val="000000" w:themeColor="text1"/>
        </w:rPr>
        <w:t>1</w:t>
      </w:r>
      <w:r w:rsidRPr="008D45CE">
        <w:rPr>
          <w:i w:val="0"/>
          <w:color w:val="000000" w:themeColor="text1"/>
        </w:rPr>
        <w:t>.</w:t>
      </w:r>
      <w:r w:rsidR="005973EC" w:rsidRPr="008D45CE">
        <w:rPr>
          <w:i w:val="0"/>
          <w:color w:val="000000" w:themeColor="text1"/>
        </w:rPr>
        <w:t xml:space="preserve"> Maladies infectieuses et parasitaires</w:t>
      </w:r>
      <w:bookmarkEnd w:id="74"/>
      <w:bookmarkEnd w:id="75"/>
      <w:r w:rsidR="0071492D">
        <w:rPr>
          <w:i w:val="0"/>
          <w:color w:val="000000" w:themeColor="text1"/>
        </w:rPr>
        <w:t xml:space="preserve"> par sources de financement</w:t>
      </w:r>
    </w:p>
    <w:p w:rsidR="00B140AD" w:rsidRDefault="00B140AD" w:rsidP="00B140AD"/>
    <w:p w:rsidR="00E2781B" w:rsidRDefault="00E2781B" w:rsidP="00E2781B">
      <w:pPr>
        <w:jc w:val="both"/>
      </w:pPr>
      <w:r w:rsidRPr="00E2781B">
        <w:t xml:space="preserve">Le profil épidémiologique est caractérisé par la prédominance des maladies transmissibles (paludisme, tuberculose, infection à VIH/SIDA) et l’importance de plus en plus accrue des maladies non transmissibles (HTA, cancer, diabète). Le paludisme constitue le premier motif de consultation dans les formations sanitaires publiques.  </w:t>
      </w:r>
    </w:p>
    <w:p w:rsidR="00E2781B" w:rsidRPr="00E2781B" w:rsidRDefault="00E2781B" w:rsidP="00E2781B">
      <w:pPr>
        <w:jc w:val="both"/>
      </w:pPr>
    </w:p>
    <w:p w:rsidR="00E2781B" w:rsidRDefault="00E2781B" w:rsidP="00E2781B">
      <w:pPr>
        <w:jc w:val="both"/>
      </w:pPr>
      <w:r w:rsidRPr="00E2781B">
        <w:t>Selon le Programme National de Lutte contre la Tuberculose, 11 512 cas de tuberculose toutes formes confondues ont été dépistés en 2012</w:t>
      </w:r>
      <w:r>
        <w:t>. Concernant l’infection VIH-SIDA,  l</w:t>
      </w:r>
      <w:r w:rsidRPr="00E2781B">
        <w:t xml:space="preserve">’enquête de séroprévalence réalisée par le ministère de la santé en 2011  auprès des femmes enceintes a montré un taux de séroprévalence égale à 3,6%. </w:t>
      </w:r>
    </w:p>
    <w:p w:rsidR="00E2781B" w:rsidRPr="00E2781B" w:rsidRDefault="00E2781B" w:rsidP="00E2781B">
      <w:pPr>
        <w:jc w:val="both"/>
      </w:pPr>
    </w:p>
    <w:p w:rsidR="00E2781B" w:rsidRPr="00E2781B" w:rsidRDefault="00E2781B" w:rsidP="00E2781B">
      <w:pPr>
        <w:jc w:val="both"/>
      </w:pPr>
      <w:r w:rsidRPr="00E2781B">
        <w:t>Les Infections respiratoires aiguës (IRA) constituent encore une préoccupation majeure pour le Congo.</w:t>
      </w:r>
      <w:r>
        <w:t xml:space="preserve"> S’agissant des maladies diarrhéiques, l’</w:t>
      </w:r>
      <w:r w:rsidRPr="00E2781B">
        <w:t>EDS II renseigne que 19% d’enfants de moins de cinq ans ont eu, au moins, un épisode de diarrhée au cours des deux semaines ayant précédé l’enquête.</w:t>
      </w:r>
    </w:p>
    <w:p w:rsidR="00B140AD" w:rsidRDefault="00B140AD" w:rsidP="00B140AD"/>
    <w:p w:rsidR="00E2781B" w:rsidRDefault="00E2781B" w:rsidP="00E2781B">
      <w:pPr>
        <w:jc w:val="both"/>
      </w:pPr>
      <w:r w:rsidRPr="00E2781B">
        <w:t>A Propos des maladies évitables par la vaccination, le Congo n’a pas encore éradiqué, la  rougeole qui continue de sévir de temps en temps sous forme de flambée.</w:t>
      </w:r>
    </w:p>
    <w:p w:rsidR="00E2781B" w:rsidRPr="00E2781B" w:rsidRDefault="00E2781B" w:rsidP="00E2781B">
      <w:pPr>
        <w:jc w:val="both"/>
      </w:pPr>
    </w:p>
    <w:p w:rsidR="00E2781B" w:rsidRDefault="00E2781B" w:rsidP="00E2781B">
      <w:pPr>
        <w:jc w:val="both"/>
      </w:pPr>
      <w:r w:rsidRPr="00E2781B">
        <w:t>S’agissant de la poliomyélite le Congo depuis 2000, a réalisé des progrès considérables dans l’éradication de la poliomyélite. Cela a favorisé sa sélection par la Commission de Certification régionale pour l’Afrique en 2007 pour la rédaction des documents de pré certification. Malgré</w:t>
      </w:r>
      <w:r>
        <w:t xml:space="preserve"> ces e</w:t>
      </w:r>
      <w:r w:rsidRPr="00E2781B">
        <w:t>fforts le pays a connu en</w:t>
      </w:r>
      <w:r>
        <w:t xml:space="preserve"> </w:t>
      </w:r>
      <w:r w:rsidRPr="00E2781B">
        <w:t>2010, une flambée épidémique de poliomyélite est survenue dans le département de Pointe-Noire</w:t>
      </w:r>
      <w:r>
        <w:t>.</w:t>
      </w:r>
    </w:p>
    <w:p w:rsidR="00E2781B" w:rsidRPr="00E2781B" w:rsidRDefault="00E2781B" w:rsidP="00E2781B">
      <w:pPr>
        <w:jc w:val="both"/>
      </w:pPr>
    </w:p>
    <w:p w:rsidR="00E2781B" w:rsidRDefault="00E2781B" w:rsidP="00E2781B">
      <w:pPr>
        <w:jc w:val="both"/>
      </w:pPr>
      <w:r w:rsidRPr="00E2781B">
        <w:t xml:space="preserve"> Pour la fièvre jaune le Congo fait partie des pays de la ceinture épidémique de la fièvre jaune. En 2009, un cas a été diagnostiqué dans le département de la Cuvette-ouest (district de Mbama).</w:t>
      </w:r>
    </w:p>
    <w:p w:rsidR="00E2781B" w:rsidRPr="00E2781B" w:rsidRDefault="00E2781B" w:rsidP="00E2781B">
      <w:pPr>
        <w:jc w:val="both"/>
      </w:pPr>
    </w:p>
    <w:p w:rsidR="00E2781B" w:rsidRDefault="00E2781B" w:rsidP="00E2781B">
      <w:pPr>
        <w:jc w:val="both"/>
      </w:pPr>
      <w:r w:rsidRPr="00E2781B">
        <w:t>A propos du tétanos néonatal et maternel le Congo, depuis 2009, a réalisé des gros efforts et a atteint le stade de pré-élimination du tétanos néonatal et maternel. Néanmoins, 7 cas de tétanos néonatal ont été enregistrés en 2012 dans les départements de la Lékoumou (1 décès).</w:t>
      </w:r>
    </w:p>
    <w:p w:rsidR="00E2781B" w:rsidRPr="00E2781B" w:rsidRDefault="00E2781B" w:rsidP="00E2781B">
      <w:pPr>
        <w:jc w:val="both"/>
      </w:pPr>
    </w:p>
    <w:p w:rsidR="00E2781B" w:rsidRDefault="00E2781B" w:rsidP="00E2781B">
      <w:pPr>
        <w:jc w:val="both"/>
      </w:pPr>
      <w:r w:rsidRPr="00E2781B">
        <w:t xml:space="preserve">Les Maladies non transmissibles (MNT) augmentent rapidement en Afrique en général et au Congo en particulier. Elles constituent un problème de santé publique. La prévalence de l’hypertension artérielle, du diabète, des cancers, de la drépanocytose, etc. est observée au Congo.   </w:t>
      </w:r>
    </w:p>
    <w:p w:rsidR="00E2781B" w:rsidRDefault="00E2781B" w:rsidP="00E2781B">
      <w:pPr>
        <w:jc w:val="both"/>
      </w:pPr>
    </w:p>
    <w:p w:rsidR="00E2781B" w:rsidRPr="00E2781B" w:rsidRDefault="00E2781B" w:rsidP="00E2781B">
      <w:pPr>
        <w:jc w:val="both"/>
      </w:pPr>
      <w:r>
        <w:lastRenderedPageBreak/>
        <w:t>Le graphique présenté ci-dessous</w:t>
      </w:r>
      <w:r w:rsidR="00023E67">
        <w:t xml:space="preserve"> </w:t>
      </w:r>
      <w:r>
        <w:t>permet d’apprécier l’évolution des dépenses</w:t>
      </w:r>
      <w:r w:rsidR="00023E67">
        <w:t xml:space="preserve"> courantes liées aux</w:t>
      </w:r>
      <w:r>
        <w:t xml:space="preserve"> maladies </w:t>
      </w:r>
      <w:r w:rsidR="00023E67">
        <w:t>infectieuses par source</w:t>
      </w:r>
      <w:r>
        <w:t>.</w:t>
      </w:r>
    </w:p>
    <w:p w:rsidR="00E2781B" w:rsidRPr="00B140AD" w:rsidRDefault="00E2781B" w:rsidP="00B140AD"/>
    <w:p w:rsidR="007B0C6A" w:rsidRDefault="00B140AD" w:rsidP="00AF59A8">
      <w:pPr>
        <w:pStyle w:val="Titre6"/>
        <w:rPr>
          <w:color w:val="000000" w:themeColor="text1"/>
        </w:rPr>
      </w:pPr>
      <w:bookmarkStart w:id="76" w:name="_Toc483474516"/>
      <w:r>
        <w:rPr>
          <w:color w:val="000000" w:themeColor="text1"/>
        </w:rPr>
        <w:t>Graphique 34 : Evolution  de la Dépense</w:t>
      </w:r>
      <w:r w:rsidR="007B0C6A" w:rsidRPr="008D45CE">
        <w:rPr>
          <w:color w:val="000000" w:themeColor="text1"/>
        </w:rPr>
        <w:t xml:space="preserve"> </w:t>
      </w:r>
      <w:r w:rsidR="00E57DD2" w:rsidRPr="008D45CE">
        <w:rPr>
          <w:color w:val="000000" w:themeColor="text1"/>
        </w:rPr>
        <w:t>Courantes</w:t>
      </w:r>
      <w:r>
        <w:rPr>
          <w:color w:val="000000" w:themeColor="text1"/>
        </w:rPr>
        <w:t xml:space="preserve"> </w:t>
      </w:r>
      <w:r w:rsidR="007B0C6A" w:rsidRPr="008D45CE">
        <w:rPr>
          <w:color w:val="000000" w:themeColor="text1"/>
        </w:rPr>
        <w:t>des maladies</w:t>
      </w:r>
      <w:r>
        <w:rPr>
          <w:color w:val="000000" w:themeColor="text1"/>
        </w:rPr>
        <w:t xml:space="preserve"> infectieuses et parasitaires  par source de 2011 à </w:t>
      </w:r>
      <w:r w:rsidR="007B0C6A" w:rsidRPr="008D45CE">
        <w:rPr>
          <w:color w:val="000000" w:themeColor="text1"/>
        </w:rPr>
        <w:t xml:space="preserve"> 2015</w:t>
      </w:r>
      <w:bookmarkEnd w:id="76"/>
    </w:p>
    <w:p w:rsidR="00B140AD" w:rsidRDefault="00B140AD" w:rsidP="00B140AD"/>
    <w:p w:rsidR="00B140AD" w:rsidRPr="00B140AD" w:rsidRDefault="00B140AD" w:rsidP="00B140AD">
      <w:r>
        <w:rPr>
          <w:noProof/>
          <w:lang w:eastAsia="fr-FR" w:bidi="ar-SA"/>
        </w:rPr>
        <w:drawing>
          <wp:inline distT="0" distB="0" distL="0" distR="0">
            <wp:extent cx="5207000" cy="2590800"/>
            <wp:effectExtent l="0" t="0" r="0" b="0"/>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210266" cy="2592425"/>
                    </a:xfrm>
                    <a:prstGeom prst="rect">
                      <a:avLst/>
                    </a:prstGeom>
                    <a:noFill/>
                  </pic:spPr>
                </pic:pic>
              </a:graphicData>
            </a:graphic>
          </wp:inline>
        </w:drawing>
      </w:r>
    </w:p>
    <w:p w:rsidR="00B66376" w:rsidRPr="008D45CE" w:rsidRDefault="00B66376" w:rsidP="00A401E9">
      <w:pPr>
        <w:pStyle w:val="Style2"/>
        <w:rPr>
          <w:color w:val="000000" w:themeColor="text1"/>
        </w:rPr>
      </w:pPr>
    </w:p>
    <w:p w:rsidR="0071492D" w:rsidRPr="0078707B" w:rsidRDefault="00E43397" w:rsidP="0078707B">
      <w:pPr>
        <w:spacing w:after="200" w:line="20" w:lineRule="atLeast"/>
        <w:jc w:val="both"/>
      </w:pPr>
      <w:bookmarkStart w:id="77" w:name="_Toc465262374"/>
      <w:bookmarkStart w:id="78" w:name="_Toc483474625"/>
      <w:r>
        <w:t>L</w:t>
      </w:r>
      <w:r w:rsidR="00023E67">
        <w:t>a riposte des maladies infectieuses au Congo</w:t>
      </w:r>
      <w:r>
        <w:t xml:space="preserve"> a</w:t>
      </w:r>
      <w:r w:rsidR="00023E67">
        <w:t xml:space="preserve"> été supportée éssentiellement par le</w:t>
      </w:r>
      <w:r>
        <w:t xml:space="preserve">s </w:t>
      </w:r>
      <w:r w:rsidR="00023E67">
        <w:t>bailleurs (financement exterieur) a</w:t>
      </w:r>
      <w:r>
        <w:t>vec</w:t>
      </w:r>
      <w:r w:rsidR="00023E67">
        <w:t xml:space="preserve"> </w:t>
      </w:r>
      <w:r>
        <w:t xml:space="preserve">une moyenne annuelle de 50% de la dépense courantes. </w:t>
      </w:r>
      <w:r w:rsidR="00BC4921">
        <w:t>Quant à la part des ménages, elle varie entre 27 et 32% dépassant  la part du gouvern</w:t>
      </w:r>
      <w:r w:rsidR="0078707B">
        <w:t xml:space="preserve">ement en 2011, 2012 et 2015. </w:t>
      </w:r>
      <w:r w:rsidR="00BC4921">
        <w:t>L’administration publique a dépensé pas plus de 35% pour le lutter contre les maladies infectieuses Durant le quinquenat en etude. D’ailleurs en 2015, le gouvernement n’a dépensé que 12%.</w:t>
      </w:r>
      <w:r w:rsidR="0078707B">
        <w:t xml:space="preserve"> </w:t>
      </w:r>
      <w:r w:rsidR="0063687E">
        <w:t>Les ONGs nationales et les entreprises contribuent très peu (moins de 5%) au financement de la riposte des maladies infectieuses.</w:t>
      </w:r>
      <w:r w:rsidR="0071492D" w:rsidRPr="0071492D">
        <w:rPr>
          <w:color w:val="FF0000"/>
        </w:rPr>
        <w:br w:type="page"/>
      </w:r>
    </w:p>
    <w:p w:rsidR="006B6C7F" w:rsidRPr="008D45CE" w:rsidRDefault="006B6C7F" w:rsidP="006B6C7F">
      <w:pPr>
        <w:pStyle w:val="Titre3"/>
        <w:rPr>
          <w:color w:val="000000" w:themeColor="text1"/>
        </w:rPr>
      </w:pPr>
      <w:r w:rsidRPr="008D45CE">
        <w:rPr>
          <w:color w:val="000000" w:themeColor="text1"/>
        </w:rPr>
        <w:lastRenderedPageBreak/>
        <w:t>4.4.2. Santé de la Reproduction</w:t>
      </w:r>
      <w:bookmarkEnd w:id="77"/>
      <w:bookmarkEnd w:id="78"/>
    </w:p>
    <w:p w:rsidR="00AD76B9" w:rsidRDefault="006B6C7F" w:rsidP="006B6C7F">
      <w:pPr>
        <w:pStyle w:val="Style2"/>
        <w:rPr>
          <w:color w:val="000000" w:themeColor="text1"/>
        </w:rPr>
      </w:pPr>
      <w:r w:rsidRPr="008D45CE">
        <w:rPr>
          <w:color w:val="000000" w:themeColor="text1"/>
        </w:rPr>
        <w:t xml:space="preserve">Le financement de la </w:t>
      </w:r>
      <w:r w:rsidR="00E57DD2" w:rsidRPr="008D45CE">
        <w:rPr>
          <w:color w:val="000000" w:themeColor="text1"/>
        </w:rPr>
        <w:t xml:space="preserve">Santé </w:t>
      </w:r>
      <w:r w:rsidRPr="008D45CE">
        <w:rPr>
          <w:color w:val="000000" w:themeColor="text1"/>
        </w:rPr>
        <w:t xml:space="preserve">de la </w:t>
      </w:r>
      <w:r w:rsidR="00E57DD2" w:rsidRPr="008D45CE">
        <w:rPr>
          <w:color w:val="000000" w:themeColor="text1"/>
        </w:rPr>
        <w:t xml:space="preserve">Reproduction </w:t>
      </w:r>
      <w:r w:rsidRPr="008D45CE">
        <w:rPr>
          <w:color w:val="000000" w:themeColor="text1"/>
        </w:rPr>
        <w:t>constitue un de</w:t>
      </w:r>
      <w:r w:rsidR="00E57DD2" w:rsidRPr="008D45CE">
        <w:rPr>
          <w:color w:val="000000" w:themeColor="text1"/>
        </w:rPr>
        <w:t>s</w:t>
      </w:r>
      <w:r w:rsidRPr="008D45CE">
        <w:rPr>
          <w:color w:val="000000" w:themeColor="text1"/>
        </w:rPr>
        <w:t xml:space="preserve"> volet</w:t>
      </w:r>
      <w:r w:rsidR="00E57DD2" w:rsidRPr="008D45CE">
        <w:rPr>
          <w:color w:val="000000" w:themeColor="text1"/>
        </w:rPr>
        <w:t>s</w:t>
      </w:r>
      <w:r w:rsidRPr="008D45CE">
        <w:rPr>
          <w:color w:val="000000" w:themeColor="text1"/>
        </w:rPr>
        <w:t xml:space="preserve"> indispensable</w:t>
      </w:r>
      <w:r w:rsidR="00E57DD2" w:rsidRPr="008D45CE">
        <w:rPr>
          <w:color w:val="000000" w:themeColor="text1"/>
        </w:rPr>
        <w:t>s</w:t>
      </w:r>
      <w:r w:rsidRPr="008D45CE">
        <w:rPr>
          <w:color w:val="000000" w:themeColor="text1"/>
        </w:rPr>
        <w:t xml:space="preserve"> </w:t>
      </w:r>
      <w:r w:rsidR="0078707B">
        <w:rPr>
          <w:color w:val="000000" w:themeColor="text1"/>
        </w:rPr>
        <w:t>pour les</w:t>
      </w:r>
      <w:r w:rsidRPr="008D45CE">
        <w:rPr>
          <w:color w:val="000000" w:themeColor="text1"/>
        </w:rPr>
        <w:t>que</w:t>
      </w:r>
      <w:r w:rsidR="0078707B">
        <w:rPr>
          <w:color w:val="000000" w:themeColor="text1"/>
        </w:rPr>
        <w:t>ls</w:t>
      </w:r>
      <w:r w:rsidRPr="008D45CE">
        <w:rPr>
          <w:color w:val="000000" w:themeColor="text1"/>
        </w:rPr>
        <w:t xml:space="preserve"> le G</w:t>
      </w:r>
      <w:r w:rsidR="00801A35" w:rsidRPr="008D45CE">
        <w:rPr>
          <w:color w:val="000000" w:themeColor="text1"/>
        </w:rPr>
        <w:t>ouverneme</w:t>
      </w:r>
      <w:r w:rsidR="0078707B">
        <w:rPr>
          <w:color w:val="000000" w:themeColor="text1"/>
        </w:rPr>
        <w:t>nt,</w:t>
      </w:r>
      <w:r w:rsidR="00801A35" w:rsidRPr="008D45CE">
        <w:rPr>
          <w:color w:val="000000" w:themeColor="text1"/>
        </w:rPr>
        <w:t xml:space="preserve"> et ses partenaires d</w:t>
      </w:r>
      <w:r w:rsidRPr="008D45CE">
        <w:rPr>
          <w:color w:val="000000" w:themeColor="text1"/>
        </w:rPr>
        <w:t>u secteur de la santé se préoccupent.</w:t>
      </w:r>
      <w:r w:rsidR="00C445D5">
        <w:rPr>
          <w:color w:val="000000" w:themeColor="text1"/>
        </w:rPr>
        <w:t xml:space="preserve"> </w:t>
      </w:r>
    </w:p>
    <w:p w:rsidR="00DD54FD" w:rsidRDefault="00F07AC2" w:rsidP="006B6C7F">
      <w:pPr>
        <w:pStyle w:val="Style2"/>
        <w:rPr>
          <w:color w:val="000000" w:themeColor="text1"/>
        </w:rPr>
      </w:pPr>
      <w:r w:rsidRPr="008D45CE">
        <w:rPr>
          <w:color w:val="000000" w:themeColor="text1"/>
        </w:rPr>
        <w:t xml:space="preserve">La figure </w:t>
      </w:r>
      <w:r w:rsidR="006B6C7F" w:rsidRPr="008D45CE">
        <w:rPr>
          <w:color w:val="000000" w:themeColor="text1"/>
        </w:rPr>
        <w:t>ci-dessous pr</w:t>
      </w:r>
      <w:r w:rsidRPr="008D45CE">
        <w:rPr>
          <w:color w:val="000000" w:themeColor="text1"/>
        </w:rPr>
        <w:t>ésente les dépenses liées à</w:t>
      </w:r>
      <w:r w:rsidR="00E57DD2" w:rsidRPr="008D45CE">
        <w:rPr>
          <w:color w:val="000000" w:themeColor="text1"/>
        </w:rPr>
        <w:t xml:space="preserve"> </w:t>
      </w:r>
      <w:r w:rsidRPr="008D45CE">
        <w:rPr>
          <w:color w:val="000000" w:themeColor="text1"/>
        </w:rPr>
        <w:t xml:space="preserve">la </w:t>
      </w:r>
      <w:r w:rsidR="00E57DD2" w:rsidRPr="008D45CE">
        <w:rPr>
          <w:color w:val="000000" w:themeColor="text1"/>
        </w:rPr>
        <w:t xml:space="preserve">Santé </w:t>
      </w:r>
      <w:r w:rsidRPr="008D45CE">
        <w:rPr>
          <w:color w:val="000000" w:themeColor="text1"/>
        </w:rPr>
        <w:t xml:space="preserve">de la </w:t>
      </w:r>
      <w:r w:rsidR="00E57DD2" w:rsidRPr="008D45CE">
        <w:rPr>
          <w:color w:val="000000" w:themeColor="text1"/>
        </w:rPr>
        <w:t xml:space="preserve">Reproduction </w:t>
      </w:r>
      <w:r w:rsidRPr="008D45CE">
        <w:rPr>
          <w:color w:val="000000" w:themeColor="text1"/>
        </w:rPr>
        <w:t>par source d</w:t>
      </w:r>
      <w:r w:rsidR="00C10218" w:rsidRPr="008D45CE">
        <w:rPr>
          <w:color w:val="000000" w:themeColor="text1"/>
        </w:rPr>
        <w:t>e financement.</w:t>
      </w:r>
    </w:p>
    <w:p w:rsidR="0071492D" w:rsidRDefault="0071492D" w:rsidP="006B6C7F">
      <w:pPr>
        <w:pStyle w:val="Style2"/>
        <w:rPr>
          <w:color w:val="000000" w:themeColor="text1"/>
        </w:rPr>
      </w:pPr>
    </w:p>
    <w:p w:rsidR="00A05A0D" w:rsidRDefault="00A05A0D" w:rsidP="006B6C7F">
      <w:pPr>
        <w:pStyle w:val="Style2"/>
        <w:rPr>
          <w:color w:val="000000" w:themeColor="text1"/>
        </w:rPr>
      </w:pPr>
      <w:r>
        <w:rPr>
          <w:color w:val="000000" w:themeColor="text1"/>
        </w:rPr>
        <w:t xml:space="preserve">Graphique n° 35 : Evolution de la Dépenses Courantes liée à la santé de la reproduction par source de 2011 à 2015. </w:t>
      </w:r>
    </w:p>
    <w:p w:rsidR="0071492D" w:rsidRDefault="0071492D" w:rsidP="006B6C7F">
      <w:pPr>
        <w:pStyle w:val="Style2"/>
        <w:rPr>
          <w:color w:val="000000" w:themeColor="text1"/>
        </w:rPr>
      </w:pPr>
    </w:p>
    <w:p w:rsidR="0071492D" w:rsidRPr="008D45CE" w:rsidRDefault="0071492D" w:rsidP="006B6C7F">
      <w:pPr>
        <w:pStyle w:val="Style2"/>
        <w:rPr>
          <w:color w:val="000000" w:themeColor="text1"/>
        </w:rPr>
      </w:pPr>
      <w:r>
        <w:rPr>
          <w:noProof/>
          <w:color w:val="000000" w:themeColor="text1"/>
          <w:lang w:eastAsia="fr-FR" w:bidi="ar-SA"/>
        </w:rPr>
        <w:drawing>
          <wp:inline distT="0" distB="0" distL="0" distR="0">
            <wp:extent cx="4797431" cy="2599895"/>
            <wp:effectExtent l="19050" t="0" r="3169" b="0"/>
            <wp:docPr id="45"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9" cstate="print"/>
                    <a:srcRect/>
                    <a:stretch>
                      <a:fillRect/>
                    </a:stretch>
                  </pic:blipFill>
                  <pic:spPr bwMode="auto">
                    <a:xfrm>
                      <a:off x="0" y="0"/>
                      <a:ext cx="4799676" cy="2601112"/>
                    </a:xfrm>
                    <a:prstGeom prst="rect">
                      <a:avLst/>
                    </a:prstGeom>
                    <a:noFill/>
                  </pic:spPr>
                </pic:pic>
              </a:graphicData>
            </a:graphic>
          </wp:inline>
        </w:drawing>
      </w:r>
    </w:p>
    <w:p w:rsidR="00B66376" w:rsidRDefault="00B66376" w:rsidP="0033212A">
      <w:pPr>
        <w:pStyle w:val="Style2"/>
        <w:rPr>
          <w:color w:val="000000" w:themeColor="text1"/>
        </w:rPr>
      </w:pPr>
    </w:p>
    <w:p w:rsidR="0071492D" w:rsidRPr="0071492D" w:rsidRDefault="0071492D" w:rsidP="0033212A">
      <w:pPr>
        <w:pStyle w:val="Style2"/>
        <w:rPr>
          <w:color w:val="FF0000"/>
        </w:rPr>
      </w:pPr>
    </w:p>
    <w:p w:rsidR="00DD54FD" w:rsidRDefault="00DD54FD" w:rsidP="00F87F95">
      <w:pPr>
        <w:spacing w:after="200" w:line="20" w:lineRule="atLeast"/>
        <w:rPr>
          <w:bCs/>
          <w:color w:val="000000" w:themeColor="text1"/>
        </w:rPr>
      </w:pPr>
      <w:bookmarkStart w:id="79" w:name="_Toc465262375"/>
      <w:bookmarkStart w:id="80" w:name="_Toc483474626"/>
      <w:r>
        <w:rPr>
          <w:bCs/>
          <w:color w:val="000000" w:themeColor="text1"/>
        </w:rPr>
        <w:t>Les dépenses liées à la santé de la production ont été supportées par cinq sources de financement. L’analyse de ce graphique montre une répartition de ces sources en deux blocs.</w:t>
      </w:r>
    </w:p>
    <w:p w:rsidR="00F87F95" w:rsidRDefault="00DD54FD" w:rsidP="00F87F95">
      <w:pPr>
        <w:spacing w:after="200" w:line="20" w:lineRule="atLeast"/>
        <w:rPr>
          <w:bCs/>
          <w:color w:val="000000" w:themeColor="text1"/>
        </w:rPr>
      </w:pPr>
      <w:r>
        <w:rPr>
          <w:bCs/>
          <w:color w:val="000000" w:themeColor="text1"/>
        </w:rPr>
        <w:t>Le premier bloc constitué des ménages et de l’administration publique ont plus supporté les dépenses liées à la santé de la reproduction. En 2011 et en 2015 les ménages congolais ont supportés plus de 55%</w:t>
      </w:r>
      <w:r w:rsidR="00194D08">
        <w:rPr>
          <w:bCs/>
          <w:color w:val="000000" w:themeColor="text1"/>
        </w:rPr>
        <w:t xml:space="preserve">. Quant au gouvernement, </w:t>
      </w:r>
      <w:r>
        <w:rPr>
          <w:bCs/>
          <w:color w:val="000000" w:themeColor="text1"/>
        </w:rPr>
        <w:t xml:space="preserve"> son apport varie entre </w:t>
      </w:r>
      <w:r w:rsidR="00194D08">
        <w:rPr>
          <w:bCs/>
          <w:color w:val="000000" w:themeColor="text1"/>
        </w:rPr>
        <w:t xml:space="preserve">50 et 60% </w:t>
      </w:r>
      <w:r w:rsidR="00AD76B9">
        <w:rPr>
          <w:bCs/>
          <w:color w:val="000000" w:themeColor="text1"/>
        </w:rPr>
        <w:t>entre 2012</w:t>
      </w:r>
      <w:r w:rsidR="00194D08">
        <w:rPr>
          <w:bCs/>
          <w:color w:val="000000" w:themeColor="text1"/>
        </w:rPr>
        <w:t xml:space="preserve"> et 2014</w:t>
      </w:r>
      <w:r w:rsidR="00AD76B9">
        <w:rPr>
          <w:bCs/>
          <w:color w:val="000000" w:themeColor="text1"/>
        </w:rPr>
        <w:t>. En 2011 les données n’ont pas pu être captées au niveau du trésor public</w:t>
      </w:r>
      <w:r w:rsidR="00194D08">
        <w:rPr>
          <w:bCs/>
          <w:color w:val="000000" w:themeColor="text1"/>
        </w:rPr>
        <w:t>. Outres ces informations, nous constatons que la variation de la courbe des ménages est symétrique à celle du gouvernement.</w:t>
      </w:r>
      <w:r w:rsidR="00AD76B9">
        <w:rPr>
          <w:bCs/>
          <w:color w:val="000000" w:themeColor="text1"/>
        </w:rPr>
        <w:t xml:space="preserve"> </w:t>
      </w:r>
    </w:p>
    <w:p w:rsidR="00AD76B9" w:rsidRDefault="00AD76B9" w:rsidP="00F87F95">
      <w:pPr>
        <w:spacing w:after="200" w:line="20" w:lineRule="atLeast"/>
        <w:rPr>
          <w:bCs/>
          <w:color w:val="000000" w:themeColor="text1"/>
        </w:rPr>
      </w:pPr>
      <w:r>
        <w:rPr>
          <w:bCs/>
          <w:color w:val="000000" w:themeColor="text1"/>
        </w:rPr>
        <w:t xml:space="preserve">Les ONGs nationales, les entreprises et le RDM </w:t>
      </w:r>
      <w:r w:rsidR="00B02105">
        <w:rPr>
          <w:bCs/>
          <w:color w:val="000000" w:themeColor="text1"/>
        </w:rPr>
        <w:t>pour toute la période concernée n’ont financé qu’à hauteur de 6% pour chacun d’eux.</w:t>
      </w:r>
    </w:p>
    <w:p w:rsidR="006B6C7F" w:rsidRPr="00F87F95" w:rsidRDefault="00664B77" w:rsidP="00F87F95">
      <w:pPr>
        <w:spacing w:after="200" w:line="20" w:lineRule="atLeast"/>
        <w:rPr>
          <w:b/>
          <w:color w:val="000000" w:themeColor="text1"/>
          <w:lang w:val="fr-CD"/>
        </w:rPr>
      </w:pPr>
      <w:r w:rsidRPr="00F87F95">
        <w:rPr>
          <w:b/>
          <w:bCs/>
          <w:color w:val="000000" w:themeColor="text1"/>
        </w:rPr>
        <w:t xml:space="preserve">4.4.3. </w:t>
      </w:r>
      <w:r w:rsidRPr="00F87F95">
        <w:rPr>
          <w:b/>
          <w:color w:val="000000" w:themeColor="text1"/>
          <w:lang w:val="fr-CD"/>
        </w:rPr>
        <w:t xml:space="preserve">Santé de la </w:t>
      </w:r>
      <w:r w:rsidR="004E7612" w:rsidRPr="00F87F95">
        <w:rPr>
          <w:b/>
          <w:color w:val="000000" w:themeColor="text1"/>
          <w:lang w:val="fr-CD"/>
        </w:rPr>
        <w:t>Mère, du Nouveau-né</w:t>
      </w:r>
      <w:r w:rsidRPr="00F87F95">
        <w:rPr>
          <w:b/>
          <w:color w:val="000000" w:themeColor="text1"/>
          <w:lang w:val="fr-CD"/>
        </w:rPr>
        <w:t xml:space="preserve">, </w:t>
      </w:r>
      <w:r w:rsidR="004E7612" w:rsidRPr="00F87F95">
        <w:rPr>
          <w:b/>
          <w:color w:val="000000" w:themeColor="text1"/>
          <w:lang w:val="fr-CD"/>
        </w:rPr>
        <w:t xml:space="preserve">de l’Enfant </w:t>
      </w:r>
      <w:bookmarkEnd w:id="79"/>
      <w:bookmarkEnd w:id="80"/>
      <w:r w:rsidR="006E3759" w:rsidRPr="00F87F95">
        <w:rPr>
          <w:b/>
          <w:color w:val="000000" w:themeColor="text1"/>
          <w:lang w:val="fr-CD"/>
        </w:rPr>
        <w:t>(</w:t>
      </w:r>
      <w:r w:rsidR="006E3759" w:rsidRPr="00F87F95">
        <w:rPr>
          <w:b/>
          <w:color w:val="000000" w:themeColor="text1"/>
        </w:rPr>
        <w:t>SRMNE)</w:t>
      </w:r>
      <w:r w:rsidR="001425A7" w:rsidRPr="00F87F95">
        <w:rPr>
          <w:b/>
          <w:color w:val="000000" w:themeColor="text1"/>
          <w:lang w:val="fr-CD"/>
        </w:rPr>
        <w:t xml:space="preserve"> de 2011à 2014</w:t>
      </w:r>
    </w:p>
    <w:p w:rsidR="006B6C7F" w:rsidRDefault="00664B77" w:rsidP="006B6C7F">
      <w:pPr>
        <w:pStyle w:val="Style2"/>
        <w:rPr>
          <w:color w:val="000000" w:themeColor="text1"/>
        </w:rPr>
      </w:pPr>
      <w:r w:rsidRPr="008D45CE">
        <w:rPr>
          <w:color w:val="000000" w:themeColor="text1"/>
        </w:rPr>
        <w:t>L</w:t>
      </w:r>
      <w:r w:rsidR="006B6C7F" w:rsidRPr="008D45CE">
        <w:rPr>
          <w:color w:val="000000" w:themeColor="text1"/>
        </w:rPr>
        <w:t xml:space="preserve">es résultats des comptes de la santé </w:t>
      </w:r>
      <w:r w:rsidR="00366F28">
        <w:rPr>
          <w:color w:val="000000" w:themeColor="text1"/>
        </w:rPr>
        <w:t>2011</w:t>
      </w:r>
      <w:r w:rsidR="001425A7">
        <w:rPr>
          <w:color w:val="000000" w:themeColor="text1"/>
        </w:rPr>
        <w:t xml:space="preserve"> </w:t>
      </w:r>
      <w:r w:rsidR="00366F28">
        <w:rPr>
          <w:color w:val="000000" w:themeColor="text1"/>
        </w:rPr>
        <w:t xml:space="preserve">à </w:t>
      </w:r>
      <w:r w:rsidR="006B6C7F" w:rsidRPr="008D45CE">
        <w:rPr>
          <w:color w:val="000000" w:themeColor="text1"/>
        </w:rPr>
        <w:t>201</w:t>
      </w:r>
      <w:r w:rsidR="006B6C7F" w:rsidRPr="008D45CE">
        <w:rPr>
          <w:color w:val="000000" w:themeColor="text1"/>
          <w:lang w:val="fr-CD"/>
        </w:rPr>
        <w:t>5</w:t>
      </w:r>
      <w:r w:rsidR="006B6C7F" w:rsidRPr="008D45CE">
        <w:rPr>
          <w:color w:val="000000" w:themeColor="text1"/>
        </w:rPr>
        <w:t xml:space="preserve"> dressent l’état actuel de financement de la santé de ces groupes spécifiques.</w:t>
      </w:r>
      <w:r w:rsidR="004E7612" w:rsidRPr="008D45CE">
        <w:rPr>
          <w:color w:val="000000" w:themeColor="text1"/>
        </w:rPr>
        <w:t xml:space="preserve"> </w:t>
      </w:r>
      <w:r w:rsidR="006B6C7F" w:rsidRPr="008D45CE">
        <w:rPr>
          <w:color w:val="000000" w:themeColor="text1"/>
        </w:rPr>
        <w:t xml:space="preserve">Le tableau </w:t>
      </w:r>
      <w:r w:rsidR="004739E5">
        <w:rPr>
          <w:color w:val="000000" w:themeColor="text1"/>
        </w:rPr>
        <w:t xml:space="preserve">standard </w:t>
      </w:r>
      <w:r w:rsidR="006B6C7F" w:rsidRPr="008D45CE">
        <w:rPr>
          <w:color w:val="000000" w:themeColor="text1"/>
        </w:rPr>
        <w:t>ci-dessous</w:t>
      </w:r>
      <w:r w:rsidR="004739E5">
        <w:rPr>
          <w:color w:val="000000" w:themeColor="text1"/>
        </w:rPr>
        <w:t>,</w:t>
      </w:r>
      <w:r w:rsidR="006B6C7F" w:rsidRPr="008D45CE">
        <w:rPr>
          <w:color w:val="000000" w:themeColor="text1"/>
        </w:rPr>
        <w:t xml:space="preserve"> </w:t>
      </w:r>
      <w:r w:rsidR="004739E5">
        <w:rPr>
          <w:color w:val="000000" w:themeColor="text1"/>
        </w:rPr>
        <w:t xml:space="preserve">généré à l’aide de l’outil HAAT 3.0.0.0 converti en dollars USD sur base de GHED </w:t>
      </w:r>
      <w:r w:rsidR="006B6C7F" w:rsidRPr="008D45CE">
        <w:rPr>
          <w:color w:val="000000" w:themeColor="text1"/>
        </w:rPr>
        <w:t>montre l’évolu</w:t>
      </w:r>
      <w:r w:rsidR="006E3759">
        <w:rPr>
          <w:color w:val="000000" w:themeColor="text1"/>
        </w:rPr>
        <w:t>tion du financement de la SRMNE</w:t>
      </w:r>
      <w:r w:rsidR="006B6C7F" w:rsidRPr="008D45CE">
        <w:rPr>
          <w:color w:val="000000" w:themeColor="text1"/>
        </w:rPr>
        <w:t xml:space="preserve"> par source de financement de 201</w:t>
      </w:r>
      <w:r w:rsidR="006B6C7F" w:rsidRPr="008D45CE">
        <w:rPr>
          <w:color w:val="000000" w:themeColor="text1"/>
          <w:lang w:val="fr-CD"/>
        </w:rPr>
        <w:t>1</w:t>
      </w:r>
      <w:r w:rsidR="006B6C7F" w:rsidRPr="008D45CE">
        <w:rPr>
          <w:color w:val="000000" w:themeColor="text1"/>
        </w:rPr>
        <w:t xml:space="preserve"> à 201</w:t>
      </w:r>
      <w:r w:rsidR="001425A7">
        <w:rPr>
          <w:color w:val="000000" w:themeColor="text1"/>
          <w:lang w:val="fr-CD"/>
        </w:rPr>
        <w:t>4</w:t>
      </w:r>
      <w:r w:rsidR="006B6C7F" w:rsidRPr="008D45CE">
        <w:rPr>
          <w:color w:val="000000" w:themeColor="text1"/>
        </w:rPr>
        <w:t>.</w:t>
      </w:r>
    </w:p>
    <w:p w:rsidR="006E3759" w:rsidRDefault="006E3759" w:rsidP="006B6C7F">
      <w:pPr>
        <w:pStyle w:val="Style2"/>
        <w:rPr>
          <w:color w:val="000000" w:themeColor="text1"/>
        </w:rPr>
      </w:pPr>
    </w:p>
    <w:p w:rsidR="00830146" w:rsidRDefault="00830146">
      <w:pPr>
        <w:spacing w:after="200" w:line="20" w:lineRule="atLeast"/>
        <w:rPr>
          <w:color w:val="000000" w:themeColor="text1"/>
        </w:rPr>
      </w:pPr>
      <w:r>
        <w:rPr>
          <w:color w:val="000000" w:themeColor="text1"/>
        </w:rPr>
        <w:br w:type="page"/>
      </w:r>
    </w:p>
    <w:p w:rsidR="006E3759" w:rsidRDefault="003848D8" w:rsidP="006B6C7F">
      <w:pPr>
        <w:pStyle w:val="Style2"/>
        <w:rPr>
          <w:color w:val="000000" w:themeColor="text1"/>
        </w:rPr>
      </w:pPr>
      <w:r>
        <w:rPr>
          <w:color w:val="000000" w:themeColor="text1"/>
        </w:rPr>
        <w:lastRenderedPageBreak/>
        <w:t xml:space="preserve">Tableau n° Indicateurs de la  </w:t>
      </w:r>
      <w:r w:rsidRPr="006E3759">
        <w:rPr>
          <w:color w:val="000000" w:themeColor="text1"/>
        </w:rPr>
        <w:t>Dépense</w:t>
      </w:r>
      <w:r w:rsidR="00830146">
        <w:rPr>
          <w:color w:val="000000" w:themeColor="text1"/>
        </w:rPr>
        <w:t xml:space="preserve"> (en</w:t>
      </w:r>
      <w:r w:rsidR="00B73544">
        <w:rPr>
          <w:color w:val="000000" w:themeColor="text1"/>
        </w:rPr>
        <w:t xml:space="preserve"> </w:t>
      </w:r>
      <w:r w:rsidR="00830146">
        <w:rPr>
          <w:color w:val="000000" w:themeColor="text1"/>
        </w:rPr>
        <w:t>$</w:t>
      </w:r>
      <w:r w:rsidR="00B73544">
        <w:rPr>
          <w:color w:val="000000" w:themeColor="text1"/>
        </w:rPr>
        <w:t xml:space="preserve"> US</w:t>
      </w:r>
      <w:r w:rsidR="00830146">
        <w:rPr>
          <w:color w:val="000000" w:themeColor="text1"/>
        </w:rPr>
        <w:t xml:space="preserve">) </w:t>
      </w:r>
      <w:r w:rsidRPr="006E3759">
        <w:rPr>
          <w:color w:val="000000" w:themeColor="text1"/>
        </w:rPr>
        <w:t xml:space="preserve">courante de </w:t>
      </w:r>
      <w:r w:rsidRPr="006E3759">
        <w:rPr>
          <w:b/>
          <w:bCs/>
          <w:color w:val="000000" w:themeColor="text1"/>
          <w:lang w:val="fr-CD"/>
        </w:rPr>
        <w:t>(</w:t>
      </w:r>
      <w:r w:rsidRPr="006E3759">
        <w:rPr>
          <w:b/>
          <w:bCs/>
          <w:color w:val="000000" w:themeColor="text1"/>
        </w:rPr>
        <w:t>SRMNE) au</w:t>
      </w:r>
      <w:r w:rsidRPr="006E3759">
        <w:rPr>
          <w:color w:val="000000" w:themeColor="text1"/>
        </w:rPr>
        <w:t xml:space="preserve"> Congo</w:t>
      </w:r>
      <w:r w:rsidRPr="006E3759">
        <w:rPr>
          <w:color w:val="000000" w:themeColor="text1"/>
        </w:rPr>
        <w:br/>
        <w:t>par source de financement</w:t>
      </w:r>
      <w:r>
        <w:rPr>
          <w:color w:val="000000" w:themeColor="text1"/>
        </w:rPr>
        <w:t xml:space="preserve"> de 2011 à 2014</w:t>
      </w:r>
    </w:p>
    <w:p w:rsidR="003848D8" w:rsidRDefault="003848D8" w:rsidP="006B6C7F">
      <w:pPr>
        <w:pStyle w:val="Style2"/>
        <w:rPr>
          <w:color w:val="000000" w:themeColor="text1"/>
        </w:rPr>
      </w:pPr>
    </w:p>
    <w:tbl>
      <w:tblPr>
        <w:tblStyle w:val="Grilleclaire-Accent13"/>
        <w:tblW w:w="7607" w:type="dxa"/>
        <w:tblInd w:w="675" w:type="dxa"/>
        <w:shd w:val="clear" w:color="auto" w:fill="FFFFFF" w:themeFill="background1"/>
        <w:tblLook w:val="04A0" w:firstRow="1" w:lastRow="0" w:firstColumn="1" w:lastColumn="0" w:noHBand="0" w:noVBand="1"/>
      </w:tblPr>
      <w:tblGrid>
        <w:gridCol w:w="2552"/>
        <w:gridCol w:w="1344"/>
        <w:gridCol w:w="1160"/>
        <w:gridCol w:w="1276"/>
        <w:gridCol w:w="1275"/>
      </w:tblGrid>
      <w:tr w:rsidR="003848D8" w:rsidRPr="003848D8" w:rsidTr="004739E5">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552" w:type="dxa"/>
            <w:shd w:val="clear" w:color="auto" w:fill="FFFFFF" w:themeFill="background1"/>
            <w:noWrap/>
            <w:hideMark/>
          </w:tcPr>
          <w:p w:rsidR="003848D8" w:rsidRPr="003848D8" w:rsidRDefault="003848D8" w:rsidP="003848D8">
            <w:pPr>
              <w:rPr>
                <w:rFonts w:ascii="Arial" w:hAnsi="Arial" w:cs="Arial"/>
                <w:sz w:val="16"/>
                <w:szCs w:val="16"/>
                <w:lang w:bidi="ar-SA"/>
              </w:rPr>
            </w:pPr>
            <w:r w:rsidRPr="003848D8">
              <w:rPr>
                <w:rFonts w:ascii="Arial" w:hAnsi="Arial" w:cs="Arial"/>
                <w:sz w:val="16"/>
                <w:szCs w:val="16"/>
                <w:lang w:bidi="ar-SA"/>
              </w:rPr>
              <w:t> </w:t>
            </w:r>
          </w:p>
        </w:tc>
        <w:tc>
          <w:tcPr>
            <w:tcW w:w="5055" w:type="dxa"/>
            <w:gridSpan w:val="4"/>
            <w:shd w:val="clear" w:color="auto" w:fill="FFFFFF" w:themeFill="background1"/>
            <w:noWrap/>
            <w:hideMark/>
          </w:tcPr>
          <w:p w:rsidR="003848D8" w:rsidRPr="003848D8" w:rsidRDefault="003848D8" w:rsidP="003848D8">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22"/>
                <w:lang w:bidi="ar-SA"/>
              </w:rPr>
            </w:pPr>
            <w:r w:rsidRPr="003848D8">
              <w:rPr>
                <w:rFonts w:ascii="Arial" w:hAnsi="Arial" w:cs="Arial"/>
                <w:sz w:val="16"/>
                <w:szCs w:val="22"/>
                <w:lang w:bidi="ar-SA"/>
              </w:rPr>
              <w:t>Année</w:t>
            </w:r>
          </w:p>
        </w:tc>
      </w:tr>
      <w:tr w:rsidR="003848D8" w:rsidRPr="003848D8" w:rsidTr="004739E5">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552" w:type="dxa"/>
            <w:shd w:val="clear" w:color="auto" w:fill="FFFFFF" w:themeFill="background1"/>
            <w:noWrap/>
            <w:hideMark/>
          </w:tcPr>
          <w:p w:rsidR="003848D8" w:rsidRPr="003848D8" w:rsidRDefault="003848D8" w:rsidP="003848D8">
            <w:pPr>
              <w:rPr>
                <w:rFonts w:ascii="Arial" w:hAnsi="Arial" w:cs="Arial"/>
                <w:sz w:val="12"/>
                <w:szCs w:val="28"/>
                <w:lang w:bidi="ar-SA"/>
              </w:rPr>
            </w:pPr>
            <w:r w:rsidRPr="003848D8">
              <w:rPr>
                <w:rFonts w:ascii="Arial" w:hAnsi="Arial" w:cs="Arial"/>
                <w:sz w:val="12"/>
                <w:szCs w:val="28"/>
                <w:lang w:bidi="ar-SA"/>
              </w:rPr>
              <w:t>Source de financement</w:t>
            </w:r>
          </w:p>
        </w:tc>
        <w:tc>
          <w:tcPr>
            <w:tcW w:w="1344" w:type="dxa"/>
            <w:shd w:val="clear" w:color="auto" w:fill="FFFFFF" w:themeFill="background1"/>
            <w:noWrap/>
            <w:hideMark/>
          </w:tcPr>
          <w:p w:rsidR="003848D8" w:rsidRPr="003848D8" w:rsidRDefault="003848D8" w:rsidP="003848D8">
            <w:pPr>
              <w:jc w:val="right"/>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bidi="ar-SA"/>
              </w:rPr>
            </w:pPr>
            <w:r w:rsidRPr="003848D8">
              <w:rPr>
                <w:rFonts w:ascii="Arial" w:hAnsi="Arial" w:cs="Arial"/>
                <w:sz w:val="16"/>
                <w:szCs w:val="16"/>
                <w:lang w:bidi="ar-SA"/>
              </w:rPr>
              <w:t>2011</w:t>
            </w:r>
          </w:p>
        </w:tc>
        <w:tc>
          <w:tcPr>
            <w:tcW w:w="1160" w:type="dxa"/>
            <w:shd w:val="clear" w:color="auto" w:fill="FFFFFF" w:themeFill="background1"/>
            <w:noWrap/>
            <w:hideMark/>
          </w:tcPr>
          <w:p w:rsidR="003848D8" w:rsidRPr="003848D8" w:rsidRDefault="003848D8" w:rsidP="003848D8">
            <w:pPr>
              <w:jc w:val="right"/>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bidi="ar-SA"/>
              </w:rPr>
            </w:pPr>
            <w:r w:rsidRPr="003848D8">
              <w:rPr>
                <w:rFonts w:ascii="Arial" w:hAnsi="Arial" w:cs="Arial"/>
                <w:sz w:val="16"/>
                <w:szCs w:val="16"/>
                <w:lang w:bidi="ar-SA"/>
              </w:rPr>
              <w:t>2012</w:t>
            </w:r>
          </w:p>
        </w:tc>
        <w:tc>
          <w:tcPr>
            <w:tcW w:w="1276" w:type="dxa"/>
            <w:shd w:val="clear" w:color="auto" w:fill="FFFFFF" w:themeFill="background1"/>
            <w:noWrap/>
            <w:hideMark/>
          </w:tcPr>
          <w:p w:rsidR="003848D8" w:rsidRPr="003848D8" w:rsidRDefault="003848D8" w:rsidP="003848D8">
            <w:pPr>
              <w:jc w:val="right"/>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bidi="ar-SA"/>
              </w:rPr>
            </w:pPr>
            <w:r w:rsidRPr="003848D8">
              <w:rPr>
                <w:rFonts w:ascii="Arial" w:hAnsi="Arial" w:cs="Arial"/>
                <w:sz w:val="16"/>
                <w:szCs w:val="16"/>
                <w:lang w:bidi="ar-SA"/>
              </w:rPr>
              <w:t>2013</w:t>
            </w:r>
          </w:p>
        </w:tc>
        <w:tc>
          <w:tcPr>
            <w:tcW w:w="1275" w:type="dxa"/>
            <w:shd w:val="clear" w:color="auto" w:fill="FFFFFF" w:themeFill="background1"/>
            <w:noWrap/>
            <w:hideMark/>
          </w:tcPr>
          <w:p w:rsidR="003848D8" w:rsidRPr="003848D8" w:rsidRDefault="003848D8" w:rsidP="003848D8">
            <w:pPr>
              <w:jc w:val="right"/>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bidi="ar-SA"/>
              </w:rPr>
            </w:pPr>
            <w:r w:rsidRPr="003848D8">
              <w:rPr>
                <w:rFonts w:ascii="Arial" w:hAnsi="Arial" w:cs="Arial"/>
                <w:sz w:val="16"/>
                <w:szCs w:val="16"/>
                <w:lang w:bidi="ar-SA"/>
              </w:rPr>
              <w:t>2014</w:t>
            </w:r>
          </w:p>
        </w:tc>
      </w:tr>
      <w:tr w:rsidR="003848D8" w:rsidRPr="003848D8" w:rsidTr="004739E5">
        <w:trPr>
          <w:cnfStyle w:val="000000010000" w:firstRow="0" w:lastRow="0" w:firstColumn="0" w:lastColumn="0" w:oddVBand="0" w:evenVBand="0" w:oddHBand="0" w:evenHBand="1"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2552" w:type="dxa"/>
            <w:shd w:val="clear" w:color="auto" w:fill="FFFFFF" w:themeFill="background1"/>
            <w:hideMark/>
          </w:tcPr>
          <w:p w:rsidR="003848D8" w:rsidRPr="003848D8" w:rsidRDefault="003848D8" w:rsidP="003848D8">
            <w:pPr>
              <w:rPr>
                <w:rFonts w:ascii="Arial Unicode MS" w:eastAsia="Arial Unicode MS" w:hAnsi="Arial Unicode MS" w:cs="Arial Unicode MS"/>
                <w:sz w:val="12"/>
                <w:szCs w:val="18"/>
                <w:lang w:bidi="ar-SA"/>
              </w:rPr>
            </w:pPr>
            <w:r w:rsidRPr="003848D8">
              <w:rPr>
                <w:rFonts w:ascii="Arial Unicode MS" w:eastAsia="Arial Unicode MS" w:hAnsi="Arial Unicode MS" w:cs="Arial Unicode MS" w:hint="eastAsia"/>
                <w:sz w:val="12"/>
                <w:szCs w:val="18"/>
                <w:lang w:bidi="ar-SA"/>
              </w:rPr>
              <w:t>Fonds des administrations publiques</w:t>
            </w:r>
          </w:p>
        </w:tc>
        <w:tc>
          <w:tcPr>
            <w:tcW w:w="1344" w:type="dxa"/>
            <w:shd w:val="clear" w:color="auto" w:fill="FFFFFF" w:themeFill="background1"/>
            <w:noWrap/>
            <w:hideMark/>
          </w:tcPr>
          <w:p w:rsidR="003848D8" w:rsidRPr="003848D8" w:rsidRDefault="003848D8" w:rsidP="003848D8">
            <w:pPr>
              <w:cnfStyle w:val="000000010000" w:firstRow="0" w:lastRow="0" w:firstColumn="0" w:lastColumn="0" w:oddVBand="0" w:evenVBand="0" w:oddHBand="0" w:evenHBand="1" w:firstRowFirstColumn="0" w:firstRowLastColumn="0" w:lastRowFirstColumn="0" w:lastRowLastColumn="0"/>
              <w:rPr>
                <w:rFonts w:ascii="Arial" w:hAnsi="Arial" w:cs="Arial"/>
                <w:sz w:val="12"/>
                <w:szCs w:val="16"/>
                <w:lang w:bidi="ar-SA"/>
              </w:rPr>
            </w:pPr>
            <w:r w:rsidRPr="003848D8">
              <w:rPr>
                <w:rFonts w:ascii="Arial" w:hAnsi="Arial" w:cs="Arial"/>
                <w:sz w:val="12"/>
                <w:szCs w:val="16"/>
                <w:lang w:bidi="ar-SA"/>
              </w:rPr>
              <w:t xml:space="preserve">     1 640 861,09</w:t>
            </w:r>
            <w:r w:rsidR="004739E5">
              <w:rPr>
                <w:rFonts w:ascii="Arial" w:hAnsi="Arial" w:cs="Arial"/>
                <w:sz w:val="12"/>
                <w:szCs w:val="16"/>
                <w:lang w:bidi="ar-SA"/>
              </w:rPr>
              <w:t>**</w:t>
            </w:r>
            <w:r w:rsidRPr="003848D8">
              <w:rPr>
                <w:rFonts w:ascii="Arial" w:hAnsi="Arial" w:cs="Arial"/>
                <w:sz w:val="12"/>
                <w:szCs w:val="16"/>
                <w:lang w:bidi="ar-SA"/>
              </w:rPr>
              <w:t xml:space="preserve">   </w:t>
            </w:r>
          </w:p>
        </w:tc>
        <w:tc>
          <w:tcPr>
            <w:tcW w:w="1160" w:type="dxa"/>
            <w:shd w:val="clear" w:color="auto" w:fill="FFFFFF" w:themeFill="background1"/>
            <w:noWrap/>
            <w:hideMark/>
          </w:tcPr>
          <w:p w:rsidR="003848D8" w:rsidRPr="003848D8" w:rsidRDefault="003848D8" w:rsidP="003848D8">
            <w:pPr>
              <w:cnfStyle w:val="000000010000" w:firstRow="0" w:lastRow="0" w:firstColumn="0" w:lastColumn="0" w:oddVBand="0" w:evenVBand="0" w:oddHBand="0" w:evenHBand="1" w:firstRowFirstColumn="0" w:firstRowLastColumn="0" w:lastRowFirstColumn="0" w:lastRowLastColumn="0"/>
              <w:rPr>
                <w:rFonts w:ascii="Arial" w:hAnsi="Arial" w:cs="Arial"/>
                <w:sz w:val="12"/>
                <w:szCs w:val="16"/>
                <w:lang w:bidi="ar-SA"/>
              </w:rPr>
            </w:pPr>
            <w:r w:rsidRPr="003848D8">
              <w:rPr>
                <w:rFonts w:ascii="Arial" w:hAnsi="Arial" w:cs="Arial"/>
                <w:sz w:val="12"/>
                <w:szCs w:val="16"/>
                <w:lang w:bidi="ar-SA"/>
              </w:rPr>
              <w:t xml:space="preserve">     37 940 453,31   </w:t>
            </w:r>
          </w:p>
        </w:tc>
        <w:tc>
          <w:tcPr>
            <w:tcW w:w="1276" w:type="dxa"/>
            <w:shd w:val="clear" w:color="auto" w:fill="FFFFFF" w:themeFill="background1"/>
            <w:noWrap/>
            <w:hideMark/>
          </w:tcPr>
          <w:p w:rsidR="003848D8" w:rsidRPr="003848D8" w:rsidRDefault="003848D8" w:rsidP="003848D8">
            <w:pPr>
              <w:cnfStyle w:val="000000010000" w:firstRow="0" w:lastRow="0" w:firstColumn="0" w:lastColumn="0" w:oddVBand="0" w:evenVBand="0" w:oddHBand="0" w:evenHBand="1" w:firstRowFirstColumn="0" w:firstRowLastColumn="0" w:lastRowFirstColumn="0" w:lastRowLastColumn="0"/>
              <w:rPr>
                <w:rFonts w:ascii="Arial" w:hAnsi="Arial" w:cs="Arial"/>
                <w:sz w:val="12"/>
                <w:szCs w:val="16"/>
                <w:lang w:bidi="ar-SA"/>
              </w:rPr>
            </w:pPr>
            <w:r w:rsidRPr="003848D8">
              <w:rPr>
                <w:rFonts w:ascii="Arial" w:hAnsi="Arial" w:cs="Arial"/>
                <w:sz w:val="12"/>
                <w:szCs w:val="16"/>
                <w:lang w:bidi="ar-SA"/>
              </w:rPr>
              <w:t xml:space="preserve">     57 335 546,80   </w:t>
            </w:r>
          </w:p>
        </w:tc>
        <w:tc>
          <w:tcPr>
            <w:tcW w:w="1275" w:type="dxa"/>
            <w:shd w:val="clear" w:color="auto" w:fill="FFFFFF" w:themeFill="background1"/>
            <w:noWrap/>
            <w:hideMark/>
          </w:tcPr>
          <w:p w:rsidR="003848D8" w:rsidRPr="003848D8" w:rsidRDefault="003848D8" w:rsidP="003848D8">
            <w:pPr>
              <w:cnfStyle w:val="000000010000" w:firstRow="0" w:lastRow="0" w:firstColumn="0" w:lastColumn="0" w:oddVBand="0" w:evenVBand="0" w:oddHBand="0" w:evenHBand="1" w:firstRowFirstColumn="0" w:firstRowLastColumn="0" w:lastRowFirstColumn="0" w:lastRowLastColumn="0"/>
              <w:rPr>
                <w:rFonts w:ascii="Arial" w:hAnsi="Arial" w:cs="Arial"/>
                <w:sz w:val="12"/>
                <w:szCs w:val="16"/>
                <w:lang w:bidi="ar-SA"/>
              </w:rPr>
            </w:pPr>
            <w:r w:rsidRPr="003848D8">
              <w:rPr>
                <w:rFonts w:ascii="Arial" w:hAnsi="Arial" w:cs="Arial"/>
                <w:sz w:val="12"/>
                <w:szCs w:val="16"/>
                <w:lang w:bidi="ar-SA"/>
              </w:rPr>
              <w:t xml:space="preserve">     65 998 124,22   </w:t>
            </w:r>
          </w:p>
        </w:tc>
      </w:tr>
      <w:tr w:rsidR="003848D8" w:rsidRPr="003848D8" w:rsidTr="004739E5">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2552" w:type="dxa"/>
            <w:shd w:val="clear" w:color="auto" w:fill="FFFFFF" w:themeFill="background1"/>
            <w:hideMark/>
          </w:tcPr>
          <w:p w:rsidR="003848D8" w:rsidRPr="003848D8" w:rsidRDefault="003848D8" w:rsidP="003848D8">
            <w:pPr>
              <w:rPr>
                <w:rFonts w:ascii="Arial Unicode MS" w:eastAsia="Arial Unicode MS" w:hAnsi="Arial Unicode MS" w:cs="Arial Unicode MS"/>
                <w:sz w:val="12"/>
                <w:szCs w:val="18"/>
                <w:lang w:bidi="ar-SA"/>
              </w:rPr>
            </w:pPr>
            <w:r w:rsidRPr="003848D8">
              <w:rPr>
                <w:rFonts w:ascii="Arial Unicode MS" w:eastAsia="Arial Unicode MS" w:hAnsi="Arial Unicode MS" w:cs="Arial Unicode MS" w:hint="eastAsia"/>
                <w:sz w:val="12"/>
                <w:szCs w:val="18"/>
                <w:lang w:bidi="ar-SA"/>
              </w:rPr>
              <w:t>Fonds externes</w:t>
            </w:r>
          </w:p>
        </w:tc>
        <w:tc>
          <w:tcPr>
            <w:tcW w:w="1344" w:type="dxa"/>
            <w:shd w:val="clear" w:color="auto" w:fill="FFFFFF" w:themeFill="background1"/>
            <w:noWrap/>
            <w:hideMark/>
          </w:tcPr>
          <w:p w:rsidR="003848D8" w:rsidRPr="003848D8" w:rsidRDefault="003848D8" w:rsidP="003848D8">
            <w:pPr>
              <w:cnfStyle w:val="000000100000" w:firstRow="0" w:lastRow="0" w:firstColumn="0" w:lastColumn="0" w:oddVBand="0" w:evenVBand="0" w:oddHBand="1" w:evenHBand="0" w:firstRowFirstColumn="0" w:firstRowLastColumn="0" w:lastRowFirstColumn="0" w:lastRowLastColumn="0"/>
              <w:rPr>
                <w:rFonts w:ascii="Arial" w:hAnsi="Arial" w:cs="Arial"/>
                <w:sz w:val="12"/>
                <w:szCs w:val="16"/>
                <w:lang w:bidi="ar-SA"/>
              </w:rPr>
            </w:pPr>
            <w:r w:rsidRPr="003848D8">
              <w:rPr>
                <w:rFonts w:ascii="Arial" w:hAnsi="Arial" w:cs="Arial"/>
                <w:sz w:val="12"/>
                <w:szCs w:val="16"/>
                <w:lang w:bidi="ar-SA"/>
              </w:rPr>
              <w:t xml:space="preserve">   10 679 344,28   </w:t>
            </w:r>
          </w:p>
        </w:tc>
        <w:tc>
          <w:tcPr>
            <w:tcW w:w="1160" w:type="dxa"/>
            <w:shd w:val="clear" w:color="auto" w:fill="FFFFFF" w:themeFill="background1"/>
            <w:noWrap/>
            <w:hideMark/>
          </w:tcPr>
          <w:p w:rsidR="003848D8" w:rsidRPr="003848D8" w:rsidRDefault="003848D8" w:rsidP="003848D8">
            <w:pPr>
              <w:cnfStyle w:val="000000100000" w:firstRow="0" w:lastRow="0" w:firstColumn="0" w:lastColumn="0" w:oddVBand="0" w:evenVBand="0" w:oddHBand="1" w:evenHBand="0" w:firstRowFirstColumn="0" w:firstRowLastColumn="0" w:lastRowFirstColumn="0" w:lastRowLastColumn="0"/>
              <w:rPr>
                <w:rFonts w:ascii="Arial" w:hAnsi="Arial" w:cs="Arial"/>
                <w:sz w:val="12"/>
                <w:szCs w:val="16"/>
                <w:lang w:bidi="ar-SA"/>
              </w:rPr>
            </w:pPr>
            <w:r w:rsidRPr="003848D8">
              <w:rPr>
                <w:rFonts w:ascii="Arial" w:hAnsi="Arial" w:cs="Arial"/>
                <w:sz w:val="12"/>
                <w:szCs w:val="16"/>
                <w:lang w:bidi="ar-SA"/>
              </w:rPr>
              <w:t xml:space="preserve">     11 262 157,14   </w:t>
            </w:r>
          </w:p>
        </w:tc>
        <w:tc>
          <w:tcPr>
            <w:tcW w:w="1276" w:type="dxa"/>
            <w:shd w:val="clear" w:color="auto" w:fill="FFFFFF" w:themeFill="background1"/>
            <w:noWrap/>
            <w:hideMark/>
          </w:tcPr>
          <w:p w:rsidR="003848D8" w:rsidRPr="003848D8" w:rsidRDefault="003848D8" w:rsidP="003848D8">
            <w:pPr>
              <w:cnfStyle w:val="000000100000" w:firstRow="0" w:lastRow="0" w:firstColumn="0" w:lastColumn="0" w:oddVBand="0" w:evenVBand="0" w:oddHBand="1" w:evenHBand="0" w:firstRowFirstColumn="0" w:firstRowLastColumn="0" w:lastRowFirstColumn="0" w:lastRowLastColumn="0"/>
              <w:rPr>
                <w:rFonts w:ascii="Arial" w:hAnsi="Arial" w:cs="Arial"/>
                <w:sz w:val="12"/>
                <w:szCs w:val="16"/>
                <w:lang w:bidi="ar-SA"/>
              </w:rPr>
            </w:pPr>
            <w:r w:rsidRPr="003848D8">
              <w:rPr>
                <w:rFonts w:ascii="Arial" w:hAnsi="Arial" w:cs="Arial"/>
                <w:sz w:val="12"/>
                <w:szCs w:val="16"/>
                <w:lang w:bidi="ar-SA"/>
              </w:rPr>
              <w:t xml:space="preserve">     12 730 858,30   </w:t>
            </w:r>
          </w:p>
        </w:tc>
        <w:tc>
          <w:tcPr>
            <w:tcW w:w="1275" w:type="dxa"/>
            <w:shd w:val="clear" w:color="auto" w:fill="FFFFFF" w:themeFill="background1"/>
            <w:noWrap/>
            <w:hideMark/>
          </w:tcPr>
          <w:p w:rsidR="003848D8" w:rsidRPr="003848D8" w:rsidRDefault="003848D8" w:rsidP="003848D8">
            <w:pPr>
              <w:cnfStyle w:val="000000100000" w:firstRow="0" w:lastRow="0" w:firstColumn="0" w:lastColumn="0" w:oddVBand="0" w:evenVBand="0" w:oddHBand="1" w:evenHBand="0" w:firstRowFirstColumn="0" w:firstRowLastColumn="0" w:lastRowFirstColumn="0" w:lastRowLastColumn="0"/>
              <w:rPr>
                <w:rFonts w:ascii="Arial" w:hAnsi="Arial" w:cs="Arial"/>
                <w:sz w:val="12"/>
                <w:szCs w:val="16"/>
                <w:lang w:bidi="ar-SA"/>
              </w:rPr>
            </w:pPr>
            <w:r w:rsidRPr="003848D8">
              <w:rPr>
                <w:rFonts w:ascii="Arial" w:hAnsi="Arial" w:cs="Arial"/>
                <w:sz w:val="12"/>
                <w:szCs w:val="16"/>
                <w:lang w:bidi="ar-SA"/>
              </w:rPr>
              <w:t xml:space="preserve">     10 749 786,31   </w:t>
            </w:r>
          </w:p>
        </w:tc>
      </w:tr>
      <w:tr w:rsidR="003848D8" w:rsidRPr="003848D8" w:rsidTr="004739E5">
        <w:trPr>
          <w:cnfStyle w:val="000000010000" w:firstRow="0" w:lastRow="0" w:firstColumn="0" w:lastColumn="0" w:oddVBand="0" w:evenVBand="0" w:oddHBand="0" w:evenHBand="1"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2552" w:type="dxa"/>
            <w:shd w:val="clear" w:color="auto" w:fill="FFFFFF" w:themeFill="background1"/>
            <w:hideMark/>
          </w:tcPr>
          <w:p w:rsidR="003848D8" w:rsidRPr="003848D8" w:rsidRDefault="003848D8" w:rsidP="003848D8">
            <w:pPr>
              <w:rPr>
                <w:rFonts w:ascii="Arial Unicode MS" w:eastAsia="Arial Unicode MS" w:hAnsi="Arial Unicode MS" w:cs="Arial Unicode MS"/>
                <w:sz w:val="12"/>
                <w:szCs w:val="18"/>
                <w:lang w:bidi="ar-SA"/>
              </w:rPr>
            </w:pPr>
            <w:r w:rsidRPr="003848D8">
              <w:rPr>
                <w:rFonts w:ascii="Arial Unicode MS" w:eastAsia="Arial Unicode MS" w:hAnsi="Arial Unicode MS" w:cs="Arial Unicode MS" w:hint="eastAsia"/>
                <w:sz w:val="12"/>
                <w:szCs w:val="18"/>
                <w:lang w:bidi="ar-SA"/>
              </w:rPr>
              <w:t>Fonds privés</w:t>
            </w:r>
          </w:p>
        </w:tc>
        <w:tc>
          <w:tcPr>
            <w:tcW w:w="1344" w:type="dxa"/>
            <w:shd w:val="clear" w:color="auto" w:fill="FFFFFF" w:themeFill="background1"/>
            <w:noWrap/>
            <w:hideMark/>
          </w:tcPr>
          <w:p w:rsidR="003848D8" w:rsidRPr="003848D8" w:rsidRDefault="003848D8" w:rsidP="003848D8">
            <w:pPr>
              <w:cnfStyle w:val="000000010000" w:firstRow="0" w:lastRow="0" w:firstColumn="0" w:lastColumn="0" w:oddVBand="0" w:evenVBand="0" w:oddHBand="0" w:evenHBand="1" w:firstRowFirstColumn="0" w:firstRowLastColumn="0" w:lastRowFirstColumn="0" w:lastRowLastColumn="0"/>
              <w:rPr>
                <w:rFonts w:ascii="Arial" w:hAnsi="Arial" w:cs="Arial"/>
                <w:sz w:val="12"/>
                <w:szCs w:val="16"/>
                <w:lang w:bidi="ar-SA"/>
              </w:rPr>
            </w:pPr>
            <w:r w:rsidRPr="003848D8">
              <w:rPr>
                <w:rFonts w:ascii="Arial" w:hAnsi="Arial" w:cs="Arial"/>
                <w:sz w:val="12"/>
                <w:szCs w:val="16"/>
                <w:lang w:bidi="ar-SA"/>
              </w:rPr>
              <w:t xml:space="preserve">   35 195 143,84   </w:t>
            </w:r>
          </w:p>
        </w:tc>
        <w:tc>
          <w:tcPr>
            <w:tcW w:w="1160" w:type="dxa"/>
            <w:shd w:val="clear" w:color="auto" w:fill="FFFFFF" w:themeFill="background1"/>
            <w:noWrap/>
            <w:hideMark/>
          </w:tcPr>
          <w:p w:rsidR="003848D8" w:rsidRPr="003848D8" w:rsidRDefault="003848D8" w:rsidP="003848D8">
            <w:pPr>
              <w:cnfStyle w:val="000000010000" w:firstRow="0" w:lastRow="0" w:firstColumn="0" w:lastColumn="0" w:oddVBand="0" w:evenVBand="0" w:oddHBand="0" w:evenHBand="1" w:firstRowFirstColumn="0" w:firstRowLastColumn="0" w:lastRowFirstColumn="0" w:lastRowLastColumn="0"/>
              <w:rPr>
                <w:rFonts w:ascii="Arial" w:hAnsi="Arial" w:cs="Arial"/>
                <w:sz w:val="12"/>
                <w:szCs w:val="16"/>
                <w:lang w:bidi="ar-SA"/>
              </w:rPr>
            </w:pPr>
            <w:r w:rsidRPr="003848D8">
              <w:rPr>
                <w:rFonts w:ascii="Arial" w:hAnsi="Arial" w:cs="Arial"/>
                <w:sz w:val="12"/>
                <w:szCs w:val="16"/>
                <w:lang w:bidi="ar-SA"/>
              </w:rPr>
              <w:t xml:space="preserve">     37 127 295,95   </w:t>
            </w:r>
          </w:p>
        </w:tc>
        <w:tc>
          <w:tcPr>
            <w:tcW w:w="1276" w:type="dxa"/>
            <w:shd w:val="clear" w:color="auto" w:fill="FFFFFF" w:themeFill="background1"/>
            <w:noWrap/>
            <w:hideMark/>
          </w:tcPr>
          <w:p w:rsidR="003848D8" w:rsidRPr="003848D8" w:rsidRDefault="003848D8" w:rsidP="003848D8">
            <w:pPr>
              <w:cnfStyle w:val="000000010000" w:firstRow="0" w:lastRow="0" w:firstColumn="0" w:lastColumn="0" w:oddVBand="0" w:evenVBand="0" w:oddHBand="0" w:evenHBand="1" w:firstRowFirstColumn="0" w:firstRowLastColumn="0" w:lastRowFirstColumn="0" w:lastRowLastColumn="0"/>
              <w:rPr>
                <w:rFonts w:ascii="Arial" w:hAnsi="Arial" w:cs="Arial"/>
                <w:sz w:val="12"/>
                <w:szCs w:val="16"/>
                <w:lang w:bidi="ar-SA"/>
              </w:rPr>
            </w:pPr>
            <w:r w:rsidRPr="003848D8">
              <w:rPr>
                <w:rFonts w:ascii="Arial" w:hAnsi="Arial" w:cs="Arial"/>
                <w:sz w:val="12"/>
                <w:szCs w:val="16"/>
                <w:lang w:bidi="ar-SA"/>
              </w:rPr>
              <w:t xml:space="preserve">     39 994 806,97   </w:t>
            </w:r>
          </w:p>
        </w:tc>
        <w:tc>
          <w:tcPr>
            <w:tcW w:w="1275" w:type="dxa"/>
            <w:shd w:val="clear" w:color="auto" w:fill="FFFFFF" w:themeFill="background1"/>
            <w:noWrap/>
            <w:hideMark/>
          </w:tcPr>
          <w:p w:rsidR="003848D8" w:rsidRPr="003848D8" w:rsidRDefault="003848D8" w:rsidP="003848D8">
            <w:pPr>
              <w:cnfStyle w:val="000000010000" w:firstRow="0" w:lastRow="0" w:firstColumn="0" w:lastColumn="0" w:oddVBand="0" w:evenVBand="0" w:oddHBand="0" w:evenHBand="1" w:firstRowFirstColumn="0" w:firstRowLastColumn="0" w:lastRowFirstColumn="0" w:lastRowLastColumn="0"/>
              <w:rPr>
                <w:rFonts w:ascii="Arial" w:hAnsi="Arial" w:cs="Arial"/>
                <w:sz w:val="12"/>
                <w:szCs w:val="16"/>
                <w:lang w:bidi="ar-SA"/>
              </w:rPr>
            </w:pPr>
            <w:r w:rsidRPr="003848D8">
              <w:rPr>
                <w:rFonts w:ascii="Arial" w:hAnsi="Arial" w:cs="Arial"/>
                <w:sz w:val="12"/>
                <w:szCs w:val="16"/>
                <w:lang w:bidi="ar-SA"/>
              </w:rPr>
              <w:t xml:space="preserve">     44 886 433,96   </w:t>
            </w:r>
          </w:p>
        </w:tc>
      </w:tr>
      <w:tr w:rsidR="003848D8" w:rsidRPr="003848D8" w:rsidTr="004739E5">
        <w:trPr>
          <w:cnfStyle w:val="000000100000" w:firstRow="0" w:lastRow="0" w:firstColumn="0" w:lastColumn="0" w:oddVBand="0" w:evenVBand="0" w:oddHBand="1"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552" w:type="dxa"/>
            <w:shd w:val="clear" w:color="auto" w:fill="FFFFFF" w:themeFill="background1"/>
            <w:hideMark/>
          </w:tcPr>
          <w:p w:rsidR="003848D8" w:rsidRPr="003848D8" w:rsidRDefault="003848D8" w:rsidP="003848D8">
            <w:pPr>
              <w:rPr>
                <w:rFonts w:ascii="Arial Unicode MS" w:eastAsia="Arial Unicode MS" w:hAnsi="Arial Unicode MS" w:cs="Arial Unicode MS"/>
                <w:sz w:val="12"/>
                <w:szCs w:val="18"/>
                <w:lang w:bidi="ar-SA"/>
              </w:rPr>
            </w:pPr>
            <w:r w:rsidRPr="003848D8">
              <w:rPr>
                <w:rFonts w:ascii="Arial Unicode MS" w:eastAsia="Arial Unicode MS" w:hAnsi="Arial Unicode MS" w:cs="Arial Unicode MS"/>
                <w:sz w:val="12"/>
                <w:szCs w:val="18"/>
                <w:lang w:bidi="ar-SA"/>
              </w:rPr>
              <w:t>Dépense</w:t>
            </w:r>
            <w:r w:rsidRPr="003848D8">
              <w:rPr>
                <w:rFonts w:ascii="Arial Unicode MS" w:eastAsia="Arial Unicode MS" w:hAnsi="Arial Unicode MS" w:cs="Arial Unicode MS" w:hint="eastAsia"/>
                <w:sz w:val="12"/>
                <w:szCs w:val="18"/>
                <w:lang w:bidi="ar-SA"/>
              </w:rPr>
              <w:t xml:space="preserve"> Courante totale en SRMNE</w:t>
            </w:r>
          </w:p>
        </w:tc>
        <w:tc>
          <w:tcPr>
            <w:tcW w:w="1344" w:type="dxa"/>
            <w:shd w:val="clear" w:color="auto" w:fill="FFFFFF" w:themeFill="background1"/>
            <w:noWrap/>
            <w:hideMark/>
          </w:tcPr>
          <w:p w:rsidR="003848D8" w:rsidRPr="003848D8" w:rsidRDefault="003848D8" w:rsidP="003848D8">
            <w:pPr>
              <w:cnfStyle w:val="000000100000" w:firstRow="0" w:lastRow="0" w:firstColumn="0" w:lastColumn="0" w:oddVBand="0" w:evenVBand="0" w:oddHBand="1" w:evenHBand="0" w:firstRowFirstColumn="0" w:firstRowLastColumn="0" w:lastRowFirstColumn="0" w:lastRowLastColumn="0"/>
              <w:rPr>
                <w:rFonts w:ascii="Arial" w:hAnsi="Arial" w:cs="Arial"/>
                <w:sz w:val="12"/>
                <w:szCs w:val="16"/>
                <w:lang w:bidi="ar-SA"/>
              </w:rPr>
            </w:pPr>
            <w:r w:rsidRPr="003848D8">
              <w:rPr>
                <w:rFonts w:ascii="Arial" w:hAnsi="Arial" w:cs="Arial"/>
                <w:sz w:val="12"/>
                <w:szCs w:val="16"/>
                <w:lang w:bidi="ar-SA"/>
              </w:rPr>
              <w:t xml:space="preserve">   47 515 349,21   </w:t>
            </w:r>
          </w:p>
        </w:tc>
        <w:tc>
          <w:tcPr>
            <w:tcW w:w="1160" w:type="dxa"/>
            <w:shd w:val="clear" w:color="auto" w:fill="FFFFFF" w:themeFill="background1"/>
            <w:noWrap/>
            <w:hideMark/>
          </w:tcPr>
          <w:p w:rsidR="003848D8" w:rsidRPr="003848D8" w:rsidRDefault="003848D8" w:rsidP="003848D8">
            <w:pPr>
              <w:cnfStyle w:val="000000100000" w:firstRow="0" w:lastRow="0" w:firstColumn="0" w:lastColumn="0" w:oddVBand="0" w:evenVBand="0" w:oddHBand="1" w:evenHBand="0" w:firstRowFirstColumn="0" w:firstRowLastColumn="0" w:lastRowFirstColumn="0" w:lastRowLastColumn="0"/>
              <w:rPr>
                <w:rFonts w:ascii="Arial" w:hAnsi="Arial" w:cs="Arial"/>
                <w:sz w:val="12"/>
                <w:szCs w:val="16"/>
                <w:lang w:bidi="ar-SA"/>
              </w:rPr>
            </w:pPr>
            <w:r w:rsidRPr="003848D8">
              <w:rPr>
                <w:rFonts w:ascii="Arial" w:hAnsi="Arial" w:cs="Arial"/>
                <w:sz w:val="12"/>
                <w:szCs w:val="16"/>
                <w:lang w:bidi="ar-SA"/>
              </w:rPr>
              <w:t xml:space="preserve">     86 329 906,39   </w:t>
            </w:r>
          </w:p>
        </w:tc>
        <w:tc>
          <w:tcPr>
            <w:tcW w:w="1276" w:type="dxa"/>
            <w:shd w:val="clear" w:color="auto" w:fill="FFFFFF" w:themeFill="background1"/>
            <w:noWrap/>
            <w:hideMark/>
          </w:tcPr>
          <w:p w:rsidR="003848D8" w:rsidRPr="003848D8" w:rsidRDefault="003848D8" w:rsidP="003848D8">
            <w:pPr>
              <w:cnfStyle w:val="000000100000" w:firstRow="0" w:lastRow="0" w:firstColumn="0" w:lastColumn="0" w:oddVBand="0" w:evenVBand="0" w:oddHBand="1" w:evenHBand="0" w:firstRowFirstColumn="0" w:firstRowLastColumn="0" w:lastRowFirstColumn="0" w:lastRowLastColumn="0"/>
              <w:rPr>
                <w:rFonts w:ascii="Arial" w:hAnsi="Arial" w:cs="Arial"/>
                <w:sz w:val="12"/>
                <w:szCs w:val="16"/>
                <w:lang w:bidi="ar-SA"/>
              </w:rPr>
            </w:pPr>
            <w:r w:rsidRPr="003848D8">
              <w:rPr>
                <w:rFonts w:ascii="Arial" w:hAnsi="Arial" w:cs="Arial"/>
                <w:sz w:val="12"/>
                <w:szCs w:val="16"/>
                <w:lang w:bidi="ar-SA"/>
              </w:rPr>
              <w:t xml:space="preserve">   110 061 212,08   </w:t>
            </w:r>
          </w:p>
        </w:tc>
        <w:tc>
          <w:tcPr>
            <w:tcW w:w="1275" w:type="dxa"/>
            <w:shd w:val="clear" w:color="auto" w:fill="FFFFFF" w:themeFill="background1"/>
            <w:noWrap/>
            <w:hideMark/>
          </w:tcPr>
          <w:p w:rsidR="003848D8" w:rsidRPr="003848D8" w:rsidRDefault="003848D8" w:rsidP="003848D8">
            <w:pPr>
              <w:cnfStyle w:val="000000100000" w:firstRow="0" w:lastRow="0" w:firstColumn="0" w:lastColumn="0" w:oddVBand="0" w:evenVBand="0" w:oddHBand="1" w:evenHBand="0" w:firstRowFirstColumn="0" w:firstRowLastColumn="0" w:lastRowFirstColumn="0" w:lastRowLastColumn="0"/>
              <w:rPr>
                <w:rFonts w:ascii="Arial" w:hAnsi="Arial" w:cs="Arial"/>
                <w:sz w:val="12"/>
                <w:szCs w:val="16"/>
                <w:lang w:bidi="ar-SA"/>
              </w:rPr>
            </w:pPr>
            <w:r w:rsidRPr="003848D8">
              <w:rPr>
                <w:rFonts w:ascii="Arial" w:hAnsi="Arial" w:cs="Arial"/>
                <w:sz w:val="12"/>
                <w:szCs w:val="16"/>
                <w:lang w:bidi="ar-SA"/>
              </w:rPr>
              <w:t xml:space="preserve">   121 634 344,49   </w:t>
            </w:r>
          </w:p>
        </w:tc>
      </w:tr>
      <w:tr w:rsidR="003848D8" w:rsidRPr="003848D8" w:rsidTr="004739E5">
        <w:trPr>
          <w:cnfStyle w:val="000000010000" w:firstRow="0" w:lastRow="0" w:firstColumn="0" w:lastColumn="0" w:oddVBand="0" w:evenVBand="0" w:oddHBand="0" w:evenHBand="1" w:firstRowFirstColumn="0" w:firstRowLastColumn="0" w:lastRowFirstColumn="0" w:lastRowLastColumn="0"/>
          <w:trHeight w:val="427"/>
        </w:trPr>
        <w:tc>
          <w:tcPr>
            <w:cnfStyle w:val="001000000000" w:firstRow="0" w:lastRow="0" w:firstColumn="1" w:lastColumn="0" w:oddVBand="0" w:evenVBand="0" w:oddHBand="0" w:evenHBand="0" w:firstRowFirstColumn="0" w:firstRowLastColumn="0" w:lastRowFirstColumn="0" w:lastRowLastColumn="0"/>
            <w:tcW w:w="2552" w:type="dxa"/>
            <w:shd w:val="clear" w:color="auto" w:fill="FFFFFF" w:themeFill="background1"/>
            <w:hideMark/>
          </w:tcPr>
          <w:p w:rsidR="003848D8" w:rsidRPr="003848D8" w:rsidRDefault="003848D8" w:rsidP="003848D8">
            <w:pPr>
              <w:rPr>
                <w:rFonts w:ascii="Arial Unicode MS" w:eastAsia="Arial Unicode MS" w:hAnsi="Arial Unicode MS" w:cs="Arial Unicode MS"/>
                <w:sz w:val="12"/>
                <w:szCs w:val="18"/>
                <w:lang w:bidi="ar-SA"/>
              </w:rPr>
            </w:pPr>
            <w:r w:rsidRPr="003848D8">
              <w:rPr>
                <w:rFonts w:ascii="Arial Unicode MS" w:eastAsia="Arial Unicode MS" w:hAnsi="Arial Unicode MS" w:cs="Arial Unicode MS"/>
                <w:sz w:val="12"/>
                <w:szCs w:val="18"/>
                <w:lang w:bidi="ar-SA"/>
              </w:rPr>
              <w:t>Dépense</w:t>
            </w:r>
            <w:r w:rsidRPr="003848D8">
              <w:rPr>
                <w:rFonts w:ascii="Arial Unicode MS" w:eastAsia="Arial Unicode MS" w:hAnsi="Arial Unicode MS" w:cs="Arial Unicode MS" w:hint="eastAsia"/>
                <w:sz w:val="12"/>
                <w:szCs w:val="18"/>
                <w:lang w:bidi="ar-SA"/>
              </w:rPr>
              <w:t xml:space="preserve"> Courante  en SRMNE</w:t>
            </w:r>
            <w:r w:rsidR="00E850B7">
              <w:rPr>
                <w:rFonts w:ascii="Arial Unicode MS" w:eastAsia="Arial Unicode MS" w:hAnsi="Arial Unicode MS" w:cs="Arial Unicode MS"/>
                <w:sz w:val="12"/>
                <w:szCs w:val="18"/>
                <w:lang w:bidi="ar-SA"/>
              </w:rPr>
              <w:t xml:space="preserve">  par rapport à la </w:t>
            </w:r>
            <w:r w:rsidRPr="003848D8">
              <w:rPr>
                <w:rFonts w:ascii="Arial Unicode MS" w:eastAsia="Arial Unicode MS" w:hAnsi="Arial Unicode MS" w:cs="Arial Unicode MS" w:hint="eastAsia"/>
                <w:sz w:val="12"/>
                <w:szCs w:val="18"/>
                <w:lang w:bidi="ar-SA"/>
              </w:rPr>
              <w:t xml:space="preserve"> </w:t>
            </w:r>
            <w:r>
              <w:rPr>
                <w:rFonts w:ascii="Arial Unicode MS" w:eastAsia="Arial Unicode MS" w:hAnsi="Arial Unicode MS" w:cs="Arial Unicode MS"/>
                <w:sz w:val="12"/>
                <w:szCs w:val="18"/>
                <w:lang w:bidi="ar-SA"/>
              </w:rPr>
              <w:t>dépense</w:t>
            </w:r>
            <w:r w:rsidRPr="003848D8">
              <w:rPr>
                <w:rFonts w:ascii="Arial Unicode MS" w:eastAsia="Arial Unicode MS" w:hAnsi="Arial Unicode MS" w:cs="Arial Unicode MS" w:hint="eastAsia"/>
                <w:sz w:val="12"/>
                <w:szCs w:val="18"/>
                <w:lang w:bidi="ar-SA"/>
              </w:rPr>
              <w:t xml:space="preserve"> Courante Totale</w:t>
            </w:r>
            <w:r w:rsidR="00E850B7">
              <w:rPr>
                <w:rFonts w:ascii="Arial Unicode MS" w:eastAsia="Arial Unicode MS" w:hAnsi="Arial Unicode MS" w:cs="Arial Unicode MS"/>
                <w:sz w:val="12"/>
                <w:szCs w:val="18"/>
                <w:lang w:bidi="ar-SA"/>
              </w:rPr>
              <w:t xml:space="preserve"> ( en %)</w:t>
            </w:r>
          </w:p>
        </w:tc>
        <w:tc>
          <w:tcPr>
            <w:tcW w:w="1344" w:type="dxa"/>
            <w:shd w:val="clear" w:color="auto" w:fill="FFFFFF" w:themeFill="background1"/>
            <w:noWrap/>
            <w:hideMark/>
          </w:tcPr>
          <w:p w:rsidR="003848D8" w:rsidRPr="003848D8" w:rsidRDefault="003848D8" w:rsidP="003848D8">
            <w:pPr>
              <w:jc w:val="right"/>
              <w:cnfStyle w:val="000000010000" w:firstRow="0" w:lastRow="0" w:firstColumn="0" w:lastColumn="0" w:oddVBand="0" w:evenVBand="0" w:oddHBand="0" w:evenHBand="1" w:firstRowFirstColumn="0" w:firstRowLastColumn="0" w:lastRowFirstColumn="0" w:lastRowLastColumn="0"/>
              <w:rPr>
                <w:rFonts w:ascii="Arial" w:hAnsi="Arial" w:cs="Arial"/>
                <w:sz w:val="12"/>
                <w:szCs w:val="20"/>
                <w:lang w:bidi="ar-SA"/>
              </w:rPr>
            </w:pPr>
            <w:r w:rsidRPr="003848D8">
              <w:rPr>
                <w:rFonts w:ascii="Arial" w:hAnsi="Arial" w:cs="Arial"/>
                <w:sz w:val="12"/>
                <w:szCs w:val="20"/>
                <w:lang w:bidi="ar-SA"/>
              </w:rPr>
              <w:t>24%</w:t>
            </w:r>
          </w:p>
        </w:tc>
        <w:tc>
          <w:tcPr>
            <w:tcW w:w="1160" w:type="dxa"/>
            <w:shd w:val="clear" w:color="auto" w:fill="FFFFFF" w:themeFill="background1"/>
            <w:noWrap/>
            <w:hideMark/>
          </w:tcPr>
          <w:p w:rsidR="003848D8" w:rsidRPr="003848D8" w:rsidRDefault="003848D8" w:rsidP="003848D8">
            <w:pPr>
              <w:jc w:val="right"/>
              <w:cnfStyle w:val="000000010000" w:firstRow="0" w:lastRow="0" w:firstColumn="0" w:lastColumn="0" w:oddVBand="0" w:evenVBand="0" w:oddHBand="0" w:evenHBand="1" w:firstRowFirstColumn="0" w:firstRowLastColumn="0" w:lastRowFirstColumn="0" w:lastRowLastColumn="0"/>
              <w:rPr>
                <w:rFonts w:ascii="Arial" w:hAnsi="Arial" w:cs="Arial"/>
                <w:sz w:val="12"/>
                <w:szCs w:val="20"/>
                <w:lang w:bidi="ar-SA"/>
              </w:rPr>
            </w:pPr>
            <w:r w:rsidRPr="003848D8">
              <w:rPr>
                <w:rFonts w:ascii="Arial" w:hAnsi="Arial" w:cs="Arial"/>
                <w:sz w:val="12"/>
                <w:szCs w:val="20"/>
                <w:lang w:bidi="ar-SA"/>
              </w:rPr>
              <w:t>38%</w:t>
            </w:r>
          </w:p>
        </w:tc>
        <w:tc>
          <w:tcPr>
            <w:tcW w:w="1276" w:type="dxa"/>
            <w:shd w:val="clear" w:color="auto" w:fill="FFFFFF" w:themeFill="background1"/>
            <w:noWrap/>
            <w:hideMark/>
          </w:tcPr>
          <w:p w:rsidR="003848D8" w:rsidRPr="003848D8" w:rsidRDefault="003848D8" w:rsidP="003848D8">
            <w:pPr>
              <w:jc w:val="right"/>
              <w:cnfStyle w:val="000000010000" w:firstRow="0" w:lastRow="0" w:firstColumn="0" w:lastColumn="0" w:oddVBand="0" w:evenVBand="0" w:oddHBand="0" w:evenHBand="1" w:firstRowFirstColumn="0" w:firstRowLastColumn="0" w:lastRowFirstColumn="0" w:lastRowLastColumn="0"/>
              <w:rPr>
                <w:rFonts w:ascii="Arial" w:hAnsi="Arial" w:cs="Arial"/>
                <w:sz w:val="12"/>
                <w:szCs w:val="20"/>
                <w:lang w:bidi="ar-SA"/>
              </w:rPr>
            </w:pPr>
            <w:r w:rsidRPr="003848D8">
              <w:rPr>
                <w:rFonts w:ascii="Arial" w:hAnsi="Arial" w:cs="Arial"/>
                <w:sz w:val="12"/>
                <w:szCs w:val="20"/>
                <w:lang w:bidi="ar-SA"/>
              </w:rPr>
              <w:t>46%</w:t>
            </w:r>
          </w:p>
        </w:tc>
        <w:tc>
          <w:tcPr>
            <w:tcW w:w="1275" w:type="dxa"/>
            <w:shd w:val="clear" w:color="auto" w:fill="FFFFFF" w:themeFill="background1"/>
            <w:noWrap/>
            <w:hideMark/>
          </w:tcPr>
          <w:p w:rsidR="003848D8" w:rsidRPr="003848D8" w:rsidRDefault="003848D8" w:rsidP="003848D8">
            <w:pPr>
              <w:jc w:val="right"/>
              <w:cnfStyle w:val="000000010000" w:firstRow="0" w:lastRow="0" w:firstColumn="0" w:lastColumn="0" w:oddVBand="0" w:evenVBand="0" w:oddHBand="0" w:evenHBand="1" w:firstRowFirstColumn="0" w:firstRowLastColumn="0" w:lastRowFirstColumn="0" w:lastRowLastColumn="0"/>
              <w:rPr>
                <w:rFonts w:ascii="Arial" w:hAnsi="Arial" w:cs="Arial"/>
                <w:sz w:val="12"/>
                <w:szCs w:val="20"/>
                <w:lang w:bidi="ar-SA"/>
              </w:rPr>
            </w:pPr>
            <w:r w:rsidRPr="003848D8">
              <w:rPr>
                <w:rFonts w:ascii="Arial" w:hAnsi="Arial" w:cs="Arial"/>
                <w:sz w:val="12"/>
                <w:szCs w:val="20"/>
                <w:lang w:bidi="ar-SA"/>
              </w:rPr>
              <w:t>45%</w:t>
            </w:r>
          </w:p>
        </w:tc>
      </w:tr>
      <w:tr w:rsidR="003848D8" w:rsidRPr="003848D8" w:rsidTr="004739E5">
        <w:trPr>
          <w:cnfStyle w:val="000000100000" w:firstRow="0" w:lastRow="0" w:firstColumn="0" w:lastColumn="0" w:oddVBand="0" w:evenVBand="0" w:oddHBand="1" w:evenHBand="0"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2552" w:type="dxa"/>
            <w:shd w:val="clear" w:color="auto" w:fill="FFFFFF" w:themeFill="background1"/>
            <w:hideMark/>
          </w:tcPr>
          <w:p w:rsidR="003848D8" w:rsidRPr="003848D8" w:rsidRDefault="003848D8" w:rsidP="003848D8">
            <w:pPr>
              <w:rPr>
                <w:rFonts w:ascii="Arial Unicode MS" w:eastAsia="Arial Unicode MS" w:hAnsi="Arial Unicode MS" w:cs="Arial Unicode MS"/>
                <w:sz w:val="12"/>
                <w:szCs w:val="18"/>
                <w:lang w:bidi="ar-SA"/>
              </w:rPr>
            </w:pPr>
            <w:r w:rsidRPr="003848D8">
              <w:rPr>
                <w:rFonts w:ascii="Arial Unicode MS" w:eastAsia="Arial Unicode MS" w:hAnsi="Arial Unicode MS" w:cs="Arial Unicode MS" w:hint="eastAsia"/>
                <w:sz w:val="12"/>
                <w:szCs w:val="18"/>
                <w:lang w:bidi="ar-SA"/>
              </w:rPr>
              <w:t>Financement du gouvernement % dépense totale en SRMNE</w:t>
            </w:r>
          </w:p>
        </w:tc>
        <w:tc>
          <w:tcPr>
            <w:tcW w:w="1344" w:type="dxa"/>
            <w:shd w:val="clear" w:color="auto" w:fill="FFFFFF" w:themeFill="background1"/>
            <w:noWrap/>
            <w:hideMark/>
          </w:tcPr>
          <w:p w:rsidR="003848D8" w:rsidRPr="003848D8" w:rsidRDefault="003848D8" w:rsidP="003848D8">
            <w:pPr>
              <w:jc w:val="right"/>
              <w:cnfStyle w:val="000000100000" w:firstRow="0" w:lastRow="0" w:firstColumn="0" w:lastColumn="0" w:oddVBand="0" w:evenVBand="0" w:oddHBand="1" w:evenHBand="0" w:firstRowFirstColumn="0" w:firstRowLastColumn="0" w:lastRowFirstColumn="0" w:lastRowLastColumn="0"/>
              <w:rPr>
                <w:rFonts w:ascii="Arial Unicode MS" w:eastAsia="Arial Unicode MS" w:hAnsi="Arial Unicode MS" w:cs="Arial Unicode MS"/>
                <w:sz w:val="12"/>
                <w:szCs w:val="16"/>
                <w:lang w:bidi="ar-SA"/>
              </w:rPr>
            </w:pPr>
            <w:r w:rsidRPr="003848D8">
              <w:rPr>
                <w:rFonts w:ascii="Arial Unicode MS" w:eastAsia="Arial Unicode MS" w:hAnsi="Arial Unicode MS" w:cs="Arial Unicode MS" w:hint="eastAsia"/>
                <w:sz w:val="12"/>
                <w:szCs w:val="16"/>
                <w:lang w:bidi="ar-SA"/>
              </w:rPr>
              <w:t>3%</w:t>
            </w:r>
          </w:p>
        </w:tc>
        <w:tc>
          <w:tcPr>
            <w:tcW w:w="1160" w:type="dxa"/>
            <w:shd w:val="clear" w:color="auto" w:fill="FFFFFF" w:themeFill="background1"/>
            <w:noWrap/>
            <w:hideMark/>
          </w:tcPr>
          <w:p w:rsidR="003848D8" w:rsidRPr="003848D8" w:rsidRDefault="003848D8" w:rsidP="003848D8">
            <w:pPr>
              <w:jc w:val="right"/>
              <w:cnfStyle w:val="000000100000" w:firstRow="0" w:lastRow="0" w:firstColumn="0" w:lastColumn="0" w:oddVBand="0" w:evenVBand="0" w:oddHBand="1" w:evenHBand="0" w:firstRowFirstColumn="0" w:firstRowLastColumn="0" w:lastRowFirstColumn="0" w:lastRowLastColumn="0"/>
              <w:rPr>
                <w:rFonts w:ascii="Arial Unicode MS" w:eastAsia="Arial Unicode MS" w:hAnsi="Arial Unicode MS" w:cs="Arial Unicode MS"/>
                <w:sz w:val="12"/>
                <w:szCs w:val="16"/>
                <w:lang w:bidi="ar-SA"/>
              </w:rPr>
            </w:pPr>
            <w:r w:rsidRPr="003848D8">
              <w:rPr>
                <w:rFonts w:ascii="Arial Unicode MS" w:eastAsia="Arial Unicode MS" w:hAnsi="Arial Unicode MS" w:cs="Arial Unicode MS" w:hint="eastAsia"/>
                <w:sz w:val="12"/>
                <w:szCs w:val="16"/>
                <w:lang w:bidi="ar-SA"/>
              </w:rPr>
              <w:t>44%</w:t>
            </w:r>
          </w:p>
        </w:tc>
        <w:tc>
          <w:tcPr>
            <w:tcW w:w="1276" w:type="dxa"/>
            <w:shd w:val="clear" w:color="auto" w:fill="FFFFFF" w:themeFill="background1"/>
            <w:noWrap/>
            <w:hideMark/>
          </w:tcPr>
          <w:p w:rsidR="003848D8" w:rsidRPr="003848D8" w:rsidRDefault="003848D8" w:rsidP="003848D8">
            <w:pPr>
              <w:jc w:val="right"/>
              <w:cnfStyle w:val="000000100000" w:firstRow="0" w:lastRow="0" w:firstColumn="0" w:lastColumn="0" w:oddVBand="0" w:evenVBand="0" w:oddHBand="1" w:evenHBand="0" w:firstRowFirstColumn="0" w:firstRowLastColumn="0" w:lastRowFirstColumn="0" w:lastRowLastColumn="0"/>
              <w:rPr>
                <w:rFonts w:ascii="Arial Unicode MS" w:eastAsia="Arial Unicode MS" w:hAnsi="Arial Unicode MS" w:cs="Arial Unicode MS"/>
                <w:sz w:val="12"/>
                <w:szCs w:val="16"/>
                <w:lang w:bidi="ar-SA"/>
              </w:rPr>
            </w:pPr>
            <w:r w:rsidRPr="003848D8">
              <w:rPr>
                <w:rFonts w:ascii="Arial Unicode MS" w:eastAsia="Arial Unicode MS" w:hAnsi="Arial Unicode MS" w:cs="Arial Unicode MS" w:hint="eastAsia"/>
                <w:sz w:val="12"/>
                <w:szCs w:val="16"/>
                <w:lang w:bidi="ar-SA"/>
              </w:rPr>
              <w:t>52%</w:t>
            </w:r>
          </w:p>
        </w:tc>
        <w:tc>
          <w:tcPr>
            <w:tcW w:w="1275" w:type="dxa"/>
            <w:shd w:val="clear" w:color="auto" w:fill="FFFFFF" w:themeFill="background1"/>
            <w:noWrap/>
            <w:hideMark/>
          </w:tcPr>
          <w:p w:rsidR="003848D8" w:rsidRPr="003848D8" w:rsidRDefault="003848D8" w:rsidP="003848D8">
            <w:pPr>
              <w:jc w:val="right"/>
              <w:cnfStyle w:val="000000100000" w:firstRow="0" w:lastRow="0" w:firstColumn="0" w:lastColumn="0" w:oddVBand="0" w:evenVBand="0" w:oddHBand="1" w:evenHBand="0" w:firstRowFirstColumn="0" w:firstRowLastColumn="0" w:lastRowFirstColumn="0" w:lastRowLastColumn="0"/>
              <w:rPr>
                <w:rFonts w:ascii="Arial Unicode MS" w:eastAsia="Arial Unicode MS" w:hAnsi="Arial Unicode MS" w:cs="Arial Unicode MS"/>
                <w:sz w:val="12"/>
                <w:szCs w:val="16"/>
                <w:lang w:bidi="ar-SA"/>
              </w:rPr>
            </w:pPr>
            <w:r w:rsidRPr="003848D8">
              <w:rPr>
                <w:rFonts w:ascii="Arial Unicode MS" w:eastAsia="Arial Unicode MS" w:hAnsi="Arial Unicode MS" w:cs="Arial Unicode MS" w:hint="eastAsia"/>
                <w:sz w:val="12"/>
                <w:szCs w:val="16"/>
                <w:lang w:bidi="ar-SA"/>
              </w:rPr>
              <w:t>54%</w:t>
            </w:r>
          </w:p>
        </w:tc>
      </w:tr>
      <w:tr w:rsidR="003848D8" w:rsidRPr="003848D8" w:rsidTr="004739E5">
        <w:trPr>
          <w:cnfStyle w:val="000000010000" w:firstRow="0" w:lastRow="0" w:firstColumn="0" w:lastColumn="0" w:oddVBand="0" w:evenVBand="0" w:oddHBand="0" w:evenHBand="1"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2552" w:type="dxa"/>
            <w:shd w:val="clear" w:color="auto" w:fill="FFFFFF" w:themeFill="background1"/>
            <w:hideMark/>
          </w:tcPr>
          <w:p w:rsidR="003848D8" w:rsidRPr="003848D8" w:rsidRDefault="003848D8" w:rsidP="003848D8">
            <w:pPr>
              <w:rPr>
                <w:rFonts w:ascii="Arial Unicode MS" w:eastAsia="Arial Unicode MS" w:hAnsi="Arial Unicode MS" w:cs="Arial Unicode MS"/>
                <w:sz w:val="12"/>
                <w:szCs w:val="18"/>
                <w:lang w:bidi="ar-SA"/>
              </w:rPr>
            </w:pPr>
            <w:r w:rsidRPr="003848D8">
              <w:rPr>
                <w:rFonts w:ascii="Arial Unicode MS" w:eastAsia="Arial Unicode MS" w:hAnsi="Arial Unicode MS" w:cs="Arial Unicode MS" w:hint="eastAsia"/>
                <w:sz w:val="12"/>
                <w:szCs w:val="18"/>
                <w:lang w:bidi="ar-SA"/>
              </w:rPr>
              <w:t>Financement externe % dépense totale en SRMNE</w:t>
            </w:r>
          </w:p>
        </w:tc>
        <w:tc>
          <w:tcPr>
            <w:tcW w:w="1344" w:type="dxa"/>
            <w:shd w:val="clear" w:color="auto" w:fill="FFFFFF" w:themeFill="background1"/>
            <w:noWrap/>
            <w:hideMark/>
          </w:tcPr>
          <w:p w:rsidR="003848D8" w:rsidRPr="003848D8" w:rsidRDefault="003848D8" w:rsidP="003848D8">
            <w:pPr>
              <w:jc w:val="right"/>
              <w:cnfStyle w:val="000000010000" w:firstRow="0" w:lastRow="0" w:firstColumn="0" w:lastColumn="0" w:oddVBand="0" w:evenVBand="0" w:oddHBand="0" w:evenHBand="1" w:firstRowFirstColumn="0" w:firstRowLastColumn="0" w:lastRowFirstColumn="0" w:lastRowLastColumn="0"/>
              <w:rPr>
                <w:rFonts w:ascii="Arial Unicode MS" w:eastAsia="Arial Unicode MS" w:hAnsi="Arial Unicode MS" w:cs="Arial Unicode MS"/>
                <w:sz w:val="12"/>
                <w:szCs w:val="16"/>
                <w:lang w:bidi="ar-SA"/>
              </w:rPr>
            </w:pPr>
            <w:r w:rsidRPr="003848D8">
              <w:rPr>
                <w:rFonts w:ascii="Arial Unicode MS" w:eastAsia="Arial Unicode MS" w:hAnsi="Arial Unicode MS" w:cs="Arial Unicode MS" w:hint="eastAsia"/>
                <w:sz w:val="12"/>
                <w:szCs w:val="16"/>
                <w:lang w:bidi="ar-SA"/>
              </w:rPr>
              <w:t>22%</w:t>
            </w:r>
          </w:p>
        </w:tc>
        <w:tc>
          <w:tcPr>
            <w:tcW w:w="1160" w:type="dxa"/>
            <w:shd w:val="clear" w:color="auto" w:fill="FFFFFF" w:themeFill="background1"/>
            <w:noWrap/>
            <w:hideMark/>
          </w:tcPr>
          <w:p w:rsidR="003848D8" w:rsidRPr="003848D8" w:rsidRDefault="003848D8" w:rsidP="003848D8">
            <w:pPr>
              <w:jc w:val="right"/>
              <w:cnfStyle w:val="000000010000" w:firstRow="0" w:lastRow="0" w:firstColumn="0" w:lastColumn="0" w:oddVBand="0" w:evenVBand="0" w:oddHBand="0" w:evenHBand="1" w:firstRowFirstColumn="0" w:firstRowLastColumn="0" w:lastRowFirstColumn="0" w:lastRowLastColumn="0"/>
              <w:rPr>
                <w:rFonts w:ascii="Arial Unicode MS" w:eastAsia="Arial Unicode MS" w:hAnsi="Arial Unicode MS" w:cs="Arial Unicode MS"/>
                <w:sz w:val="12"/>
                <w:szCs w:val="16"/>
                <w:lang w:bidi="ar-SA"/>
              </w:rPr>
            </w:pPr>
            <w:r w:rsidRPr="003848D8">
              <w:rPr>
                <w:rFonts w:ascii="Arial Unicode MS" w:eastAsia="Arial Unicode MS" w:hAnsi="Arial Unicode MS" w:cs="Arial Unicode MS" w:hint="eastAsia"/>
                <w:sz w:val="12"/>
                <w:szCs w:val="16"/>
                <w:lang w:bidi="ar-SA"/>
              </w:rPr>
              <w:t>13%</w:t>
            </w:r>
          </w:p>
        </w:tc>
        <w:tc>
          <w:tcPr>
            <w:tcW w:w="1276" w:type="dxa"/>
            <w:shd w:val="clear" w:color="auto" w:fill="FFFFFF" w:themeFill="background1"/>
            <w:noWrap/>
            <w:hideMark/>
          </w:tcPr>
          <w:p w:rsidR="003848D8" w:rsidRPr="003848D8" w:rsidRDefault="003848D8" w:rsidP="003848D8">
            <w:pPr>
              <w:jc w:val="right"/>
              <w:cnfStyle w:val="000000010000" w:firstRow="0" w:lastRow="0" w:firstColumn="0" w:lastColumn="0" w:oddVBand="0" w:evenVBand="0" w:oddHBand="0" w:evenHBand="1" w:firstRowFirstColumn="0" w:firstRowLastColumn="0" w:lastRowFirstColumn="0" w:lastRowLastColumn="0"/>
              <w:rPr>
                <w:rFonts w:ascii="Arial Unicode MS" w:eastAsia="Arial Unicode MS" w:hAnsi="Arial Unicode MS" w:cs="Arial Unicode MS"/>
                <w:sz w:val="12"/>
                <w:szCs w:val="16"/>
                <w:lang w:bidi="ar-SA"/>
              </w:rPr>
            </w:pPr>
            <w:r w:rsidRPr="003848D8">
              <w:rPr>
                <w:rFonts w:ascii="Arial Unicode MS" w:eastAsia="Arial Unicode MS" w:hAnsi="Arial Unicode MS" w:cs="Arial Unicode MS" w:hint="eastAsia"/>
                <w:sz w:val="12"/>
                <w:szCs w:val="16"/>
                <w:lang w:bidi="ar-SA"/>
              </w:rPr>
              <w:t>12%</w:t>
            </w:r>
          </w:p>
        </w:tc>
        <w:tc>
          <w:tcPr>
            <w:tcW w:w="1275" w:type="dxa"/>
            <w:shd w:val="clear" w:color="auto" w:fill="FFFFFF" w:themeFill="background1"/>
            <w:noWrap/>
            <w:hideMark/>
          </w:tcPr>
          <w:p w:rsidR="003848D8" w:rsidRPr="003848D8" w:rsidRDefault="003848D8" w:rsidP="003848D8">
            <w:pPr>
              <w:jc w:val="right"/>
              <w:cnfStyle w:val="000000010000" w:firstRow="0" w:lastRow="0" w:firstColumn="0" w:lastColumn="0" w:oddVBand="0" w:evenVBand="0" w:oddHBand="0" w:evenHBand="1" w:firstRowFirstColumn="0" w:firstRowLastColumn="0" w:lastRowFirstColumn="0" w:lastRowLastColumn="0"/>
              <w:rPr>
                <w:rFonts w:ascii="Arial Unicode MS" w:eastAsia="Arial Unicode MS" w:hAnsi="Arial Unicode MS" w:cs="Arial Unicode MS"/>
                <w:sz w:val="12"/>
                <w:szCs w:val="16"/>
                <w:lang w:bidi="ar-SA"/>
              </w:rPr>
            </w:pPr>
            <w:r w:rsidRPr="003848D8">
              <w:rPr>
                <w:rFonts w:ascii="Arial Unicode MS" w:eastAsia="Arial Unicode MS" w:hAnsi="Arial Unicode MS" w:cs="Arial Unicode MS" w:hint="eastAsia"/>
                <w:sz w:val="12"/>
                <w:szCs w:val="16"/>
                <w:lang w:bidi="ar-SA"/>
              </w:rPr>
              <w:t>9%</w:t>
            </w:r>
          </w:p>
        </w:tc>
      </w:tr>
      <w:tr w:rsidR="003848D8" w:rsidRPr="003848D8" w:rsidTr="004739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2552" w:type="dxa"/>
            <w:shd w:val="clear" w:color="auto" w:fill="FFFFFF" w:themeFill="background1"/>
            <w:hideMark/>
          </w:tcPr>
          <w:p w:rsidR="003848D8" w:rsidRPr="003848D8" w:rsidRDefault="003848D8" w:rsidP="003848D8">
            <w:pPr>
              <w:rPr>
                <w:rFonts w:ascii="Arial Unicode MS" w:eastAsia="Arial Unicode MS" w:hAnsi="Arial Unicode MS" w:cs="Arial Unicode MS"/>
                <w:sz w:val="12"/>
                <w:szCs w:val="18"/>
                <w:lang w:bidi="ar-SA"/>
              </w:rPr>
            </w:pPr>
            <w:r w:rsidRPr="003848D8">
              <w:rPr>
                <w:rFonts w:ascii="Arial Unicode MS" w:eastAsia="Arial Unicode MS" w:hAnsi="Arial Unicode MS" w:cs="Arial Unicode MS" w:hint="eastAsia"/>
                <w:sz w:val="12"/>
                <w:szCs w:val="18"/>
                <w:lang w:bidi="ar-SA"/>
              </w:rPr>
              <w:t>Financement  privés % dépense totale en SRMNE</w:t>
            </w:r>
          </w:p>
        </w:tc>
        <w:tc>
          <w:tcPr>
            <w:tcW w:w="1344" w:type="dxa"/>
            <w:shd w:val="clear" w:color="auto" w:fill="FFFFFF" w:themeFill="background1"/>
            <w:noWrap/>
            <w:hideMark/>
          </w:tcPr>
          <w:p w:rsidR="003848D8" w:rsidRPr="003848D8" w:rsidRDefault="003848D8" w:rsidP="003848D8">
            <w:pPr>
              <w:jc w:val="right"/>
              <w:cnfStyle w:val="000000100000" w:firstRow="0" w:lastRow="0" w:firstColumn="0" w:lastColumn="0" w:oddVBand="0" w:evenVBand="0" w:oddHBand="1" w:evenHBand="0" w:firstRowFirstColumn="0" w:firstRowLastColumn="0" w:lastRowFirstColumn="0" w:lastRowLastColumn="0"/>
              <w:rPr>
                <w:rFonts w:ascii="Arial" w:hAnsi="Arial" w:cs="Arial"/>
                <w:sz w:val="12"/>
                <w:szCs w:val="16"/>
                <w:lang w:bidi="ar-SA"/>
              </w:rPr>
            </w:pPr>
            <w:r w:rsidRPr="003848D8">
              <w:rPr>
                <w:rFonts w:ascii="Arial" w:hAnsi="Arial" w:cs="Arial"/>
                <w:sz w:val="12"/>
                <w:szCs w:val="16"/>
                <w:lang w:bidi="ar-SA"/>
              </w:rPr>
              <w:t>74%</w:t>
            </w:r>
          </w:p>
        </w:tc>
        <w:tc>
          <w:tcPr>
            <w:tcW w:w="1160" w:type="dxa"/>
            <w:shd w:val="clear" w:color="auto" w:fill="FFFFFF" w:themeFill="background1"/>
            <w:noWrap/>
            <w:hideMark/>
          </w:tcPr>
          <w:p w:rsidR="003848D8" w:rsidRPr="003848D8" w:rsidRDefault="003848D8" w:rsidP="003848D8">
            <w:pPr>
              <w:jc w:val="right"/>
              <w:cnfStyle w:val="000000100000" w:firstRow="0" w:lastRow="0" w:firstColumn="0" w:lastColumn="0" w:oddVBand="0" w:evenVBand="0" w:oddHBand="1" w:evenHBand="0" w:firstRowFirstColumn="0" w:firstRowLastColumn="0" w:lastRowFirstColumn="0" w:lastRowLastColumn="0"/>
              <w:rPr>
                <w:rFonts w:ascii="Arial" w:hAnsi="Arial" w:cs="Arial"/>
                <w:sz w:val="12"/>
                <w:szCs w:val="16"/>
                <w:lang w:bidi="ar-SA"/>
              </w:rPr>
            </w:pPr>
            <w:r w:rsidRPr="003848D8">
              <w:rPr>
                <w:rFonts w:ascii="Arial" w:hAnsi="Arial" w:cs="Arial"/>
                <w:sz w:val="12"/>
                <w:szCs w:val="16"/>
                <w:lang w:bidi="ar-SA"/>
              </w:rPr>
              <w:t>43%</w:t>
            </w:r>
          </w:p>
        </w:tc>
        <w:tc>
          <w:tcPr>
            <w:tcW w:w="1276" w:type="dxa"/>
            <w:shd w:val="clear" w:color="auto" w:fill="FFFFFF" w:themeFill="background1"/>
            <w:noWrap/>
            <w:hideMark/>
          </w:tcPr>
          <w:p w:rsidR="003848D8" w:rsidRPr="003848D8" w:rsidRDefault="003848D8" w:rsidP="003848D8">
            <w:pPr>
              <w:jc w:val="right"/>
              <w:cnfStyle w:val="000000100000" w:firstRow="0" w:lastRow="0" w:firstColumn="0" w:lastColumn="0" w:oddVBand="0" w:evenVBand="0" w:oddHBand="1" w:evenHBand="0" w:firstRowFirstColumn="0" w:firstRowLastColumn="0" w:lastRowFirstColumn="0" w:lastRowLastColumn="0"/>
              <w:rPr>
                <w:rFonts w:ascii="Arial" w:hAnsi="Arial" w:cs="Arial"/>
                <w:sz w:val="12"/>
                <w:szCs w:val="16"/>
                <w:lang w:bidi="ar-SA"/>
              </w:rPr>
            </w:pPr>
            <w:r w:rsidRPr="003848D8">
              <w:rPr>
                <w:rFonts w:ascii="Arial" w:hAnsi="Arial" w:cs="Arial"/>
                <w:sz w:val="12"/>
                <w:szCs w:val="16"/>
                <w:lang w:bidi="ar-SA"/>
              </w:rPr>
              <w:t>36%</w:t>
            </w:r>
          </w:p>
        </w:tc>
        <w:tc>
          <w:tcPr>
            <w:tcW w:w="1275" w:type="dxa"/>
            <w:shd w:val="clear" w:color="auto" w:fill="FFFFFF" w:themeFill="background1"/>
            <w:noWrap/>
            <w:hideMark/>
          </w:tcPr>
          <w:p w:rsidR="003848D8" w:rsidRPr="003848D8" w:rsidRDefault="003848D8" w:rsidP="003848D8">
            <w:pPr>
              <w:jc w:val="right"/>
              <w:cnfStyle w:val="000000100000" w:firstRow="0" w:lastRow="0" w:firstColumn="0" w:lastColumn="0" w:oddVBand="0" w:evenVBand="0" w:oddHBand="1" w:evenHBand="0" w:firstRowFirstColumn="0" w:firstRowLastColumn="0" w:lastRowFirstColumn="0" w:lastRowLastColumn="0"/>
              <w:rPr>
                <w:rFonts w:ascii="Arial" w:hAnsi="Arial" w:cs="Arial"/>
                <w:sz w:val="12"/>
                <w:szCs w:val="16"/>
                <w:lang w:bidi="ar-SA"/>
              </w:rPr>
            </w:pPr>
            <w:r w:rsidRPr="003848D8">
              <w:rPr>
                <w:rFonts w:ascii="Arial" w:hAnsi="Arial" w:cs="Arial"/>
                <w:sz w:val="12"/>
                <w:szCs w:val="16"/>
                <w:lang w:bidi="ar-SA"/>
              </w:rPr>
              <w:t>37%</w:t>
            </w:r>
          </w:p>
        </w:tc>
      </w:tr>
    </w:tbl>
    <w:p w:rsidR="006E3759" w:rsidRPr="00B02105" w:rsidRDefault="004739E5" w:rsidP="004739E5">
      <w:pPr>
        <w:pStyle w:val="Style2"/>
        <w:spacing w:line="240" w:lineRule="auto"/>
        <w:rPr>
          <w:color w:val="000000" w:themeColor="text1"/>
          <w:sz w:val="18"/>
          <w:szCs w:val="18"/>
        </w:rPr>
      </w:pPr>
      <w:r>
        <w:rPr>
          <w:color w:val="000000" w:themeColor="text1"/>
          <w:sz w:val="18"/>
          <w:szCs w:val="18"/>
        </w:rPr>
        <w:t xml:space="preserve">            ** : </w:t>
      </w:r>
      <w:r w:rsidRPr="004739E5">
        <w:rPr>
          <w:i/>
          <w:color w:val="000000" w:themeColor="text1"/>
          <w:sz w:val="12"/>
          <w:szCs w:val="12"/>
        </w:rPr>
        <w:t>données partielles</w:t>
      </w:r>
      <w:r>
        <w:rPr>
          <w:color w:val="000000" w:themeColor="text1"/>
          <w:sz w:val="18"/>
          <w:szCs w:val="18"/>
        </w:rPr>
        <w:t xml:space="preserve">  </w:t>
      </w:r>
    </w:p>
    <w:p w:rsidR="004739E5" w:rsidRDefault="004739E5" w:rsidP="006B6C7F">
      <w:pPr>
        <w:pStyle w:val="Style2"/>
        <w:rPr>
          <w:color w:val="000000" w:themeColor="text1"/>
        </w:rPr>
      </w:pPr>
    </w:p>
    <w:p w:rsidR="00F37C0F" w:rsidRDefault="00650CBE" w:rsidP="006B6C7F">
      <w:pPr>
        <w:pStyle w:val="Style2"/>
        <w:rPr>
          <w:color w:val="000000" w:themeColor="text1"/>
        </w:rPr>
      </w:pPr>
      <w:r>
        <w:rPr>
          <w:color w:val="000000" w:themeColor="text1"/>
        </w:rPr>
        <w:t>De façon générale, l</w:t>
      </w:r>
      <w:r w:rsidR="00B02105">
        <w:rPr>
          <w:color w:val="000000" w:themeColor="text1"/>
        </w:rPr>
        <w:t xml:space="preserve">es dépenses courantes en santé de la SRMNE </w:t>
      </w:r>
      <w:r>
        <w:rPr>
          <w:color w:val="000000" w:themeColor="text1"/>
        </w:rPr>
        <w:t>sont en progression par rapport aux années antérieures, exceptée en 201</w:t>
      </w:r>
      <w:r w:rsidR="00127C60">
        <w:rPr>
          <w:color w:val="000000" w:themeColor="text1"/>
        </w:rPr>
        <w:t>4</w:t>
      </w:r>
      <w:r>
        <w:rPr>
          <w:color w:val="000000" w:themeColor="text1"/>
        </w:rPr>
        <w:t xml:space="preserve"> où on constate une baisse d’</w:t>
      </w:r>
      <w:r w:rsidR="00127C60">
        <w:rPr>
          <w:color w:val="000000" w:themeColor="text1"/>
        </w:rPr>
        <w:t>un point par rapport à 2013</w:t>
      </w:r>
      <w:r w:rsidR="00B02105">
        <w:rPr>
          <w:color w:val="000000" w:themeColor="text1"/>
        </w:rPr>
        <w:t>.</w:t>
      </w:r>
      <w:r>
        <w:rPr>
          <w:color w:val="000000" w:themeColor="text1"/>
        </w:rPr>
        <w:t xml:space="preserve"> </w:t>
      </w:r>
      <w:r w:rsidR="00C74F43">
        <w:rPr>
          <w:color w:val="000000" w:themeColor="text1"/>
        </w:rPr>
        <w:t>Cependant, d</w:t>
      </w:r>
      <w:r>
        <w:rPr>
          <w:color w:val="000000" w:themeColor="text1"/>
        </w:rPr>
        <w:t>es nuances sont à signaler selon les différentes sources de financement.</w:t>
      </w:r>
      <w:r w:rsidR="00271007">
        <w:rPr>
          <w:color w:val="000000" w:themeColor="text1"/>
        </w:rPr>
        <w:t xml:space="preserve"> </w:t>
      </w:r>
    </w:p>
    <w:p w:rsidR="00DC65DA" w:rsidRDefault="003518CB" w:rsidP="006B6C7F">
      <w:pPr>
        <w:pStyle w:val="Style2"/>
        <w:rPr>
          <w:color w:val="000000" w:themeColor="text1"/>
        </w:rPr>
      </w:pPr>
      <w:r>
        <w:rPr>
          <w:color w:val="000000" w:themeColor="text1"/>
        </w:rPr>
        <w:t>Par rapport à la dépense totale courante de SRMNE</w:t>
      </w:r>
      <w:r w:rsidR="00271007">
        <w:rPr>
          <w:color w:val="000000" w:themeColor="text1"/>
        </w:rPr>
        <w:t xml:space="preserve">, les </w:t>
      </w:r>
      <w:r w:rsidR="00DC65DA">
        <w:rPr>
          <w:color w:val="000000" w:themeColor="text1"/>
        </w:rPr>
        <w:t>différentes parts des sources de financement se présentent comme suit:</w:t>
      </w:r>
    </w:p>
    <w:p w:rsidR="00DC65DA" w:rsidRDefault="00DC65DA" w:rsidP="00DC65DA">
      <w:pPr>
        <w:pStyle w:val="Style2"/>
        <w:numPr>
          <w:ilvl w:val="0"/>
          <w:numId w:val="11"/>
        </w:numPr>
        <w:rPr>
          <w:color w:val="000000" w:themeColor="text1"/>
        </w:rPr>
      </w:pPr>
      <w:r>
        <w:rPr>
          <w:color w:val="000000" w:themeColor="text1"/>
        </w:rPr>
        <w:t xml:space="preserve">la part du </w:t>
      </w:r>
      <w:r w:rsidR="003518CB">
        <w:rPr>
          <w:color w:val="000000" w:themeColor="text1"/>
        </w:rPr>
        <w:t xml:space="preserve">gouvernement </w:t>
      </w:r>
      <w:r>
        <w:rPr>
          <w:color w:val="000000" w:themeColor="text1"/>
        </w:rPr>
        <w:t>est en</w:t>
      </w:r>
      <w:r w:rsidR="00271007">
        <w:rPr>
          <w:color w:val="000000" w:themeColor="text1"/>
        </w:rPr>
        <w:t xml:space="preserve"> augmentation</w:t>
      </w:r>
      <w:r w:rsidR="00B73544">
        <w:rPr>
          <w:color w:val="000000" w:themeColor="text1"/>
        </w:rPr>
        <w:t>,</w:t>
      </w:r>
      <w:r w:rsidR="00271007">
        <w:rPr>
          <w:color w:val="000000" w:themeColor="text1"/>
        </w:rPr>
        <w:t xml:space="preserve"> en passant de 3%</w:t>
      </w:r>
      <w:r w:rsidR="00127C60">
        <w:rPr>
          <w:color w:val="000000" w:themeColor="text1"/>
        </w:rPr>
        <w:t xml:space="preserve"> en 2011 à 54% en 2014</w:t>
      </w:r>
      <w:r>
        <w:rPr>
          <w:color w:val="000000" w:themeColor="text1"/>
        </w:rPr>
        <w:t> ;</w:t>
      </w:r>
    </w:p>
    <w:p w:rsidR="00DC65DA" w:rsidRDefault="00271007" w:rsidP="00DC65DA">
      <w:pPr>
        <w:pStyle w:val="Style2"/>
        <w:numPr>
          <w:ilvl w:val="0"/>
          <w:numId w:val="11"/>
        </w:numPr>
        <w:rPr>
          <w:color w:val="000000" w:themeColor="text1"/>
        </w:rPr>
      </w:pPr>
      <w:r>
        <w:rPr>
          <w:color w:val="000000" w:themeColor="text1"/>
        </w:rPr>
        <w:t xml:space="preserve"> </w:t>
      </w:r>
      <w:r w:rsidR="00DC65DA">
        <w:rPr>
          <w:color w:val="000000" w:themeColor="text1"/>
        </w:rPr>
        <w:t>Celle des</w:t>
      </w:r>
      <w:r>
        <w:rPr>
          <w:color w:val="000000" w:themeColor="text1"/>
        </w:rPr>
        <w:t xml:space="preserve"> financements externes </w:t>
      </w:r>
      <w:r w:rsidR="00DC65DA">
        <w:rPr>
          <w:color w:val="000000" w:themeColor="text1"/>
        </w:rPr>
        <w:t>a</w:t>
      </w:r>
      <w:r>
        <w:rPr>
          <w:color w:val="000000" w:themeColor="text1"/>
        </w:rPr>
        <w:t xml:space="preserve"> régulièrement</w:t>
      </w:r>
      <w:r w:rsidR="00DC65DA">
        <w:rPr>
          <w:color w:val="000000" w:themeColor="text1"/>
        </w:rPr>
        <w:t xml:space="preserve"> baissée</w:t>
      </w:r>
      <w:r>
        <w:rPr>
          <w:color w:val="000000" w:themeColor="text1"/>
        </w:rPr>
        <w:t xml:space="preserve"> de 22% en</w:t>
      </w:r>
      <w:r w:rsidR="00127C60">
        <w:rPr>
          <w:color w:val="000000" w:themeColor="text1"/>
        </w:rPr>
        <w:t xml:space="preserve"> 2011 à 9% en 2014</w:t>
      </w:r>
      <w:r w:rsidR="00DC65DA">
        <w:rPr>
          <w:color w:val="000000" w:themeColor="text1"/>
        </w:rPr>
        <w:t> ;</w:t>
      </w:r>
    </w:p>
    <w:p w:rsidR="00DC65DA" w:rsidRDefault="00015057" w:rsidP="00DC65DA">
      <w:pPr>
        <w:pStyle w:val="Style2"/>
        <w:numPr>
          <w:ilvl w:val="0"/>
          <w:numId w:val="11"/>
        </w:numPr>
        <w:rPr>
          <w:color w:val="000000" w:themeColor="text1"/>
        </w:rPr>
      </w:pPr>
      <w:r>
        <w:rPr>
          <w:color w:val="000000" w:themeColor="text1"/>
        </w:rPr>
        <w:t xml:space="preserve"> </w:t>
      </w:r>
      <w:r w:rsidR="00271007">
        <w:rPr>
          <w:color w:val="000000" w:themeColor="text1"/>
        </w:rPr>
        <w:t xml:space="preserve"> </w:t>
      </w:r>
      <w:r w:rsidR="00F37C0F">
        <w:rPr>
          <w:color w:val="000000" w:themeColor="text1"/>
        </w:rPr>
        <w:t xml:space="preserve">les </w:t>
      </w:r>
      <w:r w:rsidR="00271007">
        <w:rPr>
          <w:color w:val="000000" w:themeColor="text1"/>
        </w:rPr>
        <w:t>financements privés ont</w:t>
      </w:r>
      <w:r w:rsidR="00F37C0F">
        <w:rPr>
          <w:color w:val="000000" w:themeColor="text1"/>
        </w:rPr>
        <w:t xml:space="preserve"> baissé de façon </w:t>
      </w:r>
      <w:r w:rsidR="00127C60">
        <w:rPr>
          <w:color w:val="000000" w:themeColor="text1"/>
        </w:rPr>
        <w:t>progressive entre 2011 et 2013</w:t>
      </w:r>
      <w:r w:rsidR="00F37C0F">
        <w:rPr>
          <w:color w:val="000000" w:themeColor="text1"/>
        </w:rPr>
        <w:t xml:space="preserve"> avant de remonter d’</w:t>
      </w:r>
      <w:r w:rsidR="00127C60">
        <w:rPr>
          <w:color w:val="000000" w:themeColor="text1"/>
        </w:rPr>
        <w:t>un point en 2014</w:t>
      </w:r>
      <w:r w:rsidR="00F37C0F">
        <w:rPr>
          <w:color w:val="000000" w:themeColor="text1"/>
        </w:rPr>
        <w:t>.</w:t>
      </w:r>
      <w:r w:rsidR="00271007">
        <w:rPr>
          <w:color w:val="000000" w:themeColor="text1"/>
        </w:rPr>
        <w:t xml:space="preserve"> </w:t>
      </w:r>
    </w:p>
    <w:p w:rsidR="007E5B6C" w:rsidRDefault="00DC65DA" w:rsidP="00DC65DA">
      <w:pPr>
        <w:pStyle w:val="Style2"/>
        <w:rPr>
          <w:color w:val="000000" w:themeColor="text1"/>
        </w:rPr>
      </w:pPr>
      <w:r>
        <w:rPr>
          <w:color w:val="000000" w:themeColor="text1"/>
        </w:rPr>
        <w:t>Quelle que soit l’année, les dépenses courantes en santé de SRMNE ont été principalement financé par le gouvernement.</w:t>
      </w:r>
      <w:r w:rsidR="00271007">
        <w:rPr>
          <w:color w:val="000000" w:themeColor="text1"/>
        </w:rPr>
        <w:t xml:space="preserve">   </w:t>
      </w:r>
    </w:p>
    <w:p w:rsidR="004360B1" w:rsidRDefault="004360B1" w:rsidP="006B6C7F">
      <w:pPr>
        <w:pStyle w:val="Style2"/>
        <w:rPr>
          <w:color w:val="000000" w:themeColor="text1"/>
        </w:rPr>
      </w:pPr>
    </w:p>
    <w:p w:rsidR="004360B1" w:rsidRDefault="004360B1" w:rsidP="006B6C7F">
      <w:pPr>
        <w:pStyle w:val="Style2"/>
        <w:rPr>
          <w:color w:val="000000" w:themeColor="text1"/>
        </w:rPr>
      </w:pPr>
    </w:p>
    <w:p w:rsidR="00650CBE" w:rsidRDefault="00FC0668" w:rsidP="006B6C7F">
      <w:pPr>
        <w:pStyle w:val="Style2"/>
        <w:rPr>
          <w:color w:val="000000" w:themeColor="text1"/>
        </w:rPr>
      </w:pPr>
      <w:r>
        <w:rPr>
          <w:color w:val="000000" w:themeColor="text1"/>
        </w:rPr>
        <w:t>Le graphique ci-dessous traduit cette évolution des dépenses courantes de SRMNE en dollars US.</w:t>
      </w:r>
    </w:p>
    <w:p w:rsidR="007E5B6C" w:rsidRDefault="007E5B6C" w:rsidP="006B6C7F">
      <w:pPr>
        <w:pStyle w:val="Style2"/>
        <w:rPr>
          <w:color w:val="000000" w:themeColor="text1"/>
        </w:rPr>
      </w:pPr>
    </w:p>
    <w:p w:rsidR="003848D8" w:rsidRPr="006E3759" w:rsidRDefault="00FC0668" w:rsidP="004360B1">
      <w:pPr>
        <w:spacing w:after="200" w:line="20" w:lineRule="atLeast"/>
        <w:rPr>
          <w:color w:val="000000" w:themeColor="text1"/>
        </w:rPr>
      </w:pPr>
      <w:r>
        <w:rPr>
          <w:color w:val="000000" w:themeColor="text1"/>
        </w:rPr>
        <w:br w:type="page"/>
      </w:r>
      <w:r w:rsidR="003848D8">
        <w:rPr>
          <w:color w:val="000000" w:themeColor="text1"/>
        </w:rPr>
        <w:lastRenderedPageBreak/>
        <w:t>Graphique n°</w:t>
      </w:r>
      <w:r w:rsidR="00B73544">
        <w:rPr>
          <w:color w:val="000000" w:themeColor="text1"/>
        </w:rPr>
        <w:t> :</w:t>
      </w:r>
      <w:r w:rsidR="003848D8" w:rsidRPr="006E3759">
        <w:rPr>
          <w:color w:val="000000" w:themeColor="text1"/>
        </w:rPr>
        <w:t xml:space="preserve">Evolution de la Dépense courante de </w:t>
      </w:r>
      <w:r w:rsidR="003848D8" w:rsidRPr="006E3759">
        <w:rPr>
          <w:b/>
          <w:bCs/>
          <w:color w:val="000000" w:themeColor="text1"/>
          <w:lang w:val="fr-CD"/>
        </w:rPr>
        <w:t>(</w:t>
      </w:r>
      <w:r w:rsidR="003848D8" w:rsidRPr="006E3759">
        <w:rPr>
          <w:b/>
          <w:bCs/>
          <w:color w:val="000000" w:themeColor="text1"/>
        </w:rPr>
        <w:t>SRMNE) au</w:t>
      </w:r>
      <w:r w:rsidR="003848D8" w:rsidRPr="006E3759">
        <w:rPr>
          <w:color w:val="000000" w:themeColor="text1"/>
        </w:rPr>
        <w:t xml:space="preserve"> Congo</w:t>
      </w:r>
      <w:r w:rsidR="003848D8" w:rsidRPr="006E3759">
        <w:rPr>
          <w:color w:val="000000" w:themeColor="text1"/>
        </w:rPr>
        <w:br/>
        <w:t>par source de financement (million $ US)</w:t>
      </w:r>
    </w:p>
    <w:p w:rsidR="006E3759" w:rsidRDefault="006E3759" w:rsidP="006B6C7F">
      <w:pPr>
        <w:pStyle w:val="Style2"/>
        <w:rPr>
          <w:color w:val="000000" w:themeColor="text1"/>
        </w:rPr>
      </w:pPr>
    </w:p>
    <w:p w:rsidR="006E3759" w:rsidRPr="008D45CE" w:rsidRDefault="006E3759" w:rsidP="006B6C7F">
      <w:pPr>
        <w:pStyle w:val="Style2"/>
        <w:rPr>
          <w:color w:val="000000" w:themeColor="text1"/>
        </w:rPr>
      </w:pPr>
      <w:r w:rsidRPr="006E3759">
        <w:rPr>
          <w:noProof/>
          <w:color w:val="000000" w:themeColor="text1"/>
          <w:lang w:eastAsia="fr-FR" w:bidi="ar-SA"/>
        </w:rPr>
        <w:drawing>
          <wp:inline distT="0" distB="0" distL="0" distR="0">
            <wp:extent cx="5760720" cy="2120900"/>
            <wp:effectExtent l="19050" t="0" r="11430" b="0"/>
            <wp:docPr id="54" name="Graphique 44"/>
            <wp:cNvGraphicFramePr/>
            <a:graphic xmlns:a="http://schemas.openxmlformats.org/drawingml/2006/main">
              <a:graphicData uri="http://schemas.openxmlformats.org/drawingml/2006/chart">
                <c:chart xmlns:c="http://schemas.openxmlformats.org/drawingml/2006/chart" xmlns:r="http://schemas.openxmlformats.org/officeDocument/2006/relationships" r:id="rId60"/>
              </a:graphicData>
            </a:graphic>
          </wp:inline>
        </w:drawing>
      </w:r>
    </w:p>
    <w:p w:rsidR="00B66376" w:rsidRPr="008D45CE" w:rsidRDefault="00B66376">
      <w:pPr>
        <w:spacing w:after="200" w:line="20" w:lineRule="atLeast"/>
        <w:rPr>
          <w:color w:val="000000" w:themeColor="text1"/>
        </w:rPr>
      </w:pPr>
      <w:r w:rsidRPr="008D45CE">
        <w:rPr>
          <w:color w:val="000000" w:themeColor="text1"/>
        </w:rPr>
        <w:br w:type="page"/>
      </w:r>
    </w:p>
    <w:p w:rsidR="00ED7535" w:rsidRPr="00620478" w:rsidRDefault="00704E95" w:rsidP="00ED7535">
      <w:pPr>
        <w:pStyle w:val="Titre1"/>
        <w:ind w:left="426" w:hanging="256"/>
        <w:rPr>
          <w:color w:val="548DD4" w:themeColor="text2" w:themeTint="99"/>
          <w:lang w:val="fr-CD"/>
        </w:rPr>
      </w:pPr>
      <w:bookmarkStart w:id="81" w:name="_Toc483474628"/>
      <w:r>
        <w:rPr>
          <w:noProof/>
          <w:color w:val="548DD4" w:themeColor="text2" w:themeTint="99"/>
          <w:lang w:eastAsia="fr-FR" w:bidi="ar-SA"/>
        </w:rPr>
        <w:lastRenderedPageBreak/>
        <mc:AlternateContent>
          <mc:Choice Requires="wps">
            <w:drawing>
              <wp:anchor distT="4294967291" distB="4294967291" distL="114300" distR="114300" simplePos="0" relativeHeight="251680768" behindDoc="0" locked="0" layoutInCell="1" allowOverlap="1">
                <wp:simplePos x="0" y="0"/>
                <wp:positionH relativeFrom="column">
                  <wp:posOffset>164465</wp:posOffset>
                </wp:positionH>
                <wp:positionV relativeFrom="paragraph">
                  <wp:posOffset>394334</wp:posOffset>
                </wp:positionV>
                <wp:extent cx="5760085" cy="0"/>
                <wp:effectExtent l="0" t="0" r="12065" b="19050"/>
                <wp:wrapNone/>
                <wp:docPr id="40" name="Auto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764573" id="AutoShape 33" o:spid="_x0000_s1026" type="#_x0000_t32" style="position:absolute;margin-left:12.95pt;margin-top:31.05pt;width:453.55pt;height:0;z-index:25168076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"/>
            </w:pict>
          </mc:Fallback>
        </mc:AlternateContent>
      </w:r>
      <w:r w:rsidR="0013111F" w:rsidRPr="00620478">
        <w:rPr>
          <w:color w:val="548DD4" w:themeColor="text2" w:themeTint="99"/>
          <w:lang w:val="fr-CD"/>
        </w:rPr>
        <w:t>V</w:t>
      </w:r>
      <w:r w:rsidR="00187C8D" w:rsidRPr="00620478">
        <w:rPr>
          <w:color w:val="548DD4" w:themeColor="text2" w:themeTint="99"/>
          <w:lang w:val="fr-CD"/>
        </w:rPr>
        <w:t xml:space="preserve">. </w:t>
      </w:r>
      <w:bookmarkStart w:id="82" w:name="_Toc465262377"/>
      <w:r w:rsidR="00A10E04" w:rsidRPr="00620478">
        <w:rPr>
          <w:color w:val="548DD4" w:themeColor="text2" w:themeTint="99"/>
          <w:lang w:val="fr-CD"/>
        </w:rPr>
        <w:t>DISTRIBUTION DE LA DÉPENS</w:t>
      </w:r>
      <w:r w:rsidR="00ED7535" w:rsidRPr="00620478">
        <w:rPr>
          <w:color w:val="548DD4" w:themeColor="text2" w:themeTint="99"/>
          <w:lang w:val="fr-CD"/>
        </w:rPr>
        <w:t>E COURANTE DE SANTÉ DE 2011 À 2015</w:t>
      </w:r>
    </w:p>
    <w:p w:rsidR="00A10E04" w:rsidRDefault="00ED7535" w:rsidP="0091408D">
      <w:pPr>
        <w:pStyle w:val="Titre1"/>
        <w:ind w:left="426" w:hanging="256"/>
        <w:rPr>
          <w:color w:val="000000" w:themeColor="text1"/>
          <w:lang w:val="fr-CD"/>
        </w:rPr>
      </w:pPr>
      <w:r w:rsidRPr="00620478">
        <w:rPr>
          <w:color w:val="548DD4" w:themeColor="text2" w:themeTint="99"/>
          <w:lang w:val="fr-CD"/>
        </w:rPr>
        <w:t>PAR DEPARTEMENT</w:t>
      </w:r>
      <w:r w:rsidR="00A10E04" w:rsidRPr="008D45CE">
        <w:rPr>
          <w:color w:val="000000" w:themeColor="text1"/>
          <w:lang w:val="fr-CD"/>
        </w:rPr>
        <w:t xml:space="preserve"> </w:t>
      </w:r>
      <w:bookmarkEnd w:id="81"/>
      <w:bookmarkEnd w:id="82"/>
    </w:p>
    <w:p w:rsidR="00ED7535" w:rsidRDefault="00FC0668" w:rsidP="00EB5C74">
      <w:pPr>
        <w:jc w:val="both"/>
        <w:rPr>
          <w:lang w:val="fr-CD"/>
        </w:rPr>
      </w:pPr>
      <w:r>
        <w:rPr>
          <w:lang w:val="fr-CD"/>
        </w:rPr>
        <w:t xml:space="preserve">Ce chapitre qui devait traiter de la distribution des dépenses courantes par départements a été confronté  à des difficultés relatives au non désagrégation des dépenses par département au niveau de toutes les sources de financement. Certaines dépenses ont été </w:t>
      </w:r>
      <w:r w:rsidR="00E11D6D">
        <w:rPr>
          <w:lang w:val="fr-CD"/>
        </w:rPr>
        <w:t>agrégées</w:t>
      </w:r>
      <w:r>
        <w:rPr>
          <w:lang w:val="fr-CD"/>
        </w:rPr>
        <w:t xml:space="preserve"> en plusieurs départements, à titre d’exemple, les dépenses relatives à la transfusion sanguine affectées au</w:t>
      </w:r>
      <w:r w:rsidR="00E11D6D">
        <w:rPr>
          <w:lang w:val="fr-CD"/>
        </w:rPr>
        <w:t>x</w:t>
      </w:r>
      <w:r>
        <w:rPr>
          <w:lang w:val="fr-CD"/>
        </w:rPr>
        <w:t xml:space="preserve"> centre</w:t>
      </w:r>
      <w:r w:rsidR="00E11D6D">
        <w:rPr>
          <w:lang w:val="fr-CD"/>
        </w:rPr>
        <w:t>s</w:t>
      </w:r>
      <w:r>
        <w:rPr>
          <w:lang w:val="fr-CD"/>
        </w:rPr>
        <w:t xml:space="preserve"> interdépartementaux de transfusion sanguine. </w:t>
      </w:r>
    </w:p>
    <w:p w:rsidR="00FC0668" w:rsidRPr="00ED7535" w:rsidRDefault="00A52498" w:rsidP="00EB5C74">
      <w:pPr>
        <w:jc w:val="both"/>
        <w:rPr>
          <w:lang w:val="fr-CD"/>
        </w:rPr>
      </w:pPr>
      <w:r>
        <w:rPr>
          <w:lang w:val="fr-CD"/>
        </w:rPr>
        <w:t>En annexe l’esquisse de la distribution de la DCS est présentée av</w:t>
      </w:r>
      <w:r w:rsidR="00346AA3">
        <w:rPr>
          <w:lang w:val="fr-CD"/>
        </w:rPr>
        <w:t>ec les données non renseignées  pour certains départements.</w:t>
      </w:r>
    </w:p>
    <w:p w:rsidR="00B87919" w:rsidRPr="008D45CE" w:rsidRDefault="00B87919" w:rsidP="00EB5C74">
      <w:pPr>
        <w:pStyle w:val="Style2"/>
        <w:rPr>
          <w:color w:val="000000" w:themeColor="text1"/>
        </w:rPr>
      </w:pPr>
    </w:p>
    <w:p w:rsidR="00F11B14" w:rsidRDefault="00F11B14" w:rsidP="00A401E9">
      <w:pPr>
        <w:pStyle w:val="Style2"/>
        <w:rPr>
          <w:rFonts w:eastAsia="Calibri"/>
          <w:color w:val="000000" w:themeColor="text1"/>
        </w:rPr>
      </w:pPr>
    </w:p>
    <w:p w:rsidR="00EB5C74" w:rsidRDefault="00EB5C74" w:rsidP="00A401E9">
      <w:pPr>
        <w:pStyle w:val="Style2"/>
        <w:rPr>
          <w:rFonts w:eastAsia="Calibri"/>
          <w:color w:val="000000" w:themeColor="text1"/>
        </w:rPr>
      </w:pPr>
    </w:p>
    <w:p w:rsidR="00E14502" w:rsidRDefault="00E14502" w:rsidP="00EB5C74">
      <w:pPr>
        <w:rPr>
          <w:rFonts w:eastAsia="Calibri"/>
        </w:rPr>
      </w:pPr>
    </w:p>
    <w:p w:rsidR="00EB5C74" w:rsidRDefault="00EB5C74" w:rsidP="00EB5C74">
      <w:pPr>
        <w:rPr>
          <w:rFonts w:eastAsia="Calibri"/>
        </w:rPr>
      </w:pPr>
    </w:p>
    <w:p w:rsidR="00EB5C74" w:rsidRPr="00AB4855" w:rsidRDefault="00EB5C74" w:rsidP="00EB5C74">
      <w:pPr>
        <w:rPr>
          <w:rFonts w:eastAsia="Calibri"/>
        </w:rPr>
        <w:sectPr w:rsidR="00EB5C74" w:rsidRPr="00AB4855" w:rsidSect="001929DA">
          <w:headerReference w:type="default" r:id="rId61"/>
          <w:footerReference w:type="default" r:id="rId62"/>
          <w:pgSz w:w="11906" w:h="16838"/>
          <w:pgMar w:top="284" w:right="1417" w:bottom="1417" w:left="1417" w:header="708" w:footer="708" w:gutter="0"/>
          <w:cols w:space="708"/>
          <w:docGrid w:linePitch="360"/>
        </w:sectPr>
      </w:pPr>
    </w:p>
    <w:p w:rsidR="00A10E04" w:rsidRPr="008D45CE" w:rsidRDefault="00A10E04" w:rsidP="00EB5C74">
      <w:pPr>
        <w:pStyle w:val="Titre1"/>
        <w:numPr>
          <w:ilvl w:val="0"/>
          <w:numId w:val="26"/>
        </w:numPr>
        <w:rPr>
          <w:rFonts w:cs="Arial"/>
          <w:color w:val="000000" w:themeColor="text1"/>
        </w:rPr>
      </w:pPr>
      <w:bookmarkStart w:id="83" w:name="_Toc465265970"/>
      <w:bookmarkStart w:id="84" w:name="_Toc483474629"/>
      <w:r w:rsidRPr="008D45CE">
        <w:rPr>
          <w:color w:val="000000" w:themeColor="text1"/>
        </w:rPr>
        <w:lastRenderedPageBreak/>
        <w:t>CONCLUSION</w:t>
      </w:r>
      <w:bookmarkEnd w:id="83"/>
      <w:bookmarkEnd w:id="84"/>
    </w:p>
    <w:p w:rsidR="00A10E04" w:rsidRPr="008D45CE" w:rsidRDefault="00704E95" w:rsidP="00A401E9">
      <w:pPr>
        <w:pStyle w:val="Style2"/>
        <w:rPr>
          <w:rFonts w:cs="Arial"/>
          <w:color w:val="000000" w:themeColor="text1"/>
        </w:rPr>
      </w:pPr>
      <w:r>
        <w:rPr>
          <w:rFonts w:cs="Arial"/>
          <w:noProof/>
          <w:color w:val="000000" w:themeColor="text1"/>
          <w:lang w:eastAsia="fr-FR" w:bidi="ar-SA"/>
        </w:rPr>
        <mc:AlternateContent>
          <mc:Choice Requires="wps">
            <w:drawing>
              <wp:anchor distT="4294967291" distB="4294967291" distL="114300" distR="114300" simplePos="0" relativeHeight="251681792" behindDoc="0" locked="0" layoutInCell="1" allowOverlap="1">
                <wp:simplePos x="0" y="0"/>
                <wp:positionH relativeFrom="column">
                  <wp:posOffset>164465</wp:posOffset>
                </wp:positionH>
                <wp:positionV relativeFrom="paragraph">
                  <wp:posOffset>634</wp:posOffset>
                </wp:positionV>
                <wp:extent cx="5760085" cy="0"/>
                <wp:effectExtent l="0" t="0" r="12065" b="19050"/>
                <wp:wrapNone/>
                <wp:docPr id="9"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669688" id="AutoShape 34" o:spid="_x0000_s1026" type="#_x0000_t32" style="position:absolute;margin-left:12.95pt;margin-top:.05pt;width:453.55pt;height:0;z-index:25168179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"/>
            </w:pict>
          </mc:Fallback>
        </mc:AlternateContent>
      </w:r>
    </w:p>
    <w:p w:rsidR="00A10E04" w:rsidRPr="008D45CE" w:rsidRDefault="00A10E04" w:rsidP="00682FE2">
      <w:pPr>
        <w:pStyle w:val="Style2"/>
        <w:numPr>
          <w:ilvl w:val="0"/>
          <w:numId w:val="1"/>
        </w:numPr>
        <w:rPr>
          <w:rFonts w:eastAsia="Calibri"/>
          <w:color w:val="000000" w:themeColor="text1"/>
          <w:lang w:bidi="ar-SA"/>
        </w:rPr>
      </w:pPr>
      <w:r w:rsidRPr="008D45CE">
        <w:rPr>
          <w:rFonts w:eastAsia="Calibri"/>
          <w:color w:val="000000" w:themeColor="text1"/>
          <w:lang w:bidi="ar-SA"/>
        </w:rPr>
        <w:t xml:space="preserve">Ce rapport permet au Gouvernement et à ses différents partenaires de mieux connaitre les dépenses réellement effectuées dans le secteur de la santé pour la restauration, le maintien et l’amélioration de l’état de santé de la population congolaise. </w:t>
      </w:r>
    </w:p>
    <w:p w:rsidR="00A10E04" w:rsidRPr="008D45CE" w:rsidRDefault="00A10E04" w:rsidP="00A401E9">
      <w:pPr>
        <w:pStyle w:val="Style2"/>
        <w:rPr>
          <w:rFonts w:eastAsia="Calibri"/>
          <w:color w:val="000000" w:themeColor="text1"/>
          <w:lang w:bidi="ar-SA"/>
        </w:rPr>
      </w:pPr>
    </w:p>
    <w:p w:rsidR="00A10E04" w:rsidRPr="008D45CE" w:rsidRDefault="00A10E04" w:rsidP="00682FE2">
      <w:pPr>
        <w:pStyle w:val="Style2"/>
        <w:numPr>
          <w:ilvl w:val="0"/>
          <w:numId w:val="1"/>
        </w:numPr>
        <w:rPr>
          <w:rFonts w:eastAsia="Calibri"/>
          <w:color w:val="000000" w:themeColor="text1"/>
          <w:lang w:bidi="ar-SA"/>
        </w:rPr>
      </w:pPr>
      <w:r w:rsidRPr="008D45CE">
        <w:rPr>
          <w:rFonts w:eastAsia="Calibri"/>
          <w:color w:val="000000" w:themeColor="text1"/>
          <w:lang w:bidi="ar-SA"/>
        </w:rPr>
        <w:t xml:space="preserve">Les données fournies et analysées aident à la prise de décisions politiques sur base des faits avérés. Elles renseignent également sur l’utilisation des ressources financières mobilisées et affectées dans les différents Services tant au niveau central, provincial que périphérique.  </w:t>
      </w:r>
    </w:p>
    <w:p w:rsidR="00A10E04" w:rsidRPr="008D45CE" w:rsidRDefault="00A10E04" w:rsidP="00A401E9">
      <w:pPr>
        <w:pStyle w:val="Style2"/>
        <w:rPr>
          <w:rFonts w:eastAsia="Calibri"/>
          <w:color w:val="000000" w:themeColor="text1"/>
          <w:lang w:bidi="ar-SA"/>
        </w:rPr>
      </w:pPr>
    </w:p>
    <w:p w:rsidR="00A10E04" w:rsidRPr="008D45CE" w:rsidRDefault="00A10E04" w:rsidP="00682FE2">
      <w:pPr>
        <w:pStyle w:val="Style2"/>
        <w:numPr>
          <w:ilvl w:val="0"/>
          <w:numId w:val="1"/>
        </w:numPr>
        <w:rPr>
          <w:rFonts w:eastAsia="Calibri"/>
          <w:color w:val="000000" w:themeColor="text1"/>
          <w:lang w:bidi="ar-SA"/>
        </w:rPr>
      </w:pPr>
      <w:r w:rsidRPr="008D45CE">
        <w:rPr>
          <w:rFonts w:eastAsia="Calibri"/>
          <w:color w:val="000000" w:themeColor="text1"/>
          <w:lang w:bidi="ar-SA"/>
        </w:rPr>
        <w:t xml:space="preserve">Elles montrent la part du financement de la santé du Gouvernement à travers le </w:t>
      </w:r>
      <w:r w:rsidR="0064296A" w:rsidRPr="008D45CE">
        <w:rPr>
          <w:rFonts w:eastAsia="Calibri"/>
          <w:color w:val="000000" w:themeColor="text1"/>
          <w:lang w:bidi="ar-SA"/>
        </w:rPr>
        <w:t xml:space="preserve">Budget </w:t>
      </w:r>
      <w:r w:rsidRPr="008D45CE">
        <w:rPr>
          <w:rFonts w:eastAsia="Calibri"/>
          <w:color w:val="000000" w:themeColor="text1"/>
          <w:lang w:bidi="ar-SA"/>
        </w:rPr>
        <w:t xml:space="preserve">de l’Etat et autres interventions économiques liées à la santé, de même que celle des Partenaires </w:t>
      </w:r>
      <w:r w:rsidR="0064296A" w:rsidRPr="008D45CE">
        <w:rPr>
          <w:rFonts w:eastAsia="Calibri"/>
          <w:color w:val="000000" w:themeColor="text1"/>
          <w:lang w:bidi="ar-SA"/>
        </w:rPr>
        <w:t xml:space="preserve">Techniques </w:t>
      </w:r>
      <w:r w:rsidRPr="008D45CE">
        <w:rPr>
          <w:rFonts w:eastAsia="Calibri"/>
          <w:color w:val="000000" w:themeColor="text1"/>
          <w:lang w:bidi="ar-SA"/>
        </w:rPr>
        <w:t xml:space="preserve">et </w:t>
      </w:r>
      <w:r w:rsidR="0064296A" w:rsidRPr="008D45CE">
        <w:rPr>
          <w:rFonts w:eastAsia="Calibri"/>
          <w:color w:val="000000" w:themeColor="text1"/>
          <w:lang w:bidi="ar-SA"/>
        </w:rPr>
        <w:t xml:space="preserve">Financiers </w:t>
      </w:r>
      <w:r w:rsidRPr="008D45CE">
        <w:rPr>
          <w:rFonts w:eastAsia="Calibri"/>
          <w:color w:val="000000" w:themeColor="text1"/>
          <w:lang w:bidi="ar-SA"/>
        </w:rPr>
        <w:t xml:space="preserve">dans le cadre de leurs appuis au secteur santé, ainsi que les dépenses de santé supportées par les ménages pour les services et soins de santé qui leur sont offerts, les dépenses de </w:t>
      </w:r>
      <w:r w:rsidR="0064296A" w:rsidRPr="008D45CE">
        <w:rPr>
          <w:rFonts w:eastAsia="Calibri"/>
          <w:color w:val="000000" w:themeColor="text1"/>
          <w:lang w:bidi="ar-SA"/>
        </w:rPr>
        <w:t xml:space="preserve">Santé </w:t>
      </w:r>
      <w:r w:rsidRPr="008D45CE">
        <w:rPr>
          <w:rFonts w:eastAsia="Calibri"/>
          <w:color w:val="000000" w:themeColor="text1"/>
          <w:lang w:bidi="ar-SA"/>
        </w:rPr>
        <w:t xml:space="preserve">de la </w:t>
      </w:r>
      <w:r w:rsidR="0064296A" w:rsidRPr="008D45CE">
        <w:rPr>
          <w:rFonts w:eastAsia="Calibri"/>
          <w:color w:val="000000" w:themeColor="text1"/>
          <w:lang w:bidi="ar-SA"/>
        </w:rPr>
        <w:t>Reproduction</w:t>
      </w:r>
      <w:r w:rsidRPr="008D45CE">
        <w:rPr>
          <w:rFonts w:eastAsia="Calibri"/>
          <w:color w:val="000000" w:themeColor="text1"/>
          <w:lang w:bidi="ar-SA"/>
        </w:rPr>
        <w:t xml:space="preserve">, de la </w:t>
      </w:r>
      <w:r w:rsidR="0064296A" w:rsidRPr="008D45CE">
        <w:rPr>
          <w:rFonts w:eastAsia="Calibri"/>
          <w:color w:val="000000" w:themeColor="text1"/>
          <w:lang w:bidi="ar-SA"/>
        </w:rPr>
        <w:t>Mère</w:t>
      </w:r>
      <w:r w:rsidRPr="008D45CE">
        <w:rPr>
          <w:rFonts w:eastAsia="Calibri"/>
          <w:color w:val="000000" w:themeColor="text1"/>
          <w:lang w:bidi="ar-SA"/>
        </w:rPr>
        <w:t xml:space="preserve">, </w:t>
      </w:r>
      <w:r w:rsidR="0064296A" w:rsidRPr="008D45CE">
        <w:rPr>
          <w:rFonts w:eastAsia="Calibri"/>
          <w:color w:val="000000" w:themeColor="text1"/>
          <w:lang w:bidi="ar-SA"/>
        </w:rPr>
        <w:t>du Nouveau-né</w:t>
      </w:r>
      <w:r w:rsidRPr="008D45CE">
        <w:rPr>
          <w:rFonts w:eastAsia="Calibri"/>
          <w:color w:val="000000" w:themeColor="text1"/>
          <w:lang w:bidi="ar-SA"/>
        </w:rPr>
        <w:t xml:space="preserve">, </w:t>
      </w:r>
      <w:r w:rsidR="0064296A" w:rsidRPr="008D45CE">
        <w:rPr>
          <w:rFonts w:eastAsia="Calibri"/>
          <w:color w:val="000000" w:themeColor="text1"/>
          <w:lang w:bidi="ar-SA"/>
        </w:rPr>
        <w:t>de l’Enfant et de l’A</w:t>
      </w:r>
      <w:r w:rsidRPr="008D45CE">
        <w:rPr>
          <w:rFonts w:eastAsia="Calibri"/>
          <w:color w:val="000000" w:themeColor="text1"/>
          <w:lang w:bidi="ar-SA"/>
        </w:rPr>
        <w:t xml:space="preserve">dolescent, celles de la lutte contre la maladie en rapport avec les maladies infectieuses et parasitaires, les carences nutritionnelles, les maladies non transmissibles, le traumatisme, </w:t>
      </w:r>
      <w:r w:rsidR="0064296A" w:rsidRPr="008D45CE">
        <w:rPr>
          <w:rFonts w:eastAsia="Calibri"/>
          <w:color w:val="000000" w:themeColor="text1"/>
          <w:lang w:bidi="ar-SA"/>
        </w:rPr>
        <w:t>etc.</w:t>
      </w:r>
      <w:r w:rsidRPr="008D45CE">
        <w:rPr>
          <w:rFonts w:eastAsia="Calibri"/>
          <w:color w:val="000000" w:themeColor="text1"/>
          <w:lang w:bidi="ar-SA"/>
        </w:rPr>
        <w:t xml:space="preserve">…  </w:t>
      </w:r>
    </w:p>
    <w:p w:rsidR="00A10E04" w:rsidRPr="008D45CE" w:rsidRDefault="00A10E04" w:rsidP="00A401E9">
      <w:pPr>
        <w:pStyle w:val="Style2"/>
        <w:rPr>
          <w:rFonts w:eastAsia="Calibri"/>
          <w:color w:val="000000" w:themeColor="text1"/>
          <w:lang w:bidi="ar-SA"/>
        </w:rPr>
      </w:pPr>
    </w:p>
    <w:p w:rsidR="00A10E04" w:rsidRPr="008D45CE" w:rsidRDefault="00A10E04" w:rsidP="00682FE2">
      <w:pPr>
        <w:pStyle w:val="Style2"/>
        <w:numPr>
          <w:ilvl w:val="0"/>
          <w:numId w:val="1"/>
        </w:numPr>
        <w:rPr>
          <w:rFonts w:eastAsia="Calibri"/>
          <w:color w:val="000000" w:themeColor="text1"/>
          <w:lang w:bidi="ar-SA"/>
        </w:rPr>
      </w:pPr>
      <w:r w:rsidRPr="008D45CE">
        <w:rPr>
          <w:rFonts w:eastAsia="Calibri"/>
          <w:color w:val="000000" w:themeColor="text1"/>
          <w:lang w:bidi="ar-SA"/>
        </w:rPr>
        <w:t xml:space="preserve">Les résultats ont aussi montré que la part du Budget de l’Etat allouée à la santé reste faible au regard de l’engagement d’Abuja pris par les Chefs d’Etats et des Gouvernements qui consistait à accorder au moins 15% du Budget de l’Etat au secteur de la santé. </w:t>
      </w:r>
    </w:p>
    <w:p w:rsidR="00A10E04" w:rsidRPr="008D45CE" w:rsidRDefault="00A10E04" w:rsidP="00A401E9">
      <w:pPr>
        <w:pStyle w:val="Style2"/>
        <w:rPr>
          <w:rFonts w:eastAsia="Calibri"/>
          <w:color w:val="000000" w:themeColor="text1"/>
          <w:lang w:bidi="ar-SA"/>
        </w:rPr>
      </w:pPr>
    </w:p>
    <w:p w:rsidR="00A10E04" w:rsidRPr="008D45CE" w:rsidRDefault="00A10E04" w:rsidP="00682FE2">
      <w:pPr>
        <w:pStyle w:val="Style2"/>
        <w:numPr>
          <w:ilvl w:val="0"/>
          <w:numId w:val="1"/>
        </w:numPr>
        <w:rPr>
          <w:rFonts w:eastAsia="Calibri"/>
          <w:color w:val="000000" w:themeColor="text1"/>
          <w:lang w:bidi="ar-SA"/>
        </w:rPr>
      </w:pPr>
      <w:r w:rsidRPr="008D45CE">
        <w:rPr>
          <w:rFonts w:eastAsia="Calibri"/>
          <w:color w:val="000000" w:themeColor="text1"/>
          <w:lang w:bidi="ar-SA"/>
        </w:rPr>
        <w:t xml:space="preserve">Les ménages continuent de supporter une part importante des dépenses des services et soins de santé dont ils sont bénéficiaires à tous les niveaux. Ce lourd fardeau qui pèse sur eux occasionne une barrière financière à l’accès aux services et soins de santé dont ils ont besoin là où ils se trouvent. </w:t>
      </w:r>
    </w:p>
    <w:p w:rsidR="00A10E04" w:rsidRPr="008D45CE" w:rsidRDefault="00A10E04" w:rsidP="00A401E9">
      <w:pPr>
        <w:pStyle w:val="Style2"/>
        <w:rPr>
          <w:rFonts w:eastAsia="Calibri"/>
          <w:color w:val="000000" w:themeColor="text1"/>
          <w:lang w:bidi="ar-SA"/>
        </w:rPr>
      </w:pPr>
    </w:p>
    <w:p w:rsidR="00A10E04" w:rsidRPr="008D45CE" w:rsidRDefault="00A10E04" w:rsidP="00682FE2">
      <w:pPr>
        <w:pStyle w:val="Style2"/>
        <w:numPr>
          <w:ilvl w:val="0"/>
          <w:numId w:val="1"/>
        </w:numPr>
        <w:rPr>
          <w:rFonts w:eastAsia="Calibri"/>
          <w:color w:val="000000" w:themeColor="text1"/>
          <w:lang w:bidi="ar-SA"/>
        </w:rPr>
      </w:pPr>
      <w:r w:rsidRPr="008D45CE">
        <w:rPr>
          <w:rFonts w:eastAsia="Calibri"/>
          <w:color w:val="000000" w:themeColor="text1"/>
          <w:lang w:bidi="ar-SA"/>
        </w:rPr>
        <w:t xml:space="preserve">Les dépenses du Reste du </w:t>
      </w:r>
      <w:r w:rsidR="0064296A" w:rsidRPr="008D45CE">
        <w:rPr>
          <w:rFonts w:eastAsia="Calibri"/>
          <w:color w:val="000000" w:themeColor="text1"/>
          <w:lang w:bidi="ar-SA"/>
        </w:rPr>
        <w:t xml:space="preserve">Monde </w:t>
      </w:r>
      <w:r w:rsidRPr="008D45CE">
        <w:rPr>
          <w:rFonts w:eastAsia="Calibri"/>
          <w:color w:val="000000" w:themeColor="text1"/>
          <w:lang w:bidi="ar-SA"/>
        </w:rPr>
        <w:t>sont plus importantes, mais elles sont plus orientées vers les soins préventifs et la gestion des appuis apportés au secteur de la santé. Toutefois, la part apportée par le Fonds Mondial dans la lutte contre le paludisme, la tuberculose et le VIH/Sida dans la prise en charge des cas reste plus élevée par rapport aux autres financements étrangers de la lutte contre les trois maladies.</w:t>
      </w:r>
    </w:p>
    <w:p w:rsidR="00A10E04" w:rsidRPr="008D45CE" w:rsidRDefault="00A10E04" w:rsidP="00A401E9">
      <w:pPr>
        <w:pStyle w:val="Style2"/>
        <w:rPr>
          <w:rFonts w:eastAsia="Calibri"/>
          <w:color w:val="000000" w:themeColor="text1"/>
          <w:lang w:bidi="ar-SA"/>
        </w:rPr>
      </w:pPr>
    </w:p>
    <w:p w:rsidR="00A10E04" w:rsidRPr="008D45CE" w:rsidRDefault="00A10E04" w:rsidP="00682FE2">
      <w:pPr>
        <w:pStyle w:val="Style2"/>
        <w:numPr>
          <w:ilvl w:val="0"/>
          <w:numId w:val="1"/>
        </w:numPr>
        <w:rPr>
          <w:rFonts w:eastAsia="Calibri"/>
          <w:color w:val="000000" w:themeColor="text1"/>
          <w:lang w:bidi="ar-SA"/>
        </w:rPr>
      </w:pPr>
      <w:r w:rsidRPr="008D45CE">
        <w:rPr>
          <w:rFonts w:eastAsia="Calibri"/>
          <w:color w:val="000000" w:themeColor="text1"/>
          <w:lang w:bidi="ar-SA"/>
        </w:rPr>
        <w:t xml:space="preserve">Enfin, l’information que fournissent les comptes de la santé est utilisée dans le processus de prise de décisions parce qu’il s’agit d’une évaluation de l’utilisation actuelle des ressources. Elle est aussi utilisée pour comparer le système de financement de la santé </w:t>
      </w:r>
      <w:r w:rsidR="008C75CC">
        <w:rPr>
          <w:rFonts w:eastAsia="Calibri"/>
          <w:color w:val="000000" w:themeColor="text1"/>
          <w:lang w:bidi="ar-SA"/>
        </w:rPr>
        <w:t>du</w:t>
      </w:r>
      <w:r w:rsidRPr="008D45CE">
        <w:rPr>
          <w:rFonts w:eastAsia="Calibri"/>
          <w:color w:val="000000" w:themeColor="text1"/>
          <w:lang w:bidi="ar-SA"/>
        </w:rPr>
        <w:t xml:space="preserve"> </w:t>
      </w:r>
      <w:r w:rsidR="008C75CC">
        <w:rPr>
          <w:rFonts w:eastAsia="Calibri"/>
          <w:color w:val="000000" w:themeColor="text1"/>
          <w:lang w:bidi="ar-SA"/>
        </w:rPr>
        <w:t>Congo</w:t>
      </w:r>
      <w:r w:rsidRPr="008D45CE">
        <w:rPr>
          <w:rFonts w:eastAsia="Calibri"/>
          <w:color w:val="000000" w:themeColor="text1"/>
          <w:lang w:bidi="ar-SA"/>
        </w:rPr>
        <w:t xml:space="preserve"> aux autres pays à revenu moyen et faible. Les données présentées dans ce rapport ont permis de suivre l’évolution des dépenses de </w:t>
      </w:r>
      <w:r w:rsidRPr="008D45CE">
        <w:rPr>
          <w:rFonts w:eastAsia="Calibri"/>
          <w:color w:val="000000" w:themeColor="text1"/>
          <w:lang w:bidi="ar-SA"/>
        </w:rPr>
        <w:lastRenderedPageBreak/>
        <w:t>santé de différents acteurs agissant</w:t>
      </w:r>
      <w:r w:rsidR="004B60D1">
        <w:rPr>
          <w:rFonts w:eastAsia="Calibri"/>
          <w:color w:val="000000" w:themeColor="text1"/>
          <w:lang w:bidi="ar-SA"/>
        </w:rPr>
        <w:t xml:space="preserve"> dans le secteur de la santé au Congo</w:t>
      </w:r>
      <w:r w:rsidRPr="008D45CE">
        <w:rPr>
          <w:rFonts w:eastAsia="Calibri"/>
          <w:color w:val="000000" w:themeColor="text1"/>
          <w:lang w:bidi="ar-SA"/>
        </w:rPr>
        <w:t>. Elles ont aussi permis de jeter une base solide de discussions et de plaidoyer pour amélior</w:t>
      </w:r>
      <w:r w:rsidR="00B233CF">
        <w:rPr>
          <w:rFonts w:eastAsia="Calibri"/>
          <w:color w:val="000000" w:themeColor="text1"/>
          <w:lang w:bidi="ar-SA"/>
        </w:rPr>
        <w:t>er le financement de la santé au</w:t>
      </w:r>
      <w:r w:rsidRPr="008D45CE">
        <w:rPr>
          <w:rFonts w:eastAsia="Calibri"/>
          <w:color w:val="000000" w:themeColor="text1"/>
          <w:lang w:bidi="ar-SA"/>
        </w:rPr>
        <w:t xml:space="preserve"> </w:t>
      </w:r>
      <w:r w:rsidR="00B233CF">
        <w:rPr>
          <w:rFonts w:eastAsia="Calibri"/>
          <w:color w:val="000000" w:themeColor="text1"/>
          <w:lang w:bidi="ar-SA"/>
        </w:rPr>
        <w:t>Congo</w:t>
      </w:r>
      <w:r w:rsidRPr="008D45CE">
        <w:rPr>
          <w:rFonts w:eastAsia="Calibri"/>
          <w:color w:val="000000" w:themeColor="text1"/>
          <w:lang w:bidi="ar-SA"/>
        </w:rPr>
        <w:t>.</w:t>
      </w:r>
    </w:p>
    <w:p w:rsidR="00A10E04" w:rsidRPr="008D45CE" w:rsidRDefault="00A10E04" w:rsidP="00A401E9">
      <w:pPr>
        <w:autoSpaceDE w:val="0"/>
        <w:autoSpaceDN w:val="0"/>
        <w:adjustRightInd w:val="0"/>
        <w:spacing w:line="276" w:lineRule="auto"/>
        <w:jc w:val="both"/>
        <w:rPr>
          <w:rFonts w:eastAsia="Calibri"/>
          <w:color w:val="000000" w:themeColor="text1"/>
          <w:sz w:val="23"/>
          <w:szCs w:val="23"/>
          <w:lang w:bidi="ar-SA"/>
        </w:rPr>
      </w:pPr>
    </w:p>
    <w:p w:rsidR="00A10E04" w:rsidRPr="008D45CE" w:rsidRDefault="00A10E04" w:rsidP="00EB5C74">
      <w:pPr>
        <w:autoSpaceDE w:val="0"/>
        <w:autoSpaceDN w:val="0"/>
        <w:adjustRightInd w:val="0"/>
        <w:ind w:firstLine="708"/>
        <w:jc w:val="both"/>
        <w:rPr>
          <w:rFonts w:eastAsia="Calibri"/>
          <w:color w:val="000000" w:themeColor="text1"/>
          <w:sz w:val="23"/>
          <w:szCs w:val="23"/>
          <w:lang w:bidi="ar-SA"/>
        </w:rPr>
      </w:pPr>
    </w:p>
    <w:p w:rsidR="00A10E04" w:rsidRPr="008D45CE" w:rsidRDefault="00A10E04" w:rsidP="00045FB8">
      <w:pPr>
        <w:pStyle w:val="Titre1"/>
        <w:rPr>
          <w:color w:val="000000" w:themeColor="text1"/>
        </w:rPr>
      </w:pPr>
      <w:r w:rsidRPr="008D45CE">
        <w:rPr>
          <w:rFonts w:eastAsia="Calibri"/>
          <w:color w:val="000000" w:themeColor="text1"/>
          <w:lang w:bidi="ar-SA"/>
        </w:rPr>
        <w:br w:type="page"/>
      </w:r>
      <w:bookmarkStart w:id="85" w:name="_Toc465265971"/>
      <w:bookmarkStart w:id="86" w:name="_Toc483474630"/>
      <w:r w:rsidRPr="008D45CE">
        <w:rPr>
          <w:color w:val="000000" w:themeColor="text1"/>
        </w:rPr>
        <w:lastRenderedPageBreak/>
        <w:t>RECOMMANDATIONS</w:t>
      </w:r>
      <w:bookmarkEnd w:id="85"/>
      <w:bookmarkEnd w:id="86"/>
    </w:p>
    <w:p w:rsidR="00A10E04" w:rsidRPr="008D45CE" w:rsidRDefault="00704E95" w:rsidP="00A401E9">
      <w:pPr>
        <w:autoSpaceDE w:val="0"/>
        <w:autoSpaceDN w:val="0"/>
        <w:adjustRightInd w:val="0"/>
        <w:rPr>
          <w:rFonts w:eastAsia="Calibri"/>
          <w:color w:val="000000" w:themeColor="text1"/>
          <w:lang w:bidi="ar-SA"/>
        </w:rPr>
      </w:pPr>
      <w:r>
        <w:rPr>
          <w:noProof/>
          <w:color w:val="000000" w:themeColor="text1"/>
          <w:lang w:eastAsia="fr-FR" w:bidi="ar-SA"/>
        </w:rPr>
        <mc:AlternateContent>
          <mc:Choice Requires="wps">
            <w:drawing>
              <wp:anchor distT="4294967291" distB="4294967291" distL="114300" distR="114300" simplePos="0" relativeHeight="251682816" behindDoc="0" locked="0" layoutInCell="1" allowOverlap="1">
                <wp:simplePos x="0" y="0"/>
                <wp:positionH relativeFrom="column">
                  <wp:posOffset>164465</wp:posOffset>
                </wp:positionH>
                <wp:positionV relativeFrom="paragraph">
                  <wp:posOffset>-4446</wp:posOffset>
                </wp:positionV>
                <wp:extent cx="5760085" cy="0"/>
                <wp:effectExtent l="0" t="0" r="12065" b="19050"/>
                <wp:wrapNone/>
                <wp:docPr id="7"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54F29A0" id="AutoShape 35" o:spid="_x0000_s1026" type="#_x0000_t32" style="position:absolute;margin-left:12.95pt;margin-top:-.35pt;width:453.55pt;height:0;z-index:25168281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"/>
            </w:pict>
          </mc:Fallback>
        </mc:AlternateContent>
      </w:r>
    </w:p>
    <w:p w:rsidR="00A10E04" w:rsidRPr="008D45CE" w:rsidRDefault="00A46E35" w:rsidP="00C17734">
      <w:pPr>
        <w:pStyle w:val="Style2"/>
        <w:rPr>
          <w:rFonts w:eastAsia="Calibri"/>
          <w:b/>
          <w:color w:val="000000" w:themeColor="text1"/>
          <w:lang w:bidi="ar-SA"/>
        </w:rPr>
      </w:pPr>
      <w:r>
        <w:rPr>
          <w:rFonts w:eastAsia="Calibri"/>
          <w:b/>
          <w:color w:val="000000" w:themeColor="text1"/>
          <w:lang w:bidi="ar-SA"/>
        </w:rPr>
        <w:t>I. Au</w:t>
      </w:r>
      <w:r w:rsidR="00EB5C74">
        <w:rPr>
          <w:rFonts w:eastAsia="Calibri"/>
          <w:b/>
          <w:color w:val="000000" w:themeColor="text1"/>
          <w:lang w:bidi="ar-SA"/>
        </w:rPr>
        <w:t xml:space="preserve"> Gouvernement du</w:t>
      </w:r>
      <w:r w:rsidR="00A10E04" w:rsidRPr="008D45CE">
        <w:rPr>
          <w:rFonts w:eastAsia="Calibri"/>
          <w:b/>
          <w:color w:val="000000" w:themeColor="text1"/>
          <w:lang w:bidi="ar-SA"/>
        </w:rPr>
        <w:t xml:space="preserve"> </w:t>
      </w:r>
      <w:r w:rsidR="00EB5C74">
        <w:rPr>
          <w:rFonts w:eastAsia="Calibri"/>
          <w:b/>
          <w:color w:val="000000" w:themeColor="text1"/>
          <w:lang w:bidi="ar-SA"/>
        </w:rPr>
        <w:t>Congolais</w:t>
      </w:r>
    </w:p>
    <w:p w:rsidR="00A10E04" w:rsidRPr="008D45CE" w:rsidRDefault="00A10E04" w:rsidP="00682FE2">
      <w:pPr>
        <w:pStyle w:val="Style2"/>
        <w:numPr>
          <w:ilvl w:val="0"/>
          <w:numId w:val="2"/>
        </w:numPr>
        <w:rPr>
          <w:rFonts w:eastAsia="Calibri"/>
          <w:color w:val="000000" w:themeColor="text1"/>
          <w:lang w:bidi="ar-SA"/>
        </w:rPr>
      </w:pPr>
      <w:r w:rsidRPr="008D45CE">
        <w:rPr>
          <w:rFonts w:eastAsia="Calibri"/>
          <w:color w:val="000000" w:themeColor="text1"/>
          <w:lang w:bidi="ar-SA"/>
        </w:rPr>
        <w:t>A</w:t>
      </w:r>
      <w:r w:rsidR="00C17734" w:rsidRPr="008D45CE">
        <w:rPr>
          <w:rFonts w:eastAsia="Calibri"/>
          <w:color w:val="000000" w:themeColor="text1"/>
          <w:lang w:bidi="ar-SA"/>
        </w:rPr>
        <w:t xml:space="preserve">ugmenter le </w:t>
      </w:r>
      <w:r w:rsidR="0064296A" w:rsidRPr="008D45CE">
        <w:rPr>
          <w:rFonts w:eastAsia="Calibri"/>
          <w:color w:val="000000" w:themeColor="text1"/>
          <w:lang w:bidi="ar-SA"/>
        </w:rPr>
        <w:t xml:space="preserve">Budget </w:t>
      </w:r>
      <w:r w:rsidRPr="008D45CE">
        <w:rPr>
          <w:rFonts w:eastAsia="Calibri"/>
          <w:color w:val="000000" w:themeColor="text1"/>
          <w:lang w:bidi="ar-SA"/>
        </w:rPr>
        <w:t>de l’</w:t>
      </w:r>
      <w:r w:rsidR="00C17734" w:rsidRPr="008D45CE">
        <w:rPr>
          <w:rFonts w:eastAsia="Calibri"/>
          <w:color w:val="000000" w:themeColor="text1"/>
          <w:lang w:bidi="ar-SA"/>
        </w:rPr>
        <w:t xml:space="preserve">Etat consacré à la santé </w:t>
      </w:r>
      <w:r w:rsidRPr="008D45CE">
        <w:rPr>
          <w:rFonts w:eastAsia="Calibri"/>
          <w:color w:val="000000" w:themeColor="text1"/>
          <w:lang w:bidi="ar-SA"/>
        </w:rPr>
        <w:t>d’au moins 15%</w:t>
      </w:r>
      <w:r w:rsidR="00C17734" w:rsidRPr="008D45CE">
        <w:rPr>
          <w:rFonts w:eastAsia="Calibri"/>
          <w:color w:val="000000" w:themeColor="text1"/>
          <w:lang w:bidi="ar-SA"/>
        </w:rPr>
        <w:t> </w:t>
      </w:r>
      <w:r w:rsidR="005A7255" w:rsidRPr="008D45CE">
        <w:rPr>
          <w:rFonts w:eastAsia="Calibri"/>
          <w:color w:val="000000" w:themeColor="text1"/>
          <w:lang w:bidi="ar-SA"/>
        </w:rPr>
        <w:t>et en améliorer l’exécution ;</w:t>
      </w:r>
    </w:p>
    <w:p w:rsidR="00385BC1" w:rsidRPr="008D45CE" w:rsidRDefault="0064296A" w:rsidP="00682FE2">
      <w:pPr>
        <w:pStyle w:val="Style2"/>
        <w:numPr>
          <w:ilvl w:val="0"/>
          <w:numId w:val="2"/>
        </w:numPr>
        <w:rPr>
          <w:rFonts w:eastAsia="Calibri"/>
          <w:color w:val="000000" w:themeColor="text1"/>
          <w:lang w:bidi="ar-SA"/>
        </w:rPr>
      </w:pPr>
      <w:r w:rsidRPr="008D45CE">
        <w:rPr>
          <w:rFonts w:eastAsia="Calibri"/>
          <w:color w:val="000000" w:themeColor="text1"/>
          <w:lang w:bidi="ar-SA"/>
        </w:rPr>
        <w:t>Accroî</w:t>
      </w:r>
      <w:r w:rsidR="00C17734" w:rsidRPr="008D45CE">
        <w:rPr>
          <w:rFonts w:eastAsia="Calibri"/>
          <w:color w:val="000000" w:themeColor="text1"/>
          <w:lang w:bidi="ar-SA"/>
        </w:rPr>
        <w:t xml:space="preserve">tre l’allocation des ressources financières au niveau </w:t>
      </w:r>
      <w:r w:rsidR="00385BC1" w:rsidRPr="008D45CE">
        <w:rPr>
          <w:rFonts w:eastAsia="Calibri"/>
          <w:color w:val="000000" w:themeColor="text1"/>
          <w:lang w:bidi="ar-SA"/>
        </w:rPr>
        <w:t xml:space="preserve">provincial à hauteur d’au moins 10 % par rapport aux prévisions budgétaires du PNDS; </w:t>
      </w:r>
    </w:p>
    <w:p w:rsidR="00A10E04" w:rsidRPr="008D45CE" w:rsidRDefault="0064296A" w:rsidP="00682FE2">
      <w:pPr>
        <w:pStyle w:val="Style2"/>
        <w:numPr>
          <w:ilvl w:val="0"/>
          <w:numId w:val="2"/>
        </w:numPr>
        <w:rPr>
          <w:rFonts w:eastAsia="Calibri"/>
          <w:color w:val="000000" w:themeColor="text1"/>
          <w:lang w:bidi="ar-SA"/>
        </w:rPr>
      </w:pPr>
      <w:r w:rsidRPr="008D45CE">
        <w:rPr>
          <w:rFonts w:eastAsia="Calibri"/>
          <w:color w:val="000000" w:themeColor="text1"/>
          <w:lang w:bidi="ar-SA"/>
        </w:rPr>
        <w:t>Accroî</w:t>
      </w:r>
      <w:r w:rsidR="00385BC1" w:rsidRPr="008D45CE">
        <w:rPr>
          <w:rFonts w:eastAsia="Calibri"/>
          <w:color w:val="000000" w:themeColor="text1"/>
          <w:lang w:bidi="ar-SA"/>
        </w:rPr>
        <w:t xml:space="preserve">tre le financement de la </w:t>
      </w:r>
      <w:r w:rsidR="00A10E04" w:rsidRPr="008D45CE">
        <w:rPr>
          <w:rFonts w:eastAsia="Calibri"/>
          <w:color w:val="000000" w:themeColor="text1"/>
          <w:lang w:bidi="ar-SA"/>
        </w:rPr>
        <w:t xml:space="preserve">santé </w:t>
      </w:r>
      <w:r w:rsidR="00385BC1" w:rsidRPr="008D45CE">
        <w:rPr>
          <w:rFonts w:eastAsia="Calibri"/>
          <w:color w:val="000000" w:themeColor="text1"/>
          <w:lang w:bidi="ar-SA"/>
        </w:rPr>
        <w:t xml:space="preserve">en faveur </w:t>
      </w:r>
      <w:r w:rsidR="00A10E04" w:rsidRPr="008D45CE">
        <w:rPr>
          <w:rFonts w:eastAsia="Calibri"/>
          <w:color w:val="000000" w:themeColor="text1"/>
          <w:lang w:bidi="ar-SA"/>
        </w:rPr>
        <w:t>des femmes, des enfants et des adolescents</w:t>
      </w:r>
      <w:r w:rsidR="00385BC1" w:rsidRPr="008D45CE">
        <w:rPr>
          <w:rFonts w:eastAsia="Calibri"/>
          <w:color w:val="000000" w:themeColor="text1"/>
          <w:lang w:bidi="ar-SA"/>
        </w:rPr>
        <w:t xml:space="preserve"> conformément à l’engagement du Gouvernement ;</w:t>
      </w:r>
    </w:p>
    <w:p w:rsidR="005A7255" w:rsidRPr="008D45CE" w:rsidRDefault="00385BC1" w:rsidP="00682FE2">
      <w:pPr>
        <w:pStyle w:val="Style2"/>
        <w:numPr>
          <w:ilvl w:val="0"/>
          <w:numId w:val="2"/>
        </w:numPr>
        <w:rPr>
          <w:rFonts w:eastAsia="Calibri"/>
          <w:color w:val="000000" w:themeColor="text1"/>
          <w:lang w:bidi="ar-SA"/>
        </w:rPr>
      </w:pPr>
      <w:r w:rsidRPr="008D45CE">
        <w:rPr>
          <w:rFonts w:eastAsia="Calibri"/>
          <w:color w:val="000000" w:themeColor="text1"/>
          <w:lang w:bidi="ar-SA"/>
        </w:rPr>
        <w:t xml:space="preserve">Mettre en place des </w:t>
      </w:r>
      <w:r w:rsidR="00A10E04" w:rsidRPr="008D45CE">
        <w:rPr>
          <w:rFonts w:eastAsia="Calibri"/>
          <w:color w:val="000000" w:themeColor="text1"/>
          <w:lang w:bidi="ar-SA"/>
        </w:rPr>
        <w:t xml:space="preserve">mécanismes </w:t>
      </w:r>
      <w:r w:rsidR="002C21BC" w:rsidRPr="008D45CE">
        <w:rPr>
          <w:rFonts w:eastAsia="Calibri"/>
          <w:color w:val="000000" w:themeColor="text1"/>
          <w:lang w:bidi="ar-SA"/>
        </w:rPr>
        <w:t>assurantiels</w:t>
      </w:r>
      <w:r w:rsidR="005A7255" w:rsidRPr="008D45CE">
        <w:rPr>
          <w:rFonts w:eastAsia="Calibri"/>
          <w:color w:val="000000" w:themeColor="text1"/>
          <w:lang w:bidi="ar-SA"/>
        </w:rPr>
        <w:t xml:space="preserve"> obligatoires en vue de la réduction de paiement direct par les ménages /populations ;</w:t>
      </w:r>
    </w:p>
    <w:p w:rsidR="005A7255" w:rsidRPr="008D45CE" w:rsidRDefault="005A7255" w:rsidP="00682FE2">
      <w:pPr>
        <w:pStyle w:val="Style2"/>
        <w:numPr>
          <w:ilvl w:val="0"/>
          <w:numId w:val="2"/>
        </w:numPr>
        <w:rPr>
          <w:rFonts w:eastAsia="Calibri"/>
          <w:color w:val="000000" w:themeColor="text1"/>
          <w:lang w:bidi="ar-SA"/>
        </w:rPr>
      </w:pPr>
      <w:r w:rsidRPr="008D45CE">
        <w:rPr>
          <w:rFonts w:eastAsia="Calibri"/>
          <w:color w:val="000000" w:themeColor="text1"/>
          <w:lang w:bidi="ar-SA"/>
        </w:rPr>
        <w:t xml:space="preserve">Améliorer l’équité dans l’allocation des ressources entre les </w:t>
      </w:r>
      <w:r w:rsidR="00263693">
        <w:rPr>
          <w:rFonts w:eastAsia="Calibri"/>
          <w:color w:val="000000" w:themeColor="text1"/>
          <w:lang w:bidi="ar-SA"/>
        </w:rPr>
        <w:t>départements</w:t>
      </w:r>
      <w:r w:rsidRPr="008D45CE">
        <w:rPr>
          <w:rFonts w:eastAsia="Calibri"/>
          <w:color w:val="000000" w:themeColor="text1"/>
          <w:lang w:bidi="ar-SA"/>
        </w:rPr>
        <w:t> ;</w:t>
      </w:r>
    </w:p>
    <w:p w:rsidR="00A10E04" w:rsidRPr="008D45CE" w:rsidRDefault="00A10E04" w:rsidP="00682FE2">
      <w:pPr>
        <w:pStyle w:val="Style2"/>
        <w:numPr>
          <w:ilvl w:val="0"/>
          <w:numId w:val="2"/>
        </w:numPr>
        <w:rPr>
          <w:rFonts w:eastAsia="Calibri"/>
          <w:color w:val="000000" w:themeColor="text1"/>
          <w:lang w:bidi="ar-SA"/>
        </w:rPr>
      </w:pPr>
      <w:r w:rsidRPr="008D45CE">
        <w:rPr>
          <w:rFonts w:eastAsia="Calibri"/>
          <w:color w:val="000000" w:themeColor="text1"/>
          <w:lang w:bidi="ar-SA"/>
        </w:rPr>
        <w:t>Inciter les Gouvernements à allouer des subsides de fonctionnement et d’investissement aux Services et Structures de santé de leur</w:t>
      </w:r>
      <w:r w:rsidRPr="008D45CE">
        <w:rPr>
          <w:rFonts w:eastAsia="Calibri"/>
          <w:color w:val="000000" w:themeColor="text1"/>
          <w:lang w:val="fr-CD" w:bidi="ar-SA"/>
        </w:rPr>
        <w:t>s</w:t>
      </w:r>
      <w:r w:rsidRPr="008D45CE">
        <w:rPr>
          <w:rFonts w:eastAsia="Calibri"/>
          <w:color w:val="000000" w:themeColor="text1"/>
          <w:lang w:bidi="ar-SA"/>
        </w:rPr>
        <w:t xml:space="preserve"> ressort</w:t>
      </w:r>
      <w:r w:rsidRPr="008D45CE">
        <w:rPr>
          <w:rFonts w:eastAsia="Calibri"/>
          <w:color w:val="000000" w:themeColor="text1"/>
          <w:lang w:val="fr-CD" w:bidi="ar-SA"/>
        </w:rPr>
        <w:t>s</w:t>
      </w:r>
      <w:r w:rsidRPr="008D45CE">
        <w:rPr>
          <w:rFonts w:eastAsia="Calibri"/>
          <w:color w:val="000000" w:themeColor="text1"/>
          <w:lang w:bidi="ar-SA"/>
        </w:rPr>
        <w:t xml:space="preserve">. </w:t>
      </w:r>
    </w:p>
    <w:p w:rsidR="00A10E04" w:rsidRPr="008D45CE" w:rsidRDefault="00A10E04" w:rsidP="00A401E9">
      <w:pPr>
        <w:autoSpaceDE w:val="0"/>
        <w:autoSpaceDN w:val="0"/>
        <w:adjustRightInd w:val="0"/>
        <w:jc w:val="both"/>
        <w:rPr>
          <w:rFonts w:eastAsia="Calibri"/>
          <w:color w:val="000000" w:themeColor="text1"/>
          <w:sz w:val="23"/>
          <w:szCs w:val="23"/>
          <w:lang w:bidi="ar-SA"/>
        </w:rPr>
      </w:pPr>
    </w:p>
    <w:p w:rsidR="00A10E04" w:rsidRPr="008D45CE" w:rsidRDefault="00A10E04" w:rsidP="00A401E9">
      <w:pPr>
        <w:pStyle w:val="Style2"/>
        <w:rPr>
          <w:rFonts w:eastAsia="Calibri"/>
          <w:b/>
          <w:color w:val="000000" w:themeColor="text1"/>
          <w:lang w:bidi="ar-SA"/>
        </w:rPr>
      </w:pPr>
      <w:r w:rsidRPr="008D45CE">
        <w:rPr>
          <w:rFonts w:eastAsia="Calibri"/>
          <w:b/>
          <w:color w:val="000000" w:themeColor="text1"/>
          <w:lang w:bidi="ar-SA"/>
        </w:rPr>
        <w:t xml:space="preserve">II. Aux </w:t>
      </w:r>
      <w:r w:rsidR="0064296A" w:rsidRPr="008D45CE">
        <w:rPr>
          <w:rFonts w:eastAsia="Calibri"/>
          <w:b/>
          <w:color w:val="000000" w:themeColor="text1"/>
          <w:lang w:bidi="ar-SA"/>
        </w:rPr>
        <w:t xml:space="preserve">Partenaires Techniques </w:t>
      </w:r>
      <w:r w:rsidRPr="008D45CE">
        <w:rPr>
          <w:rFonts w:eastAsia="Calibri"/>
          <w:b/>
          <w:color w:val="000000" w:themeColor="text1"/>
          <w:lang w:bidi="ar-SA"/>
        </w:rPr>
        <w:t xml:space="preserve">et </w:t>
      </w:r>
      <w:r w:rsidR="0064296A" w:rsidRPr="008D45CE">
        <w:rPr>
          <w:rFonts w:eastAsia="Calibri"/>
          <w:b/>
          <w:color w:val="000000" w:themeColor="text1"/>
          <w:lang w:bidi="ar-SA"/>
        </w:rPr>
        <w:t xml:space="preserve">Financiers </w:t>
      </w:r>
    </w:p>
    <w:p w:rsidR="00B803A7" w:rsidRPr="008D45CE" w:rsidRDefault="00B803A7" w:rsidP="00682FE2">
      <w:pPr>
        <w:pStyle w:val="Style2"/>
        <w:numPr>
          <w:ilvl w:val="0"/>
          <w:numId w:val="3"/>
        </w:numPr>
        <w:rPr>
          <w:rFonts w:eastAsia="Calibri"/>
          <w:color w:val="000000" w:themeColor="text1"/>
          <w:lang w:bidi="ar-SA"/>
        </w:rPr>
      </w:pPr>
      <w:r w:rsidRPr="008D45CE">
        <w:rPr>
          <w:rFonts w:eastAsia="Calibri"/>
          <w:color w:val="000000" w:themeColor="text1"/>
          <w:lang w:bidi="ar-SA"/>
        </w:rPr>
        <w:t xml:space="preserve">Fournir à temps voulu, les informations financières désagrégées pour la production régulière des </w:t>
      </w:r>
      <w:r w:rsidR="0064296A" w:rsidRPr="008D45CE">
        <w:rPr>
          <w:rFonts w:eastAsia="Calibri"/>
          <w:color w:val="000000" w:themeColor="text1"/>
          <w:lang w:bidi="ar-SA"/>
        </w:rPr>
        <w:t xml:space="preserve">Comptes </w:t>
      </w:r>
      <w:r w:rsidRPr="008D45CE">
        <w:rPr>
          <w:rFonts w:eastAsia="Calibri"/>
          <w:color w:val="000000" w:themeColor="text1"/>
          <w:lang w:bidi="ar-SA"/>
        </w:rPr>
        <w:t xml:space="preserve">de la </w:t>
      </w:r>
      <w:r w:rsidR="0064296A" w:rsidRPr="008D45CE">
        <w:rPr>
          <w:rFonts w:eastAsia="Calibri"/>
          <w:color w:val="000000" w:themeColor="text1"/>
          <w:lang w:bidi="ar-SA"/>
        </w:rPr>
        <w:t>Santé </w:t>
      </w:r>
      <w:r w:rsidRPr="008D45CE">
        <w:rPr>
          <w:rFonts w:eastAsia="Calibri"/>
          <w:color w:val="000000" w:themeColor="text1"/>
          <w:lang w:bidi="ar-SA"/>
        </w:rPr>
        <w:t>;</w:t>
      </w:r>
    </w:p>
    <w:p w:rsidR="00B803A7" w:rsidRPr="008D45CE" w:rsidRDefault="00B803A7" w:rsidP="00682FE2">
      <w:pPr>
        <w:pStyle w:val="Style2"/>
        <w:numPr>
          <w:ilvl w:val="0"/>
          <w:numId w:val="3"/>
        </w:numPr>
        <w:rPr>
          <w:rFonts w:eastAsia="Calibri"/>
          <w:color w:val="000000" w:themeColor="text1"/>
          <w:lang w:bidi="ar-SA"/>
        </w:rPr>
      </w:pPr>
      <w:r w:rsidRPr="008D45CE">
        <w:rPr>
          <w:rFonts w:eastAsia="Calibri"/>
          <w:color w:val="000000" w:themeColor="text1"/>
          <w:lang w:bidi="ar-SA"/>
        </w:rPr>
        <w:t xml:space="preserve">Appuyer le Gouvernement dans la production régulière des </w:t>
      </w:r>
      <w:r w:rsidR="00B31EFA" w:rsidRPr="008D45CE">
        <w:rPr>
          <w:rFonts w:eastAsia="Calibri"/>
          <w:color w:val="000000" w:themeColor="text1"/>
          <w:lang w:bidi="ar-SA"/>
        </w:rPr>
        <w:t xml:space="preserve">Comptes </w:t>
      </w:r>
      <w:r w:rsidRPr="008D45CE">
        <w:rPr>
          <w:rFonts w:eastAsia="Calibri"/>
          <w:color w:val="000000" w:themeColor="text1"/>
          <w:lang w:bidi="ar-SA"/>
        </w:rPr>
        <w:t xml:space="preserve">de la </w:t>
      </w:r>
      <w:r w:rsidR="00B31EFA" w:rsidRPr="008D45CE">
        <w:rPr>
          <w:rFonts w:eastAsia="Calibri"/>
          <w:color w:val="000000" w:themeColor="text1"/>
          <w:lang w:bidi="ar-SA"/>
        </w:rPr>
        <w:t>Santé pour une bonne traçabilité</w:t>
      </w:r>
      <w:r w:rsidRPr="008D45CE">
        <w:rPr>
          <w:rFonts w:eastAsia="Calibri"/>
          <w:color w:val="000000" w:themeColor="text1"/>
          <w:lang w:bidi="ar-SA"/>
        </w:rPr>
        <w:t>;</w:t>
      </w:r>
    </w:p>
    <w:p w:rsidR="00A10E04" w:rsidRPr="008D45CE" w:rsidRDefault="00A10E04" w:rsidP="00682FE2">
      <w:pPr>
        <w:pStyle w:val="Style2"/>
        <w:numPr>
          <w:ilvl w:val="0"/>
          <w:numId w:val="3"/>
        </w:numPr>
        <w:rPr>
          <w:rFonts w:eastAsia="Calibri"/>
          <w:color w:val="000000" w:themeColor="text1"/>
          <w:lang w:bidi="ar-SA"/>
        </w:rPr>
      </w:pPr>
      <w:r w:rsidRPr="008D45CE">
        <w:rPr>
          <w:rFonts w:eastAsia="Calibri"/>
          <w:color w:val="000000" w:themeColor="text1"/>
          <w:lang w:bidi="ar-SA"/>
        </w:rPr>
        <w:t xml:space="preserve">Accorder plus des ressources financières </w:t>
      </w:r>
      <w:r w:rsidR="00B803A7" w:rsidRPr="008D45CE">
        <w:rPr>
          <w:rFonts w:eastAsia="Calibri"/>
          <w:color w:val="000000" w:themeColor="text1"/>
          <w:lang w:bidi="ar-SA"/>
        </w:rPr>
        <w:t>au</w:t>
      </w:r>
      <w:r w:rsidRPr="008D45CE">
        <w:rPr>
          <w:rFonts w:eastAsia="Calibri"/>
          <w:color w:val="000000" w:themeColor="text1"/>
          <w:lang w:bidi="ar-SA"/>
        </w:rPr>
        <w:t xml:space="preserve"> fonctionnement et investissement des structures de soins (hôpitaux nationaux, provinciaux, Généraux de Référence, et Centres de Santé) afin d’améliorer la </w:t>
      </w:r>
      <w:r w:rsidR="002C21BC" w:rsidRPr="008D45CE">
        <w:rPr>
          <w:rFonts w:eastAsia="Calibri"/>
          <w:color w:val="000000" w:themeColor="text1"/>
          <w:lang w:bidi="ar-SA"/>
        </w:rPr>
        <w:t xml:space="preserve">disponibilité et la qualité des soins curatifs </w:t>
      </w:r>
      <w:r w:rsidRPr="008D45CE">
        <w:rPr>
          <w:rFonts w:eastAsia="Calibri"/>
          <w:color w:val="000000" w:themeColor="text1"/>
          <w:lang w:bidi="ar-SA"/>
        </w:rPr>
        <w:t>;</w:t>
      </w:r>
    </w:p>
    <w:p w:rsidR="002C21BC" w:rsidRPr="008D45CE" w:rsidRDefault="002C21BC" w:rsidP="00682FE2">
      <w:pPr>
        <w:pStyle w:val="Style2"/>
        <w:numPr>
          <w:ilvl w:val="0"/>
          <w:numId w:val="3"/>
        </w:numPr>
        <w:rPr>
          <w:rFonts w:eastAsia="Calibri"/>
          <w:color w:val="000000" w:themeColor="text1"/>
          <w:lang w:bidi="ar-SA"/>
        </w:rPr>
      </w:pPr>
      <w:r w:rsidRPr="008D45CE">
        <w:rPr>
          <w:rFonts w:eastAsia="Calibri"/>
          <w:color w:val="000000" w:themeColor="text1"/>
          <w:lang w:bidi="ar-SA"/>
        </w:rPr>
        <w:t xml:space="preserve">Appuyer le </w:t>
      </w:r>
      <w:r w:rsidR="00B31EFA" w:rsidRPr="008D45CE">
        <w:rPr>
          <w:rFonts w:eastAsia="Calibri"/>
          <w:color w:val="000000" w:themeColor="text1"/>
          <w:lang w:bidi="ar-SA"/>
        </w:rPr>
        <w:t xml:space="preserve">Gouvernement </w:t>
      </w:r>
      <w:r w:rsidRPr="008D45CE">
        <w:rPr>
          <w:rFonts w:eastAsia="Calibri"/>
          <w:color w:val="000000" w:themeColor="text1"/>
          <w:lang w:bidi="ar-SA"/>
        </w:rPr>
        <w:t>dans la mise en place des mécanismes assurantiels</w:t>
      </w:r>
    </w:p>
    <w:p w:rsidR="00B803A7" w:rsidRPr="008D45CE" w:rsidRDefault="00B803A7" w:rsidP="00B803A7">
      <w:pPr>
        <w:pStyle w:val="Style2"/>
        <w:ind w:left="786"/>
        <w:rPr>
          <w:rFonts w:eastAsia="Calibri"/>
          <w:color w:val="000000" w:themeColor="text1"/>
          <w:lang w:bidi="ar-SA"/>
        </w:rPr>
      </w:pPr>
    </w:p>
    <w:p w:rsidR="00A10E04" w:rsidRPr="008D45CE" w:rsidRDefault="00A10E04" w:rsidP="00A401E9">
      <w:pPr>
        <w:pStyle w:val="Style2"/>
        <w:rPr>
          <w:rFonts w:cs="Arial"/>
          <w:b/>
          <w:color w:val="000000" w:themeColor="text1"/>
        </w:rPr>
      </w:pPr>
      <w:r w:rsidRPr="008D45CE">
        <w:rPr>
          <w:rFonts w:eastAsia="Calibri"/>
          <w:b/>
          <w:color w:val="000000" w:themeColor="text1"/>
          <w:lang w:bidi="ar-SA"/>
        </w:rPr>
        <w:t>III. Aux ménages</w:t>
      </w:r>
    </w:p>
    <w:p w:rsidR="00A10E04" w:rsidRPr="008D45CE" w:rsidRDefault="00A10E04" w:rsidP="00A401E9">
      <w:pPr>
        <w:pStyle w:val="Style2"/>
        <w:rPr>
          <w:rFonts w:cs="Arial"/>
          <w:color w:val="000000" w:themeColor="text1"/>
        </w:rPr>
      </w:pPr>
    </w:p>
    <w:p w:rsidR="00A10E04" w:rsidRPr="008D45CE" w:rsidRDefault="002C21BC" w:rsidP="00682FE2">
      <w:pPr>
        <w:pStyle w:val="Style2"/>
        <w:numPr>
          <w:ilvl w:val="0"/>
          <w:numId w:val="4"/>
        </w:numPr>
        <w:rPr>
          <w:color w:val="000000" w:themeColor="text1"/>
        </w:rPr>
      </w:pPr>
      <w:r w:rsidRPr="008D45CE">
        <w:rPr>
          <w:color w:val="000000" w:themeColor="text1"/>
        </w:rPr>
        <w:t>A</w:t>
      </w:r>
      <w:r w:rsidR="00A10E04" w:rsidRPr="008D45CE">
        <w:rPr>
          <w:color w:val="000000" w:themeColor="text1"/>
        </w:rPr>
        <w:t xml:space="preserve">dhérer aux </w:t>
      </w:r>
      <w:r w:rsidRPr="008D45CE">
        <w:rPr>
          <w:color w:val="000000" w:themeColor="text1"/>
        </w:rPr>
        <w:t>mécanismes d</w:t>
      </w:r>
      <w:r w:rsidR="00A10E04" w:rsidRPr="008D45CE">
        <w:rPr>
          <w:color w:val="000000" w:themeColor="text1"/>
        </w:rPr>
        <w:t>e partage de risque (mutuelles de santé,</w:t>
      </w:r>
      <w:r w:rsidRPr="008D45CE">
        <w:rPr>
          <w:color w:val="000000" w:themeColor="text1"/>
        </w:rPr>
        <w:t xml:space="preserve"> assurance maladie obligatoire</w:t>
      </w:r>
      <w:r w:rsidR="00A10E04" w:rsidRPr="008D45CE">
        <w:rPr>
          <w:color w:val="000000" w:themeColor="text1"/>
        </w:rPr>
        <w:t>) ;</w:t>
      </w:r>
    </w:p>
    <w:p w:rsidR="00B64031" w:rsidRPr="008D45CE" w:rsidRDefault="00B64031" w:rsidP="00682FE2">
      <w:pPr>
        <w:pStyle w:val="Style2"/>
        <w:numPr>
          <w:ilvl w:val="0"/>
          <w:numId w:val="4"/>
        </w:numPr>
        <w:rPr>
          <w:color w:val="000000" w:themeColor="text1"/>
        </w:rPr>
      </w:pPr>
      <w:r w:rsidRPr="008D45CE">
        <w:rPr>
          <w:color w:val="000000" w:themeColor="text1"/>
        </w:rPr>
        <w:t>Accompagner les formations sanitaires dans l’application de la politique de la tarification forfaitaire.</w:t>
      </w:r>
    </w:p>
    <w:p w:rsidR="00A10E04" w:rsidRPr="008D45CE" w:rsidRDefault="00A10E04" w:rsidP="00A401E9">
      <w:pPr>
        <w:pStyle w:val="Style2"/>
        <w:rPr>
          <w:color w:val="000000" w:themeColor="text1"/>
        </w:rPr>
      </w:pPr>
      <w:r w:rsidRPr="008D45CE">
        <w:rPr>
          <w:color w:val="000000" w:themeColor="text1"/>
        </w:rPr>
        <w:br w:type="page"/>
      </w:r>
    </w:p>
    <w:p w:rsidR="00A10E04" w:rsidRPr="008D45CE" w:rsidRDefault="00704E95" w:rsidP="00045FB8">
      <w:pPr>
        <w:pStyle w:val="Titre1"/>
        <w:rPr>
          <w:color w:val="000000" w:themeColor="text1"/>
        </w:rPr>
      </w:pPr>
      <w:bookmarkStart w:id="87" w:name="_Toc465262381"/>
      <w:bookmarkStart w:id="88" w:name="_Toc483474632"/>
      <w:r>
        <w:rPr>
          <w:noProof/>
          <w:color w:val="000000" w:themeColor="text1"/>
          <w:lang w:eastAsia="fr-FR" w:bidi="ar-SA"/>
        </w:rPr>
        <w:lastRenderedPageBreak/>
        <mc:AlternateContent>
          <mc:Choice Requires="wps">
            <w:drawing>
              <wp:anchor distT="4294967291" distB="4294967291" distL="114300" distR="114300" simplePos="0" relativeHeight="251683840" behindDoc="0" locked="0" layoutInCell="1" allowOverlap="1">
                <wp:simplePos x="0" y="0"/>
                <wp:positionH relativeFrom="column">
                  <wp:posOffset>164465</wp:posOffset>
                </wp:positionH>
                <wp:positionV relativeFrom="paragraph">
                  <wp:posOffset>243204</wp:posOffset>
                </wp:positionV>
                <wp:extent cx="5760085" cy="0"/>
                <wp:effectExtent l="0" t="0" r="12065" b="19050"/>
                <wp:wrapNone/>
                <wp:docPr id="44" name="Auto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8F8C4C" id="AutoShape 36" o:spid="_x0000_s1026" type="#_x0000_t32" style="position:absolute;margin-left:12.95pt;margin-top:19.15pt;width:453.55pt;height:0;z-index:2516838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"/>
            </w:pict>
          </mc:Fallback>
        </mc:AlternateContent>
      </w:r>
      <w:r w:rsidR="00A10E04" w:rsidRPr="008D45CE">
        <w:rPr>
          <w:color w:val="000000" w:themeColor="text1"/>
        </w:rPr>
        <w:t>ANNEXES</w:t>
      </w:r>
      <w:bookmarkEnd w:id="87"/>
      <w:bookmarkEnd w:id="88"/>
    </w:p>
    <w:p w:rsidR="00A10E04" w:rsidRPr="008D45CE" w:rsidRDefault="005016A8" w:rsidP="00A401E9">
      <w:pPr>
        <w:pStyle w:val="Style2"/>
        <w:rPr>
          <w:color w:val="000000" w:themeColor="text1"/>
        </w:rPr>
      </w:pPr>
      <w:r>
        <w:rPr>
          <w:color w:val="000000" w:themeColor="text1"/>
        </w:rPr>
        <w:t>L</w:t>
      </w:r>
      <w:r w:rsidRPr="008D45CE">
        <w:rPr>
          <w:color w:val="000000" w:themeColor="text1"/>
        </w:rPr>
        <w:t xml:space="preserve">es différents tableaux standards des Comptes de la Santé COG </w:t>
      </w:r>
      <w:r>
        <w:rPr>
          <w:color w:val="000000" w:themeColor="text1"/>
        </w:rPr>
        <w:t xml:space="preserve">2011 à </w:t>
      </w:r>
      <w:r w:rsidRPr="008D45CE">
        <w:rPr>
          <w:color w:val="000000" w:themeColor="text1"/>
        </w:rPr>
        <w:t>2015</w:t>
      </w:r>
    </w:p>
    <w:p w:rsidR="005016A8" w:rsidRDefault="005016A8" w:rsidP="00204D88">
      <w:pPr>
        <w:pStyle w:val="Style2"/>
        <w:jc w:val="center"/>
        <w:rPr>
          <w:color w:val="000000" w:themeColor="text1"/>
        </w:rPr>
      </w:pPr>
    </w:p>
    <w:p w:rsidR="005016A8" w:rsidRDefault="005016A8" w:rsidP="005016A8">
      <w:pPr>
        <w:spacing w:after="200" w:line="20" w:lineRule="atLeast"/>
        <w:rPr>
          <w:color w:val="000000" w:themeColor="text1"/>
        </w:rPr>
      </w:pPr>
      <w:r w:rsidRPr="005016A8">
        <w:rPr>
          <w:b/>
          <w:color w:val="000000" w:themeColor="text1"/>
        </w:rPr>
        <w:t xml:space="preserve">Tableau </w:t>
      </w:r>
      <w:r w:rsidRPr="005016A8">
        <w:rPr>
          <w:b/>
          <w:i/>
          <w:color w:val="000000" w:themeColor="text1"/>
        </w:rPr>
        <w:fldChar w:fldCharType="begin"/>
      </w:r>
      <w:r w:rsidRPr="005016A8">
        <w:rPr>
          <w:b/>
          <w:color w:val="000000" w:themeColor="text1"/>
        </w:rPr>
        <w:instrText xml:space="preserve"> SEQ Tableau \* ARABIC </w:instrText>
      </w:r>
      <w:r w:rsidRPr="005016A8">
        <w:rPr>
          <w:b/>
          <w:i/>
          <w:color w:val="000000" w:themeColor="text1"/>
        </w:rPr>
        <w:fldChar w:fldCharType="separate"/>
      </w:r>
      <w:r w:rsidRPr="005016A8">
        <w:rPr>
          <w:b/>
          <w:noProof/>
          <w:color w:val="000000" w:themeColor="text1"/>
        </w:rPr>
        <w:t>1</w:t>
      </w:r>
      <w:r w:rsidRPr="005016A8">
        <w:rPr>
          <w:b/>
          <w:i/>
          <w:color w:val="000000" w:themeColor="text1"/>
        </w:rPr>
        <w:fldChar w:fldCharType="end"/>
      </w:r>
      <w:r w:rsidRPr="005016A8">
        <w:rPr>
          <w:color w:val="000000" w:themeColor="text1"/>
          <w:sz w:val="20"/>
          <w:szCs w:val="20"/>
        </w:rPr>
        <w:t xml:space="preserve"> : </w:t>
      </w:r>
      <w:r w:rsidRPr="005016A8">
        <w:rPr>
          <w:color w:val="000000" w:themeColor="text1"/>
        </w:rPr>
        <w:t>Les indicateurs essentiels de comparaison internationale du financement de la santé de 2011 à 2015 en FCFA</w:t>
      </w:r>
      <w:r w:rsidRPr="000E52BC">
        <w:rPr>
          <w:color w:val="000000" w:themeColor="text1"/>
        </w:rPr>
        <w:t xml:space="preserve"> </w:t>
      </w:r>
    </w:p>
    <w:tbl>
      <w:tblPr>
        <w:tblW w:w="9285" w:type="dxa"/>
        <w:tblInd w:w="70" w:type="dxa"/>
        <w:tblCellMar>
          <w:left w:w="70" w:type="dxa"/>
          <w:right w:w="70" w:type="dxa"/>
        </w:tblCellMar>
        <w:tblLook w:val="04A0" w:firstRow="1" w:lastRow="0" w:firstColumn="1" w:lastColumn="0" w:noHBand="0" w:noVBand="1"/>
      </w:tblPr>
      <w:tblGrid>
        <w:gridCol w:w="1985"/>
        <w:gridCol w:w="1460"/>
        <w:gridCol w:w="1460"/>
        <w:gridCol w:w="1460"/>
        <w:gridCol w:w="1460"/>
        <w:gridCol w:w="1460"/>
      </w:tblGrid>
      <w:tr w:rsidR="005016A8" w:rsidRPr="005016A8" w:rsidTr="005016A8">
        <w:trPr>
          <w:trHeight w:val="300"/>
        </w:trPr>
        <w:tc>
          <w:tcPr>
            <w:tcW w:w="1985" w:type="dxa"/>
            <w:tcBorders>
              <w:top w:val="nil"/>
              <w:left w:val="nil"/>
              <w:bottom w:val="nil"/>
              <w:right w:val="nil"/>
            </w:tcBorders>
            <w:shd w:val="clear" w:color="auto" w:fill="auto"/>
            <w:noWrap/>
            <w:vAlign w:val="bottom"/>
            <w:hideMark/>
          </w:tcPr>
          <w:p w:rsidR="005016A8" w:rsidRPr="005016A8" w:rsidRDefault="005016A8" w:rsidP="005016A8">
            <w:pPr>
              <w:rPr>
                <w:rFonts w:ascii="Calibri" w:hAnsi="Calibri"/>
                <w:b/>
                <w:bCs/>
                <w:color w:val="000000"/>
                <w:sz w:val="14"/>
                <w:lang w:eastAsia="fr-FR" w:bidi="ar-SA"/>
              </w:rPr>
            </w:pPr>
          </w:p>
        </w:tc>
        <w:tc>
          <w:tcPr>
            <w:tcW w:w="7300" w:type="dxa"/>
            <w:gridSpan w:val="5"/>
            <w:tcBorders>
              <w:top w:val="single" w:sz="4" w:space="0" w:color="auto"/>
              <w:left w:val="single" w:sz="4" w:space="0" w:color="auto"/>
              <w:bottom w:val="nil"/>
              <w:right w:val="single" w:sz="4" w:space="0" w:color="auto"/>
            </w:tcBorders>
            <w:shd w:val="clear" w:color="auto" w:fill="auto"/>
            <w:noWrap/>
            <w:vAlign w:val="bottom"/>
            <w:hideMark/>
          </w:tcPr>
          <w:p w:rsidR="005016A8" w:rsidRPr="005016A8" w:rsidRDefault="005016A8" w:rsidP="005016A8">
            <w:pPr>
              <w:jc w:val="center"/>
              <w:rPr>
                <w:rFonts w:ascii="Calibri" w:hAnsi="Calibri"/>
                <w:b/>
                <w:bCs/>
                <w:color w:val="000000"/>
                <w:sz w:val="14"/>
                <w:lang w:eastAsia="fr-FR" w:bidi="ar-SA"/>
              </w:rPr>
            </w:pPr>
            <w:r w:rsidRPr="005016A8">
              <w:rPr>
                <w:rFonts w:ascii="Calibri" w:hAnsi="Calibri"/>
                <w:b/>
                <w:bCs/>
                <w:color w:val="000000"/>
                <w:sz w:val="14"/>
                <w:szCs w:val="22"/>
                <w:lang w:eastAsia="fr-FR" w:bidi="ar-SA"/>
              </w:rPr>
              <w:t>ANNEE</w:t>
            </w:r>
          </w:p>
        </w:tc>
      </w:tr>
      <w:tr w:rsidR="005016A8" w:rsidRPr="005016A8" w:rsidTr="005016A8">
        <w:trPr>
          <w:trHeight w:val="300"/>
        </w:trPr>
        <w:tc>
          <w:tcPr>
            <w:tcW w:w="198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5016A8" w:rsidRPr="005016A8" w:rsidRDefault="005016A8" w:rsidP="005016A8">
            <w:pPr>
              <w:jc w:val="center"/>
              <w:rPr>
                <w:b/>
                <w:bCs/>
                <w:color w:val="000000"/>
                <w:sz w:val="14"/>
                <w:szCs w:val="20"/>
                <w:lang w:eastAsia="fr-FR" w:bidi="ar-SA"/>
              </w:rPr>
            </w:pPr>
            <w:r w:rsidRPr="005016A8">
              <w:rPr>
                <w:b/>
                <w:bCs/>
                <w:color w:val="000000"/>
                <w:sz w:val="14"/>
                <w:szCs w:val="20"/>
                <w:lang w:eastAsia="fr-FR" w:bidi="ar-SA"/>
              </w:rPr>
              <w:t>Indicateurs</w:t>
            </w:r>
          </w:p>
        </w:tc>
        <w:tc>
          <w:tcPr>
            <w:tcW w:w="1460" w:type="dxa"/>
            <w:tcBorders>
              <w:top w:val="single" w:sz="4" w:space="0" w:color="auto"/>
              <w:left w:val="nil"/>
              <w:bottom w:val="single" w:sz="4" w:space="0" w:color="auto"/>
              <w:right w:val="single" w:sz="4" w:space="0" w:color="auto"/>
            </w:tcBorders>
            <w:shd w:val="clear" w:color="000000" w:fill="FFFFFF"/>
            <w:noWrap/>
            <w:vAlign w:val="bottom"/>
            <w:hideMark/>
          </w:tcPr>
          <w:p w:rsidR="005016A8" w:rsidRPr="005016A8" w:rsidRDefault="005016A8" w:rsidP="005016A8">
            <w:pPr>
              <w:jc w:val="center"/>
              <w:rPr>
                <w:b/>
                <w:bCs/>
                <w:color w:val="000000"/>
                <w:sz w:val="14"/>
                <w:szCs w:val="20"/>
                <w:lang w:eastAsia="fr-FR" w:bidi="ar-SA"/>
              </w:rPr>
            </w:pPr>
            <w:r w:rsidRPr="005016A8">
              <w:rPr>
                <w:b/>
                <w:bCs/>
                <w:color w:val="000000"/>
                <w:sz w:val="14"/>
                <w:szCs w:val="20"/>
                <w:lang w:eastAsia="fr-FR" w:bidi="ar-SA"/>
              </w:rPr>
              <w:t>2011</w:t>
            </w:r>
          </w:p>
        </w:tc>
        <w:tc>
          <w:tcPr>
            <w:tcW w:w="1460" w:type="dxa"/>
            <w:tcBorders>
              <w:top w:val="single" w:sz="4" w:space="0" w:color="auto"/>
              <w:left w:val="nil"/>
              <w:bottom w:val="single" w:sz="4" w:space="0" w:color="auto"/>
              <w:right w:val="single" w:sz="4" w:space="0" w:color="auto"/>
            </w:tcBorders>
            <w:shd w:val="clear" w:color="000000" w:fill="FFFFFF"/>
            <w:noWrap/>
            <w:vAlign w:val="bottom"/>
            <w:hideMark/>
          </w:tcPr>
          <w:p w:rsidR="005016A8" w:rsidRPr="005016A8" w:rsidRDefault="005016A8" w:rsidP="005016A8">
            <w:pPr>
              <w:jc w:val="center"/>
              <w:rPr>
                <w:b/>
                <w:bCs/>
                <w:color w:val="000000"/>
                <w:sz w:val="14"/>
                <w:szCs w:val="20"/>
                <w:lang w:eastAsia="fr-FR" w:bidi="ar-SA"/>
              </w:rPr>
            </w:pPr>
            <w:r w:rsidRPr="005016A8">
              <w:rPr>
                <w:b/>
                <w:bCs/>
                <w:color w:val="000000"/>
                <w:sz w:val="14"/>
                <w:szCs w:val="20"/>
                <w:lang w:eastAsia="fr-FR" w:bidi="ar-SA"/>
              </w:rPr>
              <w:t>2012</w:t>
            </w:r>
          </w:p>
        </w:tc>
        <w:tc>
          <w:tcPr>
            <w:tcW w:w="1460" w:type="dxa"/>
            <w:tcBorders>
              <w:top w:val="single" w:sz="4" w:space="0" w:color="auto"/>
              <w:left w:val="nil"/>
              <w:bottom w:val="single" w:sz="4" w:space="0" w:color="auto"/>
              <w:right w:val="single" w:sz="4" w:space="0" w:color="auto"/>
            </w:tcBorders>
            <w:shd w:val="clear" w:color="000000" w:fill="FFFFFF"/>
            <w:noWrap/>
            <w:vAlign w:val="bottom"/>
            <w:hideMark/>
          </w:tcPr>
          <w:p w:rsidR="005016A8" w:rsidRPr="005016A8" w:rsidRDefault="005016A8" w:rsidP="005016A8">
            <w:pPr>
              <w:jc w:val="center"/>
              <w:rPr>
                <w:b/>
                <w:bCs/>
                <w:color w:val="000000"/>
                <w:sz w:val="14"/>
                <w:szCs w:val="20"/>
                <w:lang w:eastAsia="fr-FR" w:bidi="ar-SA"/>
              </w:rPr>
            </w:pPr>
            <w:r w:rsidRPr="005016A8">
              <w:rPr>
                <w:b/>
                <w:bCs/>
                <w:color w:val="000000"/>
                <w:sz w:val="14"/>
                <w:szCs w:val="20"/>
                <w:lang w:eastAsia="fr-FR" w:bidi="ar-SA"/>
              </w:rPr>
              <w:t>2013</w:t>
            </w:r>
          </w:p>
        </w:tc>
        <w:tc>
          <w:tcPr>
            <w:tcW w:w="1460" w:type="dxa"/>
            <w:tcBorders>
              <w:top w:val="single" w:sz="4" w:space="0" w:color="auto"/>
              <w:left w:val="nil"/>
              <w:bottom w:val="single" w:sz="4" w:space="0" w:color="auto"/>
              <w:right w:val="single" w:sz="4" w:space="0" w:color="auto"/>
            </w:tcBorders>
            <w:shd w:val="clear" w:color="000000" w:fill="FFFFFF"/>
            <w:noWrap/>
            <w:vAlign w:val="bottom"/>
            <w:hideMark/>
          </w:tcPr>
          <w:p w:rsidR="005016A8" w:rsidRPr="005016A8" w:rsidRDefault="005016A8" w:rsidP="005016A8">
            <w:pPr>
              <w:jc w:val="center"/>
              <w:rPr>
                <w:b/>
                <w:bCs/>
                <w:color w:val="000000"/>
                <w:sz w:val="14"/>
                <w:szCs w:val="20"/>
                <w:lang w:eastAsia="fr-FR" w:bidi="ar-SA"/>
              </w:rPr>
            </w:pPr>
            <w:r w:rsidRPr="005016A8">
              <w:rPr>
                <w:b/>
                <w:bCs/>
                <w:color w:val="000000"/>
                <w:sz w:val="14"/>
                <w:szCs w:val="20"/>
                <w:lang w:eastAsia="fr-FR" w:bidi="ar-SA"/>
              </w:rPr>
              <w:t>2014</w:t>
            </w:r>
          </w:p>
        </w:tc>
        <w:tc>
          <w:tcPr>
            <w:tcW w:w="1460" w:type="dxa"/>
            <w:tcBorders>
              <w:top w:val="single" w:sz="4" w:space="0" w:color="auto"/>
              <w:left w:val="nil"/>
              <w:bottom w:val="single" w:sz="4" w:space="0" w:color="auto"/>
              <w:right w:val="single" w:sz="4" w:space="0" w:color="auto"/>
            </w:tcBorders>
            <w:shd w:val="clear" w:color="000000" w:fill="FFFFFF"/>
            <w:noWrap/>
            <w:vAlign w:val="bottom"/>
            <w:hideMark/>
          </w:tcPr>
          <w:p w:rsidR="005016A8" w:rsidRPr="005016A8" w:rsidRDefault="005016A8" w:rsidP="005016A8">
            <w:pPr>
              <w:jc w:val="center"/>
              <w:rPr>
                <w:b/>
                <w:bCs/>
                <w:color w:val="000000"/>
                <w:sz w:val="14"/>
                <w:szCs w:val="20"/>
                <w:lang w:eastAsia="fr-FR" w:bidi="ar-SA"/>
              </w:rPr>
            </w:pPr>
            <w:r w:rsidRPr="005016A8">
              <w:rPr>
                <w:b/>
                <w:bCs/>
                <w:color w:val="000000"/>
                <w:sz w:val="14"/>
                <w:szCs w:val="20"/>
                <w:lang w:eastAsia="fr-FR" w:bidi="ar-SA"/>
              </w:rPr>
              <w:t>2015</w:t>
            </w:r>
          </w:p>
        </w:tc>
      </w:tr>
      <w:bookmarkStart w:id="89" w:name="RANGE!A4"/>
      <w:tr w:rsidR="005016A8" w:rsidRPr="005016A8" w:rsidTr="005016A8">
        <w:trPr>
          <w:trHeight w:val="300"/>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fldChar w:fldCharType="begin"/>
            </w:r>
            <w:r w:rsidRPr="005016A8">
              <w:rPr>
                <w:b/>
                <w:bCs/>
                <w:color w:val="000000"/>
                <w:sz w:val="14"/>
                <w:szCs w:val="20"/>
                <w:lang w:eastAsia="fr-FR" w:bidi="ar-SA"/>
              </w:rPr>
              <w:instrText xml:space="preserve"> HYPERLINK "file:///C:\\Users\\Toshiba\\Desktop\\CNS%20COG%202011-2015\\Tableaux%20des%20Indicateurs%20des%20comparaisons%20International.xlsx" \l "RANGE!#REF!" </w:instrText>
            </w:r>
            <w:r w:rsidRPr="005016A8">
              <w:rPr>
                <w:b/>
                <w:bCs/>
                <w:color w:val="000000"/>
                <w:sz w:val="14"/>
                <w:szCs w:val="20"/>
                <w:lang w:eastAsia="fr-FR" w:bidi="ar-SA"/>
              </w:rPr>
              <w:fldChar w:fldCharType="separate"/>
            </w:r>
            <w:r w:rsidRPr="005016A8">
              <w:rPr>
                <w:b/>
                <w:bCs/>
                <w:color w:val="000000"/>
                <w:sz w:val="14"/>
                <w:lang w:eastAsia="fr-FR" w:bidi="ar-SA"/>
              </w:rPr>
              <w:t>PIB courant en FCFA</w:t>
            </w:r>
            <w:r w:rsidRPr="005016A8">
              <w:rPr>
                <w:b/>
                <w:bCs/>
                <w:color w:val="000000"/>
                <w:sz w:val="14"/>
                <w:szCs w:val="20"/>
                <w:lang w:eastAsia="fr-FR" w:bidi="ar-SA"/>
              </w:rPr>
              <w:fldChar w:fldCharType="end"/>
            </w:r>
            <w:bookmarkEnd w:id="89"/>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6 982 500 000 000</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6 971 900 000 000</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6 927 200 000 000</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6 959 900 000 000</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5 056 400 000 000</w:t>
            </w:r>
          </w:p>
        </w:tc>
      </w:tr>
      <w:bookmarkStart w:id="90" w:name="RANGE!A5"/>
      <w:tr w:rsidR="005016A8" w:rsidRPr="005016A8" w:rsidTr="005016A8">
        <w:trPr>
          <w:trHeight w:val="300"/>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fldChar w:fldCharType="begin"/>
            </w:r>
            <w:r w:rsidRPr="005016A8">
              <w:rPr>
                <w:b/>
                <w:bCs/>
                <w:color w:val="000000"/>
                <w:sz w:val="14"/>
                <w:szCs w:val="20"/>
                <w:lang w:eastAsia="fr-FR" w:bidi="ar-SA"/>
              </w:rPr>
              <w:instrText xml:space="preserve"> HYPERLINK "file:///C:\\Users\\Toshiba\\Desktop\\CNS%20COG%202011-2015\\Tableaux%20des%20Indicateurs%20des%20comparaisons%20International.xlsx" \l "RANGE!#REF!" </w:instrText>
            </w:r>
            <w:r w:rsidRPr="005016A8">
              <w:rPr>
                <w:b/>
                <w:bCs/>
                <w:color w:val="000000"/>
                <w:sz w:val="14"/>
                <w:szCs w:val="20"/>
                <w:lang w:eastAsia="fr-FR" w:bidi="ar-SA"/>
              </w:rPr>
              <w:fldChar w:fldCharType="separate"/>
            </w:r>
            <w:r w:rsidRPr="005016A8">
              <w:rPr>
                <w:b/>
                <w:bCs/>
                <w:color w:val="000000"/>
                <w:sz w:val="14"/>
                <w:lang w:eastAsia="fr-FR" w:bidi="ar-SA"/>
              </w:rPr>
              <w:t>Population</w:t>
            </w:r>
            <w:r w:rsidRPr="005016A8">
              <w:rPr>
                <w:b/>
                <w:bCs/>
                <w:color w:val="000000"/>
                <w:sz w:val="14"/>
                <w:szCs w:val="20"/>
                <w:lang w:eastAsia="fr-FR" w:bidi="ar-SA"/>
              </w:rPr>
              <w:fldChar w:fldCharType="end"/>
            </w:r>
            <w:bookmarkEnd w:id="90"/>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4 257 195</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4 394 327</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4 530 366</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4 666 379</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4 801 684</w:t>
            </w:r>
          </w:p>
        </w:tc>
      </w:tr>
      <w:bookmarkStart w:id="91" w:name="RANGE!A6"/>
      <w:tr w:rsidR="005016A8" w:rsidRPr="005016A8" w:rsidTr="005016A8">
        <w:trPr>
          <w:trHeight w:val="300"/>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fldChar w:fldCharType="begin"/>
            </w:r>
            <w:r w:rsidRPr="005016A8">
              <w:rPr>
                <w:b/>
                <w:bCs/>
                <w:color w:val="000000"/>
                <w:sz w:val="14"/>
                <w:szCs w:val="20"/>
                <w:lang w:eastAsia="fr-FR" w:bidi="ar-SA"/>
              </w:rPr>
              <w:instrText xml:space="preserve"> HYPERLINK "file:///C:\\Users\\Toshiba\\Desktop\\CNS%20COG%202011-2015\\Tableaux%20des%20Indicateurs%20des%20comparaisons%20International.xlsx" \l "RANGE!#REF!" </w:instrText>
            </w:r>
            <w:r w:rsidRPr="005016A8">
              <w:rPr>
                <w:b/>
                <w:bCs/>
                <w:color w:val="000000"/>
                <w:sz w:val="14"/>
                <w:szCs w:val="20"/>
                <w:lang w:eastAsia="fr-FR" w:bidi="ar-SA"/>
              </w:rPr>
              <w:fldChar w:fldCharType="separate"/>
            </w:r>
            <w:r w:rsidRPr="005016A8">
              <w:rPr>
                <w:b/>
                <w:bCs/>
                <w:color w:val="000000"/>
                <w:sz w:val="14"/>
                <w:lang w:eastAsia="fr-FR" w:bidi="ar-SA"/>
              </w:rPr>
              <w:t>Budget Global</w:t>
            </w:r>
            <w:r w:rsidRPr="005016A8">
              <w:rPr>
                <w:b/>
                <w:bCs/>
                <w:color w:val="000000"/>
                <w:sz w:val="14"/>
                <w:szCs w:val="20"/>
                <w:lang w:eastAsia="fr-FR" w:bidi="ar-SA"/>
              </w:rPr>
              <w:fldChar w:fldCharType="end"/>
            </w:r>
            <w:bookmarkEnd w:id="91"/>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3 006 753 000 000</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3 645 575 000 000</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3 345 532 779 448</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2 494 811 000 000</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3 069 750 000 000</w:t>
            </w:r>
          </w:p>
        </w:tc>
      </w:tr>
      <w:tr w:rsidR="005016A8" w:rsidRPr="005016A8" w:rsidTr="005016A8">
        <w:trPr>
          <w:trHeight w:val="315"/>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t xml:space="preserve">Budget alloué à la santé </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115 250 185 628</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158 941 978 660</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136 505 273 360</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189 334 307 255</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377 069 805 317</w:t>
            </w:r>
          </w:p>
        </w:tc>
      </w:tr>
      <w:tr w:rsidR="005016A8" w:rsidRPr="005016A8" w:rsidTr="005016A8">
        <w:trPr>
          <w:trHeight w:val="363"/>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t>% du Budget de l'Etat alloué à l'Administration santé</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3,83%</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4,36%</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4,08%</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7,59%</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12,28%</w:t>
            </w:r>
          </w:p>
        </w:tc>
      </w:tr>
      <w:tr w:rsidR="005016A8" w:rsidRPr="005016A8" w:rsidTr="005016A8">
        <w:trPr>
          <w:trHeight w:val="315"/>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t xml:space="preserve">Dépenses publiques de santé </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11 552 231 779</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37 096 693 747</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55 181 595 391</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72 016 057 280</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71 371 740 161</w:t>
            </w:r>
          </w:p>
        </w:tc>
      </w:tr>
      <w:tr w:rsidR="005016A8" w:rsidRPr="005016A8" w:rsidTr="005016A8">
        <w:trPr>
          <w:trHeight w:val="300"/>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t>Dépenses publiques de santé en % du PIB</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0,17%</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0,53%</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0,80%</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1,03%</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1,41%</w:t>
            </w:r>
          </w:p>
        </w:tc>
      </w:tr>
      <w:tr w:rsidR="005016A8" w:rsidRPr="005016A8" w:rsidTr="0088752F">
        <w:trPr>
          <w:trHeight w:val="385"/>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t>Dépenses publiques de santé par habitant par an</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2713,6</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8442,0</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12180,4</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15433,0</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14863,9</w:t>
            </w:r>
          </w:p>
        </w:tc>
      </w:tr>
      <w:tr w:rsidR="005016A8" w:rsidRPr="005016A8" w:rsidTr="005016A8">
        <w:trPr>
          <w:trHeight w:val="300"/>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t>Dépenses Totale  de santé</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125 493 103 296</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153 887 595 718</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150 297 639 096</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174 683 768 851</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183 229 965 229</w:t>
            </w:r>
          </w:p>
        </w:tc>
      </w:tr>
      <w:tr w:rsidR="005016A8" w:rsidRPr="005016A8" w:rsidTr="005016A8">
        <w:trPr>
          <w:trHeight w:val="300"/>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t>Dépenses Totale de santé en % du PIB</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2%</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2%</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2%</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4%</w:t>
            </w:r>
          </w:p>
        </w:tc>
      </w:tr>
      <w:tr w:rsidR="005016A8" w:rsidRPr="005016A8" w:rsidTr="005016A8">
        <w:trPr>
          <w:trHeight w:val="300"/>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t>Dépenses Totale de santé par habitant par an</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29477,88</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35019,60</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33175,61</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37434,54</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38159,52</w:t>
            </w:r>
          </w:p>
        </w:tc>
      </w:tr>
      <w:tr w:rsidR="005016A8" w:rsidRPr="005016A8" w:rsidTr="005016A8">
        <w:trPr>
          <w:trHeight w:val="315"/>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t>Dépenses courante de la santé</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120 912 289 418</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135 226 429 670</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144 460 710 304</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162 576 786 756</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165 125 147 056</w:t>
            </w:r>
          </w:p>
        </w:tc>
      </w:tr>
      <w:tr w:rsidR="005016A8" w:rsidRPr="005016A8" w:rsidTr="005016A8">
        <w:trPr>
          <w:trHeight w:val="315"/>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t>Dépenses courante de santé en % du PIB</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1,73%</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1,94%</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2,09%</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2,34%</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3,27%</w:t>
            </w:r>
          </w:p>
        </w:tc>
      </w:tr>
      <w:tr w:rsidR="005016A8" w:rsidRPr="005016A8" w:rsidTr="005016A8">
        <w:trPr>
          <w:trHeight w:val="315"/>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t>Dépenses d’investissement de la santé</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4 580 813 878</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18 661 166 048</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5 836 928 792</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12 106 982 095</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18 104 818 173</w:t>
            </w:r>
          </w:p>
        </w:tc>
      </w:tr>
      <w:tr w:rsidR="005016A8" w:rsidRPr="005016A8" w:rsidTr="005016A8">
        <w:trPr>
          <w:trHeight w:val="218"/>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t>Dépenses d’investissement de la santé en % du PIB</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0,07%</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0,27%</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0,08%</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0,17%</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0,36%</w:t>
            </w:r>
          </w:p>
        </w:tc>
      </w:tr>
      <w:tr w:rsidR="005016A8" w:rsidRPr="005016A8" w:rsidTr="005016A8">
        <w:trPr>
          <w:trHeight w:val="345"/>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t>Dépenses totale des ménages</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49 806 377 367</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51 300 568 688</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52 839 585 748</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54 424 773 321</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56 057 516 520</w:t>
            </w:r>
          </w:p>
        </w:tc>
      </w:tr>
      <w:tr w:rsidR="005016A8" w:rsidRPr="005016A8" w:rsidTr="005016A8">
        <w:trPr>
          <w:trHeight w:val="540"/>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t>Dépenses totale des ménages en % de dépenses Totale de la santé</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39,69%</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33,34%</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35,16%</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31,16%</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30,59%</w:t>
            </w:r>
          </w:p>
        </w:tc>
      </w:tr>
      <w:tr w:rsidR="005016A8" w:rsidRPr="005016A8" w:rsidTr="005016A8">
        <w:trPr>
          <w:trHeight w:val="540"/>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t>Dépenses totale de santé des ménages par habitant par an</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11699,34</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11674,27</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11663,43</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11663,17</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11674,55</w:t>
            </w:r>
          </w:p>
        </w:tc>
      </w:tr>
      <w:tr w:rsidR="005016A8" w:rsidRPr="005016A8" w:rsidTr="005016A8">
        <w:trPr>
          <w:trHeight w:val="300"/>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t>Dépenses courante de santé des ménages</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49 806 377 367</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51 300 568 688</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52 839 585 748</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54 424 773 321</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56 057 516 520</w:t>
            </w:r>
          </w:p>
        </w:tc>
      </w:tr>
      <w:tr w:rsidR="005016A8" w:rsidRPr="005016A8" w:rsidTr="005016A8">
        <w:trPr>
          <w:trHeight w:val="525"/>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t>Dépenses courante de santé des ménages en % de dépenses courante de la santé</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41%</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38%</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37%</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33%</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34%</w:t>
            </w:r>
          </w:p>
        </w:tc>
      </w:tr>
      <w:tr w:rsidR="005016A8" w:rsidRPr="005016A8" w:rsidTr="005016A8">
        <w:trPr>
          <w:trHeight w:val="525"/>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t>Dépenses courante de santé des ménages par habitant par an</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11699,34</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11674,27</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11663,43</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11663,17</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11674,55</w:t>
            </w:r>
          </w:p>
        </w:tc>
      </w:tr>
      <w:tr w:rsidR="005016A8" w:rsidRPr="005016A8" w:rsidTr="005016A8">
        <w:trPr>
          <w:trHeight w:val="300"/>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t>Paiement direct des soins de santé</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49 806 377 367</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51 300 568 688</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52 839 585 748</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54 424 773 321</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56 057 516 520</w:t>
            </w:r>
          </w:p>
        </w:tc>
      </w:tr>
      <w:tr w:rsidR="005016A8" w:rsidRPr="005016A8" w:rsidTr="005016A8">
        <w:trPr>
          <w:trHeight w:val="525"/>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t>Paiement direct en % de dépenses Totale de la santé</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40%</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33%</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35%</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31%</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31%</w:t>
            </w:r>
          </w:p>
        </w:tc>
      </w:tr>
      <w:tr w:rsidR="005016A8" w:rsidRPr="005016A8" w:rsidTr="005016A8">
        <w:trPr>
          <w:trHeight w:val="525"/>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t>Paiement direct en % des dépenses totales des ménages</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100%</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100%</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100%</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100%</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100%</w:t>
            </w:r>
          </w:p>
        </w:tc>
      </w:tr>
      <w:tr w:rsidR="005016A8" w:rsidRPr="005016A8" w:rsidTr="005016A8">
        <w:trPr>
          <w:trHeight w:val="300"/>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t>Paiement direct par habitant par an</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11699,34</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11674,27</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11663,43</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11663,17</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11674,55</w:t>
            </w:r>
          </w:p>
        </w:tc>
      </w:tr>
      <w:tr w:rsidR="005016A8" w:rsidRPr="005016A8" w:rsidTr="005016A8">
        <w:trPr>
          <w:trHeight w:val="300"/>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t>Dépenses externes de santé</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57 435 084 957</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45 194 268 352</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34 207 648 096</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31 715 024 298</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32 664 460 195</w:t>
            </w:r>
          </w:p>
        </w:tc>
      </w:tr>
      <w:tr w:rsidR="005016A8" w:rsidRPr="005016A8" w:rsidTr="005016A8">
        <w:trPr>
          <w:trHeight w:val="525"/>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t>Dépenses externes en pourcentage des dépenses Totale de santé</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45,77%</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29,37%</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22,76%</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18,16%</w:t>
            </w:r>
          </w:p>
        </w:tc>
        <w:tc>
          <w:tcPr>
            <w:tcW w:w="1460" w:type="dxa"/>
            <w:tcBorders>
              <w:top w:val="nil"/>
              <w:left w:val="nil"/>
              <w:bottom w:val="single" w:sz="4" w:space="0" w:color="auto"/>
              <w:right w:val="single" w:sz="4" w:space="0" w:color="auto"/>
            </w:tcBorders>
            <w:shd w:val="clear" w:color="000000" w:fill="FFFFFF"/>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17,83%</w:t>
            </w:r>
          </w:p>
        </w:tc>
      </w:tr>
      <w:tr w:rsidR="005016A8" w:rsidRPr="005016A8" w:rsidTr="005016A8">
        <w:trPr>
          <w:trHeight w:val="300"/>
        </w:trPr>
        <w:tc>
          <w:tcPr>
            <w:tcW w:w="1985" w:type="dxa"/>
            <w:tcBorders>
              <w:top w:val="nil"/>
              <w:left w:val="single" w:sz="4" w:space="0" w:color="auto"/>
              <w:bottom w:val="single" w:sz="4" w:space="0" w:color="auto"/>
              <w:right w:val="single" w:sz="4" w:space="0" w:color="auto"/>
            </w:tcBorders>
            <w:shd w:val="clear" w:color="000000" w:fill="FFFFFF"/>
            <w:vAlign w:val="bottom"/>
            <w:hideMark/>
          </w:tcPr>
          <w:p w:rsidR="005016A8" w:rsidRPr="005016A8" w:rsidRDefault="005016A8" w:rsidP="005016A8">
            <w:pPr>
              <w:rPr>
                <w:b/>
                <w:bCs/>
                <w:color w:val="000000"/>
                <w:sz w:val="14"/>
                <w:szCs w:val="20"/>
                <w:lang w:eastAsia="fr-FR" w:bidi="ar-SA"/>
              </w:rPr>
            </w:pPr>
            <w:r w:rsidRPr="005016A8">
              <w:rPr>
                <w:b/>
                <w:bCs/>
                <w:color w:val="000000"/>
                <w:sz w:val="14"/>
                <w:szCs w:val="20"/>
                <w:lang w:eastAsia="fr-FR" w:bidi="ar-SA"/>
              </w:rPr>
              <w:t>Dépenses externes par habitant par an</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13491,30</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10284,68</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7550,75</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6796,50</w:t>
            </w:r>
          </w:p>
        </w:tc>
        <w:tc>
          <w:tcPr>
            <w:tcW w:w="1460" w:type="dxa"/>
            <w:tcBorders>
              <w:top w:val="nil"/>
              <w:left w:val="nil"/>
              <w:bottom w:val="single" w:sz="4" w:space="0" w:color="auto"/>
              <w:right w:val="single" w:sz="4" w:space="0" w:color="auto"/>
            </w:tcBorders>
            <w:shd w:val="clear" w:color="000000" w:fill="FFFFFF"/>
            <w:noWrap/>
            <w:vAlign w:val="bottom"/>
            <w:hideMark/>
          </w:tcPr>
          <w:p w:rsidR="005016A8" w:rsidRPr="005016A8" w:rsidRDefault="005016A8" w:rsidP="005016A8">
            <w:pPr>
              <w:jc w:val="right"/>
              <w:rPr>
                <w:color w:val="000000"/>
                <w:sz w:val="14"/>
                <w:szCs w:val="20"/>
                <w:lang w:eastAsia="fr-FR" w:bidi="ar-SA"/>
              </w:rPr>
            </w:pPr>
            <w:r w:rsidRPr="005016A8">
              <w:rPr>
                <w:color w:val="000000"/>
                <w:sz w:val="14"/>
                <w:szCs w:val="20"/>
                <w:lang w:eastAsia="fr-FR" w:bidi="ar-SA"/>
              </w:rPr>
              <w:t>6802,71</w:t>
            </w:r>
          </w:p>
        </w:tc>
      </w:tr>
    </w:tbl>
    <w:p w:rsidR="005016A8" w:rsidRDefault="005016A8" w:rsidP="00204D88">
      <w:pPr>
        <w:pStyle w:val="Style2"/>
        <w:jc w:val="center"/>
        <w:rPr>
          <w:color w:val="000000" w:themeColor="text1"/>
        </w:rPr>
      </w:pPr>
    </w:p>
    <w:p w:rsidR="00A10E04" w:rsidRPr="008D45CE" w:rsidRDefault="00A10E04" w:rsidP="00204D88">
      <w:pPr>
        <w:pStyle w:val="Style2"/>
        <w:jc w:val="center"/>
        <w:rPr>
          <w:color w:val="000000" w:themeColor="text1"/>
        </w:rPr>
      </w:pPr>
    </w:p>
    <w:p w:rsidR="00A10E04" w:rsidRPr="008D45CE" w:rsidRDefault="00A10E04" w:rsidP="00A401E9">
      <w:pPr>
        <w:pStyle w:val="Sansinterligne"/>
        <w:spacing w:line="360" w:lineRule="auto"/>
        <w:rPr>
          <w:rFonts w:ascii="Arial Unicode MS" w:eastAsia="Arial Unicode MS" w:hAnsi="Arial Unicode MS" w:cs="Arial Unicode MS"/>
          <w:noProof/>
          <w:color w:val="000000" w:themeColor="text1"/>
          <w:sz w:val="12"/>
          <w:szCs w:val="16"/>
          <w:lang w:val="fr-FR" w:bidi="ar-SA"/>
        </w:rPr>
      </w:pPr>
    </w:p>
    <w:p w:rsidR="00F27B4A" w:rsidRPr="00F27B4A" w:rsidRDefault="00F27B4A" w:rsidP="00A401E9">
      <w:pPr>
        <w:pStyle w:val="Style2"/>
        <w:rPr>
          <w:b/>
        </w:rPr>
      </w:pPr>
      <w:r w:rsidRPr="00F27B4A">
        <w:rPr>
          <w:b/>
          <w:color w:val="000000" w:themeColor="text1"/>
        </w:rPr>
        <w:lastRenderedPageBreak/>
        <w:t>Tableau n°</w:t>
      </w:r>
      <w:r w:rsidR="00DE72ED">
        <w:rPr>
          <w:b/>
          <w:color w:val="000000" w:themeColor="text1"/>
        </w:rPr>
        <w:t>2</w:t>
      </w:r>
      <w:r w:rsidRPr="00F27B4A">
        <w:rPr>
          <w:b/>
          <w:color w:val="000000" w:themeColor="text1"/>
        </w:rPr>
        <w:t xml:space="preserve"> </w:t>
      </w:r>
      <w:r w:rsidRPr="00F27B4A">
        <w:rPr>
          <w:b/>
        </w:rPr>
        <w:t>Sources de financement par régime de financement de 2011à 2015 en FCFA</w:t>
      </w:r>
    </w:p>
    <w:p w:rsidR="00F27B4A" w:rsidRDefault="00F27B4A" w:rsidP="00A401E9">
      <w:pPr>
        <w:pStyle w:val="Style2"/>
      </w:pPr>
    </w:p>
    <w:p w:rsidR="00F27B4A" w:rsidRDefault="00F27B4A" w:rsidP="00A401E9">
      <w:pPr>
        <w:pStyle w:val="Style2"/>
      </w:pPr>
      <w:r w:rsidRPr="00F27B4A">
        <w:rPr>
          <w:noProof/>
          <w:lang w:eastAsia="fr-FR" w:bidi="ar-SA"/>
        </w:rPr>
        <w:drawing>
          <wp:inline distT="0" distB="0" distL="0" distR="0">
            <wp:extent cx="5760720" cy="2747310"/>
            <wp:effectExtent l="19050" t="0" r="0" b="0"/>
            <wp:docPr id="2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cstate="print"/>
                    <a:srcRect/>
                    <a:stretch>
                      <a:fillRect/>
                    </a:stretch>
                  </pic:blipFill>
                  <pic:spPr bwMode="auto">
                    <a:xfrm>
                      <a:off x="0" y="0"/>
                      <a:ext cx="5760720" cy="2747310"/>
                    </a:xfrm>
                    <a:prstGeom prst="rect">
                      <a:avLst/>
                    </a:prstGeom>
                    <a:noFill/>
                    <a:ln w="9525">
                      <a:noFill/>
                      <a:miter lim="800000"/>
                      <a:headEnd/>
                      <a:tailEnd/>
                    </a:ln>
                  </pic:spPr>
                </pic:pic>
              </a:graphicData>
            </a:graphic>
          </wp:inline>
        </w:drawing>
      </w:r>
    </w:p>
    <w:p w:rsidR="00F27B4A" w:rsidRDefault="00F27B4A" w:rsidP="00A401E9">
      <w:pPr>
        <w:pStyle w:val="Style2"/>
      </w:pPr>
    </w:p>
    <w:p w:rsidR="00F27B4A" w:rsidRPr="00F27B4A" w:rsidRDefault="00F27B4A" w:rsidP="00A401E9">
      <w:pPr>
        <w:pStyle w:val="Style2"/>
        <w:rPr>
          <w:b/>
        </w:rPr>
      </w:pPr>
      <w:r w:rsidRPr="00F27B4A">
        <w:rPr>
          <w:b/>
        </w:rPr>
        <w:t xml:space="preserve">Tableau </w:t>
      </w:r>
      <w:r w:rsidR="00DE72ED">
        <w:rPr>
          <w:b/>
        </w:rPr>
        <w:t>n</w:t>
      </w:r>
      <w:r w:rsidRPr="00F27B4A">
        <w:rPr>
          <w:b/>
        </w:rPr>
        <w:t>°</w:t>
      </w:r>
      <w:r w:rsidR="00DE72ED">
        <w:rPr>
          <w:b/>
        </w:rPr>
        <w:t>3</w:t>
      </w:r>
      <w:r w:rsidRPr="00F27B4A">
        <w:rPr>
          <w:b/>
        </w:rPr>
        <w:t xml:space="preserve"> Recettes des </w:t>
      </w:r>
      <w:r w:rsidR="004360B1">
        <w:rPr>
          <w:b/>
        </w:rPr>
        <w:t>régimes de financement par Regime</w:t>
      </w:r>
      <w:r w:rsidRPr="00F27B4A">
        <w:rPr>
          <w:b/>
        </w:rPr>
        <w:t xml:space="preserve"> de financement de 2011 à 2015 en FCFA</w:t>
      </w:r>
    </w:p>
    <w:p w:rsidR="00F27B4A" w:rsidRDefault="00F27B4A" w:rsidP="00A401E9">
      <w:pPr>
        <w:pStyle w:val="Style2"/>
      </w:pPr>
    </w:p>
    <w:p w:rsidR="00F27B4A" w:rsidRDefault="00F27B4A" w:rsidP="00A401E9">
      <w:pPr>
        <w:pStyle w:val="Style2"/>
      </w:pPr>
      <w:r w:rsidRPr="00F27B4A">
        <w:rPr>
          <w:noProof/>
          <w:lang w:eastAsia="fr-FR" w:bidi="ar-SA"/>
        </w:rPr>
        <w:drawing>
          <wp:inline distT="0" distB="0" distL="0" distR="0">
            <wp:extent cx="5760720" cy="2494800"/>
            <wp:effectExtent l="19050" t="0" r="0" b="0"/>
            <wp:docPr id="3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4" cstate="print"/>
                    <a:srcRect/>
                    <a:stretch>
                      <a:fillRect/>
                    </a:stretch>
                  </pic:blipFill>
                  <pic:spPr bwMode="auto">
                    <a:xfrm>
                      <a:off x="0" y="0"/>
                      <a:ext cx="5760720" cy="2494800"/>
                    </a:xfrm>
                    <a:prstGeom prst="rect">
                      <a:avLst/>
                    </a:prstGeom>
                    <a:noFill/>
                    <a:ln w="9525">
                      <a:noFill/>
                      <a:miter lim="800000"/>
                      <a:headEnd/>
                      <a:tailEnd/>
                    </a:ln>
                  </pic:spPr>
                </pic:pic>
              </a:graphicData>
            </a:graphic>
          </wp:inline>
        </w:drawing>
      </w:r>
    </w:p>
    <w:p w:rsidR="00F27B4A" w:rsidRPr="0057150A" w:rsidRDefault="00F27B4A" w:rsidP="00A401E9">
      <w:pPr>
        <w:pStyle w:val="Style2"/>
        <w:rPr>
          <w:color w:val="000000" w:themeColor="text1"/>
        </w:rPr>
      </w:pPr>
    </w:p>
    <w:p w:rsidR="00A10E04" w:rsidRPr="00DE72ED" w:rsidRDefault="00A10E04" w:rsidP="00A401E9">
      <w:pPr>
        <w:pStyle w:val="Style2"/>
        <w:rPr>
          <w:b/>
          <w:color w:val="000000" w:themeColor="text1"/>
        </w:rPr>
      </w:pPr>
      <w:r w:rsidRPr="0057150A">
        <w:rPr>
          <w:color w:val="000000" w:themeColor="text1"/>
        </w:rPr>
        <w:br w:type="page"/>
      </w:r>
      <w:r w:rsidR="00F27B4A" w:rsidRPr="00DE72ED">
        <w:rPr>
          <w:b/>
          <w:color w:val="000000" w:themeColor="text1"/>
        </w:rPr>
        <w:lastRenderedPageBreak/>
        <w:t xml:space="preserve">Tableau n° </w:t>
      </w:r>
      <w:r w:rsidR="00DE72ED" w:rsidRPr="00DE72ED">
        <w:rPr>
          <w:b/>
          <w:color w:val="000000" w:themeColor="text1"/>
        </w:rPr>
        <w:t xml:space="preserve">4 </w:t>
      </w:r>
      <w:r w:rsidR="00F27B4A" w:rsidRPr="00DE72ED">
        <w:rPr>
          <w:b/>
          <w:color w:val="000000" w:themeColor="text1"/>
        </w:rPr>
        <w:t>Agents de financement par régime de financement de 2011 à 2015 en FCFA</w:t>
      </w:r>
    </w:p>
    <w:p w:rsidR="00F27B4A" w:rsidRPr="00F27B4A" w:rsidRDefault="00F27B4A" w:rsidP="00A401E9">
      <w:pPr>
        <w:pStyle w:val="Style2"/>
        <w:rPr>
          <w:color w:val="000000" w:themeColor="text1"/>
        </w:rPr>
      </w:pPr>
    </w:p>
    <w:p w:rsidR="00F27B4A" w:rsidRPr="0057150A" w:rsidRDefault="00F27B4A" w:rsidP="00A401E9">
      <w:pPr>
        <w:pStyle w:val="Style2"/>
        <w:rPr>
          <w:color w:val="000000" w:themeColor="text1"/>
        </w:rPr>
      </w:pPr>
      <w:r w:rsidRPr="00F27B4A">
        <w:rPr>
          <w:noProof/>
          <w:lang w:eastAsia="fr-FR" w:bidi="ar-SA"/>
        </w:rPr>
        <w:drawing>
          <wp:inline distT="0" distB="0" distL="0" distR="0">
            <wp:extent cx="5892800" cy="1555750"/>
            <wp:effectExtent l="19050" t="0" r="0" b="0"/>
            <wp:docPr id="3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5" cstate="print"/>
                    <a:srcRect/>
                    <a:stretch>
                      <a:fillRect/>
                    </a:stretch>
                  </pic:blipFill>
                  <pic:spPr bwMode="auto">
                    <a:xfrm>
                      <a:off x="0" y="0"/>
                      <a:ext cx="5894099" cy="1556093"/>
                    </a:xfrm>
                    <a:prstGeom prst="rect">
                      <a:avLst/>
                    </a:prstGeom>
                    <a:noFill/>
                    <a:ln w="9525">
                      <a:noFill/>
                      <a:miter lim="800000"/>
                      <a:headEnd/>
                      <a:tailEnd/>
                    </a:ln>
                  </pic:spPr>
                </pic:pic>
              </a:graphicData>
            </a:graphic>
          </wp:inline>
        </w:drawing>
      </w:r>
    </w:p>
    <w:p w:rsidR="00A10E04" w:rsidRPr="008D45CE" w:rsidRDefault="00A10E04" w:rsidP="00A401E9">
      <w:pPr>
        <w:pStyle w:val="Sansinterligne"/>
        <w:spacing w:line="360" w:lineRule="auto"/>
        <w:rPr>
          <w:rFonts w:ascii="Arial" w:hAnsi="Arial" w:cs="Arial"/>
          <w:color w:val="000000" w:themeColor="text1"/>
          <w:szCs w:val="24"/>
          <w:lang w:val="fr-FR"/>
        </w:rPr>
      </w:pPr>
    </w:p>
    <w:p w:rsidR="00A10E04" w:rsidRPr="00DE72ED" w:rsidRDefault="00F27B4A" w:rsidP="00A401E9">
      <w:pPr>
        <w:pStyle w:val="Sansinterligne"/>
        <w:spacing w:line="360" w:lineRule="auto"/>
        <w:rPr>
          <w:rFonts w:ascii="Times New Roman" w:hAnsi="Times New Roman"/>
          <w:b/>
          <w:szCs w:val="24"/>
          <w:lang w:val="fr-FR"/>
        </w:rPr>
      </w:pPr>
      <w:r w:rsidRPr="00DE72ED">
        <w:rPr>
          <w:rFonts w:ascii="Times New Roman" w:hAnsi="Times New Roman"/>
          <w:b/>
          <w:sz w:val="20"/>
          <w:szCs w:val="24"/>
          <w:lang w:val="fr-FR"/>
        </w:rPr>
        <w:t>T</w:t>
      </w:r>
      <w:r w:rsidRPr="00DE72ED">
        <w:rPr>
          <w:rFonts w:ascii="Times New Roman" w:hAnsi="Times New Roman"/>
          <w:b/>
          <w:szCs w:val="24"/>
          <w:lang w:val="fr-FR"/>
        </w:rPr>
        <w:t xml:space="preserve">ableau n° </w:t>
      </w:r>
      <w:r w:rsidR="00DE72ED" w:rsidRPr="00DE72ED">
        <w:rPr>
          <w:rFonts w:ascii="Times New Roman" w:hAnsi="Times New Roman"/>
          <w:b/>
          <w:szCs w:val="24"/>
          <w:lang w:val="fr-FR"/>
        </w:rPr>
        <w:t xml:space="preserve">5 </w:t>
      </w:r>
      <w:r w:rsidRPr="00DE72ED">
        <w:rPr>
          <w:rFonts w:ascii="Times New Roman" w:hAnsi="Times New Roman"/>
          <w:b/>
          <w:szCs w:val="24"/>
          <w:lang w:val="fr-FR"/>
        </w:rPr>
        <w:t>Agents de financement par prestataire de soins de santé de 2011 à 2015 en FCFA</w:t>
      </w:r>
    </w:p>
    <w:p w:rsidR="00F27B4A" w:rsidRDefault="00F27B4A" w:rsidP="00A401E9">
      <w:pPr>
        <w:pStyle w:val="Sansinterligne"/>
        <w:spacing w:line="360" w:lineRule="auto"/>
        <w:rPr>
          <w:rFonts w:ascii="Times New Roman" w:hAnsi="Times New Roman"/>
          <w:sz w:val="24"/>
          <w:szCs w:val="24"/>
          <w:lang w:val="fr-FR"/>
        </w:rPr>
      </w:pPr>
    </w:p>
    <w:p w:rsidR="00F27B4A" w:rsidRDefault="00F27B4A" w:rsidP="00A401E9">
      <w:pPr>
        <w:pStyle w:val="Sansinterligne"/>
        <w:spacing w:line="360" w:lineRule="auto"/>
        <w:rPr>
          <w:rFonts w:ascii="Times New Roman" w:hAnsi="Times New Roman"/>
          <w:color w:val="000000" w:themeColor="text1"/>
          <w:szCs w:val="24"/>
          <w:lang w:val="fr-FR"/>
        </w:rPr>
      </w:pPr>
      <w:r w:rsidRPr="00F27B4A">
        <w:rPr>
          <w:noProof/>
          <w:szCs w:val="24"/>
          <w:lang w:val="fr-FR" w:bidi="ar-SA"/>
        </w:rPr>
        <w:drawing>
          <wp:inline distT="0" distB="0" distL="0" distR="0">
            <wp:extent cx="5760720" cy="5987948"/>
            <wp:effectExtent l="19050" t="0" r="0" b="0"/>
            <wp:docPr id="33"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6" cstate="print"/>
                    <a:srcRect/>
                    <a:stretch>
                      <a:fillRect/>
                    </a:stretch>
                  </pic:blipFill>
                  <pic:spPr bwMode="auto">
                    <a:xfrm>
                      <a:off x="0" y="0"/>
                      <a:ext cx="5760720" cy="5987948"/>
                    </a:xfrm>
                    <a:prstGeom prst="rect">
                      <a:avLst/>
                    </a:prstGeom>
                    <a:noFill/>
                    <a:ln w="9525">
                      <a:noFill/>
                      <a:miter lim="800000"/>
                      <a:headEnd/>
                      <a:tailEnd/>
                    </a:ln>
                  </pic:spPr>
                </pic:pic>
              </a:graphicData>
            </a:graphic>
          </wp:inline>
        </w:drawing>
      </w:r>
    </w:p>
    <w:p w:rsidR="00F27B4A" w:rsidRDefault="00F27B4A" w:rsidP="00A401E9">
      <w:pPr>
        <w:pStyle w:val="Sansinterligne"/>
        <w:spacing w:line="360" w:lineRule="auto"/>
        <w:rPr>
          <w:rFonts w:ascii="Times New Roman" w:hAnsi="Times New Roman"/>
          <w:color w:val="000000" w:themeColor="text1"/>
          <w:szCs w:val="24"/>
          <w:lang w:val="fr-FR"/>
        </w:rPr>
      </w:pPr>
    </w:p>
    <w:p w:rsidR="00F27B4A" w:rsidRPr="00DE72ED" w:rsidRDefault="00F27B4A" w:rsidP="00A401E9">
      <w:pPr>
        <w:pStyle w:val="Sansinterligne"/>
        <w:spacing w:line="360" w:lineRule="auto"/>
        <w:rPr>
          <w:rFonts w:ascii="Times New Roman" w:hAnsi="Times New Roman"/>
          <w:b/>
          <w:color w:val="000000" w:themeColor="text1"/>
          <w:szCs w:val="24"/>
          <w:lang w:val="fr-FR"/>
        </w:rPr>
      </w:pPr>
      <w:r w:rsidRPr="00DE72ED">
        <w:rPr>
          <w:rFonts w:ascii="Times New Roman" w:hAnsi="Times New Roman"/>
          <w:b/>
          <w:color w:val="000000" w:themeColor="text1"/>
          <w:szCs w:val="24"/>
          <w:lang w:val="fr-FR"/>
        </w:rPr>
        <w:t>Tableau n°</w:t>
      </w:r>
      <w:r w:rsidR="00DE72ED" w:rsidRPr="00DE72ED">
        <w:rPr>
          <w:rFonts w:ascii="Times New Roman" w:hAnsi="Times New Roman"/>
          <w:b/>
          <w:color w:val="000000" w:themeColor="text1"/>
          <w:szCs w:val="24"/>
          <w:lang w:val="fr-FR"/>
        </w:rPr>
        <w:t>6</w:t>
      </w:r>
      <w:r w:rsidRPr="00DE72ED">
        <w:rPr>
          <w:rFonts w:ascii="Times New Roman" w:hAnsi="Times New Roman"/>
          <w:b/>
          <w:color w:val="000000" w:themeColor="text1"/>
          <w:szCs w:val="24"/>
          <w:lang w:val="fr-FR"/>
        </w:rPr>
        <w:t xml:space="preserve"> </w:t>
      </w:r>
      <w:r w:rsidR="00DE72ED" w:rsidRPr="00DE72ED">
        <w:rPr>
          <w:rFonts w:ascii="Times New Roman" w:hAnsi="Times New Roman"/>
          <w:b/>
          <w:color w:val="000000" w:themeColor="text1"/>
          <w:szCs w:val="24"/>
          <w:lang w:val="fr-FR"/>
        </w:rPr>
        <w:t xml:space="preserve"> </w:t>
      </w:r>
      <w:r w:rsidRPr="00DE72ED">
        <w:rPr>
          <w:rFonts w:ascii="Times New Roman" w:hAnsi="Times New Roman"/>
          <w:b/>
          <w:color w:val="000000" w:themeColor="text1"/>
          <w:szCs w:val="24"/>
          <w:lang w:val="fr-FR"/>
        </w:rPr>
        <w:t>Prestataires de soins de santé par activité de 2011 à 2015 en FCFA</w:t>
      </w:r>
    </w:p>
    <w:p w:rsidR="00F27B4A" w:rsidRDefault="00F27B4A" w:rsidP="00A401E9">
      <w:pPr>
        <w:pStyle w:val="Sansinterligne"/>
        <w:spacing w:line="360" w:lineRule="auto"/>
        <w:rPr>
          <w:rFonts w:ascii="Times New Roman" w:hAnsi="Times New Roman"/>
          <w:color w:val="000000" w:themeColor="text1"/>
          <w:szCs w:val="24"/>
          <w:lang w:val="fr-FR"/>
        </w:rPr>
      </w:pPr>
    </w:p>
    <w:p w:rsidR="00F27B4A" w:rsidRPr="00F27B4A" w:rsidRDefault="00F27B4A" w:rsidP="00A401E9">
      <w:pPr>
        <w:pStyle w:val="Sansinterligne"/>
        <w:spacing w:line="360" w:lineRule="auto"/>
        <w:rPr>
          <w:rFonts w:ascii="Times New Roman" w:hAnsi="Times New Roman"/>
          <w:color w:val="000000" w:themeColor="text1"/>
          <w:szCs w:val="24"/>
          <w:lang w:val="fr-FR"/>
        </w:rPr>
      </w:pPr>
      <w:r w:rsidRPr="00F27B4A">
        <w:rPr>
          <w:noProof/>
          <w:szCs w:val="24"/>
          <w:lang w:val="fr-FR" w:bidi="ar-SA"/>
        </w:rPr>
        <w:drawing>
          <wp:inline distT="0" distB="0" distL="0" distR="0">
            <wp:extent cx="5760720" cy="6410504"/>
            <wp:effectExtent l="19050" t="0" r="0" b="0"/>
            <wp:docPr id="34"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cstate="print"/>
                    <a:srcRect/>
                    <a:stretch>
                      <a:fillRect/>
                    </a:stretch>
                  </pic:blipFill>
                  <pic:spPr bwMode="auto">
                    <a:xfrm>
                      <a:off x="0" y="0"/>
                      <a:ext cx="5760720" cy="6410504"/>
                    </a:xfrm>
                    <a:prstGeom prst="rect">
                      <a:avLst/>
                    </a:prstGeom>
                    <a:noFill/>
                    <a:ln w="9525">
                      <a:noFill/>
                      <a:miter lim="800000"/>
                      <a:headEnd/>
                      <a:tailEnd/>
                    </a:ln>
                  </pic:spPr>
                </pic:pic>
              </a:graphicData>
            </a:graphic>
          </wp:inline>
        </w:drawing>
      </w:r>
    </w:p>
    <w:p w:rsidR="00045FB8" w:rsidRDefault="00045FB8" w:rsidP="00A401E9">
      <w:pPr>
        <w:pStyle w:val="Sansinterligne"/>
        <w:spacing w:line="360" w:lineRule="auto"/>
        <w:rPr>
          <w:rFonts w:ascii="Arial" w:hAnsi="Arial" w:cs="Arial"/>
          <w:color w:val="000000" w:themeColor="text1"/>
          <w:szCs w:val="24"/>
          <w:lang w:val="fr-FR"/>
        </w:rPr>
      </w:pPr>
    </w:p>
    <w:p w:rsidR="00045FB8" w:rsidRDefault="00045FB8" w:rsidP="00A401E9">
      <w:pPr>
        <w:pStyle w:val="Sansinterligne"/>
        <w:spacing w:line="360" w:lineRule="auto"/>
        <w:rPr>
          <w:rFonts w:ascii="Arial" w:hAnsi="Arial" w:cs="Arial"/>
          <w:color w:val="000000" w:themeColor="text1"/>
          <w:szCs w:val="24"/>
          <w:lang w:val="fr-FR"/>
        </w:rPr>
      </w:pPr>
    </w:p>
    <w:p w:rsidR="00045FB8" w:rsidRDefault="00045FB8" w:rsidP="00A401E9">
      <w:pPr>
        <w:pStyle w:val="Sansinterligne"/>
        <w:spacing w:line="360" w:lineRule="auto"/>
        <w:rPr>
          <w:rFonts w:ascii="Arial" w:hAnsi="Arial" w:cs="Arial"/>
          <w:color w:val="000000" w:themeColor="text1"/>
          <w:szCs w:val="24"/>
          <w:lang w:val="fr-FR"/>
        </w:rPr>
      </w:pPr>
    </w:p>
    <w:p w:rsidR="00045FB8" w:rsidRDefault="00045FB8" w:rsidP="00A401E9">
      <w:pPr>
        <w:pStyle w:val="Sansinterligne"/>
        <w:spacing w:line="360" w:lineRule="auto"/>
        <w:rPr>
          <w:rFonts w:ascii="Arial" w:hAnsi="Arial" w:cs="Arial"/>
          <w:color w:val="000000" w:themeColor="text1"/>
          <w:szCs w:val="24"/>
          <w:lang w:val="fr-FR"/>
        </w:rPr>
      </w:pPr>
    </w:p>
    <w:p w:rsidR="00045FB8" w:rsidRDefault="00045FB8" w:rsidP="00A401E9">
      <w:pPr>
        <w:pStyle w:val="Sansinterligne"/>
        <w:spacing w:line="360" w:lineRule="auto"/>
        <w:rPr>
          <w:rFonts w:ascii="Arial" w:hAnsi="Arial" w:cs="Arial"/>
          <w:color w:val="000000" w:themeColor="text1"/>
          <w:szCs w:val="24"/>
          <w:lang w:val="fr-FR"/>
        </w:rPr>
      </w:pPr>
    </w:p>
    <w:p w:rsidR="00045FB8" w:rsidRPr="008D45CE" w:rsidRDefault="00045FB8" w:rsidP="00A401E9">
      <w:pPr>
        <w:pStyle w:val="Sansinterligne"/>
        <w:spacing w:line="360" w:lineRule="auto"/>
        <w:rPr>
          <w:rFonts w:ascii="Arial" w:hAnsi="Arial" w:cs="Arial"/>
          <w:color w:val="000000" w:themeColor="text1"/>
          <w:szCs w:val="24"/>
          <w:lang w:val="fr-FR"/>
        </w:rPr>
      </w:pPr>
    </w:p>
    <w:p w:rsidR="00A10E04" w:rsidRPr="008D45CE" w:rsidRDefault="00A10E04" w:rsidP="00A401E9">
      <w:pPr>
        <w:rPr>
          <w:color w:val="000000" w:themeColor="text1"/>
        </w:rPr>
      </w:pPr>
    </w:p>
    <w:p w:rsidR="00A10E04" w:rsidRPr="00DE72ED" w:rsidRDefault="00F27B4A" w:rsidP="00A401E9">
      <w:pPr>
        <w:pStyle w:val="Style2"/>
        <w:rPr>
          <w:b/>
          <w:color w:val="000000" w:themeColor="text1"/>
          <w:sz w:val="22"/>
        </w:rPr>
      </w:pPr>
      <w:r w:rsidRPr="00DE72ED">
        <w:rPr>
          <w:b/>
          <w:color w:val="000000" w:themeColor="text1"/>
          <w:sz w:val="22"/>
        </w:rPr>
        <w:lastRenderedPageBreak/>
        <w:t xml:space="preserve">Tableau n° </w:t>
      </w:r>
      <w:r w:rsidR="00DE72ED">
        <w:rPr>
          <w:b/>
          <w:color w:val="000000" w:themeColor="text1"/>
          <w:sz w:val="22"/>
        </w:rPr>
        <w:t>7</w:t>
      </w:r>
      <w:r w:rsidRPr="00DE72ED">
        <w:rPr>
          <w:b/>
          <w:color w:val="000000" w:themeColor="text1"/>
          <w:sz w:val="22"/>
        </w:rPr>
        <w:t xml:space="preserve">   Sources des financement par Maladie selon le CIM 10 de 2011 à 2015 en FCFA</w:t>
      </w:r>
    </w:p>
    <w:p w:rsidR="00F27B4A" w:rsidRPr="0057150A" w:rsidRDefault="00DE72ED" w:rsidP="00A401E9">
      <w:pPr>
        <w:pStyle w:val="Style2"/>
        <w:rPr>
          <w:color w:val="000000" w:themeColor="text1"/>
        </w:rPr>
      </w:pPr>
      <w:r w:rsidRPr="00DE72ED">
        <w:rPr>
          <w:noProof/>
          <w:lang w:eastAsia="fr-FR" w:bidi="ar-SA"/>
        </w:rPr>
        <w:drawing>
          <wp:inline distT="0" distB="0" distL="0" distR="0">
            <wp:extent cx="5760720" cy="8697558"/>
            <wp:effectExtent l="19050" t="0" r="0" b="0"/>
            <wp:docPr id="41"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8" cstate="print"/>
                    <a:srcRect/>
                    <a:stretch>
                      <a:fillRect/>
                    </a:stretch>
                  </pic:blipFill>
                  <pic:spPr bwMode="auto">
                    <a:xfrm>
                      <a:off x="0" y="0"/>
                      <a:ext cx="5760720" cy="8697558"/>
                    </a:xfrm>
                    <a:prstGeom prst="rect">
                      <a:avLst/>
                    </a:prstGeom>
                    <a:noFill/>
                    <a:ln w="9525">
                      <a:noFill/>
                      <a:miter lim="800000"/>
                      <a:headEnd/>
                      <a:tailEnd/>
                    </a:ln>
                  </pic:spPr>
                </pic:pic>
              </a:graphicData>
            </a:graphic>
          </wp:inline>
        </w:drawing>
      </w:r>
    </w:p>
    <w:p w:rsidR="00A10E04" w:rsidRPr="00DE72ED" w:rsidRDefault="00DE72ED" w:rsidP="00A401E9">
      <w:pPr>
        <w:pStyle w:val="Sansinterligne"/>
        <w:spacing w:line="360" w:lineRule="auto"/>
        <w:rPr>
          <w:rFonts w:ascii="Times New Roman" w:hAnsi="Times New Roman"/>
          <w:b/>
          <w:color w:val="000000" w:themeColor="text1"/>
          <w:sz w:val="24"/>
          <w:szCs w:val="24"/>
          <w:lang w:val="fr-FR"/>
        </w:rPr>
      </w:pPr>
      <w:r w:rsidRPr="00DE72ED">
        <w:rPr>
          <w:rFonts w:ascii="Times New Roman" w:hAnsi="Times New Roman"/>
          <w:b/>
          <w:color w:val="000000" w:themeColor="text1"/>
          <w:sz w:val="24"/>
          <w:szCs w:val="24"/>
          <w:lang w:val="fr-FR"/>
        </w:rPr>
        <w:lastRenderedPageBreak/>
        <w:t>Tableau n° Sources de financement par facteurs des prestations de 2011 à 2015 en FCFA</w:t>
      </w:r>
    </w:p>
    <w:p w:rsidR="00DE72ED" w:rsidRPr="00DE72ED" w:rsidRDefault="00DE72ED" w:rsidP="00A401E9">
      <w:pPr>
        <w:pStyle w:val="Sansinterligne"/>
        <w:spacing w:line="360" w:lineRule="auto"/>
        <w:rPr>
          <w:rFonts w:ascii="Times New Roman" w:hAnsi="Times New Roman"/>
          <w:color w:val="000000" w:themeColor="text1"/>
          <w:sz w:val="24"/>
          <w:szCs w:val="24"/>
          <w:lang w:val="fr-FR"/>
        </w:rPr>
      </w:pPr>
    </w:p>
    <w:p w:rsidR="00DE72ED" w:rsidRPr="00DE72ED" w:rsidRDefault="00DE72ED" w:rsidP="00A401E9">
      <w:pPr>
        <w:pStyle w:val="Sansinterligne"/>
        <w:spacing w:line="360" w:lineRule="auto"/>
        <w:rPr>
          <w:rFonts w:ascii="Times New Roman" w:hAnsi="Times New Roman"/>
          <w:color w:val="000000" w:themeColor="text1"/>
          <w:sz w:val="24"/>
          <w:szCs w:val="24"/>
          <w:lang w:val="fr-FR"/>
        </w:rPr>
        <w:sectPr w:rsidR="00DE72ED" w:rsidRPr="00DE72ED" w:rsidSect="00E941CD">
          <w:pgSz w:w="11906" w:h="16838"/>
          <w:pgMar w:top="567" w:right="1417" w:bottom="1417" w:left="1417" w:header="708" w:footer="708" w:gutter="0"/>
          <w:cols w:space="708"/>
          <w:docGrid w:linePitch="360"/>
        </w:sectPr>
      </w:pPr>
      <w:r w:rsidRPr="00DE72ED">
        <w:rPr>
          <w:noProof/>
          <w:szCs w:val="24"/>
          <w:lang w:val="fr-FR" w:bidi="ar-SA"/>
        </w:rPr>
        <w:drawing>
          <wp:inline distT="0" distB="0" distL="0" distR="0">
            <wp:extent cx="5760720" cy="5726664"/>
            <wp:effectExtent l="19050" t="0" r="0" b="0"/>
            <wp:docPr id="43"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9" cstate="print"/>
                    <a:srcRect/>
                    <a:stretch>
                      <a:fillRect/>
                    </a:stretch>
                  </pic:blipFill>
                  <pic:spPr bwMode="auto">
                    <a:xfrm>
                      <a:off x="0" y="0"/>
                      <a:ext cx="5760720" cy="5726664"/>
                    </a:xfrm>
                    <a:prstGeom prst="rect">
                      <a:avLst/>
                    </a:prstGeom>
                    <a:noFill/>
                    <a:ln w="9525">
                      <a:noFill/>
                      <a:miter lim="800000"/>
                      <a:headEnd/>
                      <a:tailEnd/>
                    </a:ln>
                  </pic:spPr>
                </pic:pic>
              </a:graphicData>
            </a:graphic>
          </wp:inline>
        </w:drawing>
      </w:r>
    </w:p>
    <w:p w:rsidR="00A10E04" w:rsidRDefault="00A10E04" w:rsidP="00A401E9">
      <w:pPr>
        <w:pStyle w:val="Style2"/>
        <w:rPr>
          <w:color w:val="000000" w:themeColor="text1"/>
        </w:rPr>
      </w:pPr>
    </w:p>
    <w:p w:rsidR="00803FAF" w:rsidRDefault="00803FAF" w:rsidP="00A401E9">
      <w:pPr>
        <w:pStyle w:val="Style2"/>
        <w:rPr>
          <w:color w:val="000000" w:themeColor="text1"/>
        </w:rPr>
      </w:pPr>
      <w:r>
        <w:rPr>
          <w:color w:val="000000" w:themeColor="text1"/>
        </w:rPr>
        <w:t>Tableau n°9 REPARTION DE LA DEPENSE COURANTE DE SANTE PAR DEPARTEMENT DE 2011 A 2015 EN FCFA</w:t>
      </w:r>
    </w:p>
    <w:p w:rsidR="00803FAF" w:rsidRPr="008D45CE" w:rsidRDefault="00803FAF" w:rsidP="00A401E9">
      <w:pPr>
        <w:pStyle w:val="Style2"/>
        <w:rPr>
          <w:color w:val="000000" w:themeColor="text1"/>
        </w:rPr>
      </w:pPr>
    </w:p>
    <w:tbl>
      <w:tblPr>
        <w:tblW w:w="10280" w:type="dxa"/>
        <w:jc w:val="center"/>
        <w:tblCellMar>
          <w:left w:w="70" w:type="dxa"/>
          <w:right w:w="70" w:type="dxa"/>
        </w:tblCellMar>
        <w:tblLook w:val="04A0" w:firstRow="1" w:lastRow="0" w:firstColumn="1" w:lastColumn="0" w:noHBand="0" w:noVBand="1"/>
      </w:tblPr>
      <w:tblGrid>
        <w:gridCol w:w="2580"/>
        <w:gridCol w:w="1540"/>
        <w:gridCol w:w="1540"/>
        <w:gridCol w:w="1540"/>
        <w:gridCol w:w="1540"/>
        <w:gridCol w:w="1540"/>
      </w:tblGrid>
      <w:tr w:rsidR="00803FAF" w:rsidTr="00803FAF">
        <w:trPr>
          <w:trHeight w:val="255"/>
          <w:jc w:val="center"/>
        </w:trPr>
        <w:tc>
          <w:tcPr>
            <w:tcW w:w="2580" w:type="dxa"/>
            <w:tcBorders>
              <w:top w:val="nil"/>
              <w:left w:val="nil"/>
              <w:bottom w:val="nil"/>
              <w:right w:val="nil"/>
            </w:tcBorders>
            <w:shd w:val="clear" w:color="auto" w:fill="auto"/>
            <w:noWrap/>
            <w:vAlign w:val="bottom"/>
            <w:hideMark/>
          </w:tcPr>
          <w:p w:rsidR="00803FAF" w:rsidRDefault="00803FAF">
            <w:pPr>
              <w:rPr>
                <w:rFonts w:ascii="Arial" w:hAnsi="Arial" w:cs="Arial"/>
                <w:sz w:val="20"/>
                <w:szCs w:val="20"/>
              </w:rPr>
            </w:pPr>
          </w:p>
        </w:tc>
        <w:tc>
          <w:tcPr>
            <w:tcW w:w="77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03FAF" w:rsidRDefault="00803FAF">
            <w:pPr>
              <w:jc w:val="center"/>
              <w:rPr>
                <w:rFonts w:ascii="Arial" w:hAnsi="Arial" w:cs="Arial"/>
                <w:b/>
                <w:bCs/>
                <w:sz w:val="20"/>
                <w:szCs w:val="20"/>
              </w:rPr>
            </w:pPr>
            <w:r>
              <w:rPr>
                <w:rFonts w:ascii="Arial" w:hAnsi="Arial" w:cs="Arial"/>
                <w:b/>
                <w:bCs/>
                <w:sz w:val="20"/>
                <w:szCs w:val="20"/>
              </w:rPr>
              <w:t>Années</w:t>
            </w:r>
          </w:p>
        </w:tc>
      </w:tr>
      <w:tr w:rsidR="00803FAF" w:rsidTr="00803FAF">
        <w:trPr>
          <w:trHeight w:val="255"/>
          <w:jc w:val="center"/>
        </w:trPr>
        <w:tc>
          <w:tcPr>
            <w:tcW w:w="25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03FAF" w:rsidRDefault="00803FAF">
            <w:pPr>
              <w:rPr>
                <w:rFonts w:ascii="Arial" w:hAnsi="Arial" w:cs="Arial"/>
                <w:b/>
                <w:bCs/>
                <w:sz w:val="16"/>
                <w:szCs w:val="16"/>
              </w:rPr>
            </w:pPr>
            <w:r>
              <w:rPr>
                <w:rFonts w:ascii="Arial" w:hAnsi="Arial" w:cs="Arial"/>
                <w:b/>
                <w:bCs/>
                <w:sz w:val="16"/>
                <w:szCs w:val="16"/>
              </w:rPr>
              <w:t>Département</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b/>
                <w:bCs/>
                <w:sz w:val="16"/>
                <w:szCs w:val="16"/>
              </w:rPr>
            </w:pPr>
            <w:r>
              <w:rPr>
                <w:rFonts w:ascii="Arial" w:hAnsi="Arial" w:cs="Arial"/>
                <w:b/>
                <w:bCs/>
                <w:sz w:val="16"/>
                <w:szCs w:val="16"/>
              </w:rPr>
              <w:t>2 011</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b/>
                <w:bCs/>
                <w:sz w:val="16"/>
                <w:szCs w:val="16"/>
              </w:rPr>
            </w:pPr>
            <w:r>
              <w:rPr>
                <w:rFonts w:ascii="Arial" w:hAnsi="Arial" w:cs="Arial"/>
                <w:b/>
                <w:bCs/>
                <w:sz w:val="16"/>
                <w:szCs w:val="16"/>
              </w:rPr>
              <w:t>2 012</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b/>
                <w:bCs/>
                <w:sz w:val="16"/>
                <w:szCs w:val="16"/>
              </w:rPr>
            </w:pPr>
            <w:r>
              <w:rPr>
                <w:rFonts w:ascii="Arial" w:hAnsi="Arial" w:cs="Arial"/>
                <w:b/>
                <w:bCs/>
                <w:sz w:val="16"/>
                <w:szCs w:val="16"/>
              </w:rPr>
              <w:t>2 013</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b/>
                <w:bCs/>
                <w:sz w:val="16"/>
                <w:szCs w:val="16"/>
              </w:rPr>
            </w:pPr>
            <w:r>
              <w:rPr>
                <w:rFonts w:ascii="Arial" w:hAnsi="Arial" w:cs="Arial"/>
                <w:b/>
                <w:bCs/>
                <w:sz w:val="16"/>
                <w:szCs w:val="16"/>
              </w:rPr>
              <w:t>2 014</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b/>
                <w:bCs/>
                <w:sz w:val="16"/>
                <w:szCs w:val="16"/>
              </w:rPr>
            </w:pPr>
            <w:r>
              <w:rPr>
                <w:rFonts w:ascii="Arial" w:hAnsi="Arial" w:cs="Arial"/>
                <w:b/>
                <w:bCs/>
                <w:sz w:val="16"/>
                <w:szCs w:val="16"/>
              </w:rPr>
              <w:t>2 015</w:t>
            </w:r>
          </w:p>
        </w:tc>
      </w:tr>
      <w:tr w:rsidR="00803FAF" w:rsidTr="00803FAF">
        <w:trPr>
          <w:trHeight w:val="255"/>
          <w:jc w:val="center"/>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803FAF" w:rsidRDefault="00803FAF">
            <w:pPr>
              <w:rPr>
                <w:rFonts w:ascii="Arial" w:hAnsi="Arial" w:cs="Arial"/>
                <w:b/>
                <w:bCs/>
                <w:sz w:val="16"/>
                <w:szCs w:val="16"/>
              </w:rPr>
            </w:pPr>
            <w:r>
              <w:rPr>
                <w:rFonts w:ascii="Arial" w:hAnsi="Arial" w:cs="Arial"/>
                <w:b/>
                <w:bCs/>
                <w:sz w:val="16"/>
                <w:szCs w:val="16"/>
              </w:rPr>
              <w:t>Kouilou</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36 092 000</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29 924 880</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25 488 720</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53 900 000</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85 334 047</w:t>
            </w:r>
          </w:p>
        </w:tc>
      </w:tr>
      <w:tr w:rsidR="00803FAF" w:rsidTr="00803FAF">
        <w:trPr>
          <w:trHeight w:val="255"/>
          <w:jc w:val="center"/>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803FAF" w:rsidRDefault="00803FAF">
            <w:pPr>
              <w:rPr>
                <w:rFonts w:ascii="Arial" w:hAnsi="Arial" w:cs="Arial"/>
                <w:b/>
                <w:bCs/>
                <w:sz w:val="16"/>
                <w:szCs w:val="16"/>
              </w:rPr>
            </w:pPr>
            <w:r>
              <w:rPr>
                <w:rFonts w:ascii="Arial" w:hAnsi="Arial" w:cs="Arial"/>
                <w:b/>
                <w:bCs/>
                <w:sz w:val="16"/>
                <w:szCs w:val="16"/>
              </w:rPr>
              <w:t>Niari</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89 825 190</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1 302 751 045</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269 683 627</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43 949 364</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40 048 841</w:t>
            </w:r>
          </w:p>
        </w:tc>
      </w:tr>
      <w:tr w:rsidR="00803FAF" w:rsidTr="00803FAF">
        <w:trPr>
          <w:trHeight w:val="255"/>
          <w:jc w:val="center"/>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803FAF" w:rsidRDefault="00803FAF">
            <w:pPr>
              <w:rPr>
                <w:rFonts w:ascii="Arial" w:hAnsi="Arial" w:cs="Arial"/>
                <w:b/>
                <w:bCs/>
                <w:sz w:val="16"/>
                <w:szCs w:val="16"/>
              </w:rPr>
            </w:pPr>
            <w:r>
              <w:rPr>
                <w:rFonts w:ascii="Arial" w:hAnsi="Arial" w:cs="Arial"/>
                <w:b/>
                <w:bCs/>
                <w:sz w:val="16"/>
                <w:szCs w:val="16"/>
              </w:rPr>
              <w:t>Lékoumou</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99 064 359</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143 974 615</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6 685 800</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42 450 000</w:t>
            </w:r>
          </w:p>
        </w:tc>
        <w:tc>
          <w:tcPr>
            <w:tcW w:w="1540" w:type="dxa"/>
            <w:tcBorders>
              <w:top w:val="nil"/>
              <w:left w:val="nil"/>
              <w:bottom w:val="single" w:sz="4" w:space="0" w:color="auto"/>
              <w:right w:val="single" w:sz="4" w:space="0" w:color="auto"/>
            </w:tcBorders>
            <w:shd w:val="clear" w:color="000000" w:fill="FFFF00"/>
            <w:vAlign w:val="center"/>
            <w:hideMark/>
          </w:tcPr>
          <w:p w:rsidR="00803FAF" w:rsidRDefault="00803FAF">
            <w:pPr>
              <w:rPr>
                <w:rFonts w:ascii="Arial" w:hAnsi="Arial" w:cs="Arial"/>
                <w:sz w:val="16"/>
                <w:szCs w:val="16"/>
              </w:rPr>
            </w:pPr>
            <w:r>
              <w:rPr>
                <w:rFonts w:ascii="Arial" w:hAnsi="Arial" w:cs="Arial"/>
                <w:sz w:val="16"/>
                <w:szCs w:val="16"/>
              </w:rPr>
              <w:t> </w:t>
            </w:r>
          </w:p>
        </w:tc>
      </w:tr>
      <w:tr w:rsidR="00803FAF" w:rsidTr="00803FAF">
        <w:trPr>
          <w:trHeight w:val="255"/>
          <w:jc w:val="center"/>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803FAF" w:rsidRDefault="00803FAF">
            <w:pPr>
              <w:rPr>
                <w:rFonts w:ascii="Arial" w:hAnsi="Arial" w:cs="Arial"/>
                <w:b/>
                <w:bCs/>
                <w:sz w:val="16"/>
                <w:szCs w:val="16"/>
              </w:rPr>
            </w:pPr>
            <w:r>
              <w:rPr>
                <w:rFonts w:ascii="Arial" w:hAnsi="Arial" w:cs="Arial"/>
                <w:b/>
                <w:bCs/>
                <w:sz w:val="16"/>
                <w:szCs w:val="16"/>
              </w:rPr>
              <w:t>Bouenza</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187 162 494</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819 416 825</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56 254 654</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18 803 700</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18 803 700</w:t>
            </w:r>
          </w:p>
        </w:tc>
      </w:tr>
      <w:tr w:rsidR="00803FAF" w:rsidTr="00803FAF">
        <w:trPr>
          <w:trHeight w:val="255"/>
          <w:jc w:val="center"/>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803FAF" w:rsidRDefault="00803FAF">
            <w:pPr>
              <w:rPr>
                <w:rFonts w:ascii="Arial" w:hAnsi="Arial" w:cs="Arial"/>
                <w:b/>
                <w:bCs/>
                <w:sz w:val="16"/>
                <w:szCs w:val="16"/>
              </w:rPr>
            </w:pPr>
            <w:r>
              <w:rPr>
                <w:rFonts w:ascii="Arial" w:hAnsi="Arial" w:cs="Arial"/>
                <w:b/>
                <w:bCs/>
                <w:sz w:val="16"/>
                <w:szCs w:val="16"/>
              </w:rPr>
              <w:t>Pool</w:t>
            </w:r>
          </w:p>
        </w:tc>
        <w:tc>
          <w:tcPr>
            <w:tcW w:w="1540" w:type="dxa"/>
            <w:tcBorders>
              <w:top w:val="nil"/>
              <w:left w:val="nil"/>
              <w:bottom w:val="single" w:sz="4" w:space="0" w:color="auto"/>
              <w:right w:val="single" w:sz="4" w:space="0" w:color="auto"/>
            </w:tcBorders>
            <w:shd w:val="clear" w:color="000000" w:fill="FFFF00"/>
            <w:vAlign w:val="center"/>
            <w:hideMark/>
          </w:tcPr>
          <w:p w:rsidR="00803FAF" w:rsidRDefault="00803FAF">
            <w:pPr>
              <w:rPr>
                <w:rFonts w:ascii="Arial" w:hAnsi="Arial" w:cs="Arial"/>
                <w:sz w:val="16"/>
                <w:szCs w:val="16"/>
              </w:rPr>
            </w:pPr>
            <w:r>
              <w:rPr>
                <w:rFonts w:ascii="Arial" w:hAnsi="Arial" w:cs="Arial"/>
                <w:sz w:val="16"/>
                <w:szCs w:val="16"/>
              </w:rPr>
              <w:t> </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5 586 000</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8 000 000</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23 080 000</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3 373 500</w:t>
            </w:r>
          </w:p>
        </w:tc>
      </w:tr>
      <w:tr w:rsidR="00803FAF" w:rsidTr="00803FAF">
        <w:trPr>
          <w:trHeight w:val="255"/>
          <w:jc w:val="center"/>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803FAF" w:rsidRDefault="00803FAF">
            <w:pPr>
              <w:rPr>
                <w:rFonts w:ascii="Arial" w:hAnsi="Arial" w:cs="Arial"/>
                <w:b/>
                <w:bCs/>
                <w:sz w:val="16"/>
                <w:szCs w:val="16"/>
              </w:rPr>
            </w:pPr>
            <w:r>
              <w:rPr>
                <w:rFonts w:ascii="Arial" w:hAnsi="Arial" w:cs="Arial"/>
                <w:b/>
                <w:bCs/>
                <w:sz w:val="16"/>
                <w:szCs w:val="16"/>
              </w:rPr>
              <w:t>Plateaux</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194 451 148</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8 783 000</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39 759 500</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32 970 000</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29 470 002</w:t>
            </w:r>
          </w:p>
        </w:tc>
      </w:tr>
      <w:tr w:rsidR="00803FAF" w:rsidTr="00803FAF">
        <w:trPr>
          <w:trHeight w:val="255"/>
          <w:jc w:val="center"/>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803FAF" w:rsidRDefault="00803FAF">
            <w:pPr>
              <w:rPr>
                <w:rFonts w:ascii="Arial" w:hAnsi="Arial" w:cs="Arial"/>
                <w:b/>
                <w:bCs/>
                <w:sz w:val="16"/>
                <w:szCs w:val="16"/>
              </w:rPr>
            </w:pPr>
            <w:r>
              <w:rPr>
                <w:rFonts w:ascii="Arial" w:hAnsi="Arial" w:cs="Arial"/>
                <w:b/>
                <w:bCs/>
                <w:sz w:val="16"/>
                <w:szCs w:val="16"/>
              </w:rPr>
              <w:t>Cuvette</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95 513 588</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1 025 958 160</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39 558 300</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407 281 800</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12 000 000</w:t>
            </w:r>
          </w:p>
        </w:tc>
      </w:tr>
      <w:tr w:rsidR="00803FAF" w:rsidTr="00803FAF">
        <w:trPr>
          <w:trHeight w:val="255"/>
          <w:jc w:val="center"/>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803FAF" w:rsidRDefault="00803FAF">
            <w:pPr>
              <w:rPr>
                <w:rFonts w:ascii="Arial" w:hAnsi="Arial" w:cs="Arial"/>
                <w:b/>
                <w:bCs/>
                <w:sz w:val="16"/>
                <w:szCs w:val="16"/>
              </w:rPr>
            </w:pPr>
            <w:r>
              <w:rPr>
                <w:rFonts w:ascii="Arial" w:hAnsi="Arial" w:cs="Arial"/>
                <w:b/>
                <w:bCs/>
                <w:sz w:val="16"/>
                <w:szCs w:val="16"/>
              </w:rPr>
              <w:t>Cuvette-ouest</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33 014 328</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19 186 000</w:t>
            </w:r>
          </w:p>
        </w:tc>
        <w:tc>
          <w:tcPr>
            <w:tcW w:w="1540" w:type="dxa"/>
            <w:tcBorders>
              <w:top w:val="nil"/>
              <w:left w:val="nil"/>
              <w:bottom w:val="single" w:sz="4" w:space="0" w:color="auto"/>
              <w:right w:val="single" w:sz="4" w:space="0" w:color="auto"/>
            </w:tcBorders>
            <w:shd w:val="clear" w:color="000000" w:fill="FFFF00"/>
            <w:vAlign w:val="center"/>
            <w:hideMark/>
          </w:tcPr>
          <w:p w:rsidR="00803FAF" w:rsidRDefault="00803FAF">
            <w:pPr>
              <w:rPr>
                <w:rFonts w:ascii="Arial" w:hAnsi="Arial" w:cs="Arial"/>
                <w:sz w:val="16"/>
                <w:szCs w:val="16"/>
              </w:rPr>
            </w:pPr>
            <w:r>
              <w:rPr>
                <w:rFonts w:ascii="Arial" w:hAnsi="Arial" w:cs="Arial"/>
                <w:sz w:val="16"/>
                <w:szCs w:val="16"/>
              </w:rPr>
              <w:t> </w:t>
            </w:r>
          </w:p>
        </w:tc>
        <w:tc>
          <w:tcPr>
            <w:tcW w:w="1540" w:type="dxa"/>
            <w:tcBorders>
              <w:top w:val="nil"/>
              <w:left w:val="nil"/>
              <w:bottom w:val="single" w:sz="4" w:space="0" w:color="auto"/>
              <w:right w:val="single" w:sz="4" w:space="0" w:color="auto"/>
            </w:tcBorders>
            <w:shd w:val="clear" w:color="000000" w:fill="FFFF00"/>
            <w:vAlign w:val="center"/>
            <w:hideMark/>
          </w:tcPr>
          <w:p w:rsidR="00803FAF" w:rsidRDefault="00803FAF">
            <w:pPr>
              <w:rPr>
                <w:rFonts w:ascii="Arial" w:hAnsi="Arial" w:cs="Arial"/>
                <w:sz w:val="16"/>
                <w:szCs w:val="16"/>
              </w:rPr>
            </w:pPr>
            <w:r>
              <w:rPr>
                <w:rFonts w:ascii="Arial" w:hAnsi="Arial" w:cs="Arial"/>
                <w:sz w:val="16"/>
                <w:szCs w:val="16"/>
              </w:rPr>
              <w:t> </w:t>
            </w:r>
          </w:p>
        </w:tc>
        <w:tc>
          <w:tcPr>
            <w:tcW w:w="1540" w:type="dxa"/>
            <w:tcBorders>
              <w:top w:val="nil"/>
              <w:left w:val="nil"/>
              <w:bottom w:val="single" w:sz="4" w:space="0" w:color="auto"/>
              <w:right w:val="single" w:sz="4" w:space="0" w:color="auto"/>
            </w:tcBorders>
            <w:shd w:val="clear" w:color="000000" w:fill="FFFF00"/>
            <w:vAlign w:val="center"/>
            <w:hideMark/>
          </w:tcPr>
          <w:p w:rsidR="00803FAF" w:rsidRDefault="00803FAF">
            <w:pPr>
              <w:rPr>
                <w:rFonts w:ascii="Arial" w:hAnsi="Arial" w:cs="Arial"/>
                <w:sz w:val="16"/>
                <w:szCs w:val="16"/>
              </w:rPr>
            </w:pPr>
            <w:r>
              <w:rPr>
                <w:rFonts w:ascii="Arial" w:hAnsi="Arial" w:cs="Arial"/>
                <w:sz w:val="16"/>
                <w:szCs w:val="16"/>
              </w:rPr>
              <w:t> </w:t>
            </w:r>
          </w:p>
        </w:tc>
      </w:tr>
      <w:tr w:rsidR="00803FAF" w:rsidTr="00803FAF">
        <w:trPr>
          <w:trHeight w:val="255"/>
          <w:jc w:val="center"/>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803FAF" w:rsidRDefault="00803FAF">
            <w:pPr>
              <w:rPr>
                <w:rFonts w:ascii="Arial" w:hAnsi="Arial" w:cs="Arial"/>
                <w:b/>
                <w:bCs/>
                <w:sz w:val="16"/>
                <w:szCs w:val="16"/>
              </w:rPr>
            </w:pPr>
            <w:r>
              <w:rPr>
                <w:rFonts w:ascii="Arial" w:hAnsi="Arial" w:cs="Arial"/>
                <w:b/>
                <w:bCs/>
                <w:sz w:val="16"/>
                <w:szCs w:val="16"/>
              </w:rPr>
              <w:t>Sangha</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129 447 856</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17 428 000</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4 000 000</w:t>
            </w:r>
          </w:p>
        </w:tc>
        <w:tc>
          <w:tcPr>
            <w:tcW w:w="1540" w:type="dxa"/>
            <w:tcBorders>
              <w:top w:val="nil"/>
              <w:left w:val="nil"/>
              <w:bottom w:val="single" w:sz="4" w:space="0" w:color="auto"/>
              <w:right w:val="single" w:sz="4" w:space="0" w:color="auto"/>
            </w:tcBorders>
            <w:shd w:val="clear" w:color="000000" w:fill="FFFF00"/>
            <w:vAlign w:val="center"/>
            <w:hideMark/>
          </w:tcPr>
          <w:p w:rsidR="00803FAF" w:rsidRDefault="00803FAF">
            <w:pPr>
              <w:rPr>
                <w:rFonts w:ascii="Arial" w:hAnsi="Arial" w:cs="Arial"/>
                <w:sz w:val="16"/>
                <w:szCs w:val="16"/>
              </w:rPr>
            </w:pPr>
            <w:r>
              <w:rPr>
                <w:rFonts w:ascii="Arial" w:hAnsi="Arial" w:cs="Arial"/>
                <w:sz w:val="16"/>
                <w:szCs w:val="16"/>
              </w:rPr>
              <w:t> </w:t>
            </w:r>
          </w:p>
        </w:tc>
        <w:tc>
          <w:tcPr>
            <w:tcW w:w="1540" w:type="dxa"/>
            <w:tcBorders>
              <w:top w:val="nil"/>
              <w:left w:val="nil"/>
              <w:bottom w:val="single" w:sz="4" w:space="0" w:color="auto"/>
              <w:right w:val="single" w:sz="4" w:space="0" w:color="auto"/>
            </w:tcBorders>
            <w:shd w:val="clear" w:color="000000" w:fill="FFFF00"/>
            <w:vAlign w:val="center"/>
            <w:hideMark/>
          </w:tcPr>
          <w:p w:rsidR="00803FAF" w:rsidRDefault="00803FAF">
            <w:pPr>
              <w:rPr>
                <w:rFonts w:ascii="Arial" w:hAnsi="Arial" w:cs="Arial"/>
                <w:sz w:val="16"/>
                <w:szCs w:val="16"/>
              </w:rPr>
            </w:pPr>
            <w:r>
              <w:rPr>
                <w:rFonts w:ascii="Arial" w:hAnsi="Arial" w:cs="Arial"/>
                <w:sz w:val="16"/>
                <w:szCs w:val="16"/>
              </w:rPr>
              <w:t> </w:t>
            </w:r>
          </w:p>
        </w:tc>
      </w:tr>
      <w:tr w:rsidR="00803FAF" w:rsidTr="00803FAF">
        <w:trPr>
          <w:trHeight w:val="255"/>
          <w:jc w:val="center"/>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803FAF" w:rsidRDefault="00803FAF">
            <w:pPr>
              <w:rPr>
                <w:rFonts w:ascii="Arial" w:hAnsi="Arial" w:cs="Arial"/>
                <w:b/>
                <w:bCs/>
                <w:sz w:val="16"/>
                <w:szCs w:val="16"/>
              </w:rPr>
            </w:pPr>
            <w:r>
              <w:rPr>
                <w:rFonts w:ascii="Arial" w:hAnsi="Arial" w:cs="Arial"/>
                <w:b/>
                <w:bCs/>
                <w:sz w:val="16"/>
                <w:szCs w:val="16"/>
              </w:rPr>
              <w:t>Likouala</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695 105 448</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725 390 830</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365 256 122</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327 277 692</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1 162 062 409</w:t>
            </w:r>
          </w:p>
        </w:tc>
      </w:tr>
      <w:tr w:rsidR="00803FAF" w:rsidTr="00803FAF">
        <w:trPr>
          <w:trHeight w:val="255"/>
          <w:jc w:val="center"/>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803FAF" w:rsidRDefault="00803FAF">
            <w:pPr>
              <w:rPr>
                <w:rFonts w:ascii="Arial" w:hAnsi="Arial" w:cs="Arial"/>
                <w:b/>
                <w:bCs/>
                <w:sz w:val="16"/>
                <w:szCs w:val="16"/>
              </w:rPr>
            </w:pPr>
            <w:r>
              <w:rPr>
                <w:rFonts w:ascii="Arial" w:hAnsi="Arial" w:cs="Arial"/>
                <w:b/>
                <w:bCs/>
                <w:sz w:val="16"/>
                <w:szCs w:val="16"/>
              </w:rPr>
              <w:t>Brazzaville</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1 906 390 331</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13 256 326 804</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38 421 324 934</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30 847 684 313</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19 826 833 972</w:t>
            </w:r>
          </w:p>
        </w:tc>
      </w:tr>
      <w:tr w:rsidR="00803FAF" w:rsidTr="00803FAF">
        <w:trPr>
          <w:trHeight w:val="255"/>
          <w:jc w:val="center"/>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803FAF" w:rsidRDefault="00803FAF">
            <w:pPr>
              <w:rPr>
                <w:rFonts w:ascii="Arial" w:hAnsi="Arial" w:cs="Arial"/>
                <w:b/>
                <w:bCs/>
                <w:sz w:val="16"/>
                <w:szCs w:val="16"/>
              </w:rPr>
            </w:pPr>
            <w:r>
              <w:rPr>
                <w:rFonts w:ascii="Arial" w:hAnsi="Arial" w:cs="Arial"/>
                <w:b/>
                <w:bCs/>
                <w:sz w:val="16"/>
                <w:szCs w:val="16"/>
              </w:rPr>
              <w:t>Pointe-Noire</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153 174 378</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6 017 767 107</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77 578 945</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50 981 267</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100 339 167</w:t>
            </w:r>
          </w:p>
        </w:tc>
      </w:tr>
      <w:tr w:rsidR="00803FAF" w:rsidTr="00803FAF">
        <w:trPr>
          <w:trHeight w:val="255"/>
          <w:jc w:val="center"/>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803FAF" w:rsidRDefault="00803FAF">
            <w:pPr>
              <w:rPr>
                <w:rFonts w:ascii="Arial" w:hAnsi="Arial" w:cs="Arial"/>
                <w:b/>
                <w:bCs/>
                <w:sz w:val="16"/>
                <w:szCs w:val="16"/>
              </w:rPr>
            </w:pPr>
            <w:r>
              <w:rPr>
                <w:rFonts w:ascii="Arial" w:hAnsi="Arial" w:cs="Arial"/>
                <w:b/>
                <w:bCs/>
                <w:sz w:val="16"/>
                <w:szCs w:val="16"/>
              </w:rPr>
              <w:t>Niveau central</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32 468 411 261</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25 393 587 701</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11 922 791 297</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26 071 851 218</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52 691 224 609</w:t>
            </w:r>
          </w:p>
        </w:tc>
      </w:tr>
      <w:tr w:rsidR="00803FAF" w:rsidTr="00803FAF">
        <w:trPr>
          <w:trHeight w:val="255"/>
          <w:jc w:val="center"/>
        </w:trPr>
        <w:tc>
          <w:tcPr>
            <w:tcW w:w="2580" w:type="dxa"/>
            <w:tcBorders>
              <w:top w:val="nil"/>
              <w:left w:val="single" w:sz="4" w:space="0" w:color="auto"/>
              <w:bottom w:val="single" w:sz="4" w:space="0" w:color="auto"/>
              <w:right w:val="single" w:sz="4" w:space="0" w:color="auto"/>
            </w:tcBorders>
            <w:shd w:val="clear" w:color="auto" w:fill="auto"/>
            <w:vAlign w:val="center"/>
            <w:hideMark/>
          </w:tcPr>
          <w:p w:rsidR="00803FAF" w:rsidRDefault="00803FAF">
            <w:pPr>
              <w:rPr>
                <w:rFonts w:ascii="Arial" w:hAnsi="Arial" w:cs="Arial"/>
                <w:b/>
                <w:bCs/>
                <w:sz w:val="16"/>
                <w:szCs w:val="16"/>
              </w:rPr>
            </w:pPr>
            <w:r>
              <w:rPr>
                <w:rFonts w:ascii="Arial" w:hAnsi="Arial" w:cs="Arial"/>
                <w:b/>
                <w:bCs/>
                <w:sz w:val="16"/>
                <w:szCs w:val="16"/>
              </w:rPr>
              <w:t>Niveau multidépartemental</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84 824 637 037</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86 460 348 703</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93 224 328 405</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104 656 557 402</w:t>
            </w:r>
          </w:p>
        </w:tc>
        <w:tc>
          <w:tcPr>
            <w:tcW w:w="1540" w:type="dxa"/>
            <w:tcBorders>
              <w:top w:val="nil"/>
              <w:left w:val="nil"/>
              <w:bottom w:val="single" w:sz="4" w:space="0" w:color="auto"/>
              <w:right w:val="single" w:sz="4" w:space="0" w:color="auto"/>
            </w:tcBorders>
            <w:shd w:val="clear" w:color="auto" w:fill="auto"/>
            <w:vAlign w:val="center"/>
            <w:hideMark/>
          </w:tcPr>
          <w:p w:rsidR="00803FAF" w:rsidRDefault="00803FAF">
            <w:pPr>
              <w:jc w:val="right"/>
              <w:rPr>
                <w:rFonts w:ascii="Arial" w:hAnsi="Arial" w:cs="Arial"/>
                <w:sz w:val="16"/>
                <w:szCs w:val="16"/>
              </w:rPr>
            </w:pPr>
            <w:r>
              <w:rPr>
                <w:rFonts w:ascii="Arial" w:hAnsi="Arial" w:cs="Arial"/>
                <w:sz w:val="16"/>
                <w:szCs w:val="16"/>
              </w:rPr>
              <w:t>91 155 656 809</w:t>
            </w:r>
          </w:p>
        </w:tc>
      </w:tr>
      <w:tr w:rsidR="00803FAF" w:rsidTr="00803FAF">
        <w:trPr>
          <w:trHeight w:val="255"/>
          <w:jc w:val="center"/>
        </w:trPr>
        <w:tc>
          <w:tcPr>
            <w:tcW w:w="2580" w:type="dxa"/>
            <w:tcBorders>
              <w:top w:val="nil"/>
              <w:left w:val="single" w:sz="4" w:space="0" w:color="auto"/>
              <w:bottom w:val="single" w:sz="4" w:space="0" w:color="auto"/>
              <w:right w:val="single" w:sz="4" w:space="0" w:color="auto"/>
            </w:tcBorders>
            <w:shd w:val="clear" w:color="000000" w:fill="FFFF00"/>
            <w:vAlign w:val="center"/>
            <w:hideMark/>
          </w:tcPr>
          <w:p w:rsidR="00803FAF" w:rsidRDefault="00803FAF">
            <w:pPr>
              <w:rPr>
                <w:rFonts w:ascii="Arial" w:hAnsi="Arial" w:cs="Arial"/>
                <w:b/>
                <w:bCs/>
                <w:sz w:val="16"/>
                <w:szCs w:val="16"/>
              </w:rPr>
            </w:pPr>
            <w:r>
              <w:rPr>
                <w:rFonts w:ascii="Arial" w:hAnsi="Arial" w:cs="Arial"/>
                <w:b/>
                <w:bCs/>
                <w:sz w:val="16"/>
                <w:szCs w:val="16"/>
              </w:rPr>
              <w:t>Total DCS</w:t>
            </w:r>
          </w:p>
        </w:tc>
        <w:tc>
          <w:tcPr>
            <w:tcW w:w="1540" w:type="dxa"/>
            <w:tcBorders>
              <w:top w:val="nil"/>
              <w:left w:val="nil"/>
              <w:bottom w:val="single" w:sz="4" w:space="0" w:color="auto"/>
              <w:right w:val="single" w:sz="4" w:space="0" w:color="auto"/>
            </w:tcBorders>
            <w:shd w:val="clear" w:color="000000" w:fill="FFFF00"/>
            <w:vAlign w:val="center"/>
            <w:hideMark/>
          </w:tcPr>
          <w:p w:rsidR="00803FAF" w:rsidRDefault="00803FAF">
            <w:pPr>
              <w:jc w:val="right"/>
              <w:rPr>
                <w:rFonts w:ascii="Arial" w:hAnsi="Arial" w:cs="Arial"/>
                <w:sz w:val="16"/>
                <w:szCs w:val="16"/>
              </w:rPr>
            </w:pPr>
            <w:r>
              <w:rPr>
                <w:rFonts w:ascii="Arial" w:hAnsi="Arial" w:cs="Arial"/>
                <w:sz w:val="16"/>
                <w:szCs w:val="16"/>
              </w:rPr>
              <w:t>120 912 289 418</w:t>
            </w:r>
          </w:p>
        </w:tc>
        <w:tc>
          <w:tcPr>
            <w:tcW w:w="1540" w:type="dxa"/>
            <w:tcBorders>
              <w:top w:val="nil"/>
              <w:left w:val="nil"/>
              <w:bottom w:val="single" w:sz="4" w:space="0" w:color="auto"/>
              <w:right w:val="single" w:sz="4" w:space="0" w:color="auto"/>
            </w:tcBorders>
            <w:shd w:val="clear" w:color="000000" w:fill="FFFF00"/>
            <w:vAlign w:val="center"/>
            <w:hideMark/>
          </w:tcPr>
          <w:p w:rsidR="00803FAF" w:rsidRDefault="00803FAF">
            <w:pPr>
              <w:jc w:val="right"/>
              <w:rPr>
                <w:rFonts w:ascii="Arial" w:hAnsi="Arial" w:cs="Arial"/>
                <w:sz w:val="16"/>
                <w:szCs w:val="16"/>
              </w:rPr>
            </w:pPr>
            <w:r>
              <w:rPr>
                <w:rFonts w:ascii="Arial" w:hAnsi="Arial" w:cs="Arial"/>
                <w:sz w:val="16"/>
                <w:szCs w:val="16"/>
              </w:rPr>
              <w:t>135 226 429 670</w:t>
            </w:r>
          </w:p>
        </w:tc>
        <w:tc>
          <w:tcPr>
            <w:tcW w:w="1540" w:type="dxa"/>
            <w:tcBorders>
              <w:top w:val="nil"/>
              <w:left w:val="nil"/>
              <w:bottom w:val="single" w:sz="4" w:space="0" w:color="auto"/>
              <w:right w:val="single" w:sz="4" w:space="0" w:color="auto"/>
            </w:tcBorders>
            <w:shd w:val="clear" w:color="000000" w:fill="FFFF00"/>
            <w:vAlign w:val="center"/>
            <w:hideMark/>
          </w:tcPr>
          <w:p w:rsidR="00803FAF" w:rsidRDefault="00803FAF">
            <w:pPr>
              <w:jc w:val="right"/>
              <w:rPr>
                <w:rFonts w:ascii="Arial" w:hAnsi="Arial" w:cs="Arial"/>
                <w:sz w:val="16"/>
                <w:szCs w:val="16"/>
              </w:rPr>
            </w:pPr>
            <w:r>
              <w:rPr>
                <w:rFonts w:ascii="Arial" w:hAnsi="Arial" w:cs="Arial"/>
                <w:sz w:val="16"/>
                <w:szCs w:val="16"/>
              </w:rPr>
              <w:t>144 460 710 304</w:t>
            </w:r>
          </w:p>
        </w:tc>
        <w:tc>
          <w:tcPr>
            <w:tcW w:w="1540" w:type="dxa"/>
            <w:tcBorders>
              <w:top w:val="nil"/>
              <w:left w:val="nil"/>
              <w:bottom w:val="single" w:sz="4" w:space="0" w:color="auto"/>
              <w:right w:val="single" w:sz="4" w:space="0" w:color="auto"/>
            </w:tcBorders>
            <w:shd w:val="clear" w:color="000000" w:fill="FFFF00"/>
            <w:vAlign w:val="center"/>
            <w:hideMark/>
          </w:tcPr>
          <w:p w:rsidR="00803FAF" w:rsidRDefault="00803FAF">
            <w:pPr>
              <w:jc w:val="right"/>
              <w:rPr>
                <w:rFonts w:ascii="Arial" w:hAnsi="Arial" w:cs="Arial"/>
                <w:sz w:val="16"/>
                <w:szCs w:val="16"/>
              </w:rPr>
            </w:pPr>
            <w:r>
              <w:rPr>
                <w:rFonts w:ascii="Arial" w:hAnsi="Arial" w:cs="Arial"/>
                <w:sz w:val="16"/>
                <w:szCs w:val="16"/>
              </w:rPr>
              <w:t>162 576 786 756</w:t>
            </w:r>
          </w:p>
        </w:tc>
        <w:tc>
          <w:tcPr>
            <w:tcW w:w="1540" w:type="dxa"/>
            <w:tcBorders>
              <w:top w:val="nil"/>
              <w:left w:val="nil"/>
              <w:bottom w:val="single" w:sz="4" w:space="0" w:color="auto"/>
              <w:right w:val="single" w:sz="4" w:space="0" w:color="auto"/>
            </w:tcBorders>
            <w:shd w:val="clear" w:color="000000" w:fill="FFFF00"/>
            <w:vAlign w:val="center"/>
            <w:hideMark/>
          </w:tcPr>
          <w:p w:rsidR="00803FAF" w:rsidRDefault="00803FAF">
            <w:pPr>
              <w:jc w:val="right"/>
              <w:rPr>
                <w:rFonts w:ascii="Arial" w:hAnsi="Arial" w:cs="Arial"/>
                <w:sz w:val="16"/>
                <w:szCs w:val="16"/>
              </w:rPr>
            </w:pPr>
            <w:r>
              <w:rPr>
                <w:rFonts w:ascii="Arial" w:hAnsi="Arial" w:cs="Arial"/>
                <w:sz w:val="16"/>
                <w:szCs w:val="16"/>
              </w:rPr>
              <w:t>165 125 147 056</w:t>
            </w:r>
          </w:p>
        </w:tc>
      </w:tr>
    </w:tbl>
    <w:p w:rsidR="00993F14" w:rsidRPr="008D45CE" w:rsidRDefault="00993F14" w:rsidP="00A401E9">
      <w:pPr>
        <w:pStyle w:val="Sansinterligne"/>
        <w:spacing w:line="360" w:lineRule="auto"/>
        <w:rPr>
          <w:rFonts w:ascii="Arial" w:hAnsi="Arial" w:cs="Arial"/>
          <w:color w:val="000000" w:themeColor="text1"/>
          <w:sz w:val="24"/>
          <w:szCs w:val="24"/>
          <w:lang w:val="fr-FR"/>
        </w:rPr>
      </w:pPr>
    </w:p>
    <w:p w:rsidR="00993F14" w:rsidRPr="008D45CE" w:rsidRDefault="00993F14" w:rsidP="00993F14">
      <w:pPr>
        <w:rPr>
          <w:color w:val="000000" w:themeColor="text1"/>
          <w:lang w:eastAsia="fr-FR"/>
        </w:rPr>
      </w:pPr>
    </w:p>
    <w:p w:rsidR="00993F14" w:rsidRPr="008D45CE" w:rsidRDefault="00993F14" w:rsidP="00993F14">
      <w:pPr>
        <w:rPr>
          <w:color w:val="000000" w:themeColor="text1"/>
          <w:lang w:eastAsia="fr-FR"/>
        </w:rPr>
      </w:pPr>
    </w:p>
    <w:p w:rsidR="00993F14" w:rsidRPr="008D45CE" w:rsidRDefault="00993F14" w:rsidP="00993F14">
      <w:pPr>
        <w:rPr>
          <w:color w:val="000000" w:themeColor="text1"/>
          <w:lang w:eastAsia="fr-FR"/>
        </w:rPr>
      </w:pPr>
    </w:p>
    <w:p w:rsidR="00993F14" w:rsidRPr="008D45CE" w:rsidRDefault="00993F14" w:rsidP="00993F14">
      <w:pPr>
        <w:tabs>
          <w:tab w:val="left" w:pos="1120"/>
        </w:tabs>
        <w:rPr>
          <w:color w:val="000000" w:themeColor="text1"/>
          <w:lang w:eastAsia="fr-FR"/>
        </w:rPr>
      </w:pPr>
      <w:r w:rsidRPr="008D45CE">
        <w:rPr>
          <w:color w:val="000000" w:themeColor="text1"/>
          <w:lang w:eastAsia="fr-FR"/>
        </w:rPr>
        <w:tab/>
      </w:r>
    </w:p>
    <w:p w:rsidR="00045FB8" w:rsidRDefault="00045FB8">
      <w:pPr>
        <w:spacing w:after="200" w:line="20" w:lineRule="atLeast"/>
        <w:rPr>
          <w:b/>
          <w:i/>
          <w:iCs/>
          <w:color w:val="000000" w:themeColor="text1"/>
          <w:sz w:val="20"/>
          <w:szCs w:val="22"/>
          <w:lang w:val="fr-CD"/>
        </w:rPr>
      </w:pPr>
      <w:bookmarkStart w:id="92" w:name="_Toc483474528"/>
      <w:r>
        <w:rPr>
          <w:color w:val="000000" w:themeColor="text1"/>
          <w:sz w:val="20"/>
          <w:szCs w:val="22"/>
          <w:lang w:val="fr-CD"/>
        </w:rPr>
        <w:br w:type="page"/>
      </w:r>
    </w:p>
    <w:bookmarkEnd w:id="92"/>
    <w:p w:rsidR="0091408D" w:rsidRPr="008D45CE" w:rsidRDefault="0091408D" w:rsidP="0091408D">
      <w:pPr>
        <w:pStyle w:val="Style2"/>
        <w:rPr>
          <w:color w:val="000000" w:themeColor="text1"/>
        </w:rPr>
      </w:pPr>
    </w:p>
    <w:p w:rsidR="00AF59A8" w:rsidRPr="00045FB8" w:rsidRDefault="00AF59A8" w:rsidP="0091408D">
      <w:pPr>
        <w:pStyle w:val="Style2"/>
        <w:rPr>
          <w:color w:val="000000" w:themeColor="text1"/>
        </w:rPr>
        <w:sectPr w:rsidR="00AF59A8" w:rsidRPr="00045FB8" w:rsidSect="00803FAF">
          <w:pgSz w:w="11906" w:h="16838"/>
          <w:pgMar w:top="1418" w:right="1418" w:bottom="1418" w:left="1418" w:header="709" w:footer="709" w:gutter="0"/>
          <w:cols w:space="708"/>
          <w:docGrid w:linePitch="360"/>
        </w:sectPr>
      </w:pPr>
    </w:p>
    <w:p w:rsidR="008F6525" w:rsidRPr="008D45CE" w:rsidRDefault="008F6525" w:rsidP="008F6525">
      <w:pPr>
        <w:rPr>
          <w:color w:val="000000" w:themeColor="text1"/>
        </w:rPr>
      </w:pPr>
    </w:p>
    <w:p w:rsidR="00A10E04" w:rsidRPr="008D45CE" w:rsidRDefault="008F6525" w:rsidP="008F6525">
      <w:pPr>
        <w:tabs>
          <w:tab w:val="left" w:pos="810"/>
        </w:tabs>
        <w:rPr>
          <w:color w:val="000000" w:themeColor="text1"/>
          <w:lang w:eastAsia="fr-FR"/>
        </w:rPr>
        <w:sectPr w:rsidR="00A10E04" w:rsidRPr="008D45CE" w:rsidSect="00AF59A8">
          <w:pgSz w:w="11906" w:h="16838"/>
          <w:pgMar w:top="1418" w:right="1418" w:bottom="1418" w:left="1418" w:header="709" w:footer="709" w:gutter="0"/>
          <w:cols w:space="708"/>
          <w:docGrid w:linePitch="360"/>
        </w:sectPr>
      </w:pPr>
      <w:r w:rsidRPr="008D45CE">
        <w:rPr>
          <w:color w:val="000000" w:themeColor="text1"/>
          <w:lang w:eastAsia="fr-FR"/>
        </w:rPr>
        <w:tab/>
      </w:r>
    </w:p>
    <w:p w:rsidR="00A10E04" w:rsidRPr="008D45CE" w:rsidRDefault="00A10E04" w:rsidP="00A401E9">
      <w:pPr>
        <w:pStyle w:val="Titre1"/>
        <w:jc w:val="center"/>
        <w:rPr>
          <w:color w:val="000000" w:themeColor="text1"/>
        </w:rPr>
      </w:pPr>
      <w:bookmarkStart w:id="93" w:name="_Toc483474633"/>
      <w:r w:rsidRPr="008D45CE">
        <w:rPr>
          <w:color w:val="000000" w:themeColor="text1"/>
        </w:rPr>
        <w:lastRenderedPageBreak/>
        <w:t>EXPERTS AYANT CONTRIBUE A LA REALISATION DE CETTE ETUDE</w:t>
      </w:r>
      <w:bookmarkEnd w:id="93"/>
    </w:p>
    <w:p w:rsidR="00A10E04" w:rsidRPr="008D45CE" w:rsidRDefault="00A10E04" w:rsidP="00A401E9">
      <w:pPr>
        <w:autoSpaceDE w:val="0"/>
        <w:autoSpaceDN w:val="0"/>
        <w:adjustRightInd w:val="0"/>
        <w:rPr>
          <w:rFonts w:eastAsia="Calibri"/>
          <w:color w:val="000000" w:themeColor="text1"/>
          <w:sz w:val="23"/>
          <w:szCs w:val="23"/>
          <w:lang w:bidi="ar-SA"/>
        </w:rPr>
      </w:pPr>
    </w:p>
    <w:p w:rsidR="00493862" w:rsidRPr="008D45CE" w:rsidRDefault="00493862" w:rsidP="00493862">
      <w:pPr>
        <w:pStyle w:val="Default"/>
        <w:rPr>
          <w:b/>
          <w:bCs/>
          <w:color w:val="000000" w:themeColor="text1"/>
          <w:sz w:val="22"/>
          <w:szCs w:val="22"/>
        </w:rPr>
      </w:pPr>
      <w:bookmarkStart w:id="94" w:name="_Toc465265974"/>
      <w:r w:rsidRPr="008D45CE">
        <w:rPr>
          <w:b/>
          <w:bCs/>
          <w:color w:val="000000" w:themeColor="text1"/>
          <w:sz w:val="22"/>
          <w:szCs w:val="22"/>
        </w:rPr>
        <w:t>I. CABINET DU PREMIER MINISTRE, CHEF DU G</w:t>
      </w:r>
      <w:r w:rsidR="009274E7" w:rsidRPr="008D45CE">
        <w:rPr>
          <w:b/>
          <w:bCs/>
          <w:color w:val="000000" w:themeColor="text1"/>
          <w:sz w:val="22"/>
          <w:szCs w:val="22"/>
        </w:rPr>
        <w:t>O</w:t>
      </w:r>
      <w:r w:rsidRPr="008D45CE">
        <w:rPr>
          <w:b/>
          <w:bCs/>
          <w:color w:val="000000" w:themeColor="text1"/>
          <w:sz w:val="22"/>
          <w:szCs w:val="22"/>
        </w:rPr>
        <w:t xml:space="preserve">UVERNEMENT </w:t>
      </w:r>
    </w:p>
    <w:p w:rsidR="00493862" w:rsidRPr="008D45CE" w:rsidRDefault="00493862" w:rsidP="00493862">
      <w:pPr>
        <w:pStyle w:val="Default"/>
        <w:rPr>
          <w:color w:val="000000" w:themeColor="text1"/>
          <w:sz w:val="22"/>
          <w:szCs w:val="22"/>
        </w:rPr>
      </w:pPr>
    </w:p>
    <w:p w:rsidR="00493862" w:rsidRPr="008D45CE" w:rsidRDefault="00493862" w:rsidP="00493862">
      <w:pPr>
        <w:pStyle w:val="Default"/>
        <w:ind w:left="720"/>
        <w:rPr>
          <w:color w:val="000000" w:themeColor="text1"/>
          <w:sz w:val="22"/>
          <w:szCs w:val="22"/>
        </w:rPr>
      </w:pPr>
    </w:p>
    <w:p w:rsidR="00493862" w:rsidRPr="008D45CE" w:rsidRDefault="00493862" w:rsidP="00493862">
      <w:pPr>
        <w:pStyle w:val="Default"/>
        <w:rPr>
          <w:b/>
          <w:bCs/>
          <w:color w:val="000000" w:themeColor="text1"/>
          <w:sz w:val="22"/>
          <w:szCs w:val="22"/>
        </w:rPr>
      </w:pPr>
      <w:r w:rsidRPr="008D45CE">
        <w:rPr>
          <w:b/>
          <w:bCs/>
          <w:color w:val="000000" w:themeColor="text1"/>
          <w:sz w:val="22"/>
          <w:szCs w:val="22"/>
        </w:rPr>
        <w:t xml:space="preserve">II. CABINET DU MINISTRE DE LA SANTE PUBLIQUE </w:t>
      </w:r>
    </w:p>
    <w:p w:rsidR="00493862" w:rsidRPr="008D45CE" w:rsidRDefault="00493862" w:rsidP="00493862">
      <w:pPr>
        <w:pStyle w:val="Default"/>
        <w:rPr>
          <w:color w:val="000000" w:themeColor="text1"/>
          <w:sz w:val="22"/>
          <w:szCs w:val="22"/>
        </w:rPr>
      </w:pPr>
    </w:p>
    <w:p w:rsidR="00493862" w:rsidRPr="008D45CE" w:rsidRDefault="00493862" w:rsidP="00493862">
      <w:pPr>
        <w:pStyle w:val="Default"/>
        <w:rPr>
          <w:b/>
          <w:bCs/>
          <w:color w:val="000000" w:themeColor="text1"/>
          <w:sz w:val="22"/>
          <w:szCs w:val="22"/>
        </w:rPr>
      </w:pPr>
      <w:r w:rsidRPr="008D45CE">
        <w:rPr>
          <w:b/>
          <w:bCs/>
          <w:color w:val="000000" w:themeColor="text1"/>
          <w:sz w:val="22"/>
          <w:szCs w:val="22"/>
        </w:rPr>
        <w:t>II</w:t>
      </w:r>
      <w:r w:rsidR="009274E7" w:rsidRPr="008D45CE">
        <w:rPr>
          <w:b/>
          <w:bCs/>
          <w:color w:val="000000" w:themeColor="text1"/>
          <w:sz w:val="22"/>
          <w:szCs w:val="22"/>
        </w:rPr>
        <w:t>I</w:t>
      </w:r>
      <w:r w:rsidRPr="008D45CE">
        <w:rPr>
          <w:b/>
          <w:bCs/>
          <w:color w:val="000000" w:themeColor="text1"/>
          <w:sz w:val="22"/>
          <w:szCs w:val="22"/>
        </w:rPr>
        <w:t xml:space="preserve">. SECRETARIAT GENERAL A LA SANTE </w:t>
      </w:r>
    </w:p>
    <w:p w:rsidR="00493862" w:rsidRPr="008D45CE" w:rsidRDefault="00493862" w:rsidP="00493862">
      <w:pPr>
        <w:pStyle w:val="Default"/>
        <w:rPr>
          <w:color w:val="000000" w:themeColor="text1"/>
          <w:sz w:val="22"/>
          <w:szCs w:val="22"/>
        </w:rPr>
      </w:pPr>
    </w:p>
    <w:p w:rsidR="00493862" w:rsidRPr="008D45CE" w:rsidRDefault="009274E7" w:rsidP="00493862">
      <w:pPr>
        <w:pStyle w:val="Default"/>
        <w:rPr>
          <w:color w:val="000000" w:themeColor="text1"/>
          <w:sz w:val="22"/>
          <w:szCs w:val="22"/>
        </w:rPr>
      </w:pPr>
      <w:r w:rsidRPr="008D45CE">
        <w:rPr>
          <w:b/>
          <w:bCs/>
          <w:color w:val="000000" w:themeColor="text1"/>
          <w:sz w:val="22"/>
          <w:szCs w:val="22"/>
        </w:rPr>
        <w:t>IV</w:t>
      </w:r>
      <w:r w:rsidR="00493862" w:rsidRPr="008D45CE">
        <w:rPr>
          <w:b/>
          <w:bCs/>
          <w:color w:val="000000" w:themeColor="text1"/>
          <w:sz w:val="22"/>
          <w:szCs w:val="22"/>
        </w:rPr>
        <w:t xml:space="preserve">. EXPERTS INTERNATIONAUX DES COMPTES DE LA SANTE </w:t>
      </w:r>
    </w:p>
    <w:p w:rsidR="00493862" w:rsidRPr="0057150A" w:rsidRDefault="00493862" w:rsidP="00493862">
      <w:pPr>
        <w:pStyle w:val="Default"/>
        <w:rPr>
          <w:color w:val="000000" w:themeColor="text1"/>
          <w:sz w:val="22"/>
          <w:szCs w:val="22"/>
        </w:rPr>
      </w:pPr>
    </w:p>
    <w:p w:rsidR="00493862" w:rsidRDefault="00493862" w:rsidP="00EB5C74">
      <w:pPr>
        <w:pStyle w:val="Default"/>
        <w:numPr>
          <w:ilvl w:val="0"/>
          <w:numId w:val="26"/>
        </w:numPr>
        <w:rPr>
          <w:b/>
          <w:bCs/>
          <w:color w:val="000000" w:themeColor="text1"/>
          <w:sz w:val="22"/>
          <w:szCs w:val="22"/>
        </w:rPr>
      </w:pPr>
      <w:r w:rsidRPr="008D45CE">
        <w:rPr>
          <w:b/>
          <w:bCs/>
          <w:color w:val="000000" w:themeColor="text1"/>
          <w:sz w:val="22"/>
          <w:szCs w:val="22"/>
        </w:rPr>
        <w:t xml:space="preserve">EXPERTS NATIONAUX DES COMPTES DE LA SANTE </w:t>
      </w:r>
    </w:p>
    <w:p w:rsidR="000B5134" w:rsidRPr="008D45CE" w:rsidRDefault="000B5134" w:rsidP="000B5134">
      <w:pPr>
        <w:pStyle w:val="Default"/>
        <w:ind w:left="1080"/>
        <w:rPr>
          <w:color w:val="000000" w:themeColor="text1"/>
          <w:sz w:val="22"/>
          <w:szCs w:val="22"/>
        </w:rPr>
      </w:pPr>
    </w:p>
    <w:p w:rsidR="00493862" w:rsidRPr="008D45CE" w:rsidRDefault="000B5134" w:rsidP="00493862">
      <w:pPr>
        <w:pStyle w:val="Default"/>
        <w:rPr>
          <w:color w:val="000000" w:themeColor="text1"/>
          <w:sz w:val="22"/>
          <w:szCs w:val="22"/>
        </w:rPr>
      </w:pPr>
      <w:r w:rsidRPr="008D45CE">
        <w:rPr>
          <w:color w:val="000000" w:themeColor="text1"/>
        </w:rPr>
        <w:t>Vivien</w:t>
      </w:r>
      <w:r>
        <w:rPr>
          <w:color w:val="000000" w:themeColor="text1"/>
        </w:rPr>
        <w:t>- Hilaire NYANGA</w:t>
      </w:r>
      <w:r w:rsidRPr="008D45CE">
        <w:rPr>
          <w:color w:val="000000" w:themeColor="text1"/>
        </w:rPr>
        <w:t xml:space="preserve">, Gatien </w:t>
      </w:r>
      <w:r>
        <w:rPr>
          <w:color w:val="000000" w:themeColor="text1"/>
        </w:rPr>
        <w:t>Expedit SITA</w:t>
      </w:r>
      <w:r w:rsidRPr="008D45CE">
        <w:rPr>
          <w:color w:val="000000" w:themeColor="text1"/>
        </w:rPr>
        <w:t>, Karen M</w:t>
      </w:r>
      <w:r>
        <w:rPr>
          <w:color w:val="000000" w:themeColor="text1"/>
        </w:rPr>
        <w:t>BOUKOU BANDIA</w:t>
      </w:r>
      <w:r w:rsidRPr="008D45CE">
        <w:rPr>
          <w:color w:val="000000" w:themeColor="text1"/>
        </w:rPr>
        <w:t xml:space="preserve">, </w:t>
      </w:r>
      <w:r>
        <w:rPr>
          <w:color w:val="000000" w:themeColor="text1"/>
        </w:rPr>
        <w:t>Antoine</w:t>
      </w:r>
      <w:r w:rsidRPr="008D45CE">
        <w:rPr>
          <w:color w:val="000000" w:themeColor="text1"/>
        </w:rPr>
        <w:t xml:space="preserve"> L</w:t>
      </w:r>
      <w:r>
        <w:rPr>
          <w:color w:val="000000" w:themeColor="text1"/>
        </w:rPr>
        <w:t>OUSSAMBOU</w:t>
      </w:r>
      <w:r w:rsidRPr="008D45CE">
        <w:rPr>
          <w:color w:val="000000" w:themeColor="text1"/>
        </w:rPr>
        <w:t xml:space="preserve">, </w:t>
      </w:r>
      <w:r>
        <w:rPr>
          <w:color w:val="000000" w:themeColor="text1"/>
        </w:rPr>
        <w:t>Philippe</w:t>
      </w:r>
      <w:r w:rsidRPr="008D45CE">
        <w:rPr>
          <w:color w:val="000000" w:themeColor="text1"/>
        </w:rPr>
        <w:t xml:space="preserve"> S</w:t>
      </w:r>
      <w:r>
        <w:rPr>
          <w:color w:val="000000" w:themeColor="text1"/>
        </w:rPr>
        <w:t>AMBA</w:t>
      </w:r>
      <w:r w:rsidRPr="008D45CE">
        <w:rPr>
          <w:color w:val="000000" w:themeColor="text1"/>
        </w:rPr>
        <w:t xml:space="preserve">, </w:t>
      </w:r>
      <w:r>
        <w:rPr>
          <w:color w:val="000000" w:themeColor="text1"/>
        </w:rPr>
        <w:t>Bernard</w:t>
      </w:r>
      <w:r w:rsidRPr="008D45CE">
        <w:rPr>
          <w:color w:val="000000" w:themeColor="text1"/>
        </w:rPr>
        <w:t xml:space="preserve"> K</w:t>
      </w:r>
      <w:r>
        <w:rPr>
          <w:color w:val="000000" w:themeColor="text1"/>
        </w:rPr>
        <w:t>ABIKISSA, Juguel GANONGO OLENGOBA</w:t>
      </w:r>
      <w:r w:rsidRPr="008D45CE">
        <w:rPr>
          <w:color w:val="000000" w:themeColor="text1"/>
        </w:rPr>
        <w:t xml:space="preserve">, </w:t>
      </w:r>
      <w:r>
        <w:rPr>
          <w:color w:val="000000" w:themeColor="text1"/>
        </w:rPr>
        <w:t xml:space="preserve">Lucien Emmanuel </w:t>
      </w:r>
      <w:r w:rsidRPr="008D45CE">
        <w:rPr>
          <w:color w:val="000000" w:themeColor="text1"/>
        </w:rPr>
        <w:t>Francky I</w:t>
      </w:r>
      <w:r>
        <w:rPr>
          <w:color w:val="000000" w:themeColor="text1"/>
        </w:rPr>
        <w:t>BATA</w:t>
      </w:r>
      <w:r w:rsidRPr="008D45CE">
        <w:rPr>
          <w:color w:val="000000" w:themeColor="text1"/>
        </w:rPr>
        <w:t>,</w:t>
      </w:r>
      <w:r>
        <w:rPr>
          <w:color w:val="000000" w:themeColor="text1"/>
        </w:rPr>
        <w:t xml:space="preserve"> Aubain LEPASSA LITEDI, </w:t>
      </w:r>
      <w:r w:rsidRPr="008D45CE">
        <w:rPr>
          <w:color w:val="000000" w:themeColor="text1"/>
        </w:rPr>
        <w:t xml:space="preserve"> </w:t>
      </w:r>
    </w:p>
    <w:p w:rsidR="00493862" w:rsidRPr="008D45CE" w:rsidRDefault="00493862" w:rsidP="00493862">
      <w:pPr>
        <w:pStyle w:val="Default"/>
        <w:rPr>
          <w:b/>
          <w:bCs/>
          <w:color w:val="000000" w:themeColor="text1"/>
          <w:sz w:val="22"/>
          <w:szCs w:val="22"/>
        </w:rPr>
      </w:pPr>
      <w:r w:rsidRPr="008D45CE">
        <w:rPr>
          <w:b/>
          <w:bCs/>
          <w:color w:val="000000" w:themeColor="text1"/>
          <w:sz w:val="22"/>
          <w:szCs w:val="22"/>
        </w:rPr>
        <w:t>V</w:t>
      </w:r>
      <w:r w:rsidR="009274E7" w:rsidRPr="008D45CE">
        <w:rPr>
          <w:b/>
          <w:bCs/>
          <w:color w:val="000000" w:themeColor="text1"/>
          <w:sz w:val="22"/>
          <w:szCs w:val="22"/>
        </w:rPr>
        <w:t>I</w:t>
      </w:r>
      <w:r w:rsidRPr="008D45CE">
        <w:rPr>
          <w:b/>
          <w:bCs/>
          <w:color w:val="000000" w:themeColor="text1"/>
          <w:sz w:val="22"/>
          <w:szCs w:val="22"/>
        </w:rPr>
        <w:t xml:space="preserve">. EXPERTS AYANT </w:t>
      </w:r>
      <w:r w:rsidR="009274E7" w:rsidRPr="008D45CE">
        <w:rPr>
          <w:b/>
          <w:bCs/>
          <w:color w:val="000000" w:themeColor="text1"/>
          <w:sz w:val="22"/>
          <w:szCs w:val="22"/>
        </w:rPr>
        <w:t>PARTICIPE</w:t>
      </w:r>
      <w:r w:rsidRPr="008D45CE">
        <w:rPr>
          <w:b/>
          <w:bCs/>
          <w:color w:val="000000" w:themeColor="text1"/>
          <w:sz w:val="22"/>
          <w:szCs w:val="22"/>
        </w:rPr>
        <w:t xml:space="preserve"> A LA COLLECTE DES DONNE</w:t>
      </w:r>
      <w:r w:rsidR="009274E7" w:rsidRPr="008D45CE">
        <w:rPr>
          <w:b/>
          <w:bCs/>
          <w:color w:val="000000" w:themeColor="text1"/>
          <w:sz w:val="22"/>
          <w:szCs w:val="22"/>
        </w:rPr>
        <w:t>E</w:t>
      </w:r>
      <w:r w:rsidRPr="008D45CE">
        <w:rPr>
          <w:b/>
          <w:bCs/>
          <w:color w:val="000000" w:themeColor="text1"/>
          <w:sz w:val="22"/>
          <w:szCs w:val="22"/>
        </w:rPr>
        <w:t xml:space="preserve">S </w:t>
      </w:r>
    </w:p>
    <w:p w:rsidR="00493862" w:rsidRPr="008D45CE" w:rsidRDefault="00493862" w:rsidP="00493862">
      <w:pPr>
        <w:pStyle w:val="Default"/>
        <w:rPr>
          <w:b/>
          <w:bCs/>
          <w:color w:val="000000" w:themeColor="text1"/>
          <w:sz w:val="22"/>
          <w:szCs w:val="22"/>
        </w:rPr>
      </w:pPr>
    </w:p>
    <w:p w:rsidR="00362804" w:rsidRPr="008D45CE" w:rsidRDefault="00362804" w:rsidP="00362804">
      <w:pPr>
        <w:pStyle w:val="Default"/>
        <w:rPr>
          <w:b/>
          <w:bCs/>
          <w:color w:val="000000" w:themeColor="text1"/>
          <w:sz w:val="22"/>
          <w:szCs w:val="22"/>
        </w:rPr>
      </w:pPr>
    </w:p>
    <w:p w:rsidR="00362804" w:rsidRPr="008D45CE" w:rsidRDefault="00362804" w:rsidP="00362804">
      <w:pPr>
        <w:pStyle w:val="Default"/>
        <w:rPr>
          <w:b/>
          <w:bCs/>
          <w:color w:val="000000" w:themeColor="text1"/>
          <w:sz w:val="22"/>
          <w:szCs w:val="22"/>
        </w:rPr>
      </w:pPr>
      <w:r w:rsidRPr="008D45CE">
        <w:rPr>
          <w:b/>
          <w:bCs/>
          <w:color w:val="000000" w:themeColor="text1"/>
          <w:sz w:val="22"/>
          <w:szCs w:val="22"/>
        </w:rPr>
        <w:t>VI. PARTENAIRES AYANT APPORTE UN APPUI TECHNIQUE ET FINANCIER</w:t>
      </w:r>
    </w:p>
    <w:p w:rsidR="00362804" w:rsidRPr="008D45CE" w:rsidRDefault="00362804" w:rsidP="00362804">
      <w:pPr>
        <w:pStyle w:val="Default"/>
        <w:ind w:left="720"/>
        <w:rPr>
          <w:bCs/>
          <w:color w:val="000000" w:themeColor="text1"/>
          <w:sz w:val="22"/>
          <w:szCs w:val="22"/>
        </w:rPr>
      </w:pPr>
    </w:p>
    <w:p w:rsidR="00362804" w:rsidRPr="008D45CE" w:rsidRDefault="00362804" w:rsidP="00362804">
      <w:pPr>
        <w:pStyle w:val="Default"/>
        <w:rPr>
          <w:color w:val="000000" w:themeColor="text1"/>
          <w:sz w:val="22"/>
          <w:szCs w:val="22"/>
        </w:rPr>
      </w:pPr>
    </w:p>
    <w:p w:rsidR="00493862" w:rsidRPr="008D45CE" w:rsidRDefault="00493862" w:rsidP="00A401E9">
      <w:pPr>
        <w:pStyle w:val="Titre1"/>
        <w:jc w:val="center"/>
        <w:rPr>
          <w:color w:val="000000" w:themeColor="text1"/>
          <w:sz w:val="28"/>
        </w:rPr>
      </w:pPr>
    </w:p>
    <w:p w:rsidR="00493862" w:rsidRPr="008D45CE" w:rsidRDefault="00493862" w:rsidP="00A401E9">
      <w:pPr>
        <w:pStyle w:val="Titre1"/>
        <w:jc w:val="center"/>
        <w:rPr>
          <w:color w:val="000000" w:themeColor="text1"/>
          <w:sz w:val="28"/>
        </w:rPr>
      </w:pPr>
    </w:p>
    <w:bookmarkEnd w:id="94"/>
    <w:p w:rsidR="00A10E04" w:rsidRPr="008D45CE" w:rsidRDefault="008D45CE" w:rsidP="008D45CE">
      <w:pPr>
        <w:spacing w:after="200" w:line="20" w:lineRule="atLeast"/>
        <w:rPr>
          <w:color w:val="000000" w:themeColor="text1"/>
        </w:rPr>
      </w:pPr>
      <w:r w:rsidRPr="008D45CE">
        <w:rPr>
          <w:color w:val="000000" w:themeColor="text1"/>
        </w:rPr>
        <w:t xml:space="preserve"> </w:t>
      </w:r>
    </w:p>
    <w:p w:rsidR="00A10E04" w:rsidRPr="008D45CE" w:rsidRDefault="00A10E04" w:rsidP="00A401E9">
      <w:pPr>
        <w:pStyle w:val="Style2"/>
        <w:rPr>
          <w:color w:val="000000" w:themeColor="text1"/>
        </w:rPr>
      </w:pPr>
    </w:p>
    <w:p w:rsidR="00A10E04" w:rsidRPr="008D45CE" w:rsidRDefault="00A10E04" w:rsidP="00A401E9">
      <w:pPr>
        <w:rPr>
          <w:color w:val="000000" w:themeColor="text1"/>
        </w:rPr>
      </w:pPr>
    </w:p>
    <w:p w:rsidR="00013AD0" w:rsidRPr="008D45CE" w:rsidRDefault="00013AD0" w:rsidP="00A401E9">
      <w:pPr>
        <w:rPr>
          <w:color w:val="000000" w:themeColor="text1"/>
        </w:rPr>
      </w:pPr>
    </w:p>
    <w:sectPr w:rsidR="00013AD0" w:rsidRPr="008D45CE" w:rsidSect="00E941CD">
      <w:pgSz w:w="11906" w:h="16838"/>
      <w:pgMar w:top="1418" w:right="1418" w:bottom="1418" w:left="567" w:header="709" w:footer="709" w:gutter="1418"/>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31F2" w:rsidRDefault="008231F2" w:rsidP="00A10E04">
      <w:r>
        <w:separator/>
      </w:r>
    </w:p>
  </w:endnote>
  <w:endnote w:type="continuationSeparator" w:id="0">
    <w:p w:rsidR="008231F2" w:rsidRDefault="008231F2" w:rsidP="00A10E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Bold">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Agency FB">
    <w:panose1 w:val="020B0503020202020204"/>
    <w:charset w:val="00"/>
    <w:family w:val="swiss"/>
    <w:pitch w:val="variable"/>
    <w:sig w:usb0="00000003" w:usb1="00000000" w:usb2="00000000" w:usb3="00000000" w:csb0="00000001" w:csb1="00000000"/>
  </w:font>
  <w:font w:name="+mn-ea">
    <w:panose1 w:val="00000000000000000000"/>
    <w:charset w:val="00"/>
    <w:family w:val="roman"/>
    <w:notTrueType/>
    <w:pitch w:val="default"/>
  </w:font>
  <w:font w:name="Gill Sans MT">
    <w:altName w:val="Gill Sans"/>
    <w:panose1 w:val="020B0502020104020203"/>
    <w:charset w:val="00"/>
    <w:family w:val="swiss"/>
    <w:pitch w:val="variable"/>
    <w:sig w:usb0="00000007" w:usb1="00000000" w:usb2="00000000" w:usb3="00000000" w:csb0="00000003"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457F" w:rsidRDefault="006E457F">
    <w:pPr>
      <w:pStyle w:val="Pieddepage"/>
      <w:jc w:val="center"/>
    </w:pPr>
    <w:r>
      <w:fldChar w:fldCharType="begin"/>
    </w:r>
    <w:r>
      <w:instrText>PAGE   \* MERGEFORMAT</w:instrText>
    </w:r>
    <w:r>
      <w:fldChar w:fldCharType="separate"/>
    </w:r>
    <w:r w:rsidR="00427D43">
      <w:rPr>
        <w:noProof/>
      </w:rPr>
      <w:t>1</w:t>
    </w:r>
    <w:r>
      <w:rPr>
        <w:noProof/>
      </w:rPr>
      <w:fldChar w:fldCharType="end"/>
    </w:r>
  </w:p>
  <w:p w:rsidR="006E457F" w:rsidRPr="0079462D" w:rsidRDefault="006E457F" w:rsidP="00E941CD">
    <w:pPr>
      <w:pStyle w:val="Pieddepage"/>
      <w:jc w:val="center"/>
      <w:rPr>
        <w:i/>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31F2" w:rsidRDefault="008231F2" w:rsidP="00A10E04">
      <w:r>
        <w:separator/>
      </w:r>
    </w:p>
  </w:footnote>
  <w:footnote w:type="continuationSeparator" w:id="0">
    <w:p w:rsidR="008231F2" w:rsidRDefault="008231F2" w:rsidP="00A10E04">
      <w:r>
        <w:continuationSeparator/>
      </w:r>
    </w:p>
  </w:footnote>
  <w:footnote w:id="1">
    <w:p w:rsidR="006E457F" w:rsidRPr="00896E80" w:rsidRDefault="006E457F">
      <w:pPr>
        <w:pStyle w:val="Notedebasdepage"/>
        <w:rPr>
          <w:sz w:val="10"/>
        </w:rPr>
      </w:pPr>
      <w:r w:rsidRPr="00896E80">
        <w:rPr>
          <w:rStyle w:val="Appelnotedebasdep"/>
          <w:sz w:val="10"/>
        </w:rPr>
        <w:footnoteRef/>
      </w:r>
      <w:r w:rsidRPr="00D658BB">
        <w:rPr>
          <w:sz w:val="10"/>
        </w:rPr>
        <w:t xml:space="preserve"> </w:t>
      </w:r>
      <w:r w:rsidRPr="00896E80">
        <w:rPr>
          <w:sz w:val="10"/>
        </w:rPr>
        <w:t>Institut National des Statistiques, Direction des statistiques démographique et sociale</w:t>
      </w:r>
    </w:p>
  </w:footnote>
  <w:footnote w:id="2">
    <w:p w:rsidR="006E457F" w:rsidRPr="00896E80" w:rsidRDefault="006E457F">
      <w:pPr>
        <w:pStyle w:val="Notedebasdepage"/>
      </w:pPr>
      <w:r w:rsidRPr="00896E80">
        <w:rPr>
          <w:rStyle w:val="Appelnotedebasdep"/>
          <w:sz w:val="10"/>
        </w:rPr>
        <w:footnoteRef/>
      </w:r>
      <w:r w:rsidRPr="00D658BB">
        <w:rPr>
          <w:sz w:val="10"/>
        </w:rPr>
        <w:t xml:space="preserve"> </w:t>
      </w:r>
      <w:r w:rsidRPr="00896E80">
        <w:rPr>
          <w:sz w:val="10"/>
        </w:rPr>
        <w:t>Institut National des Statistiques, Service des Comptes Nationaux</w:t>
      </w:r>
    </w:p>
  </w:footnote>
  <w:footnote w:id="3">
    <w:p w:rsidR="006E457F" w:rsidRPr="00896E80" w:rsidRDefault="006E457F" w:rsidP="00ED2FA4">
      <w:pPr>
        <w:pStyle w:val="Notedebasdepage"/>
        <w:rPr>
          <w:sz w:val="10"/>
        </w:rPr>
      </w:pPr>
      <w:r w:rsidRPr="00896E80">
        <w:rPr>
          <w:rStyle w:val="Appelnotedebasdep"/>
          <w:sz w:val="10"/>
        </w:rPr>
        <w:footnoteRef/>
      </w:r>
      <w:r w:rsidRPr="00896E80">
        <w:rPr>
          <w:rStyle w:val="Appelnotedebasdep"/>
          <w:sz w:val="10"/>
        </w:rPr>
        <w:footnoteRef/>
      </w:r>
      <w:r w:rsidRPr="00896E80">
        <w:rPr>
          <w:sz w:val="10"/>
        </w:rPr>
        <w:t xml:space="preserve"> </w:t>
      </w:r>
      <w:r w:rsidRPr="00896E80">
        <w:rPr>
          <w:color w:val="FF0000"/>
          <w:sz w:val="10"/>
        </w:rPr>
        <w:t>**</w:t>
      </w:r>
      <w:r w:rsidRPr="00896E80">
        <w:rPr>
          <w:sz w:val="10"/>
        </w:rPr>
        <w:t xml:space="preserve"> Dépense de santé à corriger</w:t>
      </w:r>
    </w:p>
  </w:footnote>
  <w:footnote w:id="4">
    <w:p w:rsidR="006E457F" w:rsidRPr="001868E7" w:rsidRDefault="006E457F">
      <w:pPr>
        <w:pStyle w:val="Notedebasdepage"/>
        <w:rPr>
          <w:rFonts w:ascii="Times New Roman" w:hAnsi="Times New Roman"/>
        </w:rPr>
      </w:pPr>
      <w:r w:rsidRPr="001868E7">
        <w:rPr>
          <w:rStyle w:val="Appelnotedebasdep"/>
          <w:rFonts w:ascii="Times New Roman" w:hAnsi="Times New Roman"/>
        </w:rPr>
        <w:footnoteRef/>
      </w:r>
      <w:r w:rsidRPr="00D658BB">
        <w:rPr>
          <w:rFonts w:ascii="Times New Roman" w:hAnsi="Times New Roman"/>
        </w:rPr>
        <w:t xml:space="preserve"> </w:t>
      </w:r>
      <w:r w:rsidRPr="001868E7">
        <w:rPr>
          <w:rFonts w:ascii="Times New Roman" w:hAnsi="Times New Roman"/>
        </w:rPr>
        <w:t>Différents décrets instaurant des régimes de gratuité</w:t>
      </w:r>
    </w:p>
  </w:footnote>
  <w:footnote w:id="5">
    <w:p w:rsidR="006E457F" w:rsidRPr="00454739" w:rsidRDefault="006E457F">
      <w:pPr>
        <w:pStyle w:val="Notedebasdepage"/>
      </w:pPr>
      <w:r>
        <w:rPr>
          <w:rStyle w:val="Appelnotedebasdep"/>
        </w:rPr>
        <w:footnoteRef/>
      </w:r>
      <w:r w:rsidRPr="00454739">
        <w:t xml:space="preserve"> </w:t>
      </w:r>
      <w:r>
        <w:t>SCS 2011 version concise préliminaire 4juin 2012, page 63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457F" w:rsidRDefault="006E457F">
    <w:pPr>
      <w:pStyle w:val="En-tte"/>
    </w:pPr>
  </w:p>
  <w:p w:rsidR="006E457F" w:rsidRDefault="006E457F">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E03E6"/>
    <w:multiLevelType w:val="multilevel"/>
    <w:tmpl w:val="5D20F4A4"/>
    <w:lvl w:ilvl="0">
      <w:start w:val="3"/>
      <w:numFmt w:val="decimal"/>
      <w:lvlText w:val="%1."/>
      <w:lvlJc w:val="left"/>
      <w:pPr>
        <w:ind w:left="420" w:hanging="420"/>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4B53D72"/>
    <w:multiLevelType w:val="hybridMultilevel"/>
    <w:tmpl w:val="7116C54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6657D1C"/>
    <w:multiLevelType w:val="hybridMultilevel"/>
    <w:tmpl w:val="E84C458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6855C6B"/>
    <w:multiLevelType w:val="hybridMultilevel"/>
    <w:tmpl w:val="8850CD8A"/>
    <w:lvl w:ilvl="0" w:tplc="A7E20330">
      <w:start w:val="1"/>
      <w:numFmt w:val="decimal"/>
      <w:lvlText w:val="%1-"/>
      <w:lvlJc w:val="left"/>
      <w:pPr>
        <w:ind w:left="720" w:hanging="360"/>
      </w:pPr>
      <w:rPr>
        <w:rFonts w:hint="default"/>
        <w:color w:val="000000" w:themeColor="text1"/>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721246D"/>
    <w:multiLevelType w:val="hybridMultilevel"/>
    <w:tmpl w:val="63DC5A4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74925E1"/>
    <w:multiLevelType w:val="hybridMultilevel"/>
    <w:tmpl w:val="E850C8B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A2B4E8F"/>
    <w:multiLevelType w:val="hybridMultilevel"/>
    <w:tmpl w:val="8B664D02"/>
    <w:lvl w:ilvl="0" w:tplc="C0CE3CDE">
      <w:start w:val="1"/>
      <w:numFmt w:val="decimal"/>
      <w:lvlText w:val="%1."/>
      <w:lvlJc w:val="left"/>
      <w:pPr>
        <w:ind w:left="720" w:hanging="360"/>
      </w:pPr>
      <w:rPr>
        <w:rFonts w:hint="default"/>
        <w:color w:val="1F497D" w:themeColor="text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0E021213"/>
    <w:multiLevelType w:val="hybridMultilevel"/>
    <w:tmpl w:val="1C566AAC"/>
    <w:lvl w:ilvl="0" w:tplc="040C0001">
      <w:start w:val="1"/>
      <w:numFmt w:val="bullet"/>
      <w:lvlText w:val=""/>
      <w:lvlJc w:val="left"/>
      <w:pPr>
        <w:ind w:left="776" w:hanging="360"/>
      </w:pPr>
      <w:rPr>
        <w:rFonts w:ascii="Symbol" w:hAnsi="Symbol" w:hint="default"/>
      </w:rPr>
    </w:lvl>
    <w:lvl w:ilvl="1" w:tplc="040C0003" w:tentative="1">
      <w:start w:val="1"/>
      <w:numFmt w:val="bullet"/>
      <w:lvlText w:val="o"/>
      <w:lvlJc w:val="left"/>
      <w:pPr>
        <w:ind w:left="1496" w:hanging="360"/>
      </w:pPr>
      <w:rPr>
        <w:rFonts w:ascii="Courier New" w:hAnsi="Courier New" w:cs="Courier New" w:hint="default"/>
      </w:rPr>
    </w:lvl>
    <w:lvl w:ilvl="2" w:tplc="040C0005" w:tentative="1">
      <w:start w:val="1"/>
      <w:numFmt w:val="bullet"/>
      <w:lvlText w:val=""/>
      <w:lvlJc w:val="left"/>
      <w:pPr>
        <w:ind w:left="2216" w:hanging="360"/>
      </w:pPr>
      <w:rPr>
        <w:rFonts w:ascii="Wingdings" w:hAnsi="Wingdings" w:hint="default"/>
      </w:rPr>
    </w:lvl>
    <w:lvl w:ilvl="3" w:tplc="040C0001" w:tentative="1">
      <w:start w:val="1"/>
      <w:numFmt w:val="bullet"/>
      <w:lvlText w:val=""/>
      <w:lvlJc w:val="left"/>
      <w:pPr>
        <w:ind w:left="2936" w:hanging="360"/>
      </w:pPr>
      <w:rPr>
        <w:rFonts w:ascii="Symbol" w:hAnsi="Symbol" w:hint="default"/>
      </w:rPr>
    </w:lvl>
    <w:lvl w:ilvl="4" w:tplc="040C0003" w:tentative="1">
      <w:start w:val="1"/>
      <w:numFmt w:val="bullet"/>
      <w:lvlText w:val="o"/>
      <w:lvlJc w:val="left"/>
      <w:pPr>
        <w:ind w:left="3656" w:hanging="360"/>
      </w:pPr>
      <w:rPr>
        <w:rFonts w:ascii="Courier New" w:hAnsi="Courier New" w:cs="Courier New" w:hint="default"/>
      </w:rPr>
    </w:lvl>
    <w:lvl w:ilvl="5" w:tplc="040C0005" w:tentative="1">
      <w:start w:val="1"/>
      <w:numFmt w:val="bullet"/>
      <w:lvlText w:val=""/>
      <w:lvlJc w:val="left"/>
      <w:pPr>
        <w:ind w:left="4376" w:hanging="360"/>
      </w:pPr>
      <w:rPr>
        <w:rFonts w:ascii="Wingdings" w:hAnsi="Wingdings" w:hint="default"/>
      </w:rPr>
    </w:lvl>
    <w:lvl w:ilvl="6" w:tplc="040C0001" w:tentative="1">
      <w:start w:val="1"/>
      <w:numFmt w:val="bullet"/>
      <w:lvlText w:val=""/>
      <w:lvlJc w:val="left"/>
      <w:pPr>
        <w:ind w:left="5096" w:hanging="360"/>
      </w:pPr>
      <w:rPr>
        <w:rFonts w:ascii="Symbol" w:hAnsi="Symbol" w:hint="default"/>
      </w:rPr>
    </w:lvl>
    <w:lvl w:ilvl="7" w:tplc="040C0003" w:tentative="1">
      <w:start w:val="1"/>
      <w:numFmt w:val="bullet"/>
      <w:lvlText w:val="o"/>
      <w:lvlJc w:val="left"/>
      <w:pPr>
        <w:ind w:left="5816" w:hanging="360"/>
      </w:pPr>
      <w:rPr>
        <w:rFonts w:ascii="Courier New" w:hAnsi="Courier New" w:cs="Courier New" w:hint="default"/>
      </w:rPr>
    </w:lvl>
    <w:lvl w:ilvl="8" w:tplc="040C0005" w:tentative="1">
      <w:start w:val="1"/>
      <w:numFmt w:val="bullet"/>
      <w:lvlText w:val=""/>
      <w:lvlJc w:val="left"/>
      <w:pPr>
        <w:ind w:left="6536" w:hanging="360"/>
      </w:pPr>
      <w:rPr>
        <w:rFonts w:ascii="Wingdings" w:hAnsi="Wingdings" w:hint="default"/>
      </w:rPr>
    </w:lvl>
  </w:abstractNum>
  <w:abstractNum w:abstractNumId="8" w15:restartNumberingAfterBreak="0">
    <w:nsid w:val="131E0A41"/>
    <w:multiLevelType w:val="multilevel"/>
    <w:tmpl w:val="9E105A82"/>
    <w:lvl w:ilvl="0">
      <w:start w:val="1"/>
      <w:numFmt w:val="upperRoman"/>
      <w:lvlText w:val="%1."/>
      <w:lvlJc w:val="left"/>
      <w:pPr>
        <w:ind w:left="1080" w:hanging="720"/>
      </w:pPr>
      <w:rPr>
        <w:rFonts w:hint="default"/>
      </w:rPr>
    </w:lvl>
    <w:lvl w:ilvl="1">
      <w:start w:val="3"/>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13265D23"/>
    <w:multiLevelType w:val="hybridMultilevel"/>
    <w:tmpl w:val="9EAE123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7D0340B"/>
    <w:multiLevelType w:val="hybridMultilevel"/>
    <w:tmpl w:val="84E2585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99C3EB1"/>
    <w:multiLevelType w:val="hybridMultilevel"/>
    <w:tmpl w:val="CDBAE768"/>
    <w:lvl w:ilvl="0" w:tplc="094875C6">
      <w:start w:val="4"/>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5A01DC4"/>
    <w:multiLevelType w:val="hybridMultilevel"/>
    <w:tmpl w:val="349CB76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9985DA0"/>
    <w:multiLevelType w:val="hybridMultilevel"/>
    <w:tmpl w:val="16F62112"/>
    <w:lvl w:ilvl="0" w:tplc="040C000D">
      <w:start w:val="1"/>
      <w:numFmt w:val="bullet"/>
      <w:lvlText w:val=""/>
      <w:lvlJc w:val="left"/>
      <w:pPr>
        <w:ind w:left="770" w:hanging="360"/>
      </w:pPr>
      <w:rPr>
        <w:rFonts w:ascii="Wingdings" w:hAnsi="Wingdings" w:hint="default"/>
      </w:rPr>
    </w:lvl>
    <w:lvl w:ilvl="1" w:tplc="040C0003" w:tentative="1">
      <w:start w:val="1"/>
      <w:numFmt w:val="bullet"/>
      <w:lvlText w:val="o"/>
      <w:lvlJc w:val="left"/>
      <w:pPr>
        <w:ind w:left="1490" w:hanging="360"/>
      </w:pPr>
      <w:rPr>
        <w:rFonts w:ascii="Courier New" w:hAnsi="Courier New" w:cs="Courier New" w:hint="default"/>
      </w:rPr>
    </w:lvl>
    <w:lvl w:ilvl="2" w:tplc="040C0005" w:tentative="1">
      <w:start w:val="1"/>
      <w:numFmt w:val="bullet"/>
      <w:lvlText w:val=""/>
      <w:lvlJc w:val="left"/>
      <w:pPr>
        <w:ind w:left="2210" w:hanging="360"/>
      </w:pPr>
      <w:rPr>
        <w:rFonts w:ascii="Wingdings" w:hAnsi="Wingdings" w:hint="default"/>
      </w:rPr>
    </w:lvl>
    <w:lvl w:ilvl="3" w:tplc="040C0001" w:tentative="1">
      <w:start w:val="1"/>
      <w:numFmt w:val="bullet"/>
      <w:lvlText w:val=""/>
      <w:lvlJc w:val="left"/>
      <w:pPr>
        <w:ind w:left="2930" w:hanging="360"/>
      </w:pPr>
      <w:rPr>
        <w:rFonts w:ascii="Symbol" w:hAnsi="Symbol" w:hint="default"/>
      </w:rPr>
    </w:lvl>
    <w:lvl w:ilvl="4" w:tplc="040C0003" w:tentative="1">
      <w:start w:val="1"/>
      <w:numFmt w:val="bullet"/>
      <w:lvlText w:val="o"/>
      <w:lvlJc w:val="left"/>
      <w:pPr>
        <w:ind w:left="3650" w:hanging="360"/>
      </w:pPr>
      <w:rPr>
        <w:rFonts w:ascii="Courier New" w:hAnsi="Courier New" w:cs="Courier New" w:hint="default"/>
      </w:rPr>
    </w:lvl>
    <w:lvl w:ilvl="5" w:tplc="040C0005" w:tentative="1">
      <w:start w:val="1"/>
      <w:numFmt w:val="bullet"/>
      <w:lvlText w:val=""/>
      <w:lvlJc w:val="left"/>
      <w:pPr>
        <w:ind w:left="4370" w:hanging="360"/>
      </w:pPr>
      <w:rPr>
        <w:rFonts w:ascii="Wingdings" w:hAnsi="Wingdings" w:hint="default"/>
      </w:rPr>
    </w:lvl>
    <w:lvl w:ilvl="6" w:tplc="040C0001" w:tentative="1">
      <w:start w:val="1"/>
      <w:numFmt w:val="bullet"/>
      <w:lvlText w:val=""/>
      <w:lvlJc w:val="left"/>
      <w:pPr>
        <w:ind w:left="5090" w:hanging="360"/>
      </w:pPr>
      <w:rPr>
        <w:rFonts w:ascii="Symbol" w:hAnsi="Symbol" w:hint="default"/>
      </w:rPr>
    </w:lvl>
    <w:lvl w:ilvl="7" w:tplc="040C0003" w:tentative="1">
      <w:start w:val="1"/>
      <w:numFmt w:val="bullet"/>
      <w:lvlText w:val="o"/>
      <w:lvlJc w:val="left"/>
      <w:pPr>
        <w:ind w:left="5810" w:hanging="360"/>
      </w:pPr>
      <w:rPr>
        <w:rFonts w:ascii="Courier New" w:hAnsi="Courier New" w:cs="Courier New" w:hint="default"/>
      </w:rPr>
    </w:lvl>
    <w:lvl w:ilvl="8" w:tplc="040C0005" w:tentative="1">
      <w:start w:val="1"/>
      <w:numFmt w:val="bullet"/>
      <w:lvlText w:val=""/>
      <w:lvlJc w:val="left"/>
      <w:pPr>
        <w:ind w:left="6530" w:hanging="360"/>
      </w:pPr>
      <w:rPr>
        <w:rFonts w:ascii="Wingdings" w:hAnsi="Wingdings" w:hint="default"/>
      </w:rPr>
    </w:lvl>
  </w:abstractNum>
  <w:abstractNum w:abstractNumId="14" w15:restartNumberingAfterBreak="0">
    <w:nsid w:val="2D943025"/>
    <w:multiLevelType w:val="hybridMultilevel"/>
    <w:tmpl w:val="95706C70"/>
    <w:lvl w:ilvl="0" w:tplc="2EFAA460">
      <w:start w:val="1"/>
      <w:numFmt w:val="lowerRoman"/>
      <w:lvlText w:val="%1."/>
      <w:lvlJc w:val="left"/>
      <w:pPr>
        <w:ind w:left="780" w:hanging="720"/>
      </w:pPr>
      <w:rPr>
        <w:rFonts w:hint="default"/>
      </w:rPr>
    </w:lvl>
    <w:lvl w:ilvl="1" w:tplc="040C0019" w:tentative="1">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abstractNum w:abstractNumId="15" w15:restartNumberingAfterBreak="0">
    <w:nsid w:val="2DC804BD"/>
    <w:multiLevelType w:val="hybridMultilevel"/>
    <w:tmpl w:val="F4D89E5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33503283"/>
    <w:multiLevelType w:val="multilevel"/>
    <w:tmpl w:val="9E105A82"/>
    <w:lvl w:ilvl="0">
      <w:start w:val="1"/>
      <w:numFmt w:val="upperRoman"/>
      <w:lvlText w:val="%1."/>
      <w:lvlJc w:val="left"/>
      <w:pPr>
        <w:ind w:left="1080" w:hanging="720"/>
      </w:pPr>
      <w:rPr>
        <w:rFonts w:hint="default"/>
      </w:rPr>
    </w:lvl>
    <w:lvl w:ilvl="1">
      <w:start w:val="3"/>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38043376"/>
    <w:multiLevelType w:val="hybridMultilevel"/>
    <w:tmpl w:val="8B664D02"/>
    <w:lvl w:ilvl="0" w:tplc="C0CE3CDE">
      <w:start w:val="1"/>
      <w:numFmt w:val="decimal"/>
      <w:lvlText w:val="%1."/>
      <w:lvlJc w:val="left"/>
      <w:pPr>
        <w:ind w:left="720" w:hanging="360"/>
      </w:pPr>
      <w:rPr>
        <w:rFonts w:hint="default"/>
        <w:color w:val="1F497D" w:themeColor="text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3F1E203D"/>
    <w:multiLevelType w:val="hybridMultilevel"/>
    <w:tmpl w:val="1970477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19F39B5"/>
    <w:multiLevelType w:val="hybridMultilevel"/>
    <w:tmpl w:val="AAFAD35C"/>
    <w:lvl w:ilvl="0" w:tplc="5B6E0614">
      <w:start w:val="1"/>
      <w:numFmt w:val="bullet"/>
      <w:lvlText w:val="-"/>
      <w:lvlJc w:val="left"/>
      <w:pPr>
        <w:ind w:left="1080" w:hanging="360"/>
      </w:pPr>
      <w:rPr>
        <w:rFonts w:ascii="Arial" w:eastAsia="Times New Roman" w:hAnsi="Aria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0" w15:restartNumberingAfterBreak="0">
    <w:nsid w:val="4C692ECC"/>
    <w:multiLevelType w:val="hybridMultilevel"/>
    <w:tmpl w:val="106438E6"/>
    <w:lvl w:ilvl="0" w:tplc="040C000F">
      <w:start w:val="1"/>
      <w:numFmt w:val="decimal"/>
      <w:lvlText w:val="%1."/>
      <w:lvlJc w:val="left"/>
      <w:pPr>
        <w:ind w:left="786"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4F5C4A67"/>
    <w:multiLevelType w:val="hybridMultilevel"/>
    <w:tmpl w:val="E5429B4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2" w15:restartNumberingAfterBreak="0">
    <w:nsid w:val="527A5072"/>
    <w:multiLevelType w:val="hybridMultilevel"/>
    <w:tmpl w:val="56F8DE90"/>
    <w:lvl w:ilvl="0" w:tplc="FF52840C">
      <w:start w:val="6"/>
      <w:numFmt w:val="upperRoman"/>
      <w:lvlText w:val="%1."/>
      <w:lvlJc w:val="left"/>
      <w:pPr>
        <w:ind w:left="890" w:hanging="720"/>
      </w:pPr>
      <w:rPr>
        <w:rFonts w:cs="Times New Roman" w:hint="default"/>
      </w:rPr>
    </w:lvl>
    <w:lvl w:ilvl="1" w:tplc="040C0019" w:tentative="1">
      <w:start w:val="1"/>
      <w:numFmt w:val="lowerLetter"/>
      <w:lvlText w:val="%2."/>
      <w:lvlJc w:val="left"/>
      <w:pPr>
        <w:ind w:left="1250" w:hanging="360"/>
      </w:pPr>
    </w:lvl>
    <w:lvl w:ilvl="2" w:tplc="040C001B" w:tentative="1">
      <w:start w:val="1"/>
      <w:numFmt w:val="lowerRoman"/>
      <w:lvlText w:val="%3."/>
      <w:lvlJc w:val="right"/>
      <w:pPr>
        <w:ind w:left="1970" w:hanging="180"/>
      </w:pPr>
    </w:lvl>
    <w:lvl w:ilvl="3" w:tplc="040C000F" w:tentative="1">
      <w:start w:val="1"/>
      <w:numFmt w:val="decimal"/>
      <w:lvlText w:val="%4."/>
      <w:lvlJc w:val="left"/>
      <w:pPr>
        <w:ind w:left="2690" w:hanging="360"/>
      </w:pPr>
    </w:lvl>
    <w:lvl w:ilvl="4" w:tplc="040C0019" w:tentative="1">
      <w:start w:val="1"/>
      <w:numFmt w:val="lowerLetter"/>
      <w:lvlText w:val="%5."/>
      <w:lvlJc w:val="left"/>
      <w:pPr>
        <w:ind w:left="3410" w:hanging="360"/>
      </w:pPr>
    </w:lvl>
    <w:lvl w:ilvl="5" w:tplc="040C001B" w:tentative="1">
      <w:start w:val="1"/>
      <w:numFmt w:val="lowerRoman"/>
      <w:lvlText w:val="%6."/>
      <w:lvlJc w:val="right"/>
      <w:pPr>
        <w:ind w:left="4130" w:hanging="180"/>
      </w:pPr>
    </w:lvl>
    <w:lvl w:ilvl="6" w:tplc="040C000F" w:tentative="1">
      <w:start w:val="1"/>
      <w:numFmt w:val="decimal"/>
      <w:lvlText w:val="%7."/>
      <w:lvlJc w:val="left"/>
      <w:pPr>
        <w:ind w:left="4850" w:hanging="360"/>
      </w:pPr>
    </w:lvl>
    <w:lvl w:ilvl="7" w:tplc="040C0019" w:tentative="1">
      <w:start w:val="1"/>
      <w:numFmt w:val="lowerLetter"/>
      <w:lvlText w:val="%8."/>
      <w:lvlJc w:val="left"/>
      <w:pPr>
        <w:ind w:left="5570" w:hanging="360"/>
      </w:pPr>
    </w:lvl>
    <w:lvl w:ilvl="8" w:tplc="040C001B" w:tentative="1">
      <w:start w:val="1"/>
      <w:numFmt w:val="lowerRoman"/>
      <w:lvlText w:val="%9."/>
      <w:lvlJc w:val="right"/>
      <w:pPr>
        <w:ind w:left="6290" w:hanging="180"/>
      </w:pPr>
    </w:lvl>
  </w:abstractNum>
  <w:abstractNum w:abstractNumId="23" w15:restartNumberingAfterBreak="0">
    <w:nsid w:val="5783081C"/>
    <w:multiLevelType w:val="hybridMultilevel"/>
    <w:tmpl w:val="4AD06E88"/>
    <w:lvl w:ilvl="0" w:tplc="C978BA8E">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59F547E1"/>
    <w:multiLevelType w:val="hybridMultilevel"/>
    <w:tmpl w:val="F8F4391A"/>
    <w:lvl w:ilvl="0" w:tplc="5F62A72E">
      <w:start w:val="1"/>
      <w:numFmt w:val="lowerRoman"/>
      <w:lvlText w:val="%1."/>
      <w:lvlJc w:val="left"/>
      <w:pPr>
        <w:ind w:left="840" w:hanging="720"/>
      </w:pPr>
      <w:rPr>
        <w:rFonts w:hint="default"/>
      </w:rPr>
    </w:lvl>
    <w:lvl w:ilvl="1" w:tplc="040C0019" w:tentative="1">
      <w:start w:val="1"/>
      <w:numFmt w:val="lowerLetter"/>
      <w:lvlText w:val="%2."/>
      <w:lvlJc w:val="left"/>
      <w:pPr>
        <w:ind w:left="1200" w:hanging="360"/>
      </w:pPr>
    </w:lvl>
    <w:lvl w:ilvl="2" w:tplc="040C001B" w:tentative="1">
      <w:start w:val="1"/>
      <w:numFmt w:val="lowerRoman"/>
      <w:lvlText w:val="%3."/>
      <w:lvlJc w:val="right"/>
      <w:pPr>
        <w:ind w:left="1920" w:hanging="180"/>
      </w:pPr>
    </w:lvl>
    <w:lvl w:ilvl="3" w:tplc="040C000F" w:tentative="1">
      <w:start w:val="1"/>
      <w:numFmt w:val="decimal"/>
      <w:lvlText w:val="%4."/>
      <w:lvlJc w:val="left"/>
      <w:pPr>
        <w:ind w:left="2640" w:hanging="360"/>
      </w:pPr>
    </w:lvl>
    <w:lvl w:ilvl="4" w:tplc="040C0019" w:tentative="1">
      <w:start w:val="1"/>
      <w:numFmt w:val="lowerLetter"/>
      <w:lvlText w:val="%5."/>
      <w:lvlJc w:val="left"/>
      <w:pPr>
        <w:ind w:left="3360" w:hanging="360"/>
      </w:pPr>
    </w:lvl>
    <w:lvl w:ilvl="5" w:tplc="040C001B" w:tentative="1">
      <w:start w:val="1"/>
      <w:numFmt w:val="lowerRoman"/>
      <w:lvlText w:val="%6."/>
      <w:lvlJc w:val="right"/>
      <w:pPr>
        <w:ind w:left="4080" w:hanging="180"/>
      </w:pPr>
    </w:lvl>
    <w:lvl w:ilvl="6" w:tplc="040C000F" w:tentative="1">
      <w:start w:val="1"/>
      <w:numFmt w:val="decimal"/>
      <w:lvlText w:val="%7."/>
      <w:lvlJc w:val="left"/>
      <w:pPr>
        <w:ind w:left="4800" w:hanging="360"/>
      </w:pPr>
    </w:lvl>
    <w:lvl w:ilvl="7" w:tplc="040C0019" w:tentative="1">
      <w:start w:val="1"/>
      <w:numFmt w:val="lowerLetter"/>
      <w:lvlText w:val="%8."/>
      <w:lvlJc w:val="left"/>
      <w:pPr>
        <w:ind w:left="5520" w:hanging="360"/>
      </w:pPr>
    </w:lvl>
    <w:lvl w:ilvl="8" w:tplc="040C001B" w:tentative="1">
      <w:start w:val="1"/>
      <w:numFmt w:val="lowerRoman"/>
      <w:lvlText w:val="%9."/>
      <w:lvlJc w:val="right"/>
      <w:pPr>
        <w:ind w:left="6240" w:hanging="180"/>
      </w:pPr>
    </w:lvl>
  </w:abstractNum>
  <w:abstractNum w:abstractNumId="25" w15:restartNumberingAfterBreak="0">
    <w:nsid w:val="5BB44E5C"/>
    <w:multiLevelType w:val="hybridMultilevel"/>
    <w:tmpl w:val="6584E7B2"/>
    <w:lvl w:ilvl="0" w:tplc="7E04C8F8">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5EA12248"/>
    <w:multiLevelType w:val="hybridMultilevel"/>
    <w:tmpl w:val="9D402E6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7" w15:restartNumberingAfterBreak="0">
    <w:nsid w:val="5FC25091"/>
    <w:multiLevelType w:val="hybridMultilevel"/>
    <w:tmpl w:val="2A2AE93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64387B53"/>
    <w:multiLevelType w:val="hybridMultilevel"/>
    <w:tmpl w:val="5942D52E"/>
    <w:lvl w:ilvl="0" w:tplc="DDB64AE2">
      <w:start w:val="1"/>
      <w:numFmt w:val="lowerRoman"/>
      <w:lvlText w:val="%1."/>
      <w:lvlJc w:val="left"/>
      <w:pPr>
        <w:ind w:left="1500" w:hanging="720"/>
      </w:pPr>
      <w:rPr>
        <w:rFonts w:hint="default"/>
      </w:rPr>
    </w:lvl>
    <w:lvl w:ilvl="1" w:tplc="040C0019" w:tentative="1">
      <w:start w:val="1"/>
      <w:numFmt w:val="lowerLetter"/>
      <w:lvlText w:val="%2."/>
      <w:lvlJc w:val="left"/>
      <w:pPr>
        <w:ind w:left="1860" w:hanging="360"/>
      </w:pPr>
    </w:lvl>
    <w:lvl w:ilvl="2" w:tplc="040C001B" w:tentative="1">
      <w:start w:val="1"/>
      <w:numFmt w:val="lowerRoman"/>
      <w:lvlText w:val="%3."/>
      <w:lvlJc w:val="right"/>
      <w:pPr>
        <w:ind w:left="2580" w:hanging="180"/>
      </w:pPr>
    </w:lvl>
    <w:lvl w:ilvl="3" w:tplc="040C000F" w:tentative="1">
      <w:start w:val="1"/>
      <w:numFmt w:val="decimal"/>
      <w:lvlText w:val="%4."/>
      <w:lvlJc w:val="left"/>
      <w:pPr>
        <w:ind w:left="3300" w:hanging="360"/>
      </w:pPr>
    </w:lvl>
    <w:lvl w:ilvl="4" w:tplc="040C0019" w:tentative="1">
      <w:start w:val="1"/>
      <w:numFmt w:val="lowerLetter"/>
      <w:lvlText w:val="%5."/>
      <w:lvlJc w:val="left"/>
      <w:pPr>
        <w:ind w:left="4020" w:hanging="360"/>
      </w:pPr>
    </w:lvl>
    <w:lvl w:ilvl="5" w:tplc="040C001B" w:tentative="1">
      <w:start w:val="1"/>
      <w:numFmt w:val="lowerRoman"/>
      <w:lvlText w:val="%6."/>
      <w:lvlJc w:val="right"/>
      <w:pPr>
        <w:ind w:left="4740" w:hanging="180"/>
      </w:pPr>
    </w:lvl>
    <w:lvl w:ilvl="6" w:tplc="040C000F" w:tentative="1">
      <w:start w:val="1"/>
      <w:numFmt w:val="decimal"/>
      <w:lvlText w:val="%7."/>
      <w:lvlJc w:val="left"/>
      <w:pPr>
        <w:ind w:left="5460" w:hanging="360"/>
      </w:pPr>
    </w:lvl>
    <w:lvl w:ilvl="7" w:tplc="040C0019" w:tentative="1">
      <w:start w:val="1"/>
      <w:numFmt w:val="lowerLetter"/>
      <w:lvlText w:val="%8."/>
      <w:lvlJc w:val="left"/>
      <w:pPr>
        <w:ind w:left="6180" w:hanging="360"/>
      </w:pPr>
    </w:lvl>
    <w:lvl w:ilvl="8" w:tplc="040C001B" w:tentative="1">
      <w:start w:val="1"/>
      <w:numFmt w:val="lowerRoman"/>
      <w:lvlText w:val="%9."/>
      <w:lvlJc w:val="right"/>
      <w:pPr>
        <w:ind w:left="6900" w:hanging="180"/>
      </w:pPr>
    </w:lvl>
  </w:abstractNum>
  <w:abstractNum w:abstractNumId="29" w15:restartNumberingAfterBreak="0">
    <w:nsid w:val="672B39AE"/>
    <w:multiLevelType w:val="hybridMultilevel"/>
    <w:tmpl w:val="8B664D02"/>
    <w:lvl w:ilvl="0" w:tplc="C0CE3CDE">
      <w:start w:val="1"/>
      <w:numFmt w:val="decimal"/>
      <w:lvlText w:val="%1."/>
      <w:lvlJc w:val="left"/>
      <w:pPr>
        <w:ind w:left="720" w:hanging="360"/>
      </w:pPr>
      <w:rPr>
        <w:rFonts w:hint="default"/>
        <w:color w:val="1F497D" w:themeColor="text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6B6A1C9F"/>
    <w:multiLevelType w:val="hybridMultilevel"/>
    <w:tmpl w:val="1354D1A4"/>
    <w:lvl w:ilvl="0" w:tplc="546AD5F0">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6C75028F"/>
    <w:multiLevelType w:val="hybridMultilevel"/>
    <w:tmpl w:val="A8A42C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FE57BA2"/>
    <w:multiLevelType w:val="multilevel"/>
    <w:tmpl w:val="B67E7970"/>
    <w:lvl w:ilvl="0">
      <w:start w:val="4"/>
      <w:numFmt w:val="decimal"/>
      <w:lvlText w:val="%1"/>
      <w:lvlJc w:val="left"/>
      <w:pPr>
        <w:ind w:left="480" w:hanging="480"/>
      </w:pPr>
      <w:rPr>
        <w:rFonts w:hint="default"/>
      </w:rPr>
    </w:lvl>
    <w:lvl w:ilvl="1">
      <w:start w:val="3"/>
      <w:numFmt w:val="decimal"/>
      <w:lvlText w:val="%1.%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33" w15:restartNumberingAfterBreak="0">
    <w:nsid w:val="72416CE2"/>
    <w:multiLevelType w:val="hybridMultilevel"/>
    <w:tmpl w:val="BB86A19A"/>
    <w:lvl w:ilvl="0" w:tplc="040C000D">
      <w:start w:val="1"/>
      <w:numFmt w:val="bullet"/>
      <w:lvlText w:val=""/>
      <w:lvlJc w:val="left"/>
      <w:pPr>
        <w:ind w:left="780" w:hanging="360"/>
      </w:pPr>
      <w:rPr>
        <w:rFonts w:ascii="Wingdings" w:hAnsi="Wingdings"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34" w15:restartNumberingAfterBreak="0">
    <w:nsid w:val="72DE73C3"/>
    <w:multiLevelType w:val="hybridMultilevel"/>
    <w:tmpl w:val="364451E4"/>
    <w:lvl w:ilvl="0" w:tplc="0D0265DE">
      <w:start w:val="1"/>
      <w:numFmt w:val="bullet"/>
      <w:lvlText w:val="-"/>
      <w:lvlJc w:val="left"/>
      <w:pPr>
        <w:ind w:left="720" w:hanging="360"/>
      </w:pPr>
      <w:rPr>
        <w:rFonts w:ascii="Times New Roman" w:eastAsia="Times New Roman" w:hAnsi="Times New Roman" w:cs="Times New Roman" w:hint="default"/>
        <w:b/>
        <w:color w:val="auto"/>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758B386C"/>
    <w:multiLevelType w:val="hybridMultilevel"/>
    <w:tmpl w:val="7C401F32"/>
    <w:lvl w:ilvl="0" w:tplc="437421F0">
      <w:start w:val="1"/>
      <w:numFmt w:val="bullet"/>
      <w:lvlText w:val="-"/>
      <w:lvlJc w:val="left"/>
      <w:pPr>
        <w:ind w:left="720" w:hanging="360"/>
      </w:pPr>
      <w:rPr>
        <w:rFonts w:ascii="Times New Roman" w:eastAsia="Times New Roman" w:hAnsi="Times New Roman" w:cs="Times New Roman" w:hint="default"/>
        <w:color w:val="000000" w:themeColor="tex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7"/>
  </w:num>
  <w:num w:numId="2">
    <w:abstractNumId w:val="10"/>
  </w:num>
  <w:num w:numId="3">
    <w:abstractNumId w:val="20"/>
  </w:num>
  <w:num w:numId="4">
    <w:abstractNumId w:val="15"/>
  </w:num>
  <w:num w:numId="5">
    <w:abstractNumId w:val="0"/>
  </w:num>
  <w:num w:numId="6">
    <w:abstractNumId w:val="8"/>
  </w:num>
  <w:num w:numId="7">
    <w:abstractNumId w:val="17"/>
  </w:num>
  <w:num w:numId="8">
    <w:abstractNumId w:val="29"/>
  </w:num>
  <w:num w:numId="9">
    <w:abstractNumId w:val="6"/>
  </w:num>
  <w:num w:numId="10">
    <w:abstractNumId w:val="33"/>
  </w:num>
  <w:num w:numId="11">
    <w:abstractNumId w:val="34"/>
  </w:num>
  <w:num w:numId="12">
    <w:abstractNumId w:val="19"/>
  </w:num>
  <w:num w:numId="13">
    <w:abstractNumId w:val="28"/>
  </w:num>
  <w:num w:numId="14">
    <w:abstractNumId w:val="30"/>
  </w:num>
  <w:num w:numId="15">
    <w:abstractNumId w:val="31"/>
  </w:num>
  <w:num w:numId="16">
    <w:abstractNumId w:val="18"/>
  </w:num>
  <w:num w:numId="17">
    <w:abstractNumId w:val="7"/>
  </w:num>
  <w:num w:numId="18">
    <w:abstractNumId w:val="1"/>
  </w:num>
  <w:num w:numId="19">
    <w:abstractNumId w:val="24"/>
  </w:num>
  <w:num w:numId="20">
    <w:abstractNumId w:val="14"/>
  </w:num>
  <w:num w:numId="21">
    <w:abstractNumId w:val="23"/>
  </w:num>
  <w:num w:numId="22">
    <w:abstractNumId w:val="11"/>
  </w:num>
  <w:num w:numId="23">
    <w:abstractNumId w:val="32"/>
  </w:num>
  <w:num w:numId="24">
    <w:abstractNumId w:val="25"/>
  </w:num>
  <w:num w:numId="25">
    <w:abstractNumId w:val="13"/>
  </w:num>
  <w:num w:numId="26">
    <w:abstractNumId w:val="16"/>
  </w:num>
  <w:num w:numId="27">
    <w:abstractNumId w:val="22"/>
  </w:num>
  <w:num w:numId="28">
    <w:abstractNumId w:val="3"/>
  </w:num>
  <w:num w:numId="29">
    <w:abstractNumId w:val="35"/>
  </w:num>
  <w:num w:numId="30">
    <w:abstractNumId w:val="21"/>
  </w:num>
  <w:num w:numId="31">
    <w:abstractNumId w:val="26"/>
  </w:num>
  <w:num w:numId="32">
    <w:abstractNumId w:val="12"/>
  </w:num>
  <w:num w:numId="33">
    <w:abstractNumId w:val="9"/>
  </w:num>
  <w:num w:numId="34">
    <w:abstractNumId w:val="2"/>
  </w:num>
  <w:num w:numId="35">
    <w:abstractNumId w:val="5"/>
  </w:num>
  <w:num w:numId="36">
    <w:abstractNumId w:val="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0E04"/>
    <w:rsid w:val="00001993"/>
    <w:rsid w:val="000020D6"/>
    <w:rsid w:val="00005AD5"/>
    <w:rsid w:val="00011286"/>
    <w:rsid w:val="000138A5"/>
    <w:rsid w:val="00013AD0"/>
    <w:rsid w:val="00013EC0"/>
    <w:rsid w:val="00014E92"/>
    <w:rsid w:val="00015057"/>
    <w:rsid w:val="0001536C"/>
    <w:rsid w:val="00016E9F"/>
    <w:rsid w:val="00017507"/>
    <w:rsid w:val="000201F5"/>
    <w:rsid w:val="000206E2"/>
    <w:rsid w:val="0002372B"/>
    <w:rsid w:val="00023E67"/>
    <w:rsid w:val="00027763"/>
    <w:rsid w:val="00027A4B"/>
    <w:rsid w:val="0003040D"/>
    <w:rsid w:val="00032BBB"/>
    <w:rsid w:val="00032F24"/>
    <w:rsid w:val="00033213"/>
    <w:rsid w:val="000345A2"/>
    <w:rsid w:val="00040BB1"/>
    <w:rsid w:val="00040D45"/>
    <w:rsid w:val="00041100"/>
    <w:rsid w:val="00042078"/>
    <w:rsid w:val="00044493"/>
    <w:rsid w:val="000451AE"/>
    <w:rsid w:val="00045FB8"/>
    <w:rsid w:val="0004667A"/>
    <w:rsid w:val="00050EB7"/>
    <w:rsid w:val="00051672"/>
    <w:rsid w:val="00052BED"/>
    <w:rsid w:val="00053EDA"/>
    <w:rsid w:val="000560C4"/>
    <w:rsid w:val="00056A93"/>
    <w:rsid w:val="0006289D"/>
    <w:rsid w:val="00062C80"/>
    <w:rsid w:val="00063482"/>
    <w:rsid w:val="00065196"/>
    <w:rsid w:val="00067E09"/>
    <w:rsid w:val="00071D34"/>
    <w:rsid w:val="00082085"/>
    <w:rsid w:val="00083345"/>
    <w:rsid w:val="000852F4"/>
    <w:rsid w:val="00086156"/>
    <w:rsid w:val="00090E29"/>
    <w:rsid w:val="00091A92"/>
    <w:rsid w:val="000937AB"/>
    <w:rsid w:val="000A1B82"/>
    <w:rsid w:val="000A5F96"/>
    <w:rsid w:val="000B1FF1"/>
    <w:rsid w:val="000B3371"/>
    <w:rsid w:val="000B394E"/>
    <w:rsid w:val="000B5134"/>
    <w:rsid w:val="000B51EC"/>
    <w:rsid w:val="000B5FAF"/>
    <w:rsid w:val="000B6057"/>
    <w:rsid w:val="000B79AF"/>
    <w:rsid w:val="000B7EFC"/>
    <w:rsid w:val="000C0006"/>
    <w:rsid w:val="000C0ADB"/>
    <w:rsid w:val="000C2658"/>
    <w:rsid w:val="000C3580"/>
    <w:rsid w:val="000C3A50"/>
    <w:rsid w:val="000C3D4D"/>
    <w:rsid w:val="000C3D7D"/>
    <w:rsid w:val="000C55F4"/>
    <w:rsid w:val="000C6F17"/>
    <w:rsid w:val="000C714B"/>
    <w:rsid w:val="000D23EF"/>
    <w:rsid w:val="000D420B"/>
    <w:rsid w:val="000D54DB"/>
    <w:rsid w:val="000D6C9F"/>
    <w:rsid w:val="000D715E"/>
    <w:rsid w:val="000E26DE"/>
    <w:rsid w:val="000E52BC"/>
    <w:rsid w:val="000E5A0A"/>
    <w:rsid w:val="000F2A44"/>
    <w:rsid w:val="000F2B99"/>
    <w:rsid w:val="000F3947"/>
    <w:rsid w:val="000F4992"/>
    <w:rsid w:val="000F5C82"/>
    <w:rsid w:val="000F75FD"/>
    <w:rsid w:val="00100D8C"/>
    <w:rsid w:val="00101871"/>
    <w:rsid w:val="00102110"/>
    <w:rsid w:val="0010312E"/>
    <w:rsid w:val="00104B74"/>
    <w:rsid w:val="00104F4F"/>
    <w:rsid w:val="001068D5"/>
    <w:rsid w:val="0011058D"/>
    <w:rsid w:val="00111126"/>
    <w:rsid w:val="001154E8"/>
    <w:rsid w:val="00120911"/>
    <w:rsid w:val="00120BC4"/>
    <w:rsid w:val="00124777"/>
    <w:rsid w:val="00127260"/>
    <w:rsid w:val="00127C60"/>
    <w:rsid w:val="00127CF1"/>
    <w:rsid w:val="0013111F"/>
    <w:rsid w:val="00131911"/>
    <w:rsid w:val="0013232E"/>
    <w:rsid w:val="00132392"/>
    <w:rsid w:val="00133E9E"/>
    <w:rsid w:val="0013447B"/>
    <w:rsid w:val="00140058"/>
    <w:rsid w:val="00140B08"/>
    <w:rsid w:val="00141A59"/>
    <w:rsid w:val="001425A7"/>
    <w:rsid w:val="00145B50"/>
    <w:rsid w:val="00146BA8"/>
    <w:rsid w:val="00152878"/>
    <w:rsid w:val="00153924"/>
    <w:rsid w:val="00156435"/>
    <w:rsid w:val="0015736E"/>
    <w:rsid w:val="001604AD"/>
    <w:rsid w:val="00163C12"/>
    <w:rsid w:val="00163E11"/>
    <w:rsid w:val="001643FF"/>
    <w:rsid w:val="0016511D"/>
    <w:rsid w:val="00171555"/>
    <w:rsid w:val="00171B08"/>
    <w:rsid w:val="00171C2C"/>
    <w:rsid w:val="001729EF"/>
    <w:rsid w:val="00174E6D"/>
    <w:rsid w:val="00177CCC"/>
    <w:rsid w:val="00177D95"/>
    <w:rsid w:val="001803B5"/>
    <w:rsid w:val="00180647"/>
    <w:rsid w:val="00180760"/>
    <w:rsid w:val="00181FF9"/>
    <w:rsid w:val="00182232"/>
    <w:rsid w:val="00183EFF"/>
    <w:rsid w:val="00184E56"/>
    <w:rsid w:val="001868E7"/>
    <w:rsid w:val="00187C8D"/>
    <w:rsid w:val="001900CB"/>
    <w:rsid w:val="001929DA"/>
    <w:rsid w:val="001941BB"/>
    <w:rsid w:val="001948B3"/>
    <w:rsid w:val="00194D08"/>
    <w:rsid w:val="001953D1"/>
    <w:rsid w:val="00197E9C"/>
    <w:rsid w:val="001A1710"/>
    <w:rsid w:val="001A1C14"/>
    <w:rsid w:val="001A2A54"/>
    <w:rsid w:val="001A582B"/>
    <w:rsid w:val="001A6274"/>
    <w:rsid w:val="001A633A"/>
    <w:rsid w:val="001A63CA"/>
    <w:rsid w:val="001A7FDE"/>
    <w:rsid w:val="001B2B6B"/>
    <w:rsid w:val="001B33DE"/>
    <w:rsid w:val="001B4760"/>
    <w:rsid w:val="001B5799"/>
    <w:rsid w:val="001B64D0"/>
    <w:rsid w:val="001B7DE6"/>
    <w:rsid w:val="001B7F08"/>
    <w:rsid w:val="001C00DE"/>
    <w:rsid w:val="001C0610"/>
    <w:rsid w:val="001C25E7"/>
    <w:rsid w:val="001C2EF1"/>
    <w:rsid w:val="001C30A7"/>
    <w:rsid w:val="001C3AB8"/>
    <w:rsid w:val="001C7718"/>
    <w:rsid w:val="001C7E67"/>
    <w:rsid w:val="001D33BF"/>
    <w:rsid w:val="001D5780"/>
    <w:rsid w:val="001D62DB"/>
    <w:rsid w:val="001E366E"/>
    <w:rsid w:val="001E4F33"/>
    <w:rsid w:val="001E5336"/>
    <w:rsid w:val="001E6227"/>
    <w:rsid w:val="001E744B"/>
    <w:rsid w:val="001F0B31"/>
    <w:rsid w:val="001F54BF"/>
    <w:rsid w:val="001F72D8"/>
    <w:rsid w:val="002019D6"/>
    <w:rsid w:val="00203AFF"/>
    <w:rsid w:val="00204D88"/>
    <w:rsid w:val="002051D7"/>
    <w:rsid w:val="00211B35"/>
    <w:rsid w:val="00211CF6"/>
    <w:rsid w:val="00213B6D"/>
    <w:rsid w:val="002175E7"/>
    <w:rsid w:val="0021768F"/>
    <w:rsid w:val="00220D0F"/>
    <w:rsid w:val="00221781"/>
    <w:rsid w:val="0022191C"/>
    <w:rsid w:val="00224F26"/>
    <w:rsid w:val="002259EA"/>
    <w:rsid w:val="00230E0A"/>
    <w:rsid w:val="0023160F"/>
    <w:rsid w:val="00232FCA"/>
    <w:rsid w:val="00233C81"/>
    <w:rsid w:val="00237102"/>
    <w:rsid w:val="00237387"/>
    <w:rsid w:val="002375C9"/>
    <w:rsid w:val="0023769B"/>
    <w:rsid w:val="00237AB5"/>
    <w:rsid w:val="00240409"/>
    <w:rsid w:val="00243F3B"/>
    <w:rsid w:val="00244223"/>
    <w:rsid w:val="00244E2F"/>
    <w:rsid w:val="00245A36"/>
    <w:rsid w:val="002466C5"/>
    <w:rsid w:val="0025062E"/>
    <w:rsid w:val="00252842"/>
    <w:rsid w:val="002538AB"/>
    <w:rsid w:val="002545F5"/>
    <w:rsid w:val="00254D95"/>
    <w:rsid w:val="00261786"/>
    <w:rsid w:val="002619E7"/>
    <w:rsid w:val="00263693"/>
    <w:rsid w:val="00263D11"/>
    <w:rsid w:val="00264243"/>
    <w:rsid w:val="00266FEC"/>
    <w:rsid w:val="00271007"/>
    <w:rsid w:val="00274D30"/>
    <w:rsid w:val="00275C50"/>
    <w:rsid w:val="00276E87"/>
    <w:rsid w:val="0028574A"/>
    <w:rsid w:val="00285978"/>
    <w:rsid w:val="002913EE"/>
    <w:rsid w:val="002926A6"/>
    <w:rsid w:val="00297E44"/>
    <w:rsid w:val="002A05C6"/>
    <w:rsid w:val="002A0B97"/>
    <w:rsid w:val="002A1940"/>
    <w:rsid w:val="002A718C"/>
    <w:rsid w:val="002A77DE"/>
    <w:rsid w:val="002B41B3"/>
    <w:rsid w:val="002B47A9"/>
    <w:rsid w:val="002B47C0"/>
    <w:rsid w:val="002B6A98"/>
    <w:rsid w:val="002C103E"/>
    <w:rsid w:val="002C21BC"/>
    <w:rsid w:val="002C3965"/>
    <w:rsid w:val="002C5736"/>
    <w:rsid w:val="002C6F3E"/>
    <w:rsid w:val="002C7898"/>
    <w:rsid w:val="002D4E6A"/>
    <w:rsid w:val="002D69A6"/>
    <w:rsid w:val="002D7A91"/>
    <w:rsid w:val="002E0074"/>
    <w:rsid w:val="002E00A1"/>
    <w:rsid w:val="002E01E3"/>
    <w:rsid w:val="002E0CB7"/>
    <w:rsid w:val="002E4382"/>
    <w:rsid w:val="002E5269"/>
    <w:rsid w:val="002F1C6E"/>
    <w:rsid w:val="002F3E75"/>
    <w:rsid w:val="002F44AE"/>
    <w:rsid w:val="002F4528"/>
    <w:rsid w:val="002F4E01"/>
    <w:rsid w:val="002F5D84"/>
    <w:rsid w:val="002F70D4"/>
    <w:rsid w:val="003012BB"/>
    <w:rsid w:val="00304D26"/>
    <w:rsid w:val="00304FB8"/>
    <w:rsid w:val="0030565B"/>
    <w:rsid w:val="00305821"/>
    <w:rsid w:val="003122E8"/>
    <w:rsid w:val="00314E6B"/>
    <w:rsid w:val="00317AA6"/>
    <w:rsid w:val="00317BC8"/>
    <w:rsid w:val="00321611"/>
    <w:rsid w:val="0032639D"/>
    <w:rsid w:val="00331256"/>
    <w:rsid w:val="0033212A"/>
    <w:rsid w:val="0033500F"/>
    <w:rsid w:val="0034047C"/>
    <w:rsid w:val="003404A6"/>
    <w:rsid w:val="00341A57"/>
    <w:rsid w:val="00341B8A"/>
    <w:rsid w:val="00342444"/>
    <w:rsid w:val="00345094"/>
    <w:rsid w:val="00345141"/>
    <w:rsid w:val="003462F1"/>
    <w:rsid w:val="0034638E"/>
    <w:rsid w:val="00346AA3"/>
    <w:rsid w:val="00346FCD"/>
    <w:rsid w:val="00347E2B"/>
    <w:rsid w:val="00351093"/>
    <w:rsid w:val="0035116E"/>
    <w:rsid w:val="00351240"/>
    <w:rsid w:val="003514B4"/>
    <w:rsid w:val="003518CB"/>
    <w:rsid w:val="0035296E"/>
    <w:rsid w:val="003529EE"/>
    <w:rsid w:val="00354D4F"/>
    <w:rsid w:val="003560B9"/>
    <w:rsid w:val="00362804"/>
    <w:rsid w:val="0036429C"/>
    <w:rsid w:val="00366F28"/>
    <w:rsid w:val="00367C8D"/>
    <w:rsid w:val="00370581"/>
    <w:rsid w:val="00370648"/>
    <w:rsid w:val="0037140C"/>
    <w:rsid w:val="00371879"/>
    <w:rsid w:val="0037345F"/>
    <w:rsid w:val="00375623"/>
    <w:rsid w:val="00375DA8"/>
    <w:rsid w:val="00376EB9"/>
    <w:rsid w:val="0038047E"/>
    <w:rsid w:val="00380FDF"/>
    <w:rsid w:val="00381D0C"/>
    <w:rsid w:val="003848D8"/>
    <w:rsid w:val="003859EB"/>
    <w:rsid w:val="00385BC1"/>
    <w:rsid w:val="00386927"/>
    <w:rsid w:val="00387136"/>
    <w:rsid w:val="0038774F"/>
    <w:rsid w:val="00390EFA"/>
    <w:rsid w:val="00393189"/>
    <w:rsid w:val="003932FA"/>
    <w:rsid w:val="00397819"/>
    <w:rsid w:val="003A0163"/>
    <w:rsid w:val="003A1A7F"/>
    <w:rsid w:val="003A52E2"/>
    <w:rsid w:val="003A64DE"/>
    <w:rsid w:val="003B1B09"/>
    <w:rsid w:val="003B22DA"/>
    <w:rsid w:val="003B30AB"/>
    <w:rsid w:val="003B3BBA"/>
    <w:rsid w:val="003B5F76"/>
    <w:rsid w:val="003B6203"/>
    <w:rsid w:val="003B6853"/>
    <w:rsid w:val="003B726A"/>
    <w:rsid w:val="003C02DD"/>
    <w:rsid w:val="003C1BB1"/>
    <w:rsid w:val="003C5D4B"/>
    <w:rsid w:val="003C6046"/>
    <w:rsid w:val="003C69E2"/>
    <w:rsid w:val="003E01A6"/>
    <w:rsid w:val="003E2154"/>
    <w:rsid w:val="003E243C"/>
    <w:rsid w:val="003E3E94"/>
    <w:rsid w:val="003F2CCF"/>
    <w:rsid w:val="003F6779"/>
    <w:rsid w:val="003F698C"/>
    <w:rsid w:val="003F6D2B"/>
    <w:rsid w:val="003F7073"/>
    <w:rsid w:val="00402250"/>
    <w:rsid w:val="00403777"/>
    <w:rsid w:val="00407077"/>
    <w:rsid w:val="0041148A"/>
    <w:rsid w:val="0041175A"/>
    <w:rsid w:val="004121AD"/>
    <w:rsid w:val="00413823"/>
    <w:rsid w:val="004145CB"/>
    <w:rsid w:val="00415A41"/>
    <w:rsid w:val="00421DA1"/>
    <w:rsid w:val="00422AF3"/>
    <w:rsid w:val="00422B49"/>
    <w:rsid w:val="00423271"/>
    <w:rsid w:val="00423CCB"/>
    <w:rsid w:val="0042528D"/>
    <w:rsid w:val="00426D28"/>
    <w:rsid w:val="00426F59"/>
    <w:rsid w:val="00427D43"/>
    <w:rsid w:val="0043097D"/>
    <w:rsid w:val="00430C0F"/>
    <w:rsid w:val="004311D3"/>
    <w:rsid w:val="00431C30"/>
    <w:rsid w:val="0043430F"/>
    <w:rsid w:val="004345BB"/>
    <w:rsid w:val="00434AD4"/>
    <w:rsid w:val="004360B1"/>
    <w:rsid w:val="00436293"/>
    <w:rsid w:val="004379EC"/>
    <w:rsid w:val="004430B1"/>
    <w:rsid w:val="00443896"/>
    <w:rsid w:val="0044601C"/>
    <w:rsid w:val="004461C9"/>
    <w:rsid w:val="0044639B"/>
    <w:rsid w:val="004500EE"/>
    <w:rsid w:val="00451EC1"/>
    <w:rsid w:val="00452C11"/>
    <w:rsid w:val="00453D37"/>
    <w:rsid w:val="00454166"/>
    <w:rsid w:val="00454739"/>
    <w:rsid w:val="00456498"/>
    <w:rsid w:val="00461354"/>
    <w:rsid w:val="00461B2E"/>
    <w:rsid w:val="00462431"/>
    <w:rsid w:val="004640A1"/>
    <w:rsid w:val="00464723"/>
    <w:rsid w:val="00465CCA"/>
    <w:rsid w:val="00466BFC"/>
    <w:rsid w:val="004707D7"/>
    <w:rsid w:val="0047239B"/>
    <w:rsid w:val="0047292B"/>
    <w:rsid w:val="004739E5"/>
    <w:rsid w:val="00474063"/>
    <w:rsid w:val="00475090"/>
    <w:rsid w:val="00480D6D"/>
    <w:rsid w:val="00486641"/>
    <w:rsid w:val="0048732A"/>
    <w:rsid w:val="00491A65"/>
    <w:rsid w:val="00492A76"/>
    <w:rsid w:val="00493862"/>
    <w:rsid w:val="0049485A"/>
    <w:rsid w:val="00494936"/>
    <w:rsid w:val="004A1860"/>
    <w:rsid w:val="004A1898"/>
    <w:rsid w:val="004A632B"/>
    <w:rsid w:val="004A6825"/>
    <w:rsid w:val="004A75E9"/>
    <w:rsid w:val="004B23E0"/>
    <w:rsid w:val="004B476A"/>
    <w:rsid w:val="004B5024"/>
    <w:rsid w:val="004B60D1"/>
    <w:rsid w:val="004C31BA"/>
    <w:rsid w:val="004C3F78"/>
    <w:rsid w:val="004C57D9"/>
    <w:rsid w:val="004C58C6"/>
    <w:rsid w:val="004C60B7"/>
    <w:rsid w:val="004C6286"/>
    <w:rsid w:val="004D01A1"/>
    <w:rsid w:val="004D1530"/>
    <w:rsid w:val="004D57D7"/>
    <w:rsid w:val="004E529E"/>
    <w:rsid w:val="004E5733"/>
    <w:rsid w:val="004E7612"/>
    <w:rsid w:val="004E7A99"/>
    <w:rsid w:val="004F0470"/>
    <w:rsid w:val="004F3A09"/>
    <w:rsid w:val="004F3D12"/>
    <w:rsid w:val="004F61E9"/>
    <w:rsid w:val="004F7F33"/>
    <w:rsid w:val="004F7FDD"/>
    <w:rsid w:val="005016A8"/>
    <w:rsid w:val="0050177C"/>
    <w:rsid w:val="00502E10"/>
    <w:rsid w:val="00504873"/>
    <w:rsid w:val="00507A63"/>
    <w:rsid w:val="005121C7"/>
    <w:rsid w:val="00512660"/>
    <w:rsid w:val="00516C46"/>
    <w:rsid w:val="00522FD7"/>
    <w:rsid w:val="00525AC3"/>
    <w:rsid w:val="00526352"/>
    <w:rsid w:val="00526918"/>
    <w:rsid w:val="00531A67"/>
    <w:rsid w:val="00534A30"/>
    <w:rsid w:val="00535891"/>
    <w:rsid w:val="0053660A"/>
    <w:rsid w:val="0053719D"/>
    <w:rsid w:val="00541ABE"/>
    <w:rsid w:val="00541DF5"/>
    <w:rsid w:val="00544498"/>
    <w:rsid w:val="005447B9"/>
    <w:rsid w:val="00544FD3"/>
    <w:rsid w:val="0054746B"/>
    <w:rsid w:val="00551D3F"/>
    <w:rsid w:val="0055259C"/>
    <w:rsid w:val="00554BF4"/>
    <w:rsid w:val="00556C1E"/>
    <w:rsid w:val="00560E6B"/>
    <w:rsid w:val="0056156D"/>
    <w:rsid w:val="0057150A"/>
    <w:rsid w:val="005719CE"/>
    <w:rsid w:val="0057614F"/>
    <w:rsid w:val="005823CA"/>
    <w:rsid w:val="005825B1"/>
    <w:rsid w:val="0058394A"/>
    <w:rsid w:val="00583E02"/>
    <w:rsid w:val="0058636A"/>
    <w:rsid w:val="00591B30"/>
    <w:rsid w:val="00591B59"/>
    <w:rsid w:val="00594DB1"/>
    <w:rsid w:val="005973EC"/>
    <w:rsid w:val="005A3CD4"/>
    <w:rsid w:val="005A6ED5"/>
    <w:rsid w:val="005A7214"/>
    <w:rsid w:val="005A7255"/>
    <w:rsid w:val="005A7610"/>
    <w:rsid w:val="005B2987"/>
    <w:rsid w:val="005B29F7"/>
    <w:rsid w:val="005B2BA6"/>
    <w:rsid w:val="005B4D4B"/>
    <w:rsid w:val="005B5156"/>
    <w:rsid w:val="005B5AF0"/>
    <w:rsid w:val="005C240B"/>
    <w:rsid w:val="005C2C2A"/>
    <w:rsid w:val="005C48C6"/>
    <w:rsid w:val="005C556B"/>
    <w:rsid w:val="005C5F0C"/>
    <w:rsid w:val="005D0284"/>
    <w:rsid w:val="005D22F7"/>
    <w:rsid w:val="005D2986"/>
    <w:rsid w:val="005D4486"/>
    <w:rsid w:val="005D50D4"/>
    <w:rsid w:val="005E5183"/>
    <w:rsid w:val="005E6929"/>
    <w:rsid w:val="005E6A3D"/>
    <w:rsid w:val="005E7563"/>
    <w:rsid w:val="005F12C9"/>
    <w:rsid w:val="005F4297"/>
    <w:rsid w:val="006007FE"/>
    <w:rsid w:val="00603A36"/>
    <w:rsid w:val="0060406A"/>
    <w:rsid w:val="006058BA"/>
    <w:rsid w:val="00607849"/>
    <w:rsid w:val="006079EB"/>
    <w:rsid w:val="006101D3"/>
    <w:rsid w:val="00612791"/>
    <w:rsid w:val="00612D3F"/>
    <w:rsid w:val="006147ED"/>
    <w:rsid w:val="00614D5D"/>
    <w:rsid w:val="00615EEB"/>
    <w:rsid w:val="006164BB"/>
    <w:rsid w:val="006166FF"/>
    <w:rsid w:val="00617882"/>
    <w:rsid w:val="00620478"/>
    <w:rsid w:val="00624479"/>
    <w:rsid w:val="0062509C"/>
    <w:rsid w:val="00626C05"/>
    <w:rsid w:val="00627577"/>
    <w:rsid w:val="00632CB2"/>
    <w:rsid w:val="00633344"/>
    <w:rsid w:val="00634F8A"/>
    <w:rsid w:val="00635B5D"/>
    <w:rsid w:val="00635D42"/>
    <w:rsid w:val="00635F60"/>
    <w:rsid w:val="0063687E"/>
    <w:rsid w:val="0064265C"/>
    <w:rsid w:val="0064296A"/>
    <w:rsid w:val="00643E70"/>
    <w:rsid w:val="00645BA9"/>
    <w:rsid w:val="00646EC9"/>
    <w:rsid w:val="00646FD0"/>
    <w:rsid w:val="00647342"/>
    <w:rsid w:val="00647BF7"/>
    <w:rsid w:val="006505C1"/>
    <w:rsid w:val="00650CBE"/>
    <w:rsid w:val="0065263E"/>
    <w:rsid w:val="00652DEF"/>
    <w:rsid w:val="00657ABA"/>
    <w:rsid w:val="006631CA"/>
    <w:rsid w:val="00663FFD"/>
    <w:rsid w:val="00664B77"/>
    <w:rsid w:val="006653B2"/>
    <w:rsid w:val="00666A5F"/>
    <w:rsid w:val="00666C1B"/>
    <w:rsid w:val="006768F3"/>
    <w:rsid w:val="006802D1"/>
    <w:rsid w:val="00681C0C"/>
    <w:rsid w:val="00682FCC"/>
    <w:rsid w:val="00682FE2"/>
    <w:rsid w:val="006834AD"/>
    <w:rsid w:val="00684B65"/>
    <w:rsid w:val="0068634C"/>
    <w:rsid w:val="00686ADE"/>
    <w:rsid w:val="006925B5"/>
    <w:rsid w:val="00692FF0"/>
    <w:rsid w:val="006948DA"/>
    <w:rsid w:val="0069549E"/>
    <w:rsid w:val="006A014C"/>
    <w:rsid w:val="006A4944"/>
    <w:rsid w:val="006B4B4D"/>
    <w:rsid w:val="006B54AC"/>
    <w:rsid w:val="006B5578"/>
    <w:rsid w:val="006B5D7A"/>
    <w:rsid w:val="006B6C7F"/>
    <w:rsid w:val="006C1EA9"/>
    <w:rsid w:val="006C4575"/>
    <w:rsid w:val="006C4CFB"/>
    <w:rsid w:val="006C758C"/>
    <w:rsid w:val="006D0F41"/>
    <w:rsid w:val="006D2D00"/>
    <w:rsid w:val="006D2F80"/>
    <w:rsid w:val="006D60DF"/>
    <w:rsid w:val="006E07E4"/>
    <w:rsid w:val="006E19C6"/>
    <w:rsid w:val="006E28F6"/>
    <w:rsid w:val="006E3759"/>
    <w:rsid w:val="006E4240"/>
    <w:rsid w:val="006E457F"/>
    <w:rsid w:val="006E5994"/>
    <w:rsid w:val="006E65DE"/>
    <w:rsid w:val="006F036E"/>
    <w:rsid w:val="006F16B8"/>
    <w:rsid w:val="006F20D7"/>
    <w:rsid w:val="006F45C4"/>
    <w:rsid w:val="006F4A2D"/>
    <w:rsid w:val="006F5967"/>
    <w:rsid w:val="006F6398"/>
    <w:rsid w:val="006F65A5"/>
    <w:rsid w:val="006F6B28"/>
    <w:rsid w:val="00701561"/>
    <w:rsid w:val="00702699"/>
    <w:rsid w:val="00703096"/>
    <w:rsid w:val="00704E95"/>
    <w:rsid w:val="00712346"/>
    <w:rsid w:val="0071492D"/>
    <w:rsid w:val="007150E6"/>
    <w:rsid w:val="007154EC"/>
    <w:rsid w:val="007155B9"/>
    <w:rsid w:val="00720166"/>
    <w:rsid w:val="00720185"/>
    <w:rsid w:val="00721EED"/>
    <w:rsid w:val="00722B76"/>
    <w:rsid w:val="00723AE6"/>
    <w:rsid w:val="007256DB"/>
    <w:rsid w:val="007271CE"/>
    <w:rsid w:val="00727286"/>
    <w:rsid w:val="00734115"/>
    <w:rsid w:val="00735594"/>
    <w:rsid w:val="00737C19"/>
    <w:rsid w:val="007400B2"/>
    <w:rsid w:val="00740449"/>
    <w:rsid w:val="007429F0"/>
    <w:rsid w:val="00743CE9"/>
    <w:rsid w:val="00743D81"/>
    <w:rsid w:val="00743E40"/>
    <w:rsid w:val="00745852"/>
    <w:rsid w:val="00750A6E"/>
    <w:rsid w:val="007514F0"/>
    <w:rsid w:val="00751934"/>
    <w:rsid w:val="0075215C"/>
    <w:rsid w:val="0075215D"/>
    <w:rsid w:val="007526D5"/>
    <w:rsid w:val="0075451B"/>
    <w:rsid w:val="00756BE2"/>
    <w:rsid w:val="00757AE5"/>
    <w:rsid w:val="00761363"/>
    <w:rsid w:val="007614EA"/>
    <w:rsid w:val="00762F69"/>
    <w:rsid w:val="007634C2"/>
    <w:rsid w:val="00763508"/>
    <w:rsid w:val="0076362B"/>
    <w:rsid w:val="007637FB"/>
    <w:rsid w:val="007638F7"/>
    <w:rsid w:val="0076439F"/>
    <w:rsid w:val="00766417"/>
    <w:rsid w:val="0077480E"/>
    <w:rsid w:val="00774BAB"/>
    <w:rsid w:val="00780A0F"/>
    <w:rsid w:val="0078330F"/>
    <w:rsid w:val="00783369"/>
    <w:rsid w:val="007838B1"/>
    <w:rsid w:val="00783B0D"/>
    <w:rsid w:val="00784568"/>
    <w:rsid w:val="007853AB"/>
    <w:rsid w:val="00785553"/>
    <w:rsid w:val="00785CE8"/>
    <w:rsid w:val="00786D85"/>
    <w:rsid w:val="0078707B"/>
    <w:rsid w:val="00793EBC"/>
    <w:rsid w:val="007945E1"/>
    <w:rsid w:val="00795774"/>
    <w:rsid w:val="0079768A"/>
    <w:rsid w:val="00797B9F"/>
    <w:rsid w:val="007A0C53"/>
    <w:rsid w:val="007B0C6A"/>
    <w:rsid w:val="007B173E"/>
    <w:rsid w:val="007B2548"/>
    <w:rsid w:val="007B4A5F"/>
    <w:rsid w:val="007B6461"/>
    <w:rsid w:val="007B6D59"/>
    <w:rsid w:val="007B7CC0"/>
    <w:rsid w:val="007C4347"/>
    <w:rsid w:val="007E0A0F"/>
    <w:rsid w:val="007E1D1A"/>
    <w:rsid w:val="007E3284"/>
    <w:rsid w:val="007E337E"/>
    <w:rsid w:val="007E38BA"/>
    <w:rsid w:val="007E4362"/>
    <w:rsid w:val="007E4C73"/>
    <w:rsid w:val="007E5B6C"/>
    <w:rsid w:val="007F280E"/>
    <w:rsid w:val="007F6FE1"/>
    <w:rsid w:val="007F7EE9"/>
    <w:rsid w:val="00800975"/>
    <w:rsid w:val="00801A35"/>
    <w:rsid w:val="00801C1F"/>
    <w:rsid w:val="00802E0C"/>
    <w:rsid w:val="00803DFA"/>
    <w:rsid w:val="00803FAF"/>
    <w:rsid w:val="00805140"/>
    <w:rsid w:val="008062DF"/>
    <w:rsid w:val="008079ED"/>
    <w:rsid w:val="008102A8"/>
    <w:rsid w:val="00811195"/>
    <w:rsid w:val="0081265B"/>
    <w:rsid w:val="00812710"/>
    <w:rsid w:val="0081342A"/>
    <w:rsid w:val="00813CDF"/>
    <w:rsid w:val="00814CA0"/>
    <w:rsid w:val="008155AD"/>
    <w:rsid w:val="008231F2"/>
    <w:rsid w:val="00823A71"/>
    <w:rsid w:val="00826C88"/>
    <w:rsid w:val="00830146"/>
    <w:rsid w:val="0083081F"/>
    <w:rsid w:val="00831569"/>
    <w:rsid w:val="00831879"/>
    <w:rsid w:val="00833089"/>
    <w:rsid w:val="008339F9"/>
    <w:rsid w:val="0083408F"/>
    <w:rsid w:val="00836471"/>
    <w:rsid w:val="008364F8"/>
    <w:rsid w:val="00836765"/>
    <w:rsid w:val="00837403"/>
    <w:rsid w:val="00837455"/>
    <w:rsid w:val="00837A2C"/>
    <w:rsid w:val="00837E58"/>
    <w:rsid w:val="008426DC"/>
    <w:rsid w:val="00843839"/>
    <w:rsid w:val="00843866"/>
    <w:rsid w:val="00845E61"/>
    <w:rsid w:val="00853FB6"/>
    <w:rsid w:val="00862C37"/>
    <w:rsid w:val="008649FC"/>
    <w:rsid w:val="008707E6"/>
    <w:rsid w:val="008727B8"/>
    <w:rsid w:val="00873FCB"/>
    <w:rsid w:val="0088032B"/>
    <w:rsid w:val="00882355"/>
    <w:rsid w:val="00883DEA"/>
    <w:rsid w:val="00884CB0"/>
    <w:rsid w:val="008853E9"/>
    <w:rsid w:val="00887018"/>
    <w:rsid w:val="0088752F"/>
    <w:rsid w:val="008939F3"/>
    <w:rsid w:val="00893A62"/>
    <w:rsid w:val="00896E80"/>
    <w:rsid w:val="008A02EB"/>
    <w:rsid w:val="008A1AC0"/>
    <w:rsid w:val="008A24A1"/>
    <w:rsid w:val="008A2539"/>
    <w:rsid w:val="008A3C26"/>
    <w:rsid w:val="008A44E1"/>
    <w:rsid w:val="008A56E2"/>
    <w:rsid w:val="008A6318"/>
    <w:rsid w:val="008A6946"/>
    <w:rsid w:val="008A73AA"/>
    <w:rsid w:val="008B3F87"/>
    <w:rsid w:val="008B4E36"/>
    <w:rsid w:val="008B599A"/>
    <w:rsid w:val="008B6B00"/>
    <w:rsid w:val="008C20FD"/>
    <w:rsid w:val="008C4FB2"/>
    <w:rsid w:val="008C75CC"/>
    <w:rsid w:val="008D0B51"/>
    <w:rsid w:val="008D45CE"/>
    <w:rsid w:val="008D6CBA"/>
    <w:rsid w:val="008D7141"/>
    <w:rsid w:val="008D73F5"/>
    <w:rsid w:val="008E0133"/>
    <w:rsid w:val="008E28AA"/>
    <w:rsid w:val="008E2B6C"/>
    <w:rsid w:val="008E4607"/>
    <w:rsid w:val="008E6D2E"/>
    <w:rsid w:val="008E7675"/>
    <w:rsid w:val="008E7FA2"/>
    <w:rsid w:val="008F095B"/>
    <w:rsid w:val="008F21AA"/>
    <w:rsid w:val="008F6525"/>
    <w:rsid w:val="008F66B3"/>
    <w:rsid w:val="008F7AD5"/>
    <w:rsid w:val="0090108A"/>
    <w:rsid w:val="009012AA"/>
    <w:rsid w:val="00901808"/>
    <w:rsid w:val="0090244B"/>
    <w:rsid w:val="00904422"/>
    <w:rsid w:val="0090583F"/>
    <w:rsid w:val="00911F93"/>
    <w:rsid w:val="0091408D"/>
    <w:rsid w:val="009204FA"/>
    <w:rsid w:val="00922C24"/>
    <w:rsid w:val="00922F22"/>
    <w:rsid w:val="00925E41"/>
    <w:rsid w:val="009274E7"/>
    <w:rsid w:val="00927D8B"/>
    <w:rsid w:val="00932674"/>
    <w:rsid w:val="00935F5D"/>
    <w:rsid w:val="009363D0"/>
    <w:rsid w:val="009364BA"/>
    <w:rsid w:val="00940007"/>
    <w:rsid w:val="00940BE4"/>
    <w:rsid w:val="00941ED3"/>
    <w:rsid w:val="00942F1C"/>
    <w:rsid w:val="009430F3"/>
    <w:rsid w:val="0094662B"/>
    <w:rsid w:val="009505DC"/>
    <w:rsid w:val="0095062B"/>
    <w:rsid w:val="00951EDE"/>
    <w:rsid w:val="009550C5"/>
    <w:rsid w:val="00955AC3"/>
    <w:rsid w:val="00955D55"/>
    <w:rsid w:val="00957743"/>
    <w:rsid w:val="0096086E"/>
    <w:rsid w:val="00963A42"/>
    <w:rsid w:val="00965C6A"/>
    <w:rsid w:val="00970041"/>
    <w:rsid w:val="0097132D"/>
    <w:rsid w:val="00972C46"/>
    <w:rsid w:val="009730B1"/>
    <w:rsid w:val="009741F0"/>
    <w:rsid w:val="00974646"/>
    <w:rsid w:val="00981713"/>
    <w:rsid w:val="00981C92"/>
    <w:rsid w:val="00981D77"/>
    <w:rsid w:val="00982576"/>
    <w:rsid w:val="00982AAF"/>
    <w:rsid w:val="00984433"/>
    <w:rsid w:val="009851E6"/>
    <w:rsid w:val="00986D7D"/>
    <w:rsid w:val="00991742"/>
    <w:rsid w:val="00993F14"/>
    <w:rsid w:val="00994F9E"/>
    <w:rsid w:val="0099558C"/>
    <w:rsid w:val="009A2735"/>
    <w:rsid w:val="009A7F3B"/>
    <w:rsid w:val="009B06A8"/>
    <w:rsid w:val="009B1F42"/>
    <w:rsid w:val="009B4268"/>
    <w:rsid w:val="009B5AB3"/>
    <w:rsid w:val="009B66B8"/>
    <w:rsid w:val="009B77A5"/>
    <w:rsid w:val="009C1580"/>
    <w:rsid w:val="009C2D4E"/>
    <w:rsid w:val="009C344F"/>
    <w:rsid w:val="009C37DB"/>
    <w:rsid w:val="009C49A1"/>
    <w:rsid w:val="009C69DB"/>
    <w:rsid w:val="009C70BD"/>
    <w:rsid w:val="009D043A"/>
    <w:rsid w:val="009D127B"/>
    <w:rsid w:val="009D5DF8"/>
    <w:rsid w:val="009E10B0"/>
    <w:rsid w:val="009E1E9B"/>
    <w:rsid w:val="009E2C43"/>
    <w:rsid w:val="009E2D22"/>
    <w:rsid w:val="009E4778"/>
    <w:rsid w:val="009E5A04"/>
    <w:rsid w:val="009E69B7"/>
    <w:rsid w:val="009E6D4E"/>
    <w:rsid w:val="009E7514"/>
    <w:rsid w:val="009F24FC"/>
    <w:rsid w:val="009F3E3A"/>
    <w:rsid w:val="009F68A6"/>
    <w:rsid w:val="00A00C82"/>
    <w:rsid w:val="00A01689"/>
    <w:rsid w:val="00A055AD"/>
    <w:rsid w:val="00A05A0D"/>
    <w:rsid w:val="00A06454"/>
    <w:rsid w:val="00A06907"/>
    <w:rsid w:val="00A07A78"/>
    <w:rsid w:val="00A07DD5"/>
    <w:rsid w:val="00A10E04"/>
    <w:rsid w:val="00A1122C"/>
    <w:rsid w:val="00A12DAC"/>
    <w:rsid w:val="00A13438"/>
    <w:rsid w:val="00A15090"/>
    <w:rsid w:val="00A1732A"/>
    <w:rsid w:val="00A20DA3"/>
    <w:rsid w:val="00A212B4"/>
    <w:rsid w:val="00A23BDF"/>
    <w:rsid w:val="00A250DF"/>
    <w:rsid w:val="00A30749"/>
    <w:rsid w:val="00A32555"/>
    <w:rsid w:val="00A34302"/>
    <w:rsid w:val="00A401E9"/>
    <w:rsid w:val="00A40FE1"/>
    <w:rsid w:val="00A41279"/>
    <w:rsid w:val="00A425E8"/>
    <w:rsid w:val="00A433BF"/>
    <w:rsid w:val="00A43A2F"/>
    <w:rsid w:val="00A46E35"/>
    <w:rsid w:val="00A474D4"/>
    <w:rsid w:val="00A52498"/>
    <w:rsid w:val="00A575DE"/>
    <w:rsid w:val="00A6124B"/>
    <w:rsid w:val="00A64CFF"/>
    <w:rsid w:val="00A665AA"/>
    <w:rsid w:val="00A6723A"/>
    <w:rsid w:val="00A72316"/>
    <w:rsid w:val="00A74AD3"/>
    <w:rsid w:val="00A755D8"/>
    <w:rsid w:val="00A77FBA"/>
    <w:rsid w:val="00A835C6"/>
    <w:rsid w:val="00A83A1C"/>
    <w:rsid w:val="00A83F70"/>
    <w:rsid w:val="00A84C88"/>
    <w:rsid w:val="00A872F7"/>
    <w:rsid w:val="00A90070"/>
    <w:rsid w:val="00A92D3D"/>
    <w:rsid w:val="00A9471F"/>
    <w:rsid w:val="00A94A8C"/>
    <w:rsid w:val="00A95A1E"/>
    <w:rsid w:val="00AA033D"/>
    <w:rsid w:val="00AA3513"/>
    <w:rsid w:val="00AA4FAD"/>
    <w:rsid w:val="00AA6865"/>
    <w:rsid w:val="00AA7148"/>
    <w:rsid w:val="00AB04B5"/>
    <w:rsid w:val="00AB2701"/>
    <w:rsid w:val="00AB4855"/>
    <w:rsid w:val="00AB564C"/>
    <w:rsid w:val="00AB74B2"/>
    <w:rsid w:val="00AC07D0"/>
    <w:rsid w:val="00AC14D0"/>
    <w:rsid w:val="00AC295C"/>
    <w:rsid w:val="00AC2A60"/>
    <w:rsid w:val="00AC2BF7"/>
    <w:rsid w:val="00AC347A"/>
    <w:rsid w:val="00AC3959"/>
    <w:rsid w:val="00AC3E71"/>
    <w:rsid w:val="00AC53D3"/>
    <w:rsid w:val="00AD0BBC"/>
    <w:rsid w:val="00AD1107"/>
    <w:rsid w:val="00AD20A8"/>
    <w:rsid w:val="00AD28FA"/>
    <w:rsid w:val="00AD4876"/>
    <w:rsid w:val="00AD5AB3"/>
    <w:rsid w:val="00AD5E84"/>
    <w:rsid w:val="00AD7156"/>
    <w:rsid w:val="00AD735C"/>
    <w:rsid w:val="00AD76B9"/>
    <w:rsid w:val="00AE049D"/>
    <w:rsid w:val="00AE1215"/>
    <w:rsid w:val="00AE1584"/>
    <w:rsid w:val="00AE3339"/>
    <w:rsid w:val="00AE3C93"/>
    <w:rsid w:val="00AF05EB"/>
    <w:rsid w:val="00AF28B7"/>
    <w:rsid w:val="00AF3242"/>
    <w:rsid w:val="00AF54EA"/>
    <w:rsid w:val="00AF59A8"/>
    <w:rsid w:val="00AF6695"/>
    <w:rsid w:val="00AF6BBA"/>
    <w:rsid w:val="00B014D6"/>
    <w:rsid w:val="00B02105"/>
    <w:rsid w:val="00B02CC8"/>
    <w:rsid w:val="00B07B49"/>
    <w:rsid w:val="00B07CD8"/>
    <w:rsid w:val="00B1228B"/>
    <w:rsid w:val="00B140AD"/>
    <w:rsid w:val="00B140D4"/>
    <w:rsid w:val="00B147C0"/>
    <w:rsid w:val="00B14CE8"/>
    <w:rsid w:val="00B15CA3"/>
    <w:rsid w:val="00B202D5"/>
    <w:rsid w:val="00B21DDC"/>
    <w:rsid w:val="00B22F8C"/>
    <w:rsid w:val="00B233CF"/>
    <w:rsid w:val="00B2494C"/>
    <w:rsid w:val="00B2646F"/>
    <w:rsid w:val="00B27DE0"/>
    <w:rsid w:val="00B30F67"/>
    <w:rsid w:val="00B31EFA"/>
    <w:rsid w:val="00B34629"/>
    <w:rsid w:val="00B356E8"/>
    <w:rsid w:val="00B35C14"/>
    <w:rsid w:val="00B403BA"/>
    <w:rsid w:val="00B40C13"/>
    <w:rsid w:val="00B40C9F"/>
    <w:rsid w:val="00B41B92"/>
    <w:rsid w:val="00B42EF5"/>
    <w:rsid w:val="00B44352"/>
    <w:rsid w:val="00B504BE"/>
    <w:rsid w:val="00B56074"/>
    <w:rsid w:val="00B57E4B"/>
    <w:rsid w:val="00B605A2"/>
    <w:rsid w:val="00B60778"/>
    <w:rsid w:val="00B64031"/>
    <w:rsid w:val="00B65575"/>
    <w:rsid w:val="00B66376"/>
    <w:rsid w:val="00B710EB"/>
    <w:rsid w:val="00B71588"/>
    <w:rsid w:val="00B732D8"/>
    <w:rsid w:val="00B73544"/>
    <w:rsid w:val="00B739D0"/>
    <w:rsid w:val="00B744B8"/>
    <w:rsid w:val="00B75136"/>
    <w:rsid w:val="00B776C3"/>
    <w:rsid w:val="00B803A7"/>
    <w:rsid w:val="00B8501B"/>
    <w:rsid w:val="00B855FF"/>
    <w:rsid w:val="00B8572D"/>
    <w:rsid w:val="00B87919"/>
    <w:rsid w:val="00B90097"/>
    <w:rsid w:val="00B91E7C"/>
    <w:rsid w:val="00B95989"/>
    <w:rsid w:val="00BA1945"/>
    <w:rsid w:val="00BA269E"/>
    <w:rsid w:val="00BA392B"/>
    <w:rsid w:val="00BA593A"/>
    <w:rsid w:val="00BB0813"/>
    <w:rsid w:val="00BB2BE1"/>
    <w:rsid w:val="00BB53CB"/>
    <w:rsid w:val="00BB67CE"/>
    <w:rsid w:val="00BB7666"/>
    <w:rsid w:val="00BB7B25"/>
    <w:rsid w:val="00BC05F1"/>
    <w:rsid w:val="00BC1378"/>
    <w:rsid w:val="00BC24D0"/>
    <w:rsid w:val="00BC48EE"/>
    <w:rsid w:val="00BC4921"/>
    <w:rsid w:val="00BC4F79"/>
    <w:rsid w:val="00BC7E2F"/>
    <w:rsid w:val="00BD04EA"/>
    <w:rsid w:val="00BD0896"/>
    <w:rsid w:val="00BD2A79"/>
    <w:rsid w:val="00BD34ED"/>
    <w:rsid w:val="00BD4380"/>
    <w:rsid w:val="00BE2594"/>
    <w:rsid w:val="00BE39A7"/>
    <w:rsid w:val="00BE43DC"/>
    <w:rsid w:val="00BE4933"/>
    <w:rsid w:val="00BF0A21"/>
    <w:rsid w:val="00BF1671"/>
    <w:rsid w:val="00BF3A8A"/>
    <w:rsid w:val="00BF5466"/>
    <w:rsid w:val="00BF57C1"/>
    <w:rsid w:val="00BF59B7"/>
    <w:rsid w:val="00BF6700"/>
    <w:rsid w:val="00BF7B24"/>
    <w:rsid w:val="00C00664"/>
    <w:rsid w:val="00C00790"/>
    <w:rsid w:val="00C00EBE"/>
    <w:rsid w:val="00C01B49"/>
    <w:rsid w:val="00C02DAA"/>
    <w:rsid w:val="00C03741"/>
    <w:rsid w:val="00C0609E"/>
    <w:rsid w:val="00C063F1"/>
    <w:rsid w:val="00C10218"/>
    <w:rsid w:val="00C107CB"/>
    <w:rsid w:val="00C10F50"/>
    <w:rsid w:val="00C11A2B"/>
    <w:rsid w:val="00C13953"/>
    <w:rsid w:val="00C158A2"/>
    <w:rsid w:val="00C17734"/>
    <w:rsid w:val="00C17D35"/>
    <w:rsid w:val="00C20471"/>
    <w:rsid w:val="00C20817"/>
    <w:rsid w:val="00C2097A"/>
    <w:rsid w:val="00C20BFC"/>
    <w:rsid w:val="00C246FD"/>
    <w:rsid w:val="00C3004E"/>
    <w:rsid w:val="00C31370"/>
    <w:rsid w:val="00C319E1"/>
    <w:rsid w:val="00C3221B"/>
    <w:rsid w:val="00C35C85"/>
    <w:rsid w:val="00C36C48"/>
    <w:rsid w:val="00C41CEB"/>
    <w:rsid w:val="00C41F6E"/>
    <w:rsid w:val="00C43533"/>
    <w:rsid w:val="00C43742"/>
    <w:rsid w:val="00C43904"/>
    <w:rsid w:val="00C445D5"/>
    <w:rsid w:val="00C44D21"/>
    <w:rsid w:val="00C467B8"/>
    <w:rsid w:val="00C46BA8"/>
    <w:rsid w:val="00C47E20"/>
    <w:rsid w:val="00C50EF2"/>
    <w:rsid w:val="00C518FC"/>
    <w:rsid w:val="00C52BB7"/>
    <w:rsid w:val="00C53A03"/>
    <w:rsid w:val="00C5590C"/>
    <w:rsid w:val="00C57943"/>
    <w:rsid w:val="00C57D2F"/>
    <w:rsid w:val="00C616C6"/>
    <w:rsid w:val="00C616E0"/>
    <w:rsid w:val="00C65D18"/>
    <w:rsid w:val="00C6677A"/>
    <w:rsid w:val="00C67099"/>
    <w:rsid w:val="00C74367"/>
    <w:rsid w:val="00C74F43"/>
    <w:rsid w:val="00C75A2C"/>
    <w:rsid w:val="00C849F0"/>
    <w:rsid w:val="00C85C33"/>
    <w:rsid w:val="00C91082"/>
    <w:rsid w:val="00C93D31"/>
    <w:rsid w:val="00C961A3"/>
    <w:rsid w:val="00CA13AF"/>
    <w:rsid w:val="00CA3CD6"/>
    <w:rsid w:val="00CA4B30"/>
    <w:rsid w:val="00CA4F30"/>
    <w:rsid w:val="00CA569B"/>
    <w:rsid w:val="00CA587C"/>
    <w:rsid w:val="00CB29E6"/>
    <w:rsid w:val="00CB342F"/>
    <w:rsid w:val="00CB470B"/>
    <w:rsid w:val="00CB4CA3"/>
    <w:rsid w:val="00CB55B0"/>
    <w:rsid w:val="00CB7BD0"/>
    <w:rsid w:val="00CC0159"/>
    <w:rsid w:val="00CC271C"/>
    <w:rsid w:val="00CC7997"/>
    <w:rsid w:val="00CC7AEF"/>
    <w:rsid w:val="00CD106A"/>
    <w:rsid w:val="00CD172C"/>
    <w:rsid w:val="00CD2013"/>
    <w:rsid w:val="00CD3E6E"/>
    <w:rsid w:val="00CD40B0"/>
    <w:rsid w:val="00CD73B6"/>
    <w:rsid w:val="00CE0595"/>
    <w:rsid w:val="00CE0F9C"/>
    <w:rsid w:val="00CE441D"/>
    <w:rsid w:val="00CE58AF"/>
    <w:rsid w:val="00CF1390"/>
    <w:rsid w:val="00CF1891"/>
    <w:rsid w:val="00CF3A3D"/>
    <w:rsid w:val="00CF6B48"/>
    <w:rsid w:val="00CF7177"/>
    <w:rsid w:val="00CF75A0"/>
    <w:rsid w:val="00D02B22"/>
    <w:rsid w:val="00D04CCB"/>
    <w:rsid w:val="00D116C6"/>
    <w:rsid w:val="00D11F8D"/>
    <w:rsid w:val="00D13C2A"/>
    <w:rsid w:val="00D1402B"/>
    <w:rsid w:val="00D152BF"/>
    <w:rsid w:val="00D16487"/>
    <w:rsid w:val="00D16640"/>
    <w:rsid w:val="00D16D86"/>
    <w:rsid w:val="00D17D15"/>
    <w:rsid w:val="00D2067D"/>
    <w:rsid w:val="00D2143B"/>
    <w:rsid w:val="00D23762"/>
    <w:rsid w:val="00D2500A"/>
    <w:rsid w:val="00D250B7"/>
    <w:rsid w:val="00D25851"/>
    <w:rsid w:val="00D338DC"/>
    <w:rsid w:val="00D41A73"/>
    <w:rsid w:val="00D4274C"/>
    <w:rsid w:val="00D4480C"/>
    <w:rsid w:val="00D453E5"/>
    <w:rsid w:val="00D454B3"/>
    <w:rsid w:val="00D46BF3"/>
    <w:rsid w:val="00D501DC"/>
    <w:rsid w:val="00D50F90"/>
    <w:rsid w:val="00D54FE4"/>
    <w:rsid w:val="00D55AF8"/>
    <w:rsid w:val="00D55F4A"/>
    <w:rsid w:val="00D56CA1"/>
    <w:rsid w:val="00D57195"/>
    <w:rsid w:val="00D60680"/>
    <w:rsid w:val="00D65832"/>
    <w:rsid w:val="00D658BB"/>
    <w:rsid w:val="00D6616B"/>
    <w:rsid w:val="00D67250"/>
    <w:rsid w:val="00D70DDA"/>
    <w:rsid w:val="00D8018F"/>
    <w:rsid w:val="00D80D39"/>
    <w:rsid w:val="00D8252D"/>
    <w:rsid w:val="00D82F82"/>
    <w:rsid w:val="00D839E3"/>
    <w:rsid w:val="00D9065C"/>
    <w:rsid w:val="00D9209A"/>
    <w:rsid w:val="00D929FD"/>
    <w:rsid w:val="00D9571F"/>
    <w:rsid w:val="00DA0456"/>
    <w:rsid w:val="00DA07C1"/>
    <w:rsid w:val="00DA72D7"/>
    <w:rsid w:val="00DA78F0"/>
    <w:rsid w:val="00DB0D74"/>
    <w:rsid w:val="00DB2271"/>
    <w:rsid w:val="00DB23B6"/>
    <w:rsid w:val="00DB2DD3"/>
    <w:rsid w:val="00DB4CC6"/>
    <w:rsid w:val="00DB4CC9"/>
    <w:rsid w:val="00DB5EAC"/>
    <w:rsid w:val="00DB7971"/>
    <w:rsid w:val="00DC0A1B"/>
    <w:rsid w:val="00DC1E88"/>
    <w:rsid w:val="00DC2B5B"/>
    <w:rsid w:val="00DC33E2"/>
    <w:rsid w:val="00DC3FA0"/>
    <w:rsid w:val="00DC65DA"/>
    <w:rsid w:val="00DD31E9"/>
    <w:rsid w:val="00DD54FD"/>
    <w:rsid w:val="00DD7055"/>
    <w:rsid w:val="00DE03B0"/>
    <w:rsid w:val="00DE3702"/>
    <w:rsid w:val="00DE72ED"/>
    <w:rsid w:val="00DE741E"/>
    <w:rsid w:val="00DE7A5B"/>
    <w:rsid w:val="00DF11F9"/>
    <w:rsid w:val="00DF1917"/>
    <w:rsid w:val="00DF1A6F"/>
    <w:rsid w:val="00DF1C3C"/>
    <w:rsid w:val="00DF27D1"/>
    <w:rsid w:val="00DF6270"/>
    <w:rsid w:val="00DF7284"/>
    <w:rsid w:val="00DF7D1C"/>
    <w:rsid w:val="00E006CB"/>
    <w:rsid w:val="00E01A56"/>
    <w:rsid w:val="00E0425F"/>
    <w:rsid w:val="00E060B6"/>
    <w:rsid w:val="00E062C1"/>
    <w:rsid w:val="00E11D6D"/>
    <w:rsid w:val="00E1336B"/>
    <w:rsid w:val="00E14502"/>
    <w:rsid w:val="00E2281D"/>
    <w:rsid w:val="00E23262"/>
    <w:rsid w:val="00E2452A"/>
    <w:rsid w:val="00E254A2"/>
    <w:rsid w:val="00E2781B"/>
    <w:rsid w:val="00E31013"/>
    <w:rsid w:val="00E33766"/>
    <w:rsid w:val="00E33986"/>
    <w:rsid w:val="00E343A9"/>
    <w:rsid w:val="00E40916"/>
    <w:rsid w:val="00E4165B"/>
    <w:rsid w:val="00E41A47"/>
    <w:rsid w:val="00E41AAC"/>
    <w:rsid w:val="00E43397"/>
    <w:rsid w:val="00E43469"/>
    <w:rsid w:val="00E44B7B"/>
    <w:rsid w:val="00E45A97"/>
    <w:rsid w:val="00E47D07"/>
    <w:rsid w:val="00E47D8E"/>
    <w:rsid w:val="00E5269A"/>
    <w:rsid w:val="00E540D9"/>
    <w:rsid w:val="00E55978"/>
    <w:rsid w:val="00E55D5A"/>
    <w:rsid w:val="00E56C32"/>
    <w:rsid w:val="00E57DD2"/>
    <w:rsid w:val="00E60A37"/>
    <w:rsid w:val="00E60EF7"/>
    <w:rsid w:val="00E613F2"/>
    <w:rsid w:val="00E6283E"/>
    <w:rsid w:val="00E705A9"/>
    <w:rsid w:val="00E706BB"/>
    <w:rsid w:val="00E717A4"/>
    <w:rsid w:val="00E7433C"/>
    <w:rsid w:val="00E74C20"/>
    <w:rsid w:val="00E74E0E"/>
    <w:rsid w:val="00E76869"/>
    <w:rsid w:val="00E775F2"/>
    <w:rsid w:val="00E77604"/>
    <w:rsid w:val="00E77F3A"/>
    <w:rsid w:val="00E82636"/>
    <w:rsid w:val="00E83C81"/>
    <w:rsid w:val="00E850B7"/>
    <w:rsid w:val="00E8750B"/>
    <w:rsid w:val="00E910AE"/>
    <w:rsid w:val="00E9248A"/>
    <w:rsid w:val="00E927F3"/>
    <w:rsid w:val="00E93D40"/>
    <w:rsid w:val="00E941CD"/>
    <w:rsid w:val="00E96B33"/>
    <w:rsid w:val="00EA370F"/>
    <w:rsid w:val="00EA3973"/>
    <w:rsid w:val="00EA4B96"/>
    <w:rsid w:val="00EA4D51"/>
    <w:rsid w:val="00EB0358"/>
    <w:rsid w:val="00EB0695"/>
    <w:rsid w:val="00EB08F9"/>
    <w:rsid w:val="00EB0F75"/>
    <w:rsid w:val="00EB35F4"/>
    <w:rsid w:val="00EB4227"/>
    <w:rsid w:val="00EB5C74"/>
    <w:rsid w:val="00EB5D84"/>
    <w:rsid w:val="00EB7379"/>
    <w:rsid w:val="00EC1F1A"/>
    <w:rsid w:val="00EC230C"/>
    <w:rsid w:val="00EC3E90"/>
    <w:rsid w:val="00EC48B6"/>
    <w:rsid w:val="00EC508D"/>
    <w:rsid w:val="00EC661C"/>
    <w:rsid w:val="00ED02B5"/>
    <w:rsid w:val="00ED0737"/>
    <w:rsid w:val="00ED2042"/>
    <w:rsid w:val="00ED2289"/>
    <w:rsid w:val="00ED2342"/>
    <w:rsid w:val="00ED2FA4"/>
    <w:rsid w:val="00ED3328"/>
    <w:rsid w:val="00ED41D9"/>
    <w:rsid w:val="00ED55EA"/>
    <w:rsid w:val="00ED6C95"/>
    <w:rsid w:val="00ED7535"/>
    <w:rsid w:val="00EE3480"/>
    <w:rsid w:val="00EE417F"/>
    <w:rsid w:val="00F00712"/>
    <w:rsid w:val="00F00824"/>
    <w:rsid w:val="00F0208E"/>
    <w:rsid w:val="00F03CF3"/>
    <w:rsid w:val="00F04189"/>
    <w:rsid w:val="00F07A36"/>
    <w:rsid w:val="00F07AC2"/>
    <w:rsid w:val="00F11B14"/>
    <w:rsid w:val="00F13182"/>
    <w:rsid w:val="00F14283"/>
    <w:rsid w:val="00F25423"/>
    <w:rsid w:val="00F26AE5"/>
    <w:rsid w:val="00F27B4A"/>
    <w:rsid w:val="00F3133E"/>
    <w:rsid w:val="00F31F34"/>
    <w:rsid w:val="00F3294E"/>
    <w:rsid w:val="00F359FA"/>
    <w:rsid w:val="00F35D1B"/>
    <w:rsid w:val="00F37C0F"/>
    <w:rsid w:val="00F4425E"/>
    <w:rsid w:val="00F444E2"/>
    <w:rsid w:val="00F4727A"/>
    <w:rsid w:val="00F47413"/>
    <w:rsid w:val="00F47945"/>
    <w:rsid w:val="00F50203"/>
    <w:rsid w:val="00F52BC5"/>
    <w:rsid w:val="00F5501C"/>
    <w:rsid w:val="00F614DD"/>
    <w:rsid w:val="00F61637"/>
    <w:rsid w:val="00F6347B"/>
    <w:rsid w:val="00F64A55"/>
    <w:rsid w:val="00F64D64"/>
    <w:rsid w:val="00F65FA7"/>
    <w:rsid w:val="00F66B0E"/>
    <w:rsid w:val="00F6718C"/>
    <w:rsid w:val="00F676C8"/>
    <w:rsid w:val="00F67A2A"/>
    <w:rsid w:val="00F70F21"/>
    <w:rsid w:val="00F73968"/>
    <w:rsid w:val="00F740B7"/>
    <w:rsid w:val="00F756E8"/>
    <w:rsid w:val="00F763B4"/>
    <w:rsid w:val="00F80821"/>
    <w:rsid w:val="00F81D8C"/>
    <w:rsid w:val="00F86868"/>
    <w:rsid w:val="00F86A8D"/>
    <w:rsid w:val="00F87F95"/>
    <w:rsid w:val="00F9154D"/>
    <w:rsid w:val="00F92887"/>
    <w:rsid w:val="00F94EA5"/>
    <w:rsid w:val="00F967D1"/>
    <w:rsid w:val="00F97799"/>
    <w:rsid w:val="00FA029F"/>
    <w:rsid w:val="00FA126E"/>
    <w:rsid w:val="00FA25EF"/>
    <w:rsid w:val="00FA3786"/>
    <w:rsid w:val="00FA5818"/>
    <w:rsid w:val="00FA7480"/>
    <w:rsid w:val="00FB0EDF"/>
    <w:rsid w:val="00FB2D06"/>
    <w:rsid w:val="00FB2D2C"/>
    <w:rsid w:val="00FB39E4"/>
    <w:rsid w:val="00FB3A88"/>
    <w:rsid w:val="00FB3D16"/>
    <w:rsid w:val="00FB7984"/>
    <w:rsid w:val="00FC0668"/>
    <w:rsid w:val="00FC1C22"/>
    <w:rsid w:val="00FC35C4"/>
    <w:rsid w:val="00FC4FB0"/>
    <w:rsid w:val="00FC5A0B"/>
    <w:rsid w:val="00FC5F7B"/>
    <w:rsid w:val="00FC73AF"/>
    <w:rsid w:val="00FD2044"/>
    <w:rsid w:val="00FD768D"/>
    <w:rsid w:val="00FD7BC9"/>
    <w:rsid w:val="00FE0E43"/>
    <w:rsid w:val="00FE6CDD"/>
    <w:rsid w:val="00FE7119"/>
    <w:rsid w:val="00FF5DEB"/>
    <w:rsid w:val="00FF69D4"/>
    <w:rsid w:val="00FF7A29"/>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hone"/>
  <w:shapeDefaults>
    <o:shapedefaults v:ext="edit" spidmax="1026"/>
    <o:shapelayout v:ext="edit">
      <o:idmap v:ext="edit" data="1"/>
    </o:shapelayout>
  </w:shapeDefaults>
  <w:decimalSymbol w:val=","/>
  <w:listSeparator w:val=";"/>
  <w15:docId w15:val="{950EDB2F-D1D0-40B5-9B81-9ADD98BAD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0" w:lineRule="atLeast"/>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0E04"/>
    <w:pPr>
      <w:spacing w:after="0" w:line="240" w:lineRule="auto"/>
    </w:pPr>
    <w:rPr>
      <w:rFonts w:ascii="Times New Roman" w:eastAsia="Times New Roman" w:hAnsi="Times New Roman" w:cs="Times New Roman"/>
      <w:sz w:val="24"/>
      <w:szCs w:val="24"/>
      <w:lang w:bidi="en-US"/>
    </w:rPr>
  </w:style>
  <w:style w:type="paragraph" w:styleId="Titre1">
    <w:name w:val="heading 1"/>
    <w:basedOn w:val="Normal"/>
    <w:next w:val="Normal"/>
    <w:link w:val="Titre1Car"/>
    <w:qFormat/>
    <w:rsid w:val="00A10E04"/>
    <w:pPr>
      <w:keepNext/>
      <w:spacing w:before="120" w:after="120"/>
      <w:ind w:firstLine="170"/>
      <w:jc w:val="both"/>
      <w:outlineLvl w:val="0"/>
    </w:pPr>
    <w:rPr>
      <w:b/>
      <w:bCs/>
      <w:color w:val="5B9BD5"/>
      <w:kern w:val="32"/>
      <w:szCs w:val="32"/>
    </w:rPr>
  </w:style>
  <w:style w:type="paragraph" w:styleId="Titre2">
    <w:name w:val="heading 2"/>
    <w:basedOn w:val="Normal"/>
    <w:next w:val="Normal"/>
    <w:link w:val="Titre2Car"/>
    <w:uiPriority w:val="9"/>
    <w:unhideWhenUsed/>
    <w:qFormat/>
    <w:rsid w:val="00A10E04"/>
    <w:pPr>
      <w:keepNext/>
      <w:keepLines/>
      <w:spacing w:before="200" w:after="200"/>
      <w:ind w:left="397" w:hanging="397"/>
      <w:outlineLvl w:val="1"/>
    </w:pPr>
    <w:rPr>
      <w:b/>
      <w:bCs/>
      <w:color w:val="4F81BD"/>
      <w:sz w:val="22"/>
      <w:szCs w:val="26"/>
    </w:rPr>
  </w:style>
  <w:style w:type="paragraph" w:styleId="Titre3">
    <w:name w:val="heading 3"/>
    <w:basedOn w:val="Normal"/>
    <w:next w:val="Normal"/>
    <w:link w:val="Titre3Car"/>
    <w:uiPriority w:val="9"/>
    <w:unhideWhenUsed/>
    <w:qFormat/>
    <w:rsid w:val="00A10E04"/>
    <w:pPr>
      <w:keepNext/>
      <w:keepLines/>
      <w:spacing w:before="200" w:after="120"/>
      <w:ind w:left="624" w:hanging="624"/>
      <w:outlineLvl w:val="2"/>
    </w:pPr>
    <w:rPr>
      <w:b/>
      <w:bCs/>
      <w:i/>
      <w:color w:val="4F81BD"/>
    </w:rPr>
  </w:style>
  <w:style w:type="paragraph" w:styleId="Titre4">
    <w:name w:val="heading 4"/>
    <w:basedOn w:val="Normal"/>
    <w:next w:val="Normal"/>
    <w:link w:val="Titre4Car"/>
    <w:uiPriority w:val="9"/>
    <w:unhideWhenUsed/>
    <w:qFormat/>
    <w:rsid w:val="00A10E04"/>
    <w:pPr>
      <w:keepNext/>
      <w:keepLines/>
      <w:spacing w:before="200" w:after="240"/>
      <w:ind w:left="709" w:hanging="709"/>
      <w:outlineLvl w:val="3"/>
    </w:pPr>
    <w:rPr>
      <w:b/>
      <w:bCs/>
      <w:i/>
      <w:iCs/>
      <w:color w:val="4F81BD"/>
      <w:sz w:val="22"/>
    </w:rPr>
  </w:style>
  <w:style w:type="paragraph" w:styleId="Titre5">
    <w:name w:val="heading 5"/>
    <w:basedOn w:val="Normal"/>
    <w:next w:val="Normal"/>
    <w:link w:val="Titre5Car"/>
    <w:uiPriority w:val="9"/>
    <w:unhideWhenUsed/>
    <w:qFormat/>
    <w:rsid w:val="00A10E04"/>
    <w:pPr>
      <w:keepNext/>
      <w:keepLines/>
      <w:spacing w:before="200"/>
      <w:outlineLvl w:val="4"/>
    </w:pPr>
    <w:rPr>
      <w:rFonts w:ascii="Cambria" w:hAnsi="Cambria"/>
      <w:color w:val="243F60"/>
      <w:sz w:val="28"/>
    </w:rPr>
  </w:style>
  <w:style w:type="paragraph" w:styleId="Titre6">
    <w:name w:val="heading 6"/>
    <w:basedOn w:val="Normal"/>
    <w:next w:val="Normal"/>
    <w:link w:val="Titre6Car"/>
    <w:uiPriority w:val="9"/>
    <w:unhideWhenUsed/>
    <w:qFormat/>
    <w:rsid w:val="0030565B"/>
    <w:pPr>
      <w:keepNext/>
      <w:keepLines/>
      <w:spacing w:before="120" w:after="120"/>
      <w:ind w:left="1021" w:hanging="1021"/>
      <w:outlineLvl w:val="5"/>
    </w:pPr>
    <w:rPr>
      <w:b/>
      <w:i/>
      <w:iCs/>
      <w:color w:val="5B9BD5"/>
      <w:sz w:val="22"/>
    </w:rPr>
  </w:style>
  <w:style w:type="paragraph" w:styleId="Titre7">
    <w:name w:val="heading 7"/>
    <w:basedOn w:val="Normal"/>
    <w:next w:val="Normal"/>
    <w:link w:val="Titre7Car"/>
    <w:uiPriority w:val="9"/>
    <w:unhideWhenUsed/>
    <w:rsid w:val="00A32555"/>
    <w:pPr>
      <w:spacing w:before="240" w:after="120"/>
      <w:ind w:left="851" w:hanging="851"/>
      <w:jc w:val="center"/>
      <w:outlineLvl w:val="6"/>
    </w:pPr>
    <w:rPr>
      <w:b/>
      <w:color w:val="548DD4" w:themeColor="text2" w:themeTint="99"/>
      <w:sz w:val="18"/>
      <w:lang w:eastAsia="fr-FR" w:bidi="ar-SA"/>
    </w:rPr>
  </w:style>
  <w:style w:type="paragraph" w:styleId="Titre9">
    <w:name w:val="heading 9"/>
    <w:basedOn w:val="Normal"/>
    <w:next w:val="Normal"/>
    <w:link w:val="Titre9Car"/>
    <w:uiPriority w:val="9"/>
    <w:semiHidden/>
    <w:unhideWhenUsed/>
    <w:qFormat/>
    <w:rsid w:val="00A10E04"/>
    <w:pPr>
      <w:keepNext/>
      <w:keepLines/>
      <w:spacing w:before="200"/>
      <w:outlineLvl w:val="8"/>
    </w:pPr>
    <w:rPr>
      <w:rFonts w:ascii="Cambria" w:hAnsi="Cambria"/>
      <w:i/>
      <w:iCs/>
      <w:color w:val="404040"/>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A10E04"/>
    <w:rPr>
      <w:rFonts w:ascii="Times New Roman" w:eastAsia="Times New Roman" w:hAnsi="Times New Roman" w:cs="Times New Roman"/>
      <w:b/>
      <w:bCs/>
      <w:color w:val="5B9BD5"/>
      <w:kern w:val="32"/>
      <w:sz w:val="24"/>
      <w:szCs w:val="32"/>
      <w:lang w:val="en-US" w:bidi="en-US"/>
    </w:rPr>
  </w:style>
  <w:style w:type="character" w:customStyle="1" w:styleId="Titre2Car">
    <w:name w:val="Titre 2 Car"/>
    <w:basedOn w:val="Policepardfaut"/>
    <w:link w:val="Titre2"/>
    <w:uiPriority w:val="9"/>
    <w:rsid w:val="00A10E04"/>
    <w:rPr>
      <w:rFonts w:ascii="Times New Roman" w:eastAsia="Times New Roman" w:hAnsi="Times New Roman" w:cs="Times New Roman"/>
      <w:b/>
      <w:bCs/>
      <w:color w:val="4F81BD"/>
      <w:szCs w:val="26"/>
      <w:lang w:val="en-US" w:bidi="en-US"/>
    </w:rPr>
  </w:style>
  <w:style w:type="character" w:customStyle="1" w:styleId="Titre3Car">
    <w:name w:val="Titre 3 Car"/>
    <w:basedOn w:val="Policepardfaut"/>
    <w:link w:val="Titre3"/>
    <w:uiPriority w:val="9"/>
    <w:rsid w:val="00A10E04"/>
    <w:rPr>
      <w:rFonts w:ascii="Times New Roman" w:eastAsia="Times New Roman" w:hAnsi="Times New Roman" w:cs="Times New Roman"/>
      <w:b/>
      <w:bCs/>
      <w:i/>
      <w:color w:val="4F81BD"/>
      <w:sz w:val="24"/>
      <w:szCs w:val="24"/>
      <w:lang w:bidi="en-US"/>
    </w:rPr>
  </w:style>
  <w:style w:type="character" w:customStyle="1" w:styleId="Titre4Car">
    <w:name w:val="Titre 4 Car"/>
    <w:basedOn w:val="Policepardfaut"/>
    <w:link w:val="Titre4"/>
    <w:uiPriority w:val="9"/>
    <w:rsid w:val="00A10E04"/>
    <w:rPr>
      <w:rFonts w:ascii="Times New Roman" w:eastAsia="Times New Roman" w:hAnsi="Times New Roman" w:cs="Times New Roman"/>
      <w:b/>
      <w:bCs/>
      <w:i/>
      <w:iCs/>
      <w:color w:val="4F81BD"/>
      <w:szCs w:val="24"/>
      <w:lang w:bidi="en-US"/>
    </w:rPr>
  </w:style>
  <w:style w:type="character" w:customStyle="1" w:styleId="Titre5Car">
    <w:name w:val="Titre 5 Car"/>
    <w:basedOn w:val="Policepardfaut"/>
    <w:link w:val="Titre5"/>
    <w:uiPriority w:val="9"/>
    <w:rsid w:val="00A10E04"/>
    <w:rPr>
      <w:rFonts w:ascii="Cambria" w:eastAsia="Times New Roman" w:hAnsi="Cambria" w:cs="Times New Roman"/>
      <w:color w:val="243F60"/>
      <w:sz w:val="28"/>
      <w:szCs w:val="24"/>
      <w:lang w:val="en-US" w:bidi="en-US"/>
    </w:rPr>
  </w:style>
  <w:style w:type="character" w:customStyle="1" w:styleId="Titre6Car">
    <w:name w:val="Titre 6 Car"/>
    <w:basedOn w:val="Policepardfaut"/>
    <w:link w:val="Titre6"/>
    <w:uiPriority w:val="9"/>
    <w:rsid w:val="0030565B"/>
    <w:rPr>
      <w:rFonts w:ascii="Times New Roman" w:eastAsia="Times New Roman" w:hAnsi="Times New Roman" w:cs="Times New Roman"/>
      <w:b/>
      <w:i/>
      <w:iCs/>
      <w:color w:val="5B9BD5"/>
      <w:szCs w:val="24"/>
      <w:lang w:bidi="en-US"/>
    </w:rPr>
  </w:style>
  <w:style w:type="character" w:customStyle="1" w:styleId="Titre7Car">
    <w:name w:val="Titre 7 Car"/>
    <w:basedOn w:val="Policepardfaut"/>
    <w:link w:val="Titre7"/>
    <w:uiPriority w:val="9"/>
    <w:rsid w:val="00A32555"/>
    <w:rPr>
      <w:rFonts w:ascii="Times New Roman" w:eastAsia="Times New Roman" w:hAnsi="Times New Roman" w:cs="Times New Roman"/>
      <w:b/>
      <w:color w:val="548DD4" w:themeColor="text2" w:themeTint="99"/>
      <w:sz w:val="18"/>
      <w:szCs w:val="24"/>
      <w:lang w:eastAsia="fr-FR"/>
    </w:rPr>
  </w:style>
  <w:style w:type="character" w:customStyle="1" w:styleId="Titre9Car">
    <w:name w:val="Titre 9 Car"/>
    <w:basedOn w:val="Policepardfaut"/>
    <w:link w:val="Titre9"/>
    <w:uiPriority w:val="9"/>
    <w:semiHidden/>
    <w:rsid w:val="00A10E04"/>
    <w:rPr>
      <w:rFonts w:ascii="Cambria" w:eastAsia="Times New Roman" w:hAnsi="Cambria" w:cs="Times New Roman"/>
      <w:i/>
      <w:iCs/>
      <w:color w:val="404040"/>
      <w:sz w:val="20"/>
      <w:szCs w:val="20"/>
      <w:lang w:val="en-US" w:bidi="en-US"/>
    </w:rPr>
  </w:style>
  <w:style w:type="paragraph" w:styleId="Sansinterligne">
    <w:name w:val="No Spacing"/>
    <w:link w:val="SansinterligneCar"/>
    <w:uiPriority w:val="1"/>
    <w:qFormat/>
    <w:rsid w:val="00A10E04"/>
    <w:pPr>
      <w:spacing w:after="0" w:line="240" w:lineRule="auto"/>
    </w:pPr>
    <w:rPr>
      <w:rFonts w:ascii="Calibri" w:eastAsia="Calibri" w:hAnsi="Calibri" w:cs="Times New Roman"/>
      <w:lang w:val="en-US" w:eastAsia="fr-FR" w:bidi="en-US"/>
    </w:rPr>
  </w:style>
  <w:style w:type="paragraph" w:customStyle="1" w:styleId="Style1">
    <w:name w:val="Style1"/>
    <w:basedOn w:val="Normal"/>
    <w:next w:val="Corpsdetexte"/>
    <w:link w:val="Style1Car"/>
    <w:qFormat/>
    <w:rsid w:val="00A10E04"/>
    <w:pPr>
      <w:spacing w:line="340" w:lineRule="atLeast"/>
      <w:jc w:val="both"/>
    </w:pPr>
    <w:rPr>
      <w:rFonts w:cs="Arial"/>
      <w:color w:val="333333"/>
      <w:szCs w:val="26"/>
    </w:rPr>
  </w:style>
  <w:style w:type="paragraph" w:styleId="Corpsdetexte">
    <w:name w:val="Body Text"/>
    <w:basedOn w:val="Normal"/>
    <w:link w:val="CorpsdetexteCar"/>
    <w:uiPriority w:val="99"/>
    <w:unhideWhenUsed/>
    <w:rsid w:val="00A10E04"/>
    <w:pPr>
      <w:spacing w:after="120"/>
    </w:pPr>
    <w:rPr>
      <w:rFonts w:ascii="Calibri" w:hAnsi="Calibri"/>
    </w:rPr>
  </w:style>
  <w:style w:type="character" w:customStyle="1" w:styleId="CorpsdetexteCar">
    <w:name w:val="Corps de texte Car"/>
    <w:basedOn w:val="Policepardfaut"/>
    <w:link w:val="Corpsdetexte"/>
    <w:uiPriority w:val="99"/>
    <w:rsid w:val="00A10E04"/>
    <w:rPr>
      <w:rFonts w:ascii="Calibri" w:eastAsia="Times New Roman" w:hAnsi="Calibri" w:cs="Times New Roman"/>
      <w:sz w:val="24"/>
      <w:szCs w:val="24"/>
      <w:lang w:val="en-US" w:bidi="en-US"/>
    </w:rPr>
  </w:style>
  <w:style w:type="character" w:customStyle="1" w:styleId="Style1Car">
    <w:name w:val="Style1 Car"/>
    <w:link w:val="Style1"/>
    <w:rsid w:val="00A10E04"/>
    <w:rPr>
      <w:rFonts w:ascii="Times New Roman" w:eastAsia="Times New Roman" w:hAnsi="Times New Roman" w:cs="Arial"/>
      <w:color w:val="333333"/>
      <w:sz w:val="24"/>
      <w:szCs w:val="26"/>
      <w:lang w:val="en-US" w:bidi="en-US"/>
    </w:rPr>
  </w:style>
  <w:style w:type="paragraph" w:styleId="En-tte">
    <w:name w:val="header"/>
    <w:basedOn w:val="Normal"/>
    <w:link w:val="En-tteCar"/>
    <w:uiPriority w:val="99"/>
    <w:unhideWhenUsed/>
    <w:rsid w:val="00A10E04"/>
    <w:pPr>
      <w:tabs>
        <w:tab w:val="center" w:pos="4536"/>
        <w:tab w:val="right" w:pos="9072"/>
      </w:tabs>
    </w:pPr>
    <w:rPr>
      <w:lang w:eastAsia="fr-FR" w:bidi="ar-SA"/>
    </w:rPr>
  </w:style>
  <w:style w:type="character" w:customStyle="1" w:styleId="En-tteCar">
    <w:name w:val="En-tête Car"/>
    <w:basedOn w:val="Policepardfaut"/>
    <w:link w:val="En-tte"/>
    <w:uiPriority w:val="99"/>
    <w:rsid w:val="00A10E04"/>
    <w:rPr>
      <w:rFonts w:ascii="Times New Roman" w:eastAsia="Times New Roman" w:hAnsi="Times New Roman" w:cs="Times New Roman"/>
      <w:sz w:val="24"/>
      <w:szCs w:val="24"/>
      <w:lang w:val="en-US" w:eastAsia="fr-FR"/>
    </w:rPr>
  </w:style>
  <w:style w:type="paragraph" w:styleId="Pieddepage">
    <w:name w:val="footer"/>
    <w:basedOn w:val="Normal"/>
    <w:link w:val="PieddepageCar"/>
    <w:uiPriority w:val="99"/>
    <w:unhideWhenUsed/>
    <w:rsid w:val="00A10E04"/>
    <w:pPr>
      <w:tabs>
        <w:tab w:val="center" w:pos="4536"/>
        <w:tab w:val="right" w:pos="9072"/>
      </w:tabs>
    </w:pPr>
    <w:rPr>
      <w:lang w:eastAsia="fr-FR" w:bidi="ar-SA"/>
    </w:rPr>
  </w:style>
  <w:style w:type="character" w:customStyle="1" w:styleId="PieddepageCar">
    <w:name w:val="Pied de page Car"/>
    <w:basedOn w:val="Policepardfaut"/>
    <w:link w:val="Pieddepage"/>
    <w:uiPriority w:val="99"/>
    <w:rsid w:val="00A10E04"/>
    <w:rPr>
      <w:rFonts w:ascii="Times New Roman" w:eastAsia="Times New Roman" w:hAnsi="Times New Roman" w:cs="Times New Roman"/>
      <w:sz w:val="24"/>
      <w:szCs w:val="24"/>
      <w:lang w:val="en-US" w:eastAsia="fr-FR"/>
    </w:rPr>
  </w:style>
  <w:style w:type="paragraph" w:customStyle="1" w:styleId="Default">
    <w:name w:val="Default"/>
    <w:rsid w:val="00A10E04"/>
    <w:pPr>
      <w:autoSpaceDE w:val="0"/>
      <w:autoSpaceDN w:val="0"/>
      <w:adjustRightInd w:val="0"/>
      <w:spacing w:after="0" w:line="240" w:lineRule="auto"/>
    </w:pPr>
    <w:rPr>
      <w:rFonts w:ascii="Times New Roman" w:eastAsia="Calibri" w:hAnsi="Times New Roman" w:cs="Times New Roman"/>
      <w:color w:val="000000"/>
      <w:sz w:val="24"/>
      <w:szCs w:val="24"/>
      <w:lang w:eastAsia="fr-FR"/>
    </w:rPr>
  </w:style>
  <w:style w:type="paragraph" w:styleId="Textedebulles">
    <w:name w:val="Balloon Text"/>
    <w:basedOn w:val="Normal"/>
    <w:link w:val="TextedebullesCar"/>
    <w:uiPriority w:val="99"/>
    <w:semiHidden/>
    <w:unhideWhenUsed/>
    <w:rsid w:val="00A10E04"/>
    <w:rPr>
      <w:rFonts w:ascii="Tahoma" w:hAnsi="Tahoma" w:cs="Tahoma"/>
      <w:sz w:val="16"/>
      <w:szCs w:val="16"/>
    </w:rPr>
  </w:style>
  <w:style w:type="character" w:customStyle="1" w:styleId="TextedebullesCar">
    <w:name w:val="Texte de bulles Car"/>
    <w:basedOn w:val="Policepardfaut"/>
    <w:link w:val="Textedebulles"/>
    <w:uiPriority w:val="99"/>
    <w:semiHidden/>
    <w:rsid w:val="00A10E04"/>
    <w:rPr>
      <w:rFonts w:ascii="Tahoma" w:eastAsia="Times New Roman" w:hAnsi="Tahoma" w:cs="Tahoma"/>
      <w:sz w:val="16"/>
      <w:szCs w:val="16"/>
      <w:lang w:val="en-US" w:bidi="en-US"/>
    </w:rPr>
  </w:style>
  <w:style w:type="paragraph" w:styleId="Notedebasdepage">
    <w:name w:val="footnote text"/>
    <w:aliases w:val="fn,Footnote ak,fn Char,footnote text Char,Footnotes Char,Footnote ak Char,ft,fn cafc,Footnotes Char Char,Footnote Text Char Char,fn Char Char,footnote text Char Char Char Ch,single space,Footnote Text Char2,Footnote Text Char1 Char"/>
    <w:basedOn w:val="Normal"/>
    <w:link w:val="NotedebasdepageCar"/>
    <w:unhideWhenUsed/>
    <w:rsid w:val="00A10E04"/>
    <w:pPr>
      <w:spacing w:after="200" w:line="276" w:lineRule="auto"/>
      <w:ind w:right="-1"/>
      <w:jc w:val="both"/>
    </w:pPr>
    <w:rPr>
      <w:rFonts w:ascii="Calibri" w:eastAsia="Calibri" w:hAnsi="Calibri"/>
      <w:sz w:val="20"/>
      <w:szCs w:val="20"/>
      <w:lang w:bidi="ar-SA"/>
    </w:rPr>
  </w:style>
  <w:style w:type="character" w:customStyle="1" w:styleId="NotedebasdepageCar">
    <w:name w:val="Note de bas de page Car"/>
    <w:aliases w:val="fn Car,Footnote ak Car,fn Char Car,footnote text Char Car,Footnotes Char Car,Footnote ak Char Car,ft Car,fn cafc Car,Footnotes Char Char Car,Footnote Text Char Char Car,fn Char Char Car,footnote text Char Char Char Ch Car"/>
    <w:basedOn w:val="Policepardfaut"/>
    <w:link w:val="Notedebasdepage"/>
    <w:uiPriority w:val="99"/>
    <w:rsid w:val="00A10E04"/>
    <w:rPr>
      <w:rFonts w:ascii="Calibri" w:eastAsia="Calibri" w:hAnsi="Calibri" w:cs="Times New Roman"/>
      <w:sz w:val="20"/>
      <w:szCs w:val="20"/>
      <w:lang w:val="en-US"/>
    </w:rPr>
  </w:style>
  <w:style w:type="character" w:styleId="Appelnotedebasdep">
    <w:name w:val="footnote reference"/>
    <w:aliases w:val="16 Point,Superscript 6 Point,ftref,BVI fnr,Footnote Reference1,ftref Car Car,16 Point Car Car,Superscript 6 Point Car Car,Car Car Char Car Char Car Car Char Car Char Char Car Car,SUPERS Car Car Car,Знак сноски 1,Знак сноски-FN,fr"/>
    <w:link w:val="ftrefCar"/>
    <w:uiPriority w:val="99"/>
    <w:unhideWhenUsed/>
    <w:qFormat/>
    <w:rsid w:val="00A10E04"/>
    <w:rPr>
      <w:vertAlign w:val="superscript"/>
    </w:rPr>
  </w:style>
  <w:style w:type="table" w:styleId="Grilleclaire-Accent5">
    <w:name w:val="Light Grid Accent 5"/>
    <w:basedOn w:val="TableauNormal"/>
    <w:uiPriority w:val="62"/>
    <w:rsid w:val="00A10E04"/>
    <w:pPr>
      <w:spacing w:after="0" w:line="240" w:lineRule="auto"/>
    </w:pPr>
    <w:rPr>
      <w:rFonts w:ascii="Calibri" w:eastAsia="Calibri" w:hAnsi="Calibri" w:cs="Times New Roman"/>
      <w:sz w:val="20"/>
      <w:szCs w:val="20"/>
      <w:lang w:eastAsia="fr-FR"/>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Bold" w:eastAsia="Times New Roman" w:hAnsi="Calibri-Bold"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Bold" w:eastAsia="Times New Roman" w:hAnsi="Calibri-Bold"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Bold" w:eastAsia="Times New Roman" w:hAnsi="Calibri-Bold" w:cs="Times New Roman"/>
        <w:b/>
        <w:bCs/>
      </w:rPr>
    </w:tblStylePr>
    <w:tblStylePr w:type="lastCol">
      <w:rPr>
        <w:rFonts w:ascii="Calibri-Bold" w:eastAsia="Times New Roman" w:hAnsi="Calibri-Bold"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Listemoyenne2-Accent5">
    <w:name w:val="Medium List 2 Accent 5"/>
    <w:basedOn w:val="TableauNormal"/>
    <w:uiPriority w:val="66"/>
    <w:rsid w:val="00A10E04"/>
    <w:pPr>
      <w:spacing w:after="0" w:line="240" w:lineRule="auto"/>
    </w:pPr>
    <w:rPr>
      <w:rFonts w:ascii="Cambria" w:eastAsia="Times New Roman" w:hAnsi="Cambria" w:cs="Times New Roman"/>
      <w:color w:val="000000"/>
      <w:sz w:val="20"/>
      <w:szCs w:val="20"/>
      <w:lang w:eastAsia="fr-F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customStyle="1" w:styleId="Grilleclaire-Accent13">
    <w:name w:val="Grille claire - Accent 13"/>
    <w:basedOn w:val="TableauNormal"/>
    <w:uiPriority w:val="62"/>
    <w:rsid w:val="00A10E04"/>
    <w:pPr>
      <w:spacing w:after="0" w:line="240" w:lineRule="auto"/>
    </w:pPr>
    <w:rPr>
      <w:rFonts w:ascii="Calibri" w:eastAsia="Calibri" w:hAnsi="Calibri" w:cs="Times New Roman"/>
      <w:sz w:val="20"/>
      <w:szCs w:val="20"/>
      <w:lang w:eastAsia="fr-FR"/>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Bold" w:eastAsia="Times New Roman" w:hAnsi="Calibri-Bold"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Bold" w:eastAsia="Times New Roman" w:hAnsi="Calibri-Bold"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Bold" w:eastAsia="Times New Roman" w:hAnsi="Calibri-Bold" w:cs="Times New Roman"/>
        <w:b/>
        <w:bCs/>
      </w:rPr>
    </w:tblStylePr>
    <w:tblStylePr w:type="lastCol">
      <w:rPr>
        <w:rFonts w:ascii="Calibri-Bold" w:eastAsia="Times New Roman" w:hAnsi="Calibri-Bold"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paragraph" w:styleId="Paragraphedeliste">
    <w:name w:val="List Paragraph"/>
    <w:aliases w:val="References,Liste couleur - Accent 11,List Paragraph1,Paragraphe de liste1,Liste couleur - Accent 111,Bullets,Paragraphe de liste3,Bullet 1,List Paragraph"/>
    <w:basedOn w:val="Normal"/>
    <w:link w:val="ParagraphedelisteCar"/>
    <w:uiPriority w:val="34"/>
    <w:qFormat/>
    <w:rsid w:val="00A10E04"/>
    <w:pPr>
      <w:ind w:left="720"/>
      <w:contextualSpacing/>
    </w:pPr>
    <w:rPr>
      <w:rFonts w:ascii="Calibri" w:hAnsi="Calibri"/>
    </w:rPr>
  </w:style>
  <w:style w:type="table" w:styleId="Listeclaire-Accent5">
    <w:name w:val="Light List Accent 5"/>
    <w:basedOn w:val="TableauNormal"/>
    <w:uiPriority w:val="61"/>
    <w:rsid w:val="00A10E04"/>
    <w:pPr>
      <w:spacing w:after="0" w:line="240" w:lineRule="auto"/>
    </w:pPr>
    <w:rPr>
      <w:rFonts w:ascii="Calibri" w:eastAsia="Calibri" w:hAnsi="Calibri" w:cs="Times New Roman"/>
      <w:sz w:val="20"/>
      <w:szCs w:val="20"/>
      <w:lang w:eastAsia="fr-F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Tramemoyenne2-Accent4">
    <w:name w:val="Medium Shading 2 Accent 4"/>
    <w:basedOn w:val="TableauNormal"/>
    <w:uiPriority w:val="64"/>
    <w:rsid w:val="00A10E04"/>
    <w:pPr>
      <w:spacing w:after="0" w:line="240" w:lineRule="auto"/>
    </w:pPr>
    <w:rPr>
      <w:rFonts w:ascii="Calibri" w:eastAsia="Calibri" w:hAnsi="Calibri" w:cs="Times New Roman"/>
      <w:sz w:val="20"/>
      <w:szCs w:val="20"/>
      <w:lang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Listemoyenne1-Accent6">
    <w:name w:val="Medium List 1 Accent 6"/>
    <w:basedOn w:val="TableauNormal"/>
    <w:uiPriority w:val="65"/>
    <w:rsid w:val="00A10E04"/>
    <w:pPr>
      <w:spacing w:after="0" w:line="240" w:lineRule="auto"/>
    </w:pPr>
    <w:rPr>
      <w:rFonts w:ascii="Calibri" w:eastAsia="Calibri" w:hAnsi="Calibri" w:cs="Times New Roman"/>
      <w:color w:val="000000"/>
      <w:sz w:val="20"/>
      <w:szCs w:val="20"/>
      <w:lang w:eastAsia="fr-FR"/>
    </w:rPr>
    <w:tblPr>
      <w:tblStyleRowBandSize w:val="1"/>
      <w:tblStyleColBandSize w:val="1"/>
      <w:tblBorders>
        <w:top w:val="single" w:sz="8" w:space="0" w:color="F79646"/>
        <w:bottom w:val="single" w:sz="8" w:space="0" w:color="F79646"/>
      </w:tblBorders>
    </w:tblPr>
    <w:tblStylePr w:type="firstRow">
      <w:rPr>
        <w:rFonts w:ascii="Calibri-Bold" w:eastAsia="Times New Roman" w:hAnsi="Calibri-Bold"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Tramemoyenne1-Accent5">
    <w:name w:val="Medium Shading 1 Accent 5"/>
    <w:basedOn w:val="TableauNormal"/>
    <w:uiPriority w:val="63"/>
    <w:rsid w:val="00A10E04"/>
    <w:pPr>
      <w:spacing w:after="0" w:line="240" w:lineRule="auto"/>
    </w:pPr>
    <w:rPr>
      <w:rFonts w:ascii="Calibri" w:eastAsia="Calibri" w:hAnsi="Calibri" w:cs="Times New Roman"/>
      <w:sz w:val="20"/>
      <w:szCs w:val="20"/>
      <w:lang w:eastAsia="fr-F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Tramemoyenne2-Accent5">
    <w:name w:val="Medium Shading 2 Accent 5"/>
    <w:basedOn w:val="TableauNormal"/>
    <w:uiPriority w:val="64"/>
    <w:rsid w:val="00A10E04"/>
    <w:pPr>
      <w:spacing w:after="0" w:line="240" w:lineRule="auto"/>
    </w:pPr>
    <w:rPr>
      <w:rFonts w:ascii="Calibri" w:eastAsia="Calibri" w:hAnsi="Calibri" w:cs="Times New Roman"/>
      <w:sz w:val="20"/>
      <w:szCs w:val="20"/>
      <w:lang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Grillecouleur-Accent5">
    <w:name w:val="Colorful Grid Accent 5"/>
    <w:basedOn w:val="TableauNormal"/>
    <w:uiPriority w:val="73"/>
    <w:rsid w:val="00A10E04"/>
    <w:pPr>
      <w:spacing w:after="0" w:line="240" w:lineRule="auto"/>
    </w:pPr>
    <w:rPr>
      <w:rFonts w:ascii="Calibri" w:eastAsia="Calibri" w:hAnsi="Calibri" w:cs="Times New Roman"/>
      <w:color w:val="000000"/>
      <w:sz w:val="20"/>
      <w:szCs w:val="20"/>
      <w:lang w:eastAsia="fr-FR"/>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Listemoyenne1-Accent5">
    <w:name w:val="Medium List 1 Accent 5"/>
    <w:basedOn w:val="TableauNormal"/>
    <w:uiPriority w:val="65"/>
    <w:rsid w:val="00A10E04"/>
    <w:pPr>
      <w:spacing w:after="0" w:line="240" w:lineRule="auto"/>
    </w:pPr>
    <w:rPr>
      <w:rFonts w:ascii="Calibri" w:eastAsia="Calibri" w:hAnsi="Calibri" w:cs="Times New Roman"/>
      <w:color w:val="000000"/>
      <w:sz w:val="20"/>
      <w:szCs w:val="20"/>
      <w:lang w:eastAsia="fr-FR"/>
    </w:rPr>
    <w:tblPr>
      <w:tblStyleRowBandSize w:val="1"/>
      <w:tblStyleColBandSize w:val="1"/>
      <w:tblBorders>
        <w:top w:val="single" w:sz="8" w:space="0" w:color="4BACC6"/>
        <w:bottom w:val="single" w:sz="8" w:space="0" w:color="4BACC6"/>
      </w:tblBorders>
    </w:tblPr>
    <w:tblStylePr w:type="firstRow">
      <w:rPr>
        <w:rFonts w:ascii="Calibri-Bold" w:eastAsia="Times New Roman" w:hAnsi="Calibri-Bold"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Trameclaire-Accent5">
    <w:name w:val="Light Shading Accent 5"/>
    <w:basedOn w:val="TableauNormal"/>
    <w:uiPriority w:val="60"/>
    <w:rsid w:val="00A10E04"/>
    <w:pPr>
      <w:spacing w:after="0" w:line="240" w:lineRule="auto"/>
    </w:pPr>
    <w:rPr>
      <w:rFonts w:ascii="Calibri" w:eastAsia="Calibri" w:hAnsi="Calibri" w:cs="Times New Roman"/>
      <w:color w:val="31849B"/>
      <w:sz w:val="20"/>
      <w:szCs w:val="20"/>
      <w:lang w:eastAsia="fr-FR"/>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Grilleclaire-Accent3">
    <w:name w:val="Light Grid Accent 3"/>
    <w:basedOn w:val="TableauNormal"/>
    <w:uiPriority w:val="62"/>
    <w:rsid w:val="00A10E04"/>
    <w:pPr>
      <w:spacing w:after="0" w:line="240" w:lineRule="auto"/>
    </w:pPr>
    <w:rPr>
      <w:rFonts w:ascii="Calibri" w:eastAsia="Calibri" w:hAnsi="Calibri" w:cs="Times New Roman"/>
      <w:sz w:val="20"/>
      <w:szCs w:val="20"/>
      <w:lang w:eastAsia="fr-FR"/>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Bold" w:eastAsia="Times New Roman" w:hAnsi="Calibri-Bold"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Bold" w:eastAsia="Times New Roman" w:hAnsi="Calibri-Bold"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Bold" w:eastAsia="Times New Roman" w:hAnsi="Calibri-Bold" w:cs="Times New Roman"/>
        <w:b/>
        <w:bCs/>
      </w:rPr>
    </w:tblStylePr>
    <w:tblStylePr w:type="lastCol">
      <w:rPr>
        <w:rFonts w:ascii="Calibri-Bold" w:eastAsia="Times New Roman" w:hAnsi="Calibri-Bold"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Grilleclaire-Accent11">
    <w:name w:val="Grille claire - Accent 11"/>
    <w:basedOn w:val="TableauNormal"/>
    <w:uiPriority w:val="62"/>
    <w:rsid w:val="00A10E04"/>
    <w:pPr>
      <w:spacing w:after="0" w:line="240" w:lineRule="auto"/>
    </w:pPr>
    <w:rPr>
      <w:rFonts w:ascii="Calibri" w:eastAsia="Calibri" w:hAnsi="Calibri" w:cs="Times New Roman"/>
      <w:sz w:val="20"/>
      <w:szCs w:val="20"/>
      <w:lang w:eastAsia="fr-FR"/>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Bold" w:eastAsia="Times New Roman" w:hAnsi="Calibri-Bold"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Bold" w:eastAsia="Times New Roman" w:hAnsi="Calibri-Bold"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Bold" w:eastAsia="Times New Roman" w:hAnsi="Calibri-Bold" w:cs="Times New Roman"/>
        <w:b/>
        <w:bCs/>
      </w:rPr>
    </w:tblStylePr>
    <w:tblStylePr w:type="lastCol">
      <w:rPr>
        <w:rFonts w:ascii="Calibri-Bold" w:eastAsia="Times New Roman" w:hAnsi="Calibri-Bold"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stemoyenne11">
    <w:name w:val="Liste moyenne 11"/>
    <w:basedOn w:val="TableauNormal"/>
    <w:uiPriority w:val="65"/>
    <w:rsid w:val="00A10E04"/>
    <w:pPr>
      <w:spacing w:after="0" w:line="240" w:lineRule="auto"/>
    </w:pPr>
    <w:rPr>
      <w:rFonts w:ascii="Calibri" w:eastAsia="Calibri" w:hAnsi="Calibri" w:cs="Times New Roman"/>
      <w:color w:val="000000"/>
      <w:sz w:val="20"/>
      <w:szCs w:val="20"/>
      <w:lang w:eastAsia="fr-FR"/>
    </w:rPr>
    <w:tblPr>
      <w:tblStyleRowBandSize w:val="1"/>
      <w:tblStyleColBandSize w:val="1"/>
      <w:tblBorders>
        <w:top w:val="single" w:sz="8" w:space="0" w:color="000000"/>
        <w:bottom w:val="single" w:sz="8" w:space="0" w:color="000000"/>
      </w:tblBorders>
    </w:tblPr>
    <w:tblStylePr w:type="firstRow">
      <w:rPr>
        <w:rFonts w:ascii="Calibri-Bold" w:eastAsia="Times New Roman" w:hAnsi="Calibri-Bold"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emoyenne1-Accent11">
    <w:name w:val="Liste moyenne 1 - Accent 11"/>
    <w:basedOn w:val="TableauNormal"/>
    <w:uiPriority w:val="65"/>
    <w:rsid w:val="00A10E04"/>
    <w:pPr>
      <w:spacing w:after="0" w:line="240" w:lineRule="auto"/>
    </w:pPr>
    <w:rPr>
      <w:rFonts w:ascii="Calibri" w:eastAsia="Calibri" w:hAnsi="Calibri" w:cs="Times New Roman"/>
      <w:color w:val="000000"/>
      <w:sz w:val="20"/>
      <w:szCs w:val="20"/>
      <w:lang w:eastAsia="fr-FR"/>
    </w:rPr>
    <w:tblPr>
      <w:tblStyleRowBandSize w:val="1"/>
      <w:tblStyleColBandSize w:val="1"/>
      <w:tblBorders>
        <w:top w:val="single" w:sz="8" w:space="0" w:color="4F81BD"/>
        <w:bottom w:val="single" w:sz="8" w:space="0" w:color="4F81BD"/>
      </w:tblBorders>
    </w:tblPr>
    <w:tblStylePr w:type="firstRow">
      <w:rPr>
        <w:rFonts w:ascii="Calibri-Bold" w:eastAsia="Times New Roman" w:hAnsi="Calibri-Bold"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Trameclaire-Accent11">
    <w:name w:val="Trame claire - Accent 11"/>
    <w:basedOn w:val="TableauNormal"/>
    <w:uiPriority w:val="60"/>
    <w:rsid w:val="00A10E04"/>
    <w:pPr>
      <w:spacing w:after="0" w:line="240" w:lineRule="auto"/>
    </w:pPr>
    <w:rPr>
      <w:rFonts w:ascii="Calibri" w:eastAsia="Calibri" w:hAnsi="Calibri" w:cs="Times New Roman"/>
      <w:color w:val="365F91"/>
      <w:sz w:val="20"/>
      <w:szCs w:val="20"/>
      <w:lang w:eastAsia="fr-F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styleId="Lienhypertexte">
    <w:name w:val="Hyperlink"/>
    <w:uiPriority w:val="99"/>
    <w:unhideWhenUsed/>
    <w:rsid w:val="00A10E04"/>
    <w:rPr>
      <w:color w:val="0000FF"/>
      <w:u w:val="single"/>
    </w:rPr>
  </w:style>
  <w:style w:type="table" w:styleId="Grilledutableau">
    <w:name w:val="Table Grid"/>
    <w:basedOn w:val="TableauNormal"/>
    <w:uiPriority w:val="59"/>
    <w:rsid w:val="00A10E04"/>
    <w:pPr>
      <w:spacing w:after="0" w:line="240" w:lineRule="auto"/>
    </w:pPr>
    <w:rPr>
      <w:rFonts w:ascii="Calibri" w:eastAsia="Calibri" w:hAnsi="Calibri"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aire">
    <w:name w:val="annotation text"/>
    <w:basedOn w:val="Normal"/>
    <w:link w:val="CommentaireCar"/>
    <w:uiPriority w:val="99"/>
    <w:unhideWhenUsed/>
    <w:rsid w:val="00A10E04"/>
    <w:pPr>
      <w:spacing w:after="200"/>
    </w:pPr>
    <w:rPr>
      <w:rFonts w:ascii="Calibri" w:hAnsi="Calibri"/>
      <w:sz w:val="20"/>
      <w:szCs w:val="20"/>
      <w:lang w:val="en-GB" w:eastAsia="en-GB" w:bidi="ar-SA"/>
    </w:rPr>
  </w:style>
  <w:style w:type="character" w:customStyle="1" w:styleId="CommentaireCar">
    <w:name w:val="Commentaire Car"/>
    <w:basedOn w:val="Policepardfaut"/>
    <w:link w:val="Commentaire"/>
    <w:uiPriority w:val="99"/>
    <w:rsid w:val="00A10E04"/>
    <w:rPr>
      <w:rFonts w:ascii="Calibri" w:eastAsia="Times New Roman" w:hAnsi="Calibri" w:cs="Times New Roman"/>
      <w:sz w:val="20"/>
      <w:szCs w:val="20"/>
      <w:lang w:val="en-GB" w:eastAsia="en-GB"/>
    </w:rPr>
  </w:style>
  <w:style w:type="paragraph" w:customStyle="1" w:styleId="ftrefCar">
    <w:name w:val="ftref Car"/>
    <w:aliases w:val="16 Point Car,Superscript 6 Point Car,Car Car Char Car Char Car Car Char Car Char Char Car,Car Car Car Car Car Car Car Car Char Car Car Char Car Car Car Char Car Char Char Char Car,SUPERS Car"/>
    <w:basedOn w:val="Normal"/>
    <w:link w:val="Appelnotedebasdep"/>
    <w:uiPriority w:val="99"/>
    <w:rsid w:val="00A10E04"/>
    <w:pPr>
      <w:spacing w:after="160" w:line="240" w:lineRule="exact"/>
    </w:pPr>
    <w:rPr>
      <w:rFonts w:asciiTheme="minorHAnsi" w:eastAsiaTheme="minorHAnsi" w:hAnsiTheme="minorHAnsi" w:cstheme="minorBidi"/>
      <w:sz w:val="22"/>
      <w:szCs w:val="22"/>
      <w:vertAlign w:val="superscript"/>
      <w:lang w:bidi="ar-SA"/>
    </w:rPr>
  </w:style>
  <w:style w:type="character" w:customStyle="1" w:styleId="ParagraphedelisteCar">
    <w:name w:val="Paragraphe de liste Car"/>
    <w:aliases w:val="References Car,Liste couleur - Accent 11 Car,List Paragraph1 Car,Paragraphe de liste1 Car,Liste couleur - Accent 111 Car,Bullets Car,Paragraphe de liste3 Car,Bullet 1 Car,List Paragraph Car"/>
    <w:link w:val="Paragraphedeliste"/>
    <w:uiPriority w:val="34"/>
    <w:locked/>
    <w:rsid w:val="00A10E04"/>
    <w:rPr>
      <w:rFonts w:ascii="Calibri" w:eastAsia="Times New Roman" w:hAnsi="Calibri" w:cs="Times New Roman"/>
      <w:sz w:val="24"/>
      <w:szCs w:val="24"/>
      <w:lang w:val="en-US" w:bidi="en-US"/>
    </w:rPr>
  </w:style>
  <w:style w:type="paragraph" w:customStyle="1" w:styleId="Style2">
    <w:name w:val="Style2"/>
    <w:basedOn w:val="Normal"/>
    <w:link w:val="Style2Car"/>
    <w:qFormat/>
    <w:rsid w:val="00A10E04"/>
    <w:pPr>
      <w:spacing w:line="340" w:lineRule="atLeast"/>
      <w:jc w:val="both"/>
    </w:pPr>
  </w:style>
  <w:style w:type="character" w:customStyle="1" w:styleId="Style2Car">
    <w:name w:val="Style2 Car"/>
    <w:link w:val="Style2"/>
    <w:rsid w:val="00A10E04"/>
    <w:rPr>
      <w:rFonts w:ascii="Times New Roman" w:eastAsia="Times New Roman" w:hAnsi="Times New Roman" w:cs="Times New Roman"/>
      <w:sz w:val="24"/>
      <w:szCs w:val="24"/>
      <w:lang w:bidi="en-US"/>
    </w:rPr>
  </w:style>
  <w:style w:type="paragraph" w:styleId="NormalWeb">
    <w:name w:val="Normal (Web)"/>
    <w:basedOn w:val="Normal"/>
    <w:uiPriority w:val="99"/>
    <w:unhideWhenUsed/>
    <w:rsid w:val="00A10E04"/>
    <w:pPr>
      <w:spacing w:before="100" w:beforeAutospacing="1" w:after="100" w:afterAutospacing="1"/>
    </w:pPr>
    <w:rPr>
      <w:lang w:eastAsia="fr-FR" w:bidi="ar-SA"/>
    </w:rPr>
  </w:style>
  <w:style w:type="character" w:customStyle="1" w:styleId="SansinterligneCar">
    <w:name w:val="Sans interligne Car"/>
    <w:link w:val="Sansinterligne"/>
    <w:uiPriority w:val="1"/>
    <w:rsid w:val="00A10E04"/>
    <w:rPr>
      <w:rFonts w:ascii="Calibri" w:eastAsia="Calibri" w:hAnsi="Calibri" w:cs="Times New Roman"/>
      <w:lang w:val="en-US" w:eastAsia="fr-FR" w:bidi="en-US"/>
    </w:rPr>
  </w:style>
  <w:style w:type="paragraph" w:styleId="Lgende">
    <w:name w:val="caption"/>
    <w:basedOn w:val="Normal"/>
    <w:next w:val="Normal"/>
    <w:uiPriority w:val="35"/>
    <w:unhideWhenUsed/>
    <w:qFormat/>
    <w:rsid w:val="00A10E04"/>
    <w:pPr>
      <w:spacing w:after="200"/>
    </w:pPr>
    <w:rPr>
      <w:b/>
      <w:bCs/>
      <w:color w:val="4F81BD"/>
      <w:sz w:val="18"/>
      <w:szCs w:val="18"/>
    </w:rPr>
  </w:style>
  <w:style w:type="character" w:styleId="Marquedecommentaire">
    <w:name w:val="annotation reference"/>
    <w:uiPriority w:val="99"/>
    <w:semiHidden/>
    <w:unhideWhenUsed/>
    <w:rsid w:val="00A10E04"/>
    <w:rPr>
      <w:sz w:val="16"/>
      <w:szCs w:val="16"/>
    </w:rPr>
  </w:style>
  <w:style w:type="paragraph" w:styleId="Objetducommentaire">
    <w:name w:val="annotation subject"/>
    <w:basedOn w:val="Commentaire"/>
    <w:next w:val="Commentaire"/>
    <w:link w:val="ObjetducommentaireCar"/>
    <w:uiPriority w:val="99"/>
    <w:semiHidden/>
    <w:unhideWhenUsed/>
    <w:rsid w:val="00A10E04"/>
    <w:pPr>
      <w:spacing w:after="0"/>
    </w:pPr>
    <w:rPr>
      <w:rFonts w:ascii="Times New Roman" w:hAnsi="Times New Roman"/>
      <w:b/>
      <w:bCs/>
      <w:lang w:val="en-US" w:bidi="en-US"/>
    </w:rPr>
  </w:style>
  <w:style w:type="character" w:customStyle="1" w:styleId="ObjetducommentaireCar">
    <w:name w:val="Objet du commentaire Car"/>
    <w:basedOn w:val="CommentaireCar"/>
    <w:link w:val="Objetducommentaire"/>
    <w:uiPriority w:val="99"/>
    <w:semiHidden/>
    <w:rsid w:val="00A10E04"/>
    <w:rPr>
      <w:rFonts w:ascii="Times New Roman" w:eastAsia="Times New Roman" w:hAnsi="Times New Roman" w:cs="Times New Roman"/>
      <w:b/>
      <w:bCs/>
      <w:sz w:val="20"/>
      <w:szCs w:val="20"/>
      <w:lang w:val="en-US" w:eastAsia="en-GB" w:bidi="en-US"/>
    </w:rPr>
  </w:style>
  <w:style w:type="paragraph" w:styleId="Tabledesillustrations">
    <w:name w:val="table of figures"/>
    <w:basedOn w:val="Normal"/>
    <w:next w:val="Normal"/>
    <w:uiPriority w:val="99"/>
    <w:unhideWhenUsed/>
    <w:rsid w:val="00A10E04"/>
  </w:style>
  <w:style w:type="paragraph" w:styleId="TM1">
    <w:name w:val="toc 1"/>
    <w:basedOn w:val="Normal"/>
    <w:next w:val="Normal"/>
    <w:autoRedefine/>
    <w:uiPriority w:val="39"/>
    <w:unhideWhenUsed/>
    <w:rsid w:val="00A10E04"/>
    <w:pPr>
      <w:tabs>
        <w:tab w:val="left" w:pos="426"/>
        <w:tab w:val="right" w:leader="dot" w:pos="9062"/>
      </w:tabs>
      <w:spacing w:after="100"/>
      <w:ind w:left="1134" w:hanging="1134"/>
    </w:pPr>
  </w:style>
  <w:style w:type="paragraph" w:styleId="TM2">
    <w:name w:val="toc 2"/>
    <w:basedOn w:val="Normal"/>
    <w:next w:val="Normal"/>
    <w:autoRedefine/>
    <w:uiPriority w:val="39"/>
    <w:unhideWhenUsed/>
    <w:rsid w:val="00A10E04"/>
    <w:pPr>
      <w:tabs>
        <w:tab w:val="left" w:pos="567"/>
        <w:tab w:val="right" w:leader="dot" w:pos="9072"/>
      </w:tabs>
      <w:spacing w:after="100"/>
      <w:ind w:left="709" w:hanging="429"/>
    </w:pPr>
    <w:rPr>
      <w:sz w:val="22"/>
    </w:rPr>
  </w:style>
  <w:style w:type="paragraph" w:styleId="TM3">
    <w:name w:val="toc 3"/>
    <w:basedOn w:val="Normal"/>
    <w:next w:val="Normal"/>
    <w:autoRedefine/>
    <w:uiPriority w:val="39"/>
    <w:unhideWhenUsed/>
    <w:rsid w:val="00A10E04"/>
    <w:pPr>
      <w:tabs>
        <w:tab w:val="right" w:leader="dot" w:pos="9072"/>
      </w:tabs>
      <w:spacing w:after="100"/>
      <w:ind w:left="561"/>
    </w:pPr>
    <w:rPr>
      <w:sz w:val="22"/>
    </w:rPr>
  </w:style>
  <w:style w:type="paragraph" w:styleId="TM4">
    <w:name w:val="toc 4"/>
    <w:basedOn w:val="Normal"/>
    <w:next w:val="Normal"/>
    <w:autoRedefine/>
    <w:uiPriority w:val="39"/>
    <w:unhideWhenUsed/>
    <w:rsid w:val="00A10E04"/>
    <w:pPr>
      <w:spacing w:after="100"/>
      <w:ind w:left="840"/>
    </w:pPr>
  </w:style>
  <w:style w:type="paragraph" w:styleId="En-ttedetabledesmatires">
    <w:name w:val="TOC Heading"/>
    <w:basedOn w:val="Titre1"/>
    <w:next w:val="Normal"/>
    <w:uiPriority w:val="39"/>
    <w:unhideWhenUsed/>
    <w:qFormat/>
    <w:rsid w:val="00A10E04"/>
    <w:pPr>
      <w:keepLines/>
      <w:spacing w:before="240" w:after="0" w:line="259" w:lineRule="auto"/>
      <w:jc w:val="left"/>
      <w:outlineLvl w:val="9"/>
    </w:pPr>
    <w:rPr>
      <w:rFonts w:ascii="Calibri Light" w:hAnsi="Calibri Light"/>
      <w:b w:val="0"/>
      <w:bCs w:val="0"/>
      <w:color w:val="2E74B5"/>
      <w:kern w:val="0"/>
      <w:sz w:val="32"/>
      <w:lang w:eastAsia="fr-FR" w:bidi="ar-SA"/>
    </w:rPr>
  </w:style>
  <w:style w:type="paragraph" w:styleId="Notedefin">
    <w:name w:val="endnote text"/>
    <w:basedOn w:val="Normal"/>
    <w:link w:val="NotedefinCar"/>
    <w:uiPriority w:val="99"/>
    <w:semiHidden/>
    <w:unhideWhenUsed/>
    <w:rsid w:val="00A10E04"/>
    <w:rPr>
      <w:sz w:val="20"/>
      <w:szCs w:val="20"/>
    </w:rPr>
  </w:style>
  <w:style w:type="character" w:customStyle="1" w:styleId="NotedefinCar">
    <w:name w:val="Note de fin Car"/>
    <w:basedOn w:val="Policepardfaut"/>
    <w:link w:val="Notedefin"/>
    <w:uiPriority w:val="99"/>
    <w:semiHidden/>
    <w:rsid w:val="00A10E04"/>
    <w:rPr>
      <w:rFonts w:ascii="Times New Roman" w:eastAsia="Times New Roman" w:hAnsi="Times New Roman" w:cs="Times New Roman"/>
      <w:sz w:val="20"/>
      <w:szCs w:val="20"/>
      <w:lang w:val="en-US" w:bidi="en-US"/>
    </w:rPr>
  </w:style>
  <w:style w:type="character" w:styleId="Appeldenotedefin">
    <w:name w:val="endnote reference"/>
    <w:uiPriority w:val="99"/>
    <w:semiHidden/>
    <w:unhideWhenUsed/>
    <w:rsid w:val="00A10E04"/>
    <w:rPr>
      <w:vertAlign w:val="superscript"/>
    </w:rPr>
  </w:style>
  <w:style w:type="character" w:styleId="lev">
    <w:name w:val="Strong"/>
    <w:uiPriority w:val="22"/>
    <w:qFormat/>
    <w:rsid w:val="00A10E04"/>
    <w:rPr>
      <w:b/>
      <w:bCs/>
    </w:rPr>
  </w:style>
  <w:style w:type="table" w:customStyle="1" w:styleId="Trameclaire-Accent12">
    <w:name w:val="Trame claire - Accent 12"/>
    <w:basedOn w:val="TableauNormal"/>
    <w:uiPriority w:val="60"/>
    <w:rsid w:val="00A10E04"/>
    <w:pPr>
      <w:spacing w:after="0" w:line="240" w:lineRule="auto"/>
    </w:pPr>
    <w:rPr>
      <w:rFonts w:ascii="Calibri" w:eastAsia="Calibri" w:hAnsi="Calibri" w:cs="Times New Roman"/>
      <w:color w:val="365F91"/>
      <w:sz w:val="20"/>
      <w:szCs w:val="20"/>
      <w:lang w:eastAsia="fr-F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customStyle="1" w:styleId="Mention">
    <w:name w:val="Mention"/>
    <w:basedOn w:val="Policepardfaut"/>
    <w:uiPriority w:val="99"/>
    <w:semiHidden/>
    <w:unhideWhenUsed/>
    <w:rsid w:val="00F6718C"/>
    <w:rPr>
      <w:color w:val="2B579A"/>
      <w:shd w:val="clear" w:color="auto" w:fill="E6E6E6"/>
    </w:rPr>
  </w:style>
  <w:style w:type="paragraph" w:customStyle="1" w:styleId="Sansinterligne1">
    <w:name w:val="Sans interligne1"/>
    <w:uiPriority w:val="1"/>
    <w:qFormat/>
    <w:rsid w:val="009E5A04"/>
    <w:pPr>
      <w:spacing w:after="0" w:line="240" w:lineRule="auto"/>
    </w:pPr>
    <w:rPr>
      <w:rFonts w:ascii="Times New Roman" w:eastAsia="Times New Roman" w:hAnsi="Times New Roman" w:cs="Times New Roman"/>
    </w:rPr>
  </w:style>
  <w:style w:type="character" w:customStyle="1" w:styleId="Caractresdenotedebasdepage">
    <w:name w:val="Caractères de note de bas de page"/>
    <w:rsid w:val="006834AD"/>
    <w:rPr>
      <w:rFonts w:cs="Times New Roman"/>
      <w:vertAlign w:val="superscript"/>
    </w:rPr>
  </w:style>
  <w:style w:type="character" w:customStyle="1" w:styleId="NotedebasdepageCar1">
    <w:name w:val="Note de bas de page Car1"/>
    <w:basedOn w:val="Policepardfaut"/>
    <w:rsid w:val="006834AD"/>
    <w:rPr>
      <w:rFonts w:ascii="Calibri" w:eastAsia="Times New Roman" w:hAnsi="Calibri" w:cs="Times New Roman"/>
      <w:sz w:val="20"/>
      <w:szCs w:val="20"/>
      <w:lang w:eastAsia="zh-CN"/>
    </w:rPr>
  </w:style>
  <w:style w:type="character" w:customStyle="1" w:styleId="Ancredenotedebasdepage">
    <w:name w:val="Ancre de note de bas de page"/>
    <w:rsid w:val="006834AD"/>
    <w:rPr>
      <w:vertAlign w:val="superscript"/>
    </w:rPr>
  </w:style>
  <w:style w:type="paragraph" w:customStyle="1" w:styleId="texteespapres">
    <w:name w:val="texteespapres"/>
    <w:basedOn w:val="Normal"/>
    <w:rsid w:val="007526D5"/>
    <w:pPr>
      <w:spacing w:after="150"/>
    </w:pPr>
    <w:rPr>
      <w:sz w:val="18"/>
      <w:szCs w:val="18"/>
      <w:lang w:eastAsia="fr-F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91816">
      <w:bodyDiv w:val="1"/>
      <w:marLeft w:val="0"/>
      <w:marRight w:val="0"/>
      <w:marTop w:val="0"/>
      <w:marBottom w:val="0"/>
      <w:divBdr>
        <w:top w:val="none" w:sz="0" w:space="0" w:color="auto"/>
        <w:left w:val="none" w:sz="0" w:space="0" w:color="auto"/>
        <w:bottom w:val="none" w:sz="0" w:space="0" w:color="auto"/>
        <w:right w:val="none" w:sz="0" w:space="0" w:color="auto"/>
      </w:divBdr>
    </w:div>
    <w:div w:id="12847865">
      <w:bodyDiv w:val="1"/>
      <w:marLeft w:val="0"/>
      <w:marRight w:val="0"/>
      <w:marTop w:val="0"/>
      <w:marBottom w:val="0"/>
      <w:divBdr>
        <w:top w:val="none" w:sz="0" w:space="0" w:color="auto"/>
        <w:left w:val="none" w:sz="0" w:space="0" w:color="auto"/>
        <w:bottom w:val="none" w:sz="0" w:space="0" w:color="auto"/>
        <w:right w:val="none" w:sz="0" w:space="0" w:color="auto"/>
      </w:divBdr>
    </w:div>
    <w:div w:id="34741405">
      <w:bodyDiv w:val="1"/>
      <w:marLeft w:val="0"/>
      <w:marRight w:val="0"/>
      <w:marTop w:val="0"/>
      <w:marBottom w:val="0"/>
      <w:divBdr>
        <w:top w:val="none" w:sz="0" w:space="0" w:color="auto"/>
        <w:left w:val="none" w:sz="0" w:space="0" w:color="auto"/>
        <w:bottom w:val="none" w:sz="0" w:space="0" w:color="auto"/>
        <w:right w:val="none" w:sz="0" w:space="0" w:color="auto"/>
      </w:divBdr>
    </w:div>
    <w:div w:id="49689741">
      <w:bodyDiv w:val="1"/>
      <w:marLeft w:val="0"/>
      <w:marRight w:val="0"/>
      <w:marTop w:val="0"/>
      <w:marBottom w:val="0"/>
      <w:divBdr>
        <w:top w:val="none" w:sz="0" w:space="0" w:color="auto"/>
        <w:left w:val="none" w:sz="0" w:space="0" w:color="auto"/>
        <w:bottom w:val="none" w:sz="0" w:space="0" w:color="auto"/>
        <w:right w:val="none" w:sz="0" w:space="0" w:color="auto"/>
      </w:divBdr>
    </w:div>
    <w:div w:id="80419214">
      <w:bodyDiv w:val="1"/>
      <w:marLeft w:val="0"/>
      <w:marRight w:val="0"/>
      <w:marTop w:val="0"/>
      <w:marBottom w:val="0"/>
      <w:divBdr>
        <w:top w:val="none" w:sz="0" w:space="0" w:color="auto"/>
        <w:left w:val="none" w:sz="0" w:space="0" w:color="auto"/>
        <w:bottom w:val="none" w:sz="0" w:space="0" w:color="auto"/>
        <w:right w:val="none" w:sz="0" w:space="0" w:color="auto"/>
      </w:divBdr>
    </w:div>
    <w:div w:id="149911279">
      <w:bodyDiv w:val="1"/>
      <w:marLeft w:val="0"/>
      <w:marRight w:val="0"/>
      <w:marTop w:val="0"/>
      <w:marBottom w:val="0"/>
      <w:divBdr>
        <w:top w:val="none" w:sz="0" w:space="0" w:color="auto"/>
        <w:left w:val="none" w:sz="0" w:space="0" w:color="auto"/>
        <w:bottom w:val="none" w:sz="0" w:space="0" w:color="auto"/>
        <w:right w:val="none" w:sz="0" w:space="0" w:color="auto"/>
      </w:divBdr>
    </w:div>
    <w:div w:id="169027920">
      <w:bodyDiv w:val="1"/>
      <w:marLeft w:val="0"/>
      <w:marRight w:val="0"/>
      <w:marTop w:val="0"/>
      <w:marBottom w:val="0"/>
      <w:divBdr>
        <w:top w:val="none" w:sz="0" w:space="0" w:color="auto"/>
        <w:left w:val="none" w:sz="0" w:space="0" w:color="auto"/>
        <w:bottom w:val="none" w:sz="0" w:space="0" w:color="auto"/>
        <w:right w:val="none" w:sz="0" w:space="0" w:color="auto"/>
      </w:divBdr>
    </w:div>
    <w:div w:id="235558496">
      <w:bodyDiv w:val="1"/>
      <w:marLeft w:val="0"/>
      <w:marRight w:val="0"/>
      <w:marTop w:val="0"/>
      <w:marBottom w:val="0"/>
      <w:divBdr>
        <w:top w:val="none" w:sz="0" w:space="0" w:color="auto"/>
        <w:left w:val="none" w:sz="0" w:space="0" w:color="auto"/>
        <w:bottom w:val="none" w:sz="0" w:space="0" w:color="auto"/>
        <w:right w:val="none" w:sz="0" w:space="0" w:color="auto"/>
      </w:divBdr>
    </w:div>
    <w:div w:id="238640658">
      <w:bodyDiv w:val="1"/>
      <w:marLeft w:val="0"/>
      <w:marRight w:val="0"/>
      <w:marTop w:val="0"/>
      <w:marBottom w:val="0"/>
      <w:divBdr>
        <w:top w:val="none" w:sz="0" w:space="0" w:color="auto"/>
        <w:left w:val="none" w:sz="0" w:space="0" w:color="auto"/>
        <w:bottom w:val="none" w:sz="0" w:space="0" w:color="auto"/>
        <w:right w:val="none" w:sz="0" w:space="0" w:color="auto"/>
      </w:divBdr>
    </w:div>
    <w:div w:id="265424674">
      <w:bodyDiv w:val="1"/>
      <w:marLeft w:val="0"/>
      <w:marRight w:val="0"/>
      <w:marTop w:val="0"/>
      <w:marBottom w:val="0"/>
      <w:divBdr>
        <w:top w:val="none" w:sz="0" w:space="0" w:color="auto"/>
        <w:left w:val="none" w:sz="0" w:space="0" w:color="auto"/>
        <w:bottom w:val="none" w:sz="0" w:space="0" w:color="auto"/>
        <w:right w:val="none" w:sz="0" w:space="0" w:color="auto"/>
      </w:divBdr>
    </w:div>
    <w:div w:id="326711705">
      <w:bodyDiv w:val="1"/>
      <w:marLeft w:val="0"/>
      <w:marRight w:val="0"/>
      <w:marTop w:val="0"/>
      <w:marBottom w:val="0"/>
      <w:divBdr>
        <w:top w:val="none" w:sz="0" w:space="0" w:color="auto"/>
        <w:left w:val="none" w:sz="0" w:space="0" w:color="auto"/>
        <w:bottom w:val="none" w:sz="0" w:space="0" w:color="auto"/>
        <w:right w:val="none" w:sz="0" w:space="0" w:color="auto"/>
      </w:divBdr>
    </w:div>
    <w:div w:id="340397518">
      <w:bodyDiv w:val="1"/>
      <w:marLeft w:val="0"/>
      <w:marRight w:val="0"/>
      <w:marTop w:val="0"/>
      <w:marBottom w:val="0"/>
      <w:divBdr>
        <w:top w:val="none" w:sz="0" w:space="0" w:color="auto"/>
        <w:left w:val="none" w:sz="0" w:space="0" w:color="auto"/>
        <w:bottom w:val="none" w:sz="0" w:space="0" w:color="auto"/>
        <w:right w:val="none" w:sz="0" w:space="0" w:color="auto"/>
      </w:divBdr>
    </w:div>
    <w:div w:id="478687929">
      <w:bodyDiv w:val="1"/>
      <w:marLeft w:val="0"/>
      <w:marRight w:val="0"/>
      <w:marTop w:val="0"/>
      <w:marBottom w:val="0"/>
      <w:divBdr>
        <w:top w:val="none" w:sz="0" w:space="0" w:color="auto"/>
        <w:left w:val="none" w:sz="0" w:space="0" w:color="auto"/>
        <w:bottom w:val="none" w:sz="0" w:space="0" w:color="auto"/>
        <w:right w:val="none" w:sz="0" w:space="0" w:color="auto"/>
      </w:divBdr>
    </w:div>
    <w:div w:id="489099440">
      <w:bodyDiv w:val="1"/>
      <w:marLeft w:val="0"/>
      <w:marRight w:val="0"/>
      <w:marTop w:val="0"/>
      <w:marBottom w:val="0"/>
      <w:divBdr>
        <w:top w:val="none" w:sz="0" w:space="0" w:color="auto"/>
        <w:left w:val="none" w:sz="0" w:space="0" w:color="auto"/>
        <w:bottom w:val="none" w:sz="0" w:space="0" w:color="auto"/>
        <w:right w:val="none" w:sz="0" w:space="0" w:color="auto"/>
      </w:divBdr>
    </w:div>
    <w:div w:id="528836688">
      <w:bodyDiv w:val="1"/>
      <w:marLeft w:val="0"/>
      <w:marRight w:val="0"/>
      <w:marTop w:val="0"/>
      <w:marBottom w:val="0"/>
      <w:divBdr>
        <w:top w:val="none" w:sz="0" w:space="0" w:color="auto"/>
        <w:left w:val="none" w:sz="0" w:space="0" w:color="auto"/>
        <w:bottom w:val="none" w:sz="0" w:space="0" w:color="auto"/>
        <w:right w:val="none" w:sz="0" w:space="0" w:color="auto"/>
      </w:divBdr>
    </w:div>
    <w:div w:id="534267912">
      <w:bodyDiv w:val="1"/>
      <w:marLeft w:val="0"/>
      <w:marRight w:val="0"/>
      <w:marTop w:val="0"/>
      <w:marBottom w:val="0"/>
      <w:divBdr>
        <w:top w:val="none" w:sz="0" w:space="0" w:color="auto"/>
        <w:left w:val="none" w:sz="0" w:space="0" w:color="auto"/>
        <w:bottom w:val="none" w:sz="0" w:space="0" w:color="auto"/>
        <w:right w:val="none" w:sz="0" w:space="0" w:color="auto"/>
      </w:divBdr>
    </w:div>
    <w:div w:id="542376104">
      <w:bodyDiv w:val="1"/>
      <w:marLeft w:val="0"/>
      <w:marRight w:val="0"/>
      <w:marTop w:val="0"/>
      <w:marBottom w:val="0"/>
      <w:divBdr>
        <w:top w:val="none" w:sz="0" w:space="0" w:color="auto"/>
        <w:left w:val="none" w:sz="0" w:space="0" w:color="auto"/>
        <w:bottom w:val="none" w:sz="0" w:space="0" w:color="auto"/>
        <w:right w:val="none" w:sz="0" w:space="0" w:color="auto"/>
      </w:divBdr>
    </w:div>
    <w:div w:id="585117552">
      <w:bodyDiv w:val="1"/>
      <w:marLeft w:val="0"/>
      <w:marRight w:val="0"/>
      <w:marTop w:val="0"/>
      <w:marBottom w:val="0"/>
      <w:divBdr>
        <w:top w:val="none" w:sz="0" w:space="0" w:color="auto"/>
        <w:left w:val="none" w:sz="0" w:space="0" w:color="auto"/>
        <w:bottom w:val="none" w:sz="0" w:space="0" w:color="auto"/>
        <w:right w:val="none" w:sz="0" w:space="0" w:color="auto"/>
      </w:divBdr>
    </w:div>
    <w:div w:id="645400180">
      <w:bodyDiv w:val="1"/>
      <w:marLeft w:val="0"/>
      <w:marRight w:val="0"/>
      <w:marTop w:val="0"/>
      <w:marBottom w:val="0"/>
      <w:divBdr>
        <w:top w:val="none" w:sz="0" w:space="0" w:color="auto"/>
        <w:left w:val="none" w:sz="0" w:space="0" w:color="auto"/>
        <w:bottom w:val="none" w:sz="0" w:space="0" w:color="auto"/>
        <w:right w:val="none" w:sz="0" w:space="0" w:color="auto"/>
      </w:divBdr>
    </w:div>
    <w:div w:id="757798357">
      <w:bodyDiv w:val="1"/>
      <w:marLeft w:val="0"/>
      <w:marRight w:val="0"/>
      <w:marTop w:val="0"/>
      <w:marBottom w:val="0"/>
      <w:divBdr>
        <w:top w:val="none" w:sz="0" w:space="0" w:color="auto"/>
        <w:left w:val="none" w:sz="0" w:space="0" w:color="auto"/>
        <w:bottom w:val="none" w:sz="0" w:space="0" w:color="auto"/>
        <w:right w:val="none" w:sz="0" w:space="0" w:color="auto"/>
      </w:divBdr>
    </w:div>
    <w:div w:id="770322715">
      <w:bodyDiv w:val="1"/>
      <w:marLeft w:val="0"/>
      <w:marRight w:val="0"/>
      <w:marTop w:val="0"/>
      <w:marBottom w:val="0"/>
      <w:divBdr>
        <w:top w:val="none" w:sz="0" w:space="0" w:color="auto"/>
        <w:left w:val="none" w:sz="0" w:space="0" w:color="auto"/>
        <w:bottom w:val="none" w:sz="0" w:space="0" w:color="auto"/>
        <w:right w:val="none" w:sz="0" w:space="0" w:color="auto"/>
      </w:divBdr>
    </w:div>
    <w:div w:id="780881723">
      <w:bodyDiv w:val="1"/>
      <w:marLeft w:val="0"/>
      <w:marRight w:val="0"/>
      <w:marTop w:val="0"/>
      <w:marBottom w:val="0"/>
      <w:divBdr>
        <w:top w:val="none" w:sz="0" w:space="0" w:color="auto"/>
        <w:left w:val="none" w:sz="0" w:space="0" w:color="auto"/>
        <w:bottom w:val="none" w:sz="0" w:space="0" w:color="auto"/>
        <w:right w:val="none" w:sz="0" w:space="0" w:color="auto"/>
      </w:divBdr>
    </w:div>
    <w:div w:id="805779244">
      <w:bodyDiv w:val="1"/>
      <w:marLeft w:val="0"/>
      <w:marRight w:val="0"/>
      <w:marTop w:val="0"/>
      <w:marBottom w:val="0"/>
      <w:divBdr>
        <w:top w:val="none" w:sz="0" w:space="0" w:color="auto"/>
        <w:left w:val="none" w:sz="0" w:space="0" w:color="auto"/>
        <w:bottom w:val="none" w:sz="0" w:space="0" w:color="auto"/>
        <w:right w:val="none" w:sz="0" w:space="0" w:color="auto"/>
      </w:divBdr>
    </w:div>
    <w:div w:id="825632828">
      <w:bodyDiv w:val="1"/>
      <w:marLeft w:val="0"/>
      <w:marRight w:val="0"/>
      <w:marTop w:val="0"/>
      <w:marBottom w:val="0"/>
      <w:divBdr>
        <w:top w:val="none" w:sz="0" w:space="0" w:color="auto"/>
        <w:left w:val="none" w:sz="0" w:space="0" w:color="auto"/>
        <w:bottom w:val="none" w:sz="0" w:space="0" w:color="auto"/>
        <w:right w:val="none" w:sz="0" w:space="0" w:color="auto"/>
      </w:divBdr>
    </w:div>
    <w:div w:id="891387731">
      <w:bodyDiv w:val="1"/>
      <w:marLeft w:val="0"/>
      <w:marRight w:val="0"/>
      <w:marTop w:val="0"/>
      <w:marBottom w:val="0"/>
      <w:divBdr>
        <w:top w:val="none" w:sz="0" w:space="0" w:color="auto"/>
        <w:left w:val="none" w:sz="0" w:space="0" w:color="auto"/>
        <w:bottom w:val="none" w:sz="0" w:space="0" w:color="auto"/>
        <w:right w:val="none" w:sz="0" w:space="0" w:color="auto"/>
      </w:divBdr>
    </w:div>
    <w:div w:id="1031883418">
      <w:bodyDiv w:val="1"/>
      <w:marLeft w:val="0"/>
      <w:marRight w:val="0"/>
      <w:marTop w:val="0"/>
      <w:marBottom w:val="0"/>
      <w:divBdr>
        <w:top w:val="none" w:sz="0" w:space="0" w:color="auto"/>
        <w:left w:val="none" w:sz="0" w:space="0" w:color="auto"/>
        <w:bottom w:val="none" w:sz="0" w:space="0" w:color="auto"/>
        <w:right w:val="none" w:sz="0" w:space="0" w:color="auto"/>
      </w:divBdr>
    </w:div>
    <w:div w:id="1050569082">
      <w:bodyDiv w:val="1"/>
      <w:marLeft w:val="0"/>
      <w:marRight w:val="0"/>
      <w:marTop w:val="0"/>
      <w:marBottom w:val="0"/>
      <w:divBdr>
        <w:top w:val="none" w:sz="0" w:space="0" w:color="auto"/>
        <w:left w:val="none" w:sz="0" w:space="0" w:color="auto"/>
        <w:bottom w:val="none" w:sz="0" w:space="0" w:color="auto"/>
        <w:right w:val="none" w:sz="0" w:space="0" w:color="auto"/>
      </w:divBdr>
    </w:div>
    <w:div w:id="1191844381">
      <w:bodyDiv w:val="1"/>
      <w:marLeft w:val="0"/>
      <w:marRight w:val="0"/>
      <w:marTop w:val="0"/>
      <w:marBottom w:val="0"/>
      <w:divBdr>
        <w:top w:val="none" w:sz="0" w:space="0" w:color="auto"/>
        <w:left w:val="none" w:sz="0" w:space="0" w:color="auto"/>
        <w:bottom w:val="none" w:sz="0" w:space="0" w:color="auto"/>
        <w:right w:val="none" w:sz="0" w:space="0" w:color="auto"/>
      </w:divBdr>
    </w:div>
    <w:div w:id="1220632168">
      <w:bodyDiv w:val="1"/>
      <w:marLeft w:val="0"/>
      <w:marRight w:val="0"/>
      <w:marTop w:val="0"/>
      <w:marBottom w:val="0"/>
      <w:divBdr>
        <w:top w:val="none" w:sz="0" w:space="0" w:color="auto"/>
        <w:left w:val="none" w:sz="0" w:space="0" w:color="auto"/>
        <w:bottom w:val="none" w:sz="0" w:space="0" w:color="auto"/>
        <w:right w:val="none" w:sz="0" w:space="0" w:color="auto"/>
      </w:divBdr>
    </w:div>
    <w:div w:id="1281298295">
      <w:bodyDiv w:val="1"/>
      <w:marLeft w:val="0"/>
      <w:marRight w:val="0"/>
      <w:marTop w:val="0"/>
      <w:marBottom w:val="0"/>
      <w:divBdr>
        <w:top w:val="none" w:sz="0" w:space="0" w:color="auto"/>
        <w:left w:val="none" w:sz="0" w:space="0" w:color="auto"/>
        <w:bottom w:val="none" w:sz="0" w:space="0" w:color="auto"/>
        <w:right w:val="none" w:sz="0" w:space="0" w:color="auto"/>
      </w:divBdr>
    </w:div>
    <w:div w:id="1292134849">
      <w:bodyDiv w:val="1"/>
      <w:marLeft w:val="0"/>
      <w:marRight w:val="0"/>
      <w:marTop w:val="0"/>
      <w:marBottom w:val="0"/>
      <w:divBdr>
        <w:top w:val="none" w:sz="0" w:space="0" w:color="auto"/>
        <w:left w:val="none" w:sz="0" w:space="0" w:color="auto"/>
        <w:bottom w:val="none" w:sz="0" w:space="0" w:color="auto"/>
        <w:right w:val="none" w:sz="0" w:space="0" w:color="auto"/>
      </w:divBdr>
    </w:div>
    <w:div w:id="1331368495">
      <w:bodyDiv w:val="1"/>
      <w:marLeft w:val="0"/>
      <w:marRight w:val="0"/>
      <w:marTop w:val="0"/>
      <w:marBottom w:val="0"/>
      <w:divBdr>
        <w:top w:val="none" w:sz="0" w:space="0" w:color="auto"/>
        <w:left w:val="none" w:sz="0" w:space="0" w:color="auto"/>
        <w:bottom w:val="none" w:sz="0" w:space="0" w:color="auto"/>
        <w:right w:val="none" w:sz="0" w:space="0" w:color="auto"/>
      </w:divBdr>
    </w:div>
    <w:div w:id="1344357706">
      <w:bodyDiv w:val="1"/>
      <w:marLeft w:val="0"/>
      <w:marRight w:val="0"/>
      <w:marTop w:val="0"/>
      <w:marBottom w:val="0"/>
      <w:divBdr>
        <w:top w:val="none" w:sz="0" w:space="0" w:color="auto"/>
        <w:left w:val="none" w:sz="0" w:space="0" w:color="auto"/>
        <w:bottom w:val="none" w:sz="0" w:space="0" w:color="auto"/>
        <w:right w:val="none" w:sz="0" w:space="0" w:color="auto"/>
      </w:divBdr>
    </w:div>
    <w:div w:id="1446584453">
      <w:bodyDiv w:val="1"/>
      <w:marLeft w:val="0"/>
      <w:marRight w:val="0"/>
      <w:marTop w:val="0"/>
      <w:marBottom w:val="0"/>
      <w:divBdr>
        <w:top w:val="none" w:sz="0" w:space="0" w:color="auto"/>
        <w:left w:val="none" w:sz="0" w:space="0" w:color="auto"/>
        <w:bottom w:val="none" w:sz="0" w:space="0" w:color="auto"/>
        <w:right w:val="none" w:sz="0" w:space="0" w:color="auto"/>
      </w:divBdr>
    </w:div>
    <w:div w:id="1461805530">
      <w:bodyDiv w:val="1"/>
      <w:marLeft w:val="0"/>
      <w:marRight w:val="0"/>
      <w:marTop w:val="0"/>
      <w:marBottom w:val="0"/>
      <w:divBdr>
        <w:top w:val="none" w:sz="0" w:space="0" w:color="auto"/>
        <w:left w:val="none" w:sz="0" w:space="0" w:color="auto"/>
        <w:bottom w:val="none" w:sz="0" w:space="0" w:color="auto"/>
        <w:right w:val="none" w:sz="0" w:space="0" w:color="auto"/>
      </w:divBdr>
    </w:div>
    <w:div w:id="1467159198">
      <w:bodyDiv w:val="1"/>
      <w:marLeft w:val="0"/>
      <w:marRight w:val="0"/>
      <w:marTop w:val="0"/>
      <w:marBottom w:val="0"/>
      <w:divBdr>
        <w:top w:val="none" w:sz="0" w:space="0" w:color="auto"/>
        <w:left w:val="none" w:sz="0" w:space="0" w:color="auto"/>
        <w:bottom w:val="none" w:sz="0" w:space="0" w:color="auto"/>
        <w:right w:val="none" w:sz="0" w:space="0" w:color="auto"/>
      </w:divBdr>
    </w:div>
    <w:div w:id="1494104649">
      <w:bodyDiv w:val="1"/>
      <w:marLeft w:val="0"/>
      <w:marRight w:val="0"/>
      <w:marTop w:val="0"/>
      <w:marBottom w:val="0"/>
      <w:divBdr>
        <w:top w:val="none" w:sz="0" w:space="0" w:color="auto"/>
        <w:left w:val="none" w:sz="0" w:space="0" w:color="auto"/>
        <w:bottom w:val="none" w:sz="0" w:space="0" w:color="auto"/>
        <w:right w:val="none" w:sz="0" w:space="0" w:color="auto"/>
      </w:divBdr>
    </w:div>
    <w:div w:id="1526215176">
      <w:bodyDiv w:val="1"/>
      <w:marLeft w:val="0"/>
      <w:marRight w:val="0"/>
      <w:marTop w:val="0"/>
      <w:marBottom w:val="0"/>
      <w:divBdr>
        <w:top w:val="none" w:sz="0" w:space="0" w:color="auto"/>
        <w:left w:val="none" w:sz="0" w:space="0" w:color="auto"/>
        <w:bottom w:val="none" w:sz="0" w:space="0" w:color="auto"/>
        <w:right w:val="none" w:sz="0" w:space="0" w:color="auto"/>
      </w:divBdr>
    </w:div>
    <w:div w:id="1542589285">
      <w:bodyDiv w:val="1"/>
      <w:marLeft w:val="0"/>
      <w:marRight w:val="0"/>
      <w:marTop w:val="0"/>
      <w:marBottom w:val="0"/>
      <w:divBdr>
        <w:top w:val="none" w:sz="0" w:space="0" w:color="auto"/>
        <w:left w:val="none" w:sz="0" w:space="0" w:color="auto"/>
        <w:bottom w:val="none" w:sz="0" w:space="0" w:color="auto"/>
        <w:right w:val="none" w:sz="0" w:space="0" w:color="auto"/>
      </w:divBdr>
    </w:div>
    <w:div w:id="1549413810">
      <w:bodyDiv w:val="1"/>
      <w:marLeft w:val="0"/>
      <w:marRight w:val="0"/>
      <w:marTop w:val="0"/>
      <w:marBottom w:val="0"/>
      <w:divBdr>
        <w:top w:val="none" w:sz="0" w:space="0" w:color="auto"/>
        <w:left w:val="none" w:sz="0" w:space="0" w:color="auto"/>
        <w:bottom w:val="none" w:sz="0" w:space="0" w:color="auto"/>
        <w:right w:val="none" w:sz="0" w:space="0" w:color="auto"/>
      </w:divBdr>
    </w:div>
    <w:div w:id="1576209693">
      <w:bodyDiv w:val="1"/>
      <w:marLeft w:val="0"/>
      <w:marRight w:val="0"/>
      <w:marTop w:val="0"/>
      <w:marBottom w:val="0"/>
      <w:divBdr>
        <w:top w:val="none" w:sz="0" w:space="0" w:color="auto"/>
        <w:left w:val="none" w:sz="0" w:space="0" w:color="auto"/>
        <w:bottom w:val="none" w:sz="0" w:space="0" w:color="auto"/>
        <w:right w:val="none" w:sz="0" w:space="0" w:color="auto"/>
      </w:divBdr>
    </w:div>
    <w:div w:id="1600867638">
      <w:bodyDiv w:val="1"/>
      <w:marLeft w:val="0"/>
      <w:marRight w:val="0"/>
      <w:marTop w:val="0"/>
      <w:marBottom w:val="0"/>
      <w:divBdr>
        <w:top w:val="none" w:sz="0" w:space="0" w:color="auto"/>
        <w:left w:val="none" w:sz="0" w:space="0" w:color="auto"/>
        <w:bottom w:val="none" w:sz="0" w:space="0" w:color="auto"/>
        <w:right w:val="none" w:sz="0" w:space="0" w:color="auto"/>
      </w:divBdr>
    </w:div>
    <w:div w:id="1638801738">
      <w:bodyDiv w:val="1"/>
      <w:marLeft w:val="0"/>
      <w:marRight w:val="0"/>
      <w:marTop w:val="0"/>
      <w:marBottom w:val="0"/>
      <w:divBdr>
        <w:top w:val="none" w:sz="0" w:space="0" w:color="auto"/>
        <w:left w:val="none" w:sz="0" w:space="0" w:color="auto"/>
        <w:bottom w:val="none" w:sz="0" w:space="0" w:color="auto"/>
        <w:right w:val="none" w:sz="0" w:space="0" w:color="auto"/>
      </w:divBdr>
    </w:div>
    <w:div w:id="1687753120">
      <w:bodyDiv w:val="1"/>
      <w:marLeft w:val="0"/>
      <w:marRight w:val="0"/>
      <w:marTop w:val="0"/>
      <w:marBottom w:val="0"/>
      <w:divBdr>
        <w:top w:val="none" w:sz="0" w:space="0" w:color="auto"/>
        <w:left w:val="none" w:sz="0" w:space="0" w:color="auto"/>
        <w:bottom w:val="none" w:sz="0" w:space="0" w:color="auto"/>
        <w:right w:val="none" w:sz="0" w:space="0" w:color="auto"/>
      </w:divBdr>
    </w:div>
    <w:div w:id="1740131245">
      <w:bodyDiv w:val="1"/>
      <w:marLeft w:val="0"/>
      <w:marRight w:val="0"/>
      <w:marTop w:val="0"/>
      <w:marBottom w:val="0"/>
      <w:divBdr>
        <w:top w:val="none" w:sz="0" w:space="0" w:color="auto"/>
        <w:left w:val="none" w:sz="0" w:space="0" w:color="auto"/>
        <w:bottom w:val="none" w:sz="0" w:space="0" w:color="auto"/>
        <w:right w:val="none" w:sz="0" w:space="0" w:color="auto"/>
      </w:divBdr>
    </w:div>
    <w:div w:id="1752309614">
      <w:bodyDiv w:val="1"/>
      <w:marLeft w:val="0"/>
      <w:marRight w:val="0"/>
      <w:marTop w:val="0"/>
      <w:marBottom w:val="0"/>
      <w:divBdr>
        <w:top w:val="none" w:sz="0" w:space="0" w:color="auto"/>
        <w:left w:val="none" w:sz="0" w:space="0" w:color="auto"/>
        <w:bottom w:val="none" w:sz="0" w:space="0" w:color="auto"/>
        <w:right w:val="none" w:sz="0" w:space="0" w:color="auto"/>
      </w:divBdr>
    </w:div>
    <w:div w:id="1825930724">
      <w:bodyDiv w:val="1"/>
      <w:marLeft w:val="0"/>
      <w:marRight w:val="0"/>
      <w:marTop w:val="0"/>
      <w:marBottom w:val="0"/>
      <w:divBdr>
        <w:top w:val="none" w:sz="0" w:space="0" w:color="auto"/>
        <w:left w:val="none" w:sz="0" w:space="0" w:color="auto"/>
        <w:bottom w:val="none" w:sz="0" w:space="0" w:color="auto"/>
        <w:right w:val="none" w:sz="0" w:space="0" w:color="auto"/>
      </w:divBdr>
    </w:div>
    <w:div w:id="1831096052">
      <w:bodyDiv w:val="1"/>
      <w:marLeft w:val="0"/>
      <w:marRight w:val="0"/>
      <w:marTop w:val="0"/>
      <w:marBottom w:val="0"/>
      <w:divBdr>
        <w:top w:val="none" w:sz="0" w:space="0" w:color="auto"/>
        <w:left w:val="none" w:sz="0" w:space="0" w:color="auto"/>
        <w:bottom w:val="none" w:sz="0" w:space="0" w:color="auto"/>
        <w:right w:val="none" w:sz="0" w:space="0" w:color="auto"/>
      </w:divBdr>
    </w:div>
    <w:div w:id="2005929811">
      <w:bodyDiv w:val="1"/>
      <w:marLeft w:val="0"/>
      <w:marRight w:val="0"/>
      <w:marTop w:val="0"/>
      <w:marBottom w:val="0"/>
      <w:divBdr>
        <w:top w:val="none" w:sz="0" w:space="0" w:color="auto"/>
        <w:left w:val="none" w:sz="0" w:space="0" w:color="auto"/>
        <w:bottom w:val="none" w:sz="0" w:space="0" w:color="auto"/>
        <w:right w:val="none" w:sz="0" w:space="0" w:color="auto"/>
      </w:divBdr>
    </w:div>
    <w:div w:id="2013800880">
      <w:bodyDiv w:val="1"/>
      <w:marLeft w:val="0"/>
      <w:marRight w:val="0"/>
      <w:marTop w:val="0"/>
      <w:marBottom w:val="0"/>
      <w:divBdr>
        <w:top w:val="none" w:sz="0" w:space="0" w:color="auto"/>
        <w:left w:val="none" w:sz="0" w:space="0" w:color="auto"/>
        <w:bottom w:val="none" w:sz="0" w:space="0" w:color="auto"/>
        <w:right w:val="none" w:sz="0" w:space="0" w:color="auto"/>
      </w:divBdr>
    </w:div>
    <w:div w:id="2061467356">
      <w:bodyDiv w:val="1"/>
      <w:marLeft w:val="0"/>
      <w:marRight w:val="0"/>
      <w:marTop w:val="0"/>
      <w:marBottom w:val="0"/>
      <w:divBdr>
        <w:top w:val="none" w:sz="0" w:space="0" w:color="auto"/>
        <w:left w:val="none" w:sz="0" w:space="0" w:color="auto"/>
        <w:bottom w:val="none" w:sz="0" w:space="0" w:color="auto"/>
        <w:right w:val="none" w:sz="0" w:space="0" w:color="auto"/>
      </w:divBdr>
    </w:div>
    <w:div w:id="2102333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emf"/><Relationship Id="rId21" Type="http://schemas.openxmlformats.org/officeDocument/2006/relationships/image" Target="media/image12.png"/><Relationship Id="rId42" Type="http://schemas.openxmlformats.org/officeDocument/2006/relationships/chart" Target="charts/chart6.xml"/><Relationship Id="rId47" Type="http://schemas.openxmlformats.org/officeDocument/2006/relationships/image" Target="media/image29.png"/><Relationship Id="rId63" Type="http://schemas.openxmlformats.org/officeDocument/2006/relationships/image" Target="media/image37.emf"/><Relationship Id="rId68" Type="http://schemas.openxmlformats.org/officeDocument/2006/relationships/image" Target="media/image42.emf"/><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hart" Target="charts/chart1.xml"/><Relationship Id="rId29" Type="http://schemas.openxmlformats.org/officeDocument/2006/relationships/diagramData" Target="diagrams/data1.xml"/><Relationship Id="rId11" Type="http://schemas.openxmlformats.org/officeDocument/2006/relationships/image" Target="media/image4.png"/><Relationship Id="rId24" Type="http://schemas.openxmlformats.org/officeDocument/2006/relationships/chart" Target="charts/chart3.xml"/><Relationship Id="rId32" Type="http://schemas.openxmlformats.org/officeDocument/2006/relationships/diagramColors" Target="diagrams/colors1.xml"/><Relationship Id="rId37" Type="http://schemas.openxmlformats.org/officeDocument/2006/relationships/image" Target="media/image21.png"/><Relationship Id="rId40" Type="http://schemas.openxmlformats.org/officeDocument/2006/relationships/image" Target="media/image24.png"/><Relationship Id="rId45" Type="http://schemas.openxmlformats.org/officeDocument/2006/relationships/image" Target="media/image27.png"/><Relationship Id="rId53" Type="http://schemas.openxmlformats.org/officeDocument/2006/relationships/image" Target="media/image32.png"/><Relationship Id="rId58" Type="http://schemas.openxmlformats.org/officeDocument/2006/relationships/image" Target="media/image35.png"/><Relationship Id="rId66" Type="http://schemas.openxmlformats.org/officeDocument/2006/relationships/image" Target="media/image40.emf"/><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image" Target="media/image10.png"/><Relationship Id="rId14" Type="http://schemas.openxmlformats.org/officeDocument/2006/relationships/image" Target="media/image7.emf"/><Relationship Id="rId22" Type="http://schemas.openxmlformats.org/officeDocument/2006/relationships/image" Target="media/image13.png"/><Relationship Id="rId27" Type="http://schemas.openxmlformats.org/officeDocument/2006/relationships/image" Target="media/image17.emf"/><Relationship Id="rId30" Type="http://schemas.openxmlformats.org/officeDocument/2006/relationships/diagramLayout" Target="diagrams/layout1.xml"/><Relationship Id="rId35" Type="http://schemas.openxmlformats.org/officeDocument/2006/relationships/image" Target="media/image19.png"/><Relationship Id="rId43" Type="http://schemas.openxmlformats.org/officeDocument/2006/relationships/image" Target="media/image25.png"/><Relationship Id="rId48" Type="http://schemas.openxmlformats.org/officeDocument/2006/relationships/image" Target="media/image30.png"/><Relationship Id="rId56" Type="http://schemas.openxmlformats.org/officeDocument/2006/relationships/chart" Target="charts/chart11.xml"/><Relationship Id="rId64" Type="http://schemas.openxmlformats.org/officeDocument/2006/relationships/image" Target="media/image38.emf"/><Relationship Id="rId69" Type="http://schemas.openxmlformats.org/officeDocument/2006/relationships/image" Target="media/image43.emf"/><Relationship Id="rId8" Type="http://schemas.openxmlformats.org/officeDocument/2006/relationships/image" Target="media/image1.png"/><Relationship Id="rId51" Type="http://schemas.openxmlformats.org/officeDocument/2006/relationships/chart" Target="charts/chart9.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5.png"/><Relationship Id="rId33" Type="http://schemas.microsoft.com/office/2007/relationships/diagramDrawing" Target="diagrams/drawing1.xml"/><Relationship Id="rId38" Type="http://schemas.openxmlformats.org/officeDocument/2006/relationships/image" Target="media/image22.png"/><Relationship Id="rId46" Type="http://schemas.openxmlformats.org/officeDocument/2006/relationships/image" Target="media/image28.png"/><Relationship Id="rId59" Type="http://schemas.openxmlformats.org/officeDocument/2006/relationships/image" Target="media/image36.png"/><Relationship Id="rId67" Type="http://schemas.openxmlformats.org/officeDocument/2006/relationships/image" Target="media/image41.emf"/><Relationship Id="rId20" Type="http://schemas.openxmlformats.org/officeDocument/2006/relationships/image" Target="media/image11.png"/><Relationship Id="rId41" Type="http://schemas.openxmlformats.org/officeDocument/2006/relationships/chart" Target="charts/chart5.xml"/><Relationship Id="rId54" Type="http://schemas.openxmlformats.org/officeDocument/2006/relationships/image" Target="media/image33.emf"/><Relationship Id="rId62" Type="http://schemas.openxmlformats.org/officeDocument/2006/relationships/footer" Target="footer1.xml"/><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image" Target="media/image18.png"/><Relationship Id="rId36" Type="http://schemas.openxmlformats.org/officeDocument/2006/relationships/image" Target="media/image20.png"/><Relationship Id="rId49" Type="http://schemas.openxmlformats.org/officeDocument/2006/relationships/chart" Target="charts/chart7.xml"/><Relationship Id="rId57" Type="http://schemas.openxmlformats.org/officeDocument/2006/relationships/image" Target="media/image34.png"/><Relationship Id="rId10" Type="http://schemas.openxmlformats.org/officeDocument/2006/relationships/image" Target="media/image3.png"/><Relationship Id="rId31" Type="http://schemas.openxmlformats.org/officeDocument/2006/relationships/diagramQuickStyle" Target="diagrams/quickStyle1.xml"/><Relationship Id="rId44" Type="http://schemas.openxmlformats.org/officeDocument/2006/relationships/image" Target="media/image26.png"/><Relationship Id="rId52" Type="http://schemas.openxmlformats.org/officeDocument/2006/relationships/image" Target="media/image31.png"/><Relationship Id="rId60" Type="http://schemas.openxmlformats.org/officeDocument/2006/relationships/chart" Target="charts/chart12.xml"/><Relationship Id="rId65" Type="http://schemas.openxmlformats.org/officeDocument/2006/relationships/image" Target="media/image39.emf"/><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chart" Target="charts/chart2.xml"/><Relationship Id="rId39" Type="http://schemas.openxmlformats.org/officeDocument/2006/relationships/image" Target="media/image23.png"/><Relationship Id="rId34" Type="http://schemas.openxmlformats.org/officeDocument/2006/relationships/chart" Target="charts/chart4.xml"/><Relationship Id="rId50" Type="http://schemas.openxmlformats.org/officeDocument/2006/relationships/chart" Target="charts/chart8.xml"/><Relationship Id="rId55" Type="http://schemas.openxmlformats.org/officeDocument/2006/relationships/chart" Target="charts/chart10.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Toshiba\AppData\Local\Temp\Rapport%20express%20-%20tableau%20crois&#233;%20-%20Congo.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Etude%20%20CNS%20COG%202011-2015\S&#233;rie%20chronologique%201.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Etude%20%20CNS%20COG%202011-2015\S&#233;rie%20chronologique%20-%20tableau%20crois&#233;%20-%20Congo.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Toshiba\Desktop\CNS%20COG%202011-2015\Rapport%20express%20-%20tableau%20crois&#233;%20-%20fonds%20interne%20et%20externe%20du%20Gouv.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Toshiba\AppData\Local\Temp\Rapport%20express%20-%20tableau%20crois&#233;%20-%20Congo.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Toshiba\Desktop\CNS%20COG%202011-2015\Rapport%20express%20-%20tableau%20crois&#233;%20-%20Congo%20Prestataire%201.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Toshiba\Desktop\CNS%20COG%202011-2015\Rapport%20express%20-%20tableau%20crois&#233;%20-%20Congo%20Fonctions.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Toshiba\Desktop\CNS%20COG%202011-2015\M&#233;nage%20x%20HC.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Toshiba\AppData\Local\Temp\Rapport%20express%20-%20tableau%20crois&#233;%20-%20Congo.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Toshiba\AppData\Local\Temp\Rapport%20express%20-%20tableau%20crois&#233;%20-%20Congo.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F:\DCSXDIS%202011_2015.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Toshiba\AppData\Local\Temp\Toutes%20les%20maladies%20-%20Congo.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Tableau!$H$9</c:f>
              <c:strCache>
                <c:ptCount val="1"/>
                <c:pt idx="0">
                  <c:v>Dépense d'investissement</c:v>
                </c:pt>
              </c:strCache>
            </c:strRef>
          </c:tx>
          <c:invertIfNegative val="0"/>
          <c:dLbls>
            <c:spPr>
              <a:noFill/>
              <a:ln>
                <a:noFill/>
              </a:ln>
              <a:effectLst/>
            </c:spPr>
            <c:txPr>
              <a:bodyPr/>
              <a:lstStyle/>
              <a:p>
                <a:pPr>
                  <a:defRPr sz="700" b="1"/>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Tableau!$I$8:$M$8</c:f>
              <c:numCache>
                <c:formatCode>General</c:formatCode>
                <c:ptCount val="5"/>
                <c:pt idx="0">
                  <c:v>2011</c:v>
                </c:pt>
                <c:pt idx="1">
                  <c:v>2012</c:v>
                </c:pt>
                <c:pt idx="2">
                  <c:v>2013</c:v>
                </c:pt>
                <c:pt idx="3">
                  <c:v>2014</c:v>
                </c:pt>
                <c:pt idx="4">
                  <c:v>2015</c:v>
                </c:pt>
              </c:numCache>
            </c:numRef>
          </c:cat>
          <c:val>
            <c:numRef>
              <c:f>Tableau!$I$9:$M$9</c:f>
              <c:numCache>
                <c:formatCode>0%</c:formatCode>
                <c:ptCount val="5"/>
                <c:pt idx="0">
                  <c:v>3.6502514943481675E-2</c:v>
                </c:pt>
                <c:pt idx="1">
                  <c:v>0.12126491391707264</c:v>
                </c:pt>
                <c:pt idx="2">
                  <c:v>3.8835796352723856E-2</c:v>
                </c:pt>
                <c:pt idx="3">
                  <c:v>6.9307996811968753E-2</c:v>
                </c:pt>
                <c:pt idx="4">
                  <c:v>9.8809264904068772E-2</c:v>
                </c:pt>
              </c:numCache>
            </c:numRef>
          </c:val>
        </c:ser>
        <c:ser>
          <c:idx val="1"/>
          <c:order val="1"/>
          <c:tx>
            <c:strRef>
              <c:f>Tableau!$H$10</c:f>
              <c:strCache>
                <c:ptCount val="1"/>
                <c:pt idx="0">
                  <c:v>Dépense Courante</c:v>
                </c:pt>
              </c:strCache>
            </c:strRef>
          </c:tx>
          <c:invertIfNegative val="0"/>
          <c:dLbls>
            <c:spPr>
              <a:noFill/>
              <a:ln>
                <a:noFill/>
              </a:ln>
              <a:effectLst/>
            </c:spPr>
            <c:txPr>
              <a:bodyPr/>
              <a:lstStyle/>
              <a:p>
                <a:pPr>
                  <a:defRPr sz="700" b="1"/>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Tableau!$I$8:$M$8</c:f>
              <c:numCache>
                <c:formatCode>General</c:formatCode>
                <c:ptCount val="5"/>
                <c:pt idx="0">
                  <c:v>2011</c:v>
                </c:pt>
                <c:pt idx="1">
                  <c:v>2012</c:v>
                </c:pt>
                <c:pt idx="2">
                  <c:v>2013</c:v>
                </c:pt>
                <c:pt idx="3">
                  <c:v>2014</c:v>
                </c:pt>
                <c:pt idx="4">
                  <c:v>2015</c:v>
                </c:pt>
              </c:numCache>
            </c:numRef>
          </c:cat>
          <c:val>
            <c:numRef>
              <c:f>Tableau!$I$10:$M$10</c:f>
              <c:numCache>
                <c:formatCode>0%</c:formatCode>
                <c:ptCount val="5"/>
                <c:pt idx="0">
                  <c:v>0.98</c:v>
                </c:pt>
                <c:pt idx="1">
                  <c:v>0.87873508608292761</c:v>
                </c:pt>
                <c:pt idx="2">
                  <c:v>0.96116420364727662</c:v>
                </c:pt>
                <c:pt idx="3">
                  <c:v>0.93069200318803391</c:v>
                </c:pt>
                <c:pt idx="4">
                  <c:v>0.90119073509593117</c:v>
                </c:pt>
              </c:numCache>
            </c:numRef>
          </c:val>
        </c:ser>
        <c:dLbls>
          <c:showLegendKey val="0"/>
          <c:showVal val="0"/>
          <c:showCatName val="0"/>
          <c:showSerName val="0"/>
          <c:showPercent val="0"/>
          <c:showBubbleSize val="0"/>
        </c:dLbls>
        <c:gapWidth val="150"/>
        <c:axId val="-736904288"/>
        <c:axId val="-736910816"/>
      </c:barChart>
      <c:catAx>
        <c:axId val="-736904288"/>
        <c:scaling>
          <c:orientation val="minMax"/>
        </c:scaling>
        <c:delete val="0"/>
        <c:axPos val="b"/>
        <c:numFmt formatCode="General" sourceLinked="1"/>
        <c:majorTickMark val="out"/>
        <c:minorTickMark val="none"/>
        <c:tickLblPos val="nextTo"/>
        <c:txPr>
          <a:bodyPr/>
          <a:lstStyle/>
          <a:p>
            <a:pPr>
              <a:defRPr sz="800" b="1"/>
            </a:pPr>
            <a:endParaRPr lang="fr-FR"/>
          </a:p>
        </c:txPr>
        <c:crossAx val="-736910816"/>
        <c:crosses val="autoZero"/>
        <c:auto val="1"/>
        <c:lblAlgn val="ctr"/>
        <c:lblOffset val="100"/>
        <c:noMultiLvlLbl val="0"/>
      </c:catAx>
      <c:valAx>
        <c:axId val="-736910816"/>
        <c:scaling>
          <c:orientation val="minMax"/>
        </c:scaling>
        <c:delete val="0"/>
        <c:axPos val="l"/>
        <c:numFmt formatCode="0%" sourceLinked="1"/>
        <c:majorTickMark val="out"/>
        <c:minorTickMark val="none"/>
        <c:tickLblPos val="nextTo"/>
        <c:txPr>
          <a:bodyPr/>
          <a:lstStyle/>
          <a:p>
            <a:pPr>
              <a:defRPr sz="800"/>
            </a:pPr>
            <a:endParaRPr lang="fr-FR"/>
          </a:p>
        </c:txPr>
        <c:crossAx val="-736904288"/>
        <c:crosses val="autoZero"/>
        <c:crossBetween val="between"/>
      </c:valAx>
    </c:plotArea>
    <c:legend>
      <c:legendPos val="r"/>
      <c:overlay val="0"/>
      <c:txPr>
        <a:bodyPr/>
        <a:lstStyle/>
        <a:p>
          <a:pPr>
            <a:defRPr sz="700" b="1"/>
          </a:pPr>
          <a:endParaRPr lang="fr-FR"/>
        </a:p>
      </c:txPr>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percentStacked"/>
        <c:varyColors val="0"/>
        <c:ser>
          <c:idx val="0"/>
          <c:order val="0"/>
          <c:tx>
            <c:strRef>
              <c:f>Feuil1!$A$119</c:f>
              <c:strCache>
                <c:ptCount val="1"/>
                <c:pt idx="0">
                  <c:v>(%)Dépenses financées par des fonds des administrations publiques </c:v>
                </c:pt>
              </c:strCache>
            </c:strRef>
          </c:tx>
          <c:invertIfNegative val="0"/>
          <c:dLbls>
            <c:spPr>
              <a:noFill/>
              <a:ln>
                <a:noFill/>
              </a:ln>
              <a:effectLst/>
            </c:spPr>
            <c:txPr>
              <a:bodyPr/>
              <a:lstStyle/>
              <a:p>
                <a:pPr>
                  <a:defRPr sz="800" b="0"/>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Feuil1!$B$118:$F$118</c:f>
              <c:numCache>
                <c:formatCode>General</c:formatCode>
                <c:ptCount val="5"/>
                <c:pt idx="0">
                  <c:v>2011</c:v>
                </c:pt>
                <c:pt idx="1">
                  <c:v>2012</c:v>
                </c:pt>
                <c:pt idx="2">
                  <c:v>2013</c:v>
                </c:pt>
                <c:pt idx="3">
                  <c:v>2014</c:v>
                </c:pt>
                <c:pt idx="4">
                  <c:v>2015</c:v>
                </c:pt>
              </c:numCache>
            </c:numRef>
          </c:cat>
          <c:val>
            <c:numRef>
              <c:f>Feuil1!$B$119:$F$119</c:f>
              <c:numCache>
                <c:formatCode>0%</c:formatCode>
                <c:ptCount val="5"/>
                <c:pt idx="0">
                  <c:v>9.3587320138788649E-2</c:v>
                </c:pt>
                <c:pt idx="1">
                  <c:v>0.27301091466403038</c:v>
                </c:pt>
                <c:pt idx="2">
                  <c:v>0.37994011505065001</c:v>
                </c:pt>
                <c:pt idx="3">
                  <c:v>0.44083703975739924</c:v>
                </c:pt>
                <c:pt idx="4">
                  <c:v>0.42566677581815587</c:v>
                </c:pt>
              </c:numCache>
            </c:numRef>
          </c:val>
        </c:ser>
        <c:ser>
          <c:idx val="1"/>
          <c:order val="1"/>
          <c:tx>
            <c:strRef>
              <c:f>Feuil1!$A$120</c:f>
              <c:strCache>
                <c:ptCount val="1"/>
                <c:pt idx="0">
                  <c:v>(%)Dépenses financées par des fonds privés</c:v>
                </c:pt>
              </c:strCache>
            </c:strRef>
          </c:tx>
          <c:invertIfNegative val="0"/>
          <c:dLbls>
            <c:spPr>
              <a:noFill/>
              <a:ln>
                <a:noFill/>
              </a:ln>
              <a:effectLst/>
            </c:spPr>
            <c:txPr>
              <a:bodyPr/>
              <a:lstStyle/>
              <a:p>
                <a:pPr>
                  <a:defRPr sz="800" b="0"/>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Feuil1!$B$118:$F$118</c:f>
              <c:numCache>
                <c:formatCode>General</c:formatCode>
                <c:ptCount val="5"/>
                <c:pt idx="0">
                  <c:v>2011</c:v>
                </c:pt>
                <c:pt idx="1">
                  <c:v>2012</c:v>
                </c:pt>
                <c:pt idx="2">
                  <c:v>2013</c:v>
                </c:pt>
                <c:pt idx="3">
                  <c:v>2014</c:v>
                </c:pt>
                <c:pt idx="4">
                  <c:v>2015</c:v>
                </c:pt>
              </c:numCache>
            </c:numRef>
          </c:cat>
          <c:val>
            <c:numRef>
              <c:f>Feuil1!$B$120:$F$120</c:f>
              <c:numCache>
                <c:formatCode>0%</c:formatCode>
                <c:ptCount val="5"/>
                <c:pt idx="0">
                  <c:v>0.4206728099345845</c:v>
                </c:pt>
                <c:pt idx="1">
                  <c:v>0.39053110998926005</c:v>
                </c:pt>
                <c:pt idx="2">
                  <c:v>0.38141267730452816</c:v>
                </c:pt>
                <c:pt idx="3">
                  <c:v>0.36144069620413338</c:v>
                </c:pt>
                <c:pt idx="4">
                  <c:v>0.36799794307388778</c:v>
                </c:pt>
              </c:numCache>
            </c:numRef>
          </c:val>
        </c:ser>
        <c:ser>
          <c:idx val="2"/>
          <c:order val="2"/>
          <c:tx>
            <c:strRef>
              <c:f>Feuil1!$A$121</c:f>
              <c:strCache>
                <c:ptCount val="1"/>
                <c:pt idx="0">
                  <c:v>(%)Dépenses financées par des fonds des externes</c:v>
                </c:pt>
              </c:strCache>
            </c:strRef>
          </c:tx>
          <c:invertIfNegative val="0"/>
          <c:dLbls>
            <c:spPr>
              <a:noFill/>
              <a:ln>
                <a:noFill/>
              </a:ln>
              <a:effectLst/>
            </c:spPr>
            <c:txPr>
              <a:bodyPr/>
              <a:lstStyle/>
              <a:p>
                <a:pPr>
                  <a:defRPr sz="800" b="0"/>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Feuil1!$B$118:$F$118</c:f>
              <c:numCache>
                <c:formatCode>General</c:formatCode>
                <c:ptCount val="5"/>
                <c:pt idx="0">
                  <c:v>2011</c:v>
                </c:pt>
                <c:pt idx="1">
                  <c:v>2012</c:v>
                </c:pt>
                <c:pt idx="2">
                  <c:v>2013</c:v>
                </c:pt>
                <c:pt idx="3">
                  <c:v>2014</c:v>
                </c:pt>
                <c:pt idx="4">
                  <c:v>2015</c:v>
                </c:pt>
              </c:numCache>
            </c:numRef>
          </c:cat>
          <c:val>
            <c:numRef>
              <c:f>Feuil1!$B$121:$F$121</c:f>
              <c:numCache>
                <c:formatCode>0%</c:formatCode>
                <c:ptCount val="5"/>
                <c:pt idx="0">
                  <c:v>0.48573986992662932</c:v>
                </c:pt>
                <c:pt idx="1">
                  <c:v>0.33645797534671323</c:v>
                </c:pt>
                <c:pt idx="2">
                  <c:v>0.23864720764482641</c:v>
                </c:pt>
                <c:pt idx="3">
                  <c:v>0.1977222640384674</c:v>
                </c:pt>
                <c:pt idx="4">
                  <c:v>0.20633528110795957</c:v>
                </c:pt>
              </c:numCache>
            </c:numRef>
          </c:val>
        </c:ser>
        <c:dLbls>
          <c:showLegendKey val="0"/>
          <c:showVal val="0"/>
          <c:showCatName val="0"/>
          <c:showSerName val="0"/>
          <c:showPercent val="0"/>
          <c:showBubbleSize val="0"/>
        </c:dLbls>
        <c:gapWidth val="150"/>
        <c:shape val="cylinder"/>
        <c:axId val="-735755360"/>
        <c:axId val="-735752640"/>
        <c:axId val="0"/>
      </c:bar3DChart>
      <c:catAx>
        <c:axId val="-735755360"/>
        <c:scaling>
          <c:orientation val="minMax"/>
        </c:scaling>
        <c:delete val="0"/>
        <c:axPos val="b"/>
        <c:numFmt formatCode="General" sourceLinked="1"/>
        <c:majorTickMark val="out"/>
        <c:minorTickMark val="none"/>
        <c:tickLblPos val="nextTo"/>
        <c:txPr>
          <a:bodyPr/>
          <a:lstStyle/>
          <a:p>
            <a:pPr>
              <a:defRPr sz="800"/>
            </a:pPr>
            <a:endParaRPr lang="fr-FR"/>
          </a:p>
        </c:txPr>
        <c:crossAx val="-735752640"/>
        <c:crosses val="autoZero"/>
        <c:auto val="1"/>
        <c:lblAlgn val="ctr"/>
        <c:lblOffset val="100"/>
        <c:noMultiLvlLbl val="0"/>
      </c:catAx>
      <c:valAx>
        <c:axId val="-735752640"/>
        <c:scaling>
          <c:orientation val="minMax"/>
        </c:scaling>
        <c:delete val="1"/>
        <c:axPos val="l"/>
        <c:numFmt formatCode="0%" sourceLinked="1"/>
        <c:majorTickMark val="out"/>
        <c:minorTickMark val="none"/>
        <c:tickLblPos val="none"/>
        <c:crossAx val="-735755360"/>
        <c:crosses val="autoZero"/>
        <c:crossBetween val="between"/>
      </c:valAx>
    </c:plotArea>
    <c:legend>
      <c:legendPos val="r"/>
      <c:layout>
        <c:manualLayout>
          <c:xMode val="edge"/>
          <c:yMode val="edge"/>
          <c:x val="0.66238892865664523"/>
          <c:y val="0.14482094414021923"/>
          <c:w val="0.26934277428730541"/>
          <c:h val="0.73844078701882865"/>
        </c:manualLayout>
      </c:layout>
      <c:overlay val="0"/>
      <c:txPr>
        <a:bodyPr/>
        <a:lstStyle/>
        <a:p>
          <a:pPr>
            <a:defRPr sz="800" b="1"/>
          </a:pPr>
          <a:endParaRPr lang="fr-FR"/>
        </a:p>
      </c:txPr>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Feuil2!$A$17</c:f>
              <c:strCache>
                <c:ptCount val="1"/>
                <c:pt idx="0">
                  <c:v>Dépense Courante en Santé des Bailleurs  en % des DCS</c:v>
                </c:pt>
              </c:strCache>
            </c:strRef>
          </c:tx>
          <c:invertIfNegative val="0"/>
          <c:dLbls>
            <c:spPr>
              <a:noFill/>
              <a:ln>
                <a:noFill/>
              </a:ln>
              <a:effectLst/>
            </c:spPr>
            <c:txPr>
              <a:bodyPr/>
              <a:lstStyle/>
              <a:p>
                <a:pPr>
                  <a:defRPr sz="700"/>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Feuil2!$B$3:$F$3</c:f>
              <c:numCache>
                <c:formatCode>General</c:formatCode>
                <c:ptCount val="5"/>
                <c:pt idx="0">
                  <c:v>2011</c:v>
                </c:pt>
                <c:pt idx="1">
                  <c:v>2012</c:v>
                </c:pt>
                <c:pt idx="2">
                  <c:v>2013</c:v>
                </c:pt>
                <c:pt idx="3">
                  <c:v>2014</c:v>
                </c:pt>
                <c:pt idx="4">
                  <c:v>2015</c:v>
                </c:pt>
              </c:numCache>
            </c:numRef>
          </c:cat>
          <c:val>
            <c:numRef>
              <c:f>Feuil2!$B$17:$F$17</c:f>
              <c:numCache>
                <c:formatCode>0%</c:formatCode>
                <c:ptCount val="5"/>
                <c:pt idx="0">
                  <c:v>0.46529499977838051</c:v>
                </c:pt>
                <c:pt idx="1">
                  <c:v>0.33260453409934937</c:v>
                </c:pt>
                <c:pt idx="2">
                  <c:v>0.23552885089643169</c:v>
                </c:pt>
                <c:pt idx="3">
                  <c:v>0.19413944549688056</c:v>
                </c:pt>
                <c:pt idx="4">
                  <c:v>0.19481345730858166</c:v>
                </c:pt>
              </c:numCache>
            </c:numRef>
          </c:val>
        </c:ser>
        <c:dLbls>
          <c:showLegendKey val="0"/>
          <c:showVal val="0"/>
          <c:showCatName val="0"/>
          <c:showSerName val="0"/>
          <c:showPercent val="0"/>
          <c:showBubbleSize val="0"/>
        </c:dLbls>
        <c:gapWidth val="150"/>
        <c:axId val="-735756448"/>
        <c:axId val="-735752096"/>
      </c:barChart>
      <c:catAx>
        <c:axId val="-735756448"/>
        <c:scaling>
          <c:orientation val="minMax"/>
        </c:scaling>
        <c:delete val="0"/>
        <c:axPos val="b"/>
        <c:numFmt formatCode="General" sourceLinked="1"/>
        <c:majorTickMark val="out"/>
        <c:minorTickMark val="none"/>
        <c:tickLblPos val="nextTo"/>
        <c:txPr>
          <a:bodyPr/>
          <a:lstStyle/>
          <a:p>
            <a:pPr>
              <a:defRPr sz="700"/>
            </a:pPr>
            <a:endParaRPr lang="fr-FR"/>
          </a:p>
        </c:txPr>
        <c:crossAx val="-735752096"/>
        <c:crosses val="autoZero"/>
        <c:auto val="1"/>
        <c:lblAlgn val="ctr"/>
        <c:lblOffset val="100"/>
        <c:noMultiLvlLbl val="0"/>
      </c:catAx>
      <c:valAx>
        <c:axId val="-735752096"/>
        <c:scaling>
          <c:orientation val="minMax"/>
        </c:scaling>
        <c:delete val="0"/>
        <c:axPos val="l"/>
        <c:numFmt formatCode="0%" sourceLinked="1"/>
        <c:majorTickMark val="out"/>
        <c:minorTickMark val="none"/>
        <c:tickLblPos val="nextTo"/>
        <c:crossAx val="-735756448"/>
        <c:crosses val="autoZero"/>
        <c:crossBetween val="between"/>
      </c:valAx>
    </c:plotArea>
    <c:plotVisOnly val="1"/>
    <c:dispBlanksAs val="gap"/>
    <c:showDLblsOverMax val="0"/>
  </c:chart>
  <c:txPr>
    <a:bodyPr/>
    <a:lstStyle/>
    <a:p>
      <a:pPr>
        <a:defRPr sz="800"/>
      </a:pPr>
      <a:endParaRPr lang="fr-F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Tableau!$B$15</c:f>
              <c:strCache>
                <c:ptCount val="1"/>
                <c:pt idx="0">
                  <c:v>Fonds Externe</c:v>
                </c:pt>
              </c:strCache>
            </c:strRef>
          </c:tx>
          <c:invertIfNegative val="0"/>
          <c:dLbls>
            <c:spPr>
              <a:noFill/>
              <a:ln>
                <a:noFill/>
              </a:ln>
              <a:effectLst/>
            </c:spPr>
            <c:txPr>
              <a:bodyPr/>
              <a:lstStyle/>
              <a:p>
                <a:pPr>
                  <a:defRPr sz="900"/>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Tableau!$C$14:$G$14</c:f>
              <c:numCache>
                <c:formatCode>General</c:formatCode>
                <c:ptCount val="5"/>
                <c:pt idx="0">
                  <c:v>2011</c:v>
                </c:pt>
                <c:pt idx="1">
                  <c:v>2012</c:v>
                </c:pt>
                <c:pt idx="2">
                  <c:v>2013</c:v>
                </c:pt>
                <c:pt idx="3">
                  <c:v>2014</c:v>
                </c:pt>
                <c:pt idx="4">
                  <c:v>2015</c:v>
                </c:pt>
              </c:numCache>
            </c:numRef>
          </c:cat>
          <c:val>
            <c:numRef>
              <c:f>Tableau!$C$15:$G$15</c:f>
              <c:numCache>
                <c:formatCode>0%</c:formatCode>
                <c:ptCount val="5"/>
                <c:pt idx="0">
                  <c:v>0.81990031041336264</c:v>
                </c:pt>
                <c:pt idx="1">
                  <c:v>0.52041040225517532</c:v>
                </c:pt>
                <c:pt idx="2">
                  <c:v>0.37399462237676767</c:v>
                </c:pt>
                <c:pt idx="3">
                  <c:v>0.29771212153151283</c:v>
                </c:pt>
                <c:pt idx="4">
                  <c:v>0.30237761647240891</c:v>
                </c:pt>
              </c:numCache>
            </c:numRef>
          </c:val>
        </c:ser>
        <c:ser>
          <c:idx val="1"/>
          <c:order val="1"/>
          <c:tx>
            <c:strRef>
              <c:f>Tableau!$B$16</c:f>
              <c:strCache>
                <c:ptCount val="1"/>
                <c:pt idx="0">
                  <c:v>Fonds Interne</c:v>
                </c:pt>
              </c:strCache>
            </c:strRef>
          </c:tx>
          <c:invertIfNegative val="0"/>
          <c:dLbls>
            <c:spPr>
              <a:noFill/>
              <a:ln>
                <a:noFill/>
              </a:ln>
              <a:effectLst/>
            </c:spPr>
            <c:txPr>
              <a:bodyPr/>
              <a:lstStyle/>
              <a:p>
                <a:pPr>
                  <a:defRPr sz="900"/>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Tableau!$C$14:$G$14</c:f>
              <c:numCache>
                <c:formatCode>General</c:formatCode>
                <c:ptCount val="5"/>
                <c:pt idx="0">
                  <c:v>2011</c:v>
                </c:pt>
                <c:pt idx="1">
                  <c:v>2012</c:v>
                </c:pt>
                <c:pt idx="2">
                  <c:v>2013</c:v>
                </c:pt>
                <c:pt idx="3">
                  <c:v>2014</c:v>
                </c:pt>
                <c:pt idx="4">
                  <c:v>2015</c:v>
                </c:pt>
              </c:numCache>
            </c:numRef>
          </c:cat>
          <c:val>
            <c:numRef>
              <c:f>Tableau!$C$16:$G$16</c:f>
              <c:numCache>
                <c:formatCode>0%</c:formatCode>
                <c:ptCount val="5"/>
                <c:pt idx="0">
                  <c:v>0.18009968958663741</c:v>
                </c:pt>
                <c:pt idx="1">
                  <c:v>0.4795895977448249</c:v>
                </c:pt>
                <c:pt idx="2">
                  <c:v>0.62600537762323261</c:v>
                </c:pt>
                <c:pt idx="3">
                  <c:v>0.7022878784684875</c:v>
                </c:pt>
                <c:pt idx="4">
                  <c:v>0.69762238352759132</c:v>
                </c:pt>
              </c:numCache>
            </c:numRef>
          </c:val>
        </c:ser>
        <c:dLbls>
          <c:showLegendKey val="0"/>
          <c:showVal val="0"/>
          <c:showCatName val="0"/>
          <c:showSerName val="0"/>
          <c:showPercent val="0"/>
          <c:showBubbleSize val="0"/>
        </c:dLbls>
        <c:gapWidth val="150"/>
        <c:axId val="-735755904"/>
        <c:axId val="-735756992"/>
      </c:barChart>
      <c:catAx>
        <c:axId val="-735755904"/>
        <c:scaling>
          <c:orientation val="minMax"/>
        </c:scaling>
        <c:delete val="0"/>
        <c:axPos val="b"/>
        <c:numFmt formatCode="General" sourceLinked="1"/>
        <c:majorTickMark val="none"/>
        <c:minorTickMark val="none"/>
        <c:tickLblPos val="nextTo"/>
        <c:crossAx val="-735756992"/>
        <c:crosses val="autoZero"/>
        <c:auto val="1"/>
        <c:lblAlgn val="ctr"/>
        <c:lblOffset val="100"/>
        <c:noMultiLvlLbl val="0"/>
      </c:catAx>
      <c:valAx>
        <c:axId val="-735756992"/>
        <c:scaling>
          <c:orientation val="minMax"/>
        </c:scaling>
        <c:delete val="0"/>
        <c:axPos val="l"/>
        <c:numFmt formatCode="0%" sourceLinked="1"/>
        <c:majorTickMark val="none"/>
        <c:minorTickMark val="none"/>
        <c:tickLblPos val="nextTo"/>
        <c:txPr>
          <a:bodyPr/>
          <a:lstStyle/>
          <a:p>
            <a:pPr>
              <a:defRPr sz="800"/>
            </a:pPr>
            <a:endParaRPr lang="fr-FR"/>
          </a:p>
        </c:txPr>
        <c:crossAx val="-735755904"/>
        <c:crosses val="autoZero"/>
        <c:crossBetween val="between"/>
      </c:valAx>
      <c:dTable>
        <c:showHorzBorder val="1"/>
        <c:showVertBorder val="1"/>
        <c:showOutline val="1"/>
        <c:showKeys val="1"/>
        <c:txPr>
          <a:bodyPr/>
          <a:lstStyle/>
          <a:p>
            <a:pPr rtl="0">
              <a:defRPr sz="900"/>
            </a:pPr>
            <a:endParaRPr lang="fr-FR"/>
          </a:p>
        </c:txPr>
      </c:dTable>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1179158160785244E-2"/>
          <c:y val="5.5866145195991403E-2"/>
          <c:w val="0.82333948124109912"/>
          <c:h val="0.5275883580871944"/>
        </c:manualLayout>
      </c:layout>
      <c:lineChart>
        <c:grouping val="standard"/>
        <c:varyColors val="0"/>
        <c:ser>
          <c:idx val="0"/>
          <c:order val="0"/>
          <c:tx>
            <c:strRef>
              <c:f>Tableau!$A$15</c:f>
              <c:strCache>
                <c:ptCount val="1"/>
                <c:pt idx="0">
                  <c:v>HP.1 Hôpitaux</c:v>
                </c:pt>
              </c:strCache>
            </c:strRef>
          </c:tx>
          <c:marker>
            <c:symbol val="none"/>
          </c:marker>
          <c:dLbls>
            <c:spPr>
              <a:noFill/>
              <a:ln>
                <a:noFill/>
              </a:ln>
              <a:effectLst/>
            </c:spPr>
            <c:txPr>
              <a:bodyPr/>
              <a:lstStyle/>
              <a:p>
                <a:pPr>
                  <a:defRPr sz="700"/>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Tableau!$B$14:$F$14</c:f>
              <c:numCache>
                <c:formatCode>General</c:formatCode>
                <c:ptCount val="5"/>
                <c:pt idx="0">
                  <c:v>2011</c:v>
                </c:pt>
                <c:pt idx="1">
                  <c:v>2012</c:v>
                </c:pt>
                <c:pt idx="2">
                  <c:v>2013</c:v>
                </c:pt>
                <c:pt idx="3">
                  <c:v>2014</c:v>
                </c:pt>
                <c:pt idx="4">
                  <c:v>2015</c:v>
                </c:pt>
              </c:numCache>
            </c:numRef>
          </c:cat>
          <c:val>
            <c:numRef>
              <c:f>Tableau!$B$15:$F$15</c:f>
              <c:numCache>
                <c:formatCode>0%</c:formatCode>
                <c:ptCount val="5"/>
                <c:pt idx="0">
                  <c:v>6.3066673750219182E-2</c:v>
                </c:pt>
                <c:pt idx="1">
                  <c:v>0.69563951899598064</c:v>
                </c:pt>
                <c:pt idx="2">
                  <c:v>0.64310661361405352</c:v>
                </c:pt>
                <c:pt idx="3">
                  <c:v>0.53896944961888793</c:v>
                </c:pt>
                <c:pt idx="4">
                  <c:v>0.20988657442713884</c:v>
                </c:pt>
              </c:numCache>
            </c:numRef>
          </c:val>
          <c:smooth val="0"/>
        </c:ser>
        <c:ser>
          <c:idx val="1"/>
          <c:order val="1"/>
          <c:tx>
            <c:strRef>
              <c:f>Tableau!$A$16</c:f>
              <c:strCache>
                <c:ptCount val="1"/>
                <c:pt idx="0">
                  <c:v>HP.3 Prestataires de soins de santé ambulatoire </c:v>
                </c:pt>
              </c:strCache>
            </c:strRef>
          </c:tx>
          <c:marker>
            <c:symbol val="none"/>
          </c:marker>
          <c:dLbls>
            <c:dLbl>
              <c:idx val="2"/>
              <c:layout>
                <c:manualLayout>
                  <c:x val="0"/>
                  <c:y val="1.5236221417088589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700"/>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Tableau!$B$14:$F$14</c:f>
              <c:numCache>
                <c:formatCode>General</c:formatCode>
                <c:ptCount val="5"/>
                <c:pt idx="0">
                  <c:v>2011</c:v>
                </c:pt>
                <c:pt idx="1">
                  <c:v>2012</c:v>
                </c:pt>
                <c:pt idx="2">
                  <c:v>2013</c:v>
                </c:pt>
                <c:pt idx="3">
                  <c:v>2014</c:v>
                </c:pt>
                <c:pt idx="4">
                  <c:v>2015</c:v>
                </c:pt>
              </c:numCache>
            </c:numRef>
          </c:cat>
          <c:val>
            <c:numRef>
              <c:f>Tableau!$B$16:$F$16</c:f>
              <c:numCache>
                <c:formatCode>0%</c:formatCode>
                <c:ptCount val="5"/>
                <c:pt idx="0">
                  <c:v>0.79844732875867519</c:v>
                </c:pt>
                <c:pt idx="1">
                  <c:v>6.4181772375083032E-2</c:v>
                </c:pt>
                <c:pt idx="2">
                  <c:v>0.15030671662225439</c:v>
                </c:pt>
                <c:pt idx="3">
                  <c:v>0.11327466729735793</c:v>
                </c:pt>
                <c:pt idx="4">
                  <c:v>3.5548676423133432E-2</c:v>
                </c:pt>
              </c:numCache>
            </c:numRef>
          </c:val>
          <c:smooth val="0"/>
        </c:ser>
        <c:ser>
          <c:idx val="2"/>
          <c:order val="2"/>
          <c:tx>
            <c:strRef>
              <c:f>Tableau!$A$17</c:f>
              <c:strCache>
                <c:ptCount val="1"/>
                <c:pt idx="0">
                  <c:v>HP.7 Prestataires de services administratifs et de financement du système de soins de santé </c:v>
                </c:pt>
              </c:strCache>
            </c:strRef>
          </c:tx>
          <c:marker>
            <c:symbol val="none"/>
          </c:marker>
          <c:dLbls>
            <c:spPr>
              <a:noFill/>
              <a:ln>
                <a:noFill/>
              </a:ln>
              <a:effectLst/>
            </c:spPr>
            <c:txPr>
              <a:bodyPr/>
              <a:lstStyle/>
              <a:p>
                <a:pPr>
                  <a:defRPr sz="800"/>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Tableau!$B$14:$F$14</c:f>
              <c:numCache>
                <c:formatCode>General</c:formatCode>
                <c:ptCount val="5"/>
                <c:pt idx="0">
                  <c:v>2011</c:v>
                </c:pt>
                <c:pt idx="1">
                  <c:v>2012</c:v>
                </c:pt>
                <c:pt idx="2">
                  <c:v>2013</c:v>
                </c:pt>
                <c:pt idx="3">
                  <c:v>2014</c:v>
                </c:pt>
                <c:pt idx="4">
                  <c:v>2015</c:v>
                </c:pt>
              </c:numCache>
            </c:numRef>
          </c:cat>
          <c:val>
            <c:numRef>
              <c:f>Tableau!$B$17:$F$17</c:f>
              <c:numCache>
                <c:formatCode>0%</c:formatCode>
                <c:ptCount val="5"/>
                <c:pt idx="0">
                  <c:v>0.13837344526366988</c:v>
                </c:pt>
                <c:pt idx="1">
                  <c:v>0.17772754552867071</c:v>
                </c:pt>
                <c:pt idx="2">
                  <c:v>0.19615194729401417</c:v>
                </c:pt>
                <c:pt idx="3">
                  <c:v>0.31606347075699581</c:v>
                </c:pt>
                <c:pt idx="4">
                  <c:v>0.71464521862559316</c:v>
                </c:pt>
              </c:numCache>
            </c:numRef>
          </c:val>
          <c:smooth val="0"/>
        </c:ser>
        <c:ser>
          <c:idx val="3"/>
          <c:order val="3"/>
          <c:tx>
            <c:strRef>
              <c:f>Tableau!$A$18</c:f>
              <c:strCache>
                <c:ptCount val="1"/>
                <c:pt idx="0">
                  <c:v>Autres Prestataires</c:v>
                </c:pt>
              </c:strCache>
            </c:strRef>
          </c:tx>
          <c:marker>
            <c:symbol val="none"/>
          </c:marker>
          <c:cat>
            <c:numRef>
              <c:f>Tableau!$B$14:$F$14</c:f>
              <c:numCache>
                <c:formatCode>General</c:formatCode>
                <c:ptCount val="5"/>
                <c:pt idx="0">
                  <c:v>2011</c:v>
                </c:pt>
                <c:pt idx="1">
                  <c:v>2012</c:v>
                </c:pt>
                <c:pt idx="2">
                  <c:v>2013</c:v>
                </c:pt>
                <c:pt idx="3">
                  <c:v>2014</c:v>
                </c:pt>
                <c:pt idx="4">
                  <c:v>2015</c:v>
                </c:pt>
              </c:numCache>
            </c:numRef>
          </c:cat>
          <c:val>
            <c:numRef>
              <c:f>Tableau!$B$18:$F$18</c:f>
              <c:numCache>
                <c:formatCode>0%</c:formatCode>
                <c:ptCount val="5"/>
                <c:pt idx="0">
                  <c:v>1.1255222743589161E-4</c:v>
                </c:pt>
                <c:pt idx="1">
                  <c:v>6.2451163100265966E-2</c:v>
                </c:pt>
                <c:pt idx="2">
                  <c:v>1.043472246968026E-2</c:v>
                </c:pt>
                <c:pt idx="3">
                  <c:v>3.1692412326760427E-2</c:v>
                </c:pt>
                <c:pt idx="4">
                  <c:v>3.9919530524139185E-2</c:v>
                </c:pt>
              </c:numCache>
            </c:numRef>
          </c:val>
          <c:smooth val="0"/>
        </c:ser>
        <c:dLbls>
          <c:showLegendKey val="0"/>
          <c:showVal val="0"/>
          <c:showCatName val="0"/>
          <c:showSerName val="0"/>
          <c:showPercent val="0"/>
          <c:showBubbleSize val="0"/>
        </c:dLbls>
        <c:smooth val="0"/>
        <c:axId val="-733128064"/>
        <c:axId val="-733127520"/>
      </c:lineChart>
      <c:catAx>
        <c:axId val="-733128064"/>
        <c:scaling>
          <c:orientation val="minMax"/>
        </c:scaling>
        <c:delete val="0"/>
        <c:axPos val="b"/>
        <c:numFmt formatCode="General" sourceLinked="1"/>
        <c:majorTickMark val="out"/>
        <c:minorTickMark val="none"/>
        <c:tickLblPos val="nextTo"/>
        <c:txPr>
          <a:bodyPr/>
          <a:lstStyle/>
          <a:p>
            <a:pPr>
              <a:defRPr sz="800"/>
            </a:pPr>
            <a:endParaRPr lang="fr-FR"/>
          </a:p>
        </c:txPr>
        <c:crossAx val="-733127520"/>
        <c:crosses val="autoZero"/>
        <c:auto val="1"/>
        <c:lblAlgn val="ctr"/>
        <c:lblOffset val="100"/>
        <c:noMultiLvlLbl val="0"/>
      </c:catAx>
      <c:valAx>
        <c:axId val="-733127520"/>
        <c:scaling>
          <c:orientation val="minMax"/>
        </c:scaling>
        <c:delete val="0"/>
        <c:axPos val="l"/>
        <c:numFmt formatCode="0%" sourceLinked="1"/>
        <c:majorTickMark val="out"/>
        <c:minorTickMark val="none"/>
        <c:tickLblPos val="nextTo"/>
        <c:txPr>
          <a:bodyPr/>
          <a:lstStyle/>
          <a:p>
            <a:pPr>
              <a:defRPr sz="800"/>
            </a:pPr>
            <a:endParaRPr lang="fr-FR"/>
          </a:p>
        </c:txPr>
        <c:crossAx val="-733128064"/>
        <c:crosses val="autoZero"/>
        <c:crossBetween val="between"/>
      </c:valAx>
    </c:plotArea>
    <c:legend>
      <c:legendPos val="b"/>
      <c:layout>
        <c:manualLayout>
          <c:xMode val="edge"/>
          <c:yMode val="edge"/>
          <c:x val="0.26677689594356352"/>
          <c:y val="0.69692236325391299"/>
          <c:w val="0.46644620811287563"/>
          <c:h val="0.27260519391190985"/>
        </c:manualLayout>
      </c:layout>
      <c:overlay val="0"/>
      <c:txPr>
        <a:bodyPr/>
        <a:lstStyle/>
        <a:p>
          <a:pPr>
            <a:defRPr sz="600" b="1"/>
          </a:pPr>
          <a:endParaRPr lang="fr-FR"/>
        </a:p>
      </c:txPr>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Tableau!$B$20</c:f>
              <c:strCache>
                <c:ptCount val="1"/>
                <c:pt idx="0">
                  <c:v>2011 a  2015</c:v>
                </c:pt>
              </c:strCache>
            </c:strRef>
          </c:tx>
          <c:dLbls>
            <c:spPr>
              <a:noFill/>
              <a:ln>
                <a:noFill/>
              </a:ln>
              <a:effectLst/>
            </c:spPr>
            <c:txPr>
              <a:bodyPr/>
              <a:lstStyle/>
              <a:p>
                <a:pPr>
                  <a:defRPr sz="800"/>
                </a:pPr>
                <a:endParaRPr lang="fr-FR"/>
              </a:p>
            </c:txPr>
            <c:showLegendKey val="0"/>
            <c:showVal val="1"/>
            <c:showCatName val="1"/>
            <c:showSerName val="0"/>
            <c:showPercent val="0"/>
            <c:showBubbleSize val="0"/>
            <c:showLeaderLines val="1"/>
            <c:extLst>
              <c:ext xmlns:c15="http://schemas.microsoft.com/office/drawing/2012/chart" uri="{CE6537A1-D6FC-4f65-9D91-7224C49458BB}"/>
            </c:extLst>
          </c:dLbls>
          <c:cat>
            <c:strRef>
              <c:f>Tableau!$A$21:$A$24</c:f>
              <c:strCache>
                <c:ptCount val="4"/>
                <c:pt idx="0">
                  <c:v>HP.1 Hôpitaux</c:v>
                </c:pt>
                <c:pt idx="1">
                  <c:v>HP.3 Prestataires de soins de santé ambulatoire </c:v>
                </c:pt>
                <c:pt idx="2">
                  <c:v>HP.4 Prestataires de services auxiliaires</c:v>
                </c:pt>
                <c:pt idx="3">
                  <c:v>HP.5 Détaillants et autres prestataires de biens médicaux</c:v>
                </c:pt>
              </c:strCache>
            </c:strRef>
          </c:cat>
          <c:val>
            <c:numRef>
              <c:f>Tableau!$B$21:$B$24</c:f>
              <c:numCache>
                <c:formatCode>0%</c:formatCode>
                <c:ptCount val="4"/>
                <c:pt idx="0">
                  <c:v>0.28788078271374051</c:v>
                </c:pt>
                <c:pt idx="1">
                  <c:v>0.16624461354044592</c:v>
                </c:pt>
                <c:pt idx="2">
                  <c:v>5.7476714392528293E-2</c:v>
                </c:pt>
                <c:pt idx="3">
                  <c:v>0.48839788935328587</c:v>
                </c:pt>
              </c:numCache>
            </c:numRef>
          </c:val>
        </c:ser>
        <c:dLbls>
          <c:showLegendKey val="0"/>
          <c:showVal val="0"/>
          <c:showCatName val="0"/>
          <c:showSerName val="0"/>
          <c:showPercent val="0"/>
          <c:showBubbleSize val="0"/>
          <c:showLeaderLines val="1"/>
        </c:dLbls>
        <c:firstSliceAng val="0"/>
      </c:pieChart>
    </c:plotArea>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4250440917107582E-2"/>
          <c:y val="4.4585367254808418E-2"/>
          <c:w val="0.95149911816578503"/>
          <c:h val="0.50426401431072199"/>
        </c:manualLayout>
      </c:layout>
      <c:barChart>
        <c:barDir val="col"/>
        <c:grouping val="clustered"/>
        <c:varyColors val="0"/>
        <c:ser>
          <c:idx val="0"/>
          <c:order val="0"/>
          <c:tx>
            <c:strRef>
              <c:f>Tableau!$A$17</c:f>
              <c:strCache>
                <c:ptCount val="1"/>
                <c:pt idx="0">
                  <c:v>Soins curatifs hospitaliers</c:v>
                </c:pt>
              </c:strCache>
            </c:strRef>
          </c:tx>
          <c:invertIfNegative val="0"/>
          <c:dLbls>
            <c:spPr>
              <a:noFill/>
              <a:ln>
                <a:noFill/>
              </a:ln>
              <a:effectLst/>
            </c:spPr>
            <c:txPr>
              <a:bodyPr/>
              <a:lstStyle/>
              <a:p>
                <a:pPr>
                  <a:defRPr sz="700"/>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Tableau!$B$16:$F$16</c:f>
              <c:numCache>
                <c:formatCode>General</c:formatCode>
                <c:ptCount val="5"/>
                <c:pt idx="0">
                  <c:v>2011</c:v>
                </c:pt>
                <c:pt idx="1">
                  <c:v>2012</c:v>
                </c:pt>
                <c:pt idx="2">
                  <c:v>2013</c:v>
                </c:pt>
                <c:pt idx="3">
                  <c:v>2014</c:v>
                </c:pt>
                <c:pt idx="4">
                  <c:v>2015</c:v>
                </c:pt>
              </c:numCache>
            </c:numRef>
          </c:cat>
          <c:val>
            <c:numRef>
              <c:f>Tableau!$B$17:$F$17</c:f>
              <c:numCache>
                <c:formatCode>0%</c:formatCode>
                <c:ptCount val="5"/>
                <c:pt idx="0">
                  <c:v>6.3179225977654865E-2</c:v>
                </c:pt>
                <c:pt idx="1">
                  <c:v>0.5153824221109905</c:v>
                </c:pt>
                <c:pt idx="2">
                  <c:v>0.48267904916761689</c:v>
                </c:pt>
                <c:pt idx="3">
                  <c:v>0.3842878420712989</c:v>
                </c:pt>
                <c:pt idx="4">
                  <c:v>0.17864924258245254</c:v>
                </c:pt>
              </c:numCache>
            </c:numRef>
          </c:val>
        </c:ser>
        <c:ser>
          <c:idx val="1"/>
          <c:order val="1"/>
          <c:tx>
            <c:strRef>
              <c:f>Tableau!$A$18</c:f>
              <c:strCache>
                <c:ptCount val="1"/>
                <c:pt idx="0">
                  <c:v>Soins curatifs ambulatoires</c:v>
                </c:pt>
              </c:strCache>
            </c:strRef>
          </c:tx>
          <c:invertIfNegative val="0"/>
          <c:dLbls>
            <c:spPr>
              <a:noFill/>
              <a:ln>
                <a:noFill/>
              </a:ln>
              <a:effectLst/>
            </c:spPr>
            <c:txPr>
              <a:bodyPr/>
              <a:lstStyle/>
              <a:p>
                <a:pPr>
                  <a:defRPr sz="700"/>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Tableau!$B$16:$F$16</c:f>
              <c:numCache>
                <c:formatCode>General</c:formatCode>
                <c:ptCount val="5"/>
                <c:pt idx="0">
                  <c:v>2011</c:v>
                </c:pt>
                <c:pt idx="1">
                  <c:v>2012</c:v>
                </c:pt>
                <c:pt idx="2">
                  <c:v>2013</c:v>
                </c:pt>
                <c:pt idx="3">
                  <c:v>2014</c:v>
                </c:pt>
                <c:pt idx="4">
                  <c:v>2015</c:v>
                </c:pt>
              </c:numCache>
            </c:numRef>
          </c:cat>
          <c:val>
            <c:numRef>
              <c:f>Tableau!$B$18:$F$18</c:f>
              <c:numCache>
                <c:formatCode>0%</c:formatCode>
                <c:ptCount val="5"/>
                <c:pt idx="0">
                  <c:v>0.54255212500726957</c:v>
                </c:pt>
                <c:pt idx="1">
                  <c:v>0.19915976657158715</c:v>
                </c:pt>
                <c:pt idx="2">
                  <c:v>0.19064785764601755</c:v>
                </c:pt>
                <c:pt idx="3">
                  <c:v>0.14893232335909162</c:v>
                </c:pt>
                <c:pt idx="4">
                  <c:v>6.396346559384665E-2</c:v>
                </c:pt>
              </c:numCache>
            </c:numRef>
          </c:val>
        </c:ser>
        <c:ser>
          <c:idx val="2"/>
          <c:order val="2"/>
          <c:tx>
            <c:strRef>
              <c:f>Tableau!$A$19</c:f>
              <c:strCache>
                <c:ptCount val="1"/>
                <c:pt idx="0">
                  <c:v>Services de laboratoire d’analyses médicales </c:v>
                </c:pt>
              </c:strCache>
            </c:strRef>
          </c:tx>
          <c:invertIfNegative val="0"/>
          <c:dLbls>
            <c:spPr>
              <a:noFill/>
              <a:ln>
                <a:noFill/>
              </a:ln>
              <a:effectLst/>
            </c:spPr>
            <c:txPr>
              <a:bodyPr/>
              <a:lstStyle/>
              <a:p>
                <a:pPr>
                  <a:defRPr sz="800"/>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Tableau!$B$16:$F$16</c:f>
              <c:numCache>
                <c:formatCode>General</c:formatCode>
                <c:ptCount val="5"/>
                <c:pt idx="0">
                  <c:v>2011</c:v>
                </c:pt>
                <c:pt idx="1">
                  <c:v>2012</c:v>
                </c:pt>
                <c:pt idx="2">
                  <c:v>2013</c:v>
                </c:pt>
                <c:pt idx="3">
                  <c:v>2014</c:v>
                </c:pt>
                <c:pt idx="4">
                  <c:v>2015</c:v>
                </c:pt>
              </c:numCache>
            </c:numRef>
          </c:cat>
          <c:val>
            <c:numRef>
              <c:f>Tableau!$B$19:$F$19</c:f>
              <c:numCache>
                <c:formatCode>0%</c:formatCode>
                <c:ptCount val="5"/>
                <c:pt idx="1">
                  <c:v>2.2370630093946076E-2</c:v>
                </c:pt>
                <c:pt idx="2">
                  <c:v>1.7268700588702944E-3</c:v>
                </c:pt>
                <c:pt idx="3">
                  <c:v>2.4170985079731182E-2</c:v>
                </c:pt>
                <c:pt idx="4">
                  <c:v>9.4543216160425676E-3</c:v>
                </c:pt>
              </c:numCache>
            </c:numRef>
          </c:val>
        </c:ser>
        <c:ser>
          <c:idx val="3"/>
          <c:order val="3"/>
          <c:tx>
            <c:strRef>
              <c:f>Tableau!$A$20</c:f>
              <c:strCache>
                <c:ptCount val="1"/>
                <c:pt idx="0">
                  <c:v>Soins préventifs</c:v>
                </c:pt>
              </c:strCache>
            </c:strRef>
          </c:tx>
          <c:invertIfNegative val="0"/>
          <c:dLbls>
            <c:spPr>
              <a:noFill/>
              <a:ln>
                <a:noFill/>
              </a:ln>
              <a:effectLst/>
            </c:spPr>
            <c:txPr>
              <a:bodyPr/>
              <a:lstStyle/>
              <a:p>
                <a:pPr>
                  <a:defRPr sz="800"/>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Tableau!$B$16:$F$16</c:f>
              <c:numCache>
                <c:formatCode>General</c:formatCode>
                <c:ptCount val="5"/>
                <c:pt idx="0">
                  <c:v>2011</c:v>
                </c:pt>
                <c:pt idx="1">
                  <c:v>2012</c:v>
                </c:pt>
                <c:pt idx="2">
                  <c:v>2013</c:v>
                </c:pt>
                <c:pt idx="3">
                  <c:v>2014</c:v>
                </c:pt>
                <c:pt idx="4">
                  <c:v>2015</c:v>
                </c:pt>
              </c:numCache>
            </c:numRef>
          </c:cat>
          <c:val>
            <c:numRef>
              <c:f>Tableau!$B$20:$F$20</c:f>
              <c:numCache>
                <c:formatCode>0%</c:formatCode>
                <c:ptCount val="5"/>
                <c:pt idx="0">
                  <c:v>0.25589520375140518</c:v>
                </c:pt>
                <c:pt idx="1">
                  <c:v>8.5359635694805272E-2</c:v>
                </c:pt>
                <c:pt idx="2">
                  <c:v>0.12879427583348119</c:v>
                </c:pt>
                <c:pt idx="3">
                  <c:v>0.12654537873288274</c:v>
                </c:pt>
                <c:pt idx="4">
                  <c:v>3.2716027369172652E-2</c:v>
                </c:pt>
              </c:numCache>
            </c:numRef>
          </c:val>
        </c:ser>
        <c:ser>
          <c:idx val="4"/>
          <c:order val="4"/>
          <c:tx>
            <c:strRef>
              <c:f>Tableau!$A$21</c:f>
              <c:strCache>
                <c:ptCount val="1"/>
                <c:pt idx="0">
                  <c:v>Gouvernance, administration du système de santé et des financements </c:v>
                </c:pt>
              </c:strCache>
            </c:strRef>
          </c:tx>
          <c:invertIfNegative val="0"/>
          <c:dLbls>
            <c:spPr>
              <a:noFill/>
              <a:ln>
                <a:noFill/>
              </a:ln>
              <a:effectLst/>
            </c:spPr>
            <c:txPr>
              <a:bodyPr/>
              <a:lstStyle/>
              <a:p>
                <a:pPr>
                  <a:defRPr sz="800"/>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Tableau!$B$16:$F$16</c:f>
              <c:numCache>
                <c:formatCode>General</c:formatCode>
                <c:ptCount val="5"/>
                <c:pt idx="0">
                  <c:v>2011</c:v>
                </c:pt>
                <c:pt idx="1">
                  <c:v>2012</c:v>
                </c:pt>
                <c:pt idx="2">
                  <c:v>2013</c:v>
                </c:pt>
                <c:pt idx="3">
                  <c:v>2014</c:v>
                </c:pt>
                <c:pt idx="4">
                  <c:v>2015</c:v>
                </c:pt>
              </c:numCache>
            </c:numRef>
          </c:cat>
          <c:val>
            <c:numRef>
              <c:f>Tableau!$B$21:$F$21</c:f>
              <c:numCache>
                <c:formatCode>0%</c:formatCode>
                <c:ptCount val="5"/>
                <c:pt idx="0">
                  <c:v>0.13837344526366988</c:v>
                </c:pt>
                <c:pt idx="1">
                  <c:v>0.17772754552867071</c:v>
                </c:pt>
                <c:pt idx="2">
                  <c:v>0.19615194729401431</c:v>
                </c:pt>
                <c:pt idx="3">
                  <c:v>0.3160634707569957</c:v>
                </c:pt>
                <c:pt idx="4">
                  <c:v>0.71464521862558938</c:v>
                </c:pt>
              </c:numCache>
            </c:numRef>
          </c:val>
        </c:ser>
        <c:dLbls>
          <c:showLegendKey val="0"/>
          <c:showVal val="1"/>
          <c:showCatName val="0"/>
          <c:showSerName val="0"/>
          <c:showPercent val="0"/>
          <c:showBubbleSize val="0"/>
        </c:dLbls>
        <c:gapWidth val="150"/>
        <c:axId val="-733126976"/>
        <c:axId val="-733126432"/>
      </c:barChart>
      <c:catAx>
        <c:axId val="-733126976"/>
        <c:scaling>
          <c:orientation val="minMax"/>
        </c:scaling>
        <c:delete val="0"/>
        <c:axPos val="b"/>
        <c:numFmt formatCode="General" sourceLinked="1"/>
        <c:majorTickMark val="none"/>
        <c:minorTickMark val="none"/>
        <c:tickLblPos val="nextTo"/>
        <c:txPr>
          <a:bodyPr/>
          <a:lstStyle/>
          <a:p>
            <a:pPr>
              <a:defRPr sz="900"/>
            </a:pPr>
            <a:endParaRPr lang="fr-FR"/>
          </a:p>
        </c:txPr>
        <c:crossAx val="-733126432"/>
        <c:crosses val="autoZero"/>
        <c:auto val="1"/>
        <c:lblAlgn val="ctr"/>
        <c:lblOffset val="100"/>
        <c:noMultiLvlLbl val="0"/>
      </c:catAx>
      <c:valAx>
        <c:axId val="-733126432"/>
        <c:scaling>
          <c:orientation val="minMax"/>
        </c:scaling>
        <c:delete val="1"/>
        <c:axPos val="l"/>
        <c:numFmt formatCode="0%" sourceLinked="1"/>
        <c:majorTickMark val="out"/>
        <c:minorTickMark val="none"/>
        <c:tickLblPos val="none"/>
        <c:crossAx val="-733126976"/>
        <c:crosses val="autoZero"/>
        <c:crossBetween val="between"/>
      </c:valAx>
    </c:plotArea>
    <c:legend>
      <c:legendPos val="b"/>
      <c:layout>
        <c:manualLayout>
          <c:xMode val="edge"/>
          <c:yMode val="edge"/>
          <c:x val="6.0752822563846197E-2"/>
          <c:y val="0.74503732487984453"/>
          <c:w val="0.83881181518976822"/>
          <c:h val="0.20369512800340853"/>
        </c:manualLayout>
      </c:layout>
      <c:overlay val="0"/>
      <c:txPr>
        <a:bodyPr/>
        <a:lstStyle/>
        <a:p>
          <a:pPr>
            <a:defRPr sz="600"/>
          </a:pPr>
          <a:endParaRPr lang="fr-FR"/>
        </a:p>
      </c:txPr>
    </c:legend>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7241474147414751"/>
          <c:y val="4.0277777777777767E-2"/>
          <c:w val="0.41391639163916416"/>
          <c:h val="0.83611111111111114"/>
        </c:manualLayout>
      </c:layout>
      <c:pieChart>
        <c:varyColors val="1"/>
        <c:ser>
          <c:idx val="0"/>
          <c:order val="0"/>
          <c:dLbls>
            <c:spPr>
              <a:noFill/>
              <a:ln>
                <a:noFill/>
              </a:ln>
              <a:effectLst/>
            </c:spPr>
            <c:txPr>
              <a:bodyPr/>
              <a:lstStyle/>
              <a:p>
                <a:pPr>
                  <a:defRPr sz="700" b="1"/>
                </a:pPr>
                <a:endParaRPr lang="fr-FR"/>
              </a:p>
            </c:txPr>
            <c:showLegendKey val="0"/>
            <c:showVal val="1"/>
            <c:showCatName val="1"/>
            <c:showSerName val="0"/>
            <c:showPercent val="0"/>
            <c:showBubbleSize val="0"/>
            <c:showLeaderLines val="1"/>
            <c:extLst>
              <c:ext xmlns:c15="http://schemas.microsoft.com/office/drawing/2012/chart" uri="{CE6537A1-D6FC-4f65-9D91-7224C49458BB}"/>
            </c:extLst>
          </c:dLbls>
          <c:cat>
            <c:strRef>
              <c:f>Tableau!$C$2:$C$9</c:f>
              <c:strCache>
                <c:ptCount val="8"/>
                <c:pt idx="0">
                  <c:v>Soins curatifs hospitaliers</c:v>
                </c:pt>
                <c:pt idx="1">
                  <c:v>Soins curatifs ambulatoires</c:v>
                </c:pt>
                <c:pt idx="2">
                  <c:v>Soins curatifs ambulatoires</c:v>
                </c:pt>
                <c:pt idx="3">
                  <c:v>Soins préventifs</c:v>
                </c:pt>
                <c:pt idx="4">
                  <c:v>Services auxiliaires (non-spécifié par fonction) </c:v>
                </c:pt>
                <c:pt idx="5">
                  <c:v>Médicaments délivrés sur ordonnance </c:v>
                </c:pt>
                <c:pt idx="6">
                  <c:v>Appareils thérapeutiques et autres biens médicaux </c:v>
                </c:pt>
                <c:pt idx="7">
                  <c:v>HC.5.nec Biens médicaux non spécifiés (n.c.a.)</c:v>
                </c:pt>
              </c:strCache>
            </c:strRef>
          </c:cat>
          <c:val>
            <c:numRef>
              <c:f>Tableau!$E$2:$E$9</c:f>
              <c:numCache>
                <c:formatCode>0%</c:formatCode>
                <c:ptCount val="8"/>
                <c:pt idx="0">
                  <c:v>0.27279426712802762</c:v>
                </c:pt>
                <c:pt idx="1">
                  <c:v>1.5086515585712622E-2</c:v>
                </c:pt>
                <c:pt idx="2">
                  <c:v>0.13526433631939908</c:v>
                </c:pt>
                <c:pt idx="3">
                  <c:v>3.0980277221046858E-2</c:v>
                </c:pt>
                <c:pt idx="4">
                  <c:v>5.7476714392528293E-2</c:v>
                </c:pt>
                <c:pt idx="5">
                  <c:v>0.47500333446669435</c:v>
                </c:pt>
                <c:pt idx="6">
                  <c:v>6.6444496037876095E-3</c:v>
                </c:pt>
                <c:pt idx="7">
                  <c:v>6.7501052828035776E-3</c:v>
                </c:pt>
              </c:numCache>
            </c:numRef>
          </c:val>
        </c:ser>
        <c:dLbls>
          <c:showLegendKey val="0"/>
          <c:showVal val="0"/>
          <c:showCatName val="0"/>
          <c:showSerName val="0"/>
          <c:showPercent val="0"/>
          <c:showBubbleSize val="0"/>
          <c:showLeaderLines val="1"/>
        </c:dLbls>
        <c:firstSliceAng val="0"/>
      </c:pieChart>
    </c:plotArea>
    <c:plotVisOnly val="1"/>
    <c:dispBlanksAs val="zero"/>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5018914907098607E-2"/>
          <c:y val="3.5772357723577348E-2"/>
          <c:w val="0.92774646128883964"/>
          <c:h val="0.59426950899430098"/>
        </c:manualLayout>
      </c:layout>
      <c:lineChart>
        <c:grouping val="standard"/>
        <c:varyColors val="0"/>
        <c:ser>
          <c:idx val="0"/>
          <c:order val="0"/>
          <c:tx>
            <c:strRef>
              <c:f>Bailleur!$B$12</c:f>
              <c:strCache>
                <c:ptCount val="1"/>
                <c:pt idx="0">
                  <c:v>Soins curatifs hospitaliers</c:v>
                </c:pt>
              </c:strCache>
            </c:strRef>
          </c:tx>
          <c:marker>
            <c:symbol val="none"/>
          </c:marker>
          <c:cat>
            <c:numRef>
              <c:f>Bailleur!$C$11:$G$11</c:f>
              <c:numCache>
                <c:formatCode>General</c:formatCode>
                <c:ptCount val="5"/>
                <c:pt idx="0">
                  <c:v>2011</c:v>
                </c:pt>
                <c:pt idx="1">
                  <c:v>2012</c:v>
                </c:pt>
                <c:pt idx="2">
                  <c:v>2013</c:v>
                </c:pt>
                <c:pt idx="3">
                  <c:v>2014</c:v>
                </c:pt>
                <c:pt idx="4">
                  <c:v>2015</c:v>
                </c:pt>
              </c:numCache>
            </c:numRef>
          </c:cat>
          <c:val>
            <c:numRef>
              <c:f>Bailleur!$C$12:$G$12</c:f>
              <c:numCache>
                <c:formatCode>0%</c:formatCode>
                <c:ptCount val="5"/>
                <c:pt idx="0">
                  <c:v>1.5031828909626664E-2</c:v>
                </c:pt>
                <c:pt idx="1">
                  <c:v>5.4431681045057794E-4</c:v>
                </c:pt>
                <c:pt idx="2">
                  <c:v>4.1207080242946625E-3</c:v>
                </c:pt>
                <c:pt idx="3">
                  <c:v>3.0695502259857452E-3</c:v>
                </c:pt>
                <c:pt idx="4">
                  <c:v>2.2605813645777055E-3</c:v>
                </c:pt>
              </c:numCache>
            </c:numRef>
          </c:val>
          <c:smooth val="0"/>
        </c:ser>
        <c:ser>
          <c:idx val="1"/>
          <c:order val="1"/>
          <c:tx>
            <c:strRef>
              <c:f>Bailleur!$B$13</c:f>
              <c:strCache>
                <c:ptCount val="1"/>
                <c:pt idx="0">
                  <c:v>Soins curatifs ambulatoires</c:v>
                </c:pt>
              </c:strCache>
            </c:strRef>
          </c:tx>
          <c:marker>
            <c:symbol val="none"/>
          </c:marker>
          <c:dLbls>
            <c:spPr>
              <a:noFill/>
              <a:ln>
                <a:noFill/>
              </a:ln>
              <a:effectLst/>
            </c:spPr>
            <c:txPr>
              <a:bodyPr/>
              <a:lstStyle/>
              <a:p>
                <a:pPr>
                  <a:defRPr sz="600" b="1"/>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Bailleur!$C$11:$G$11</c:f>
              <c:numCache>
                <c:formatCode>General</c:formatCode>
                <c:ptCount val="5"/>
                <c:pt idx="0">
                  <c:v>2011</c:v>
                </c:pt>
                <c:pt idx="1">
                  <c:v>2012</c:v>
                </c:pt>
                <c:pt idx="2">
                  <c:v>2013</c:v>
                </c:pt>
                <c:pt idx="3">
                  <c:v>2014</c:v>
                </c:pt>
                <c:pt idx="4">
                  <c:v>2015</c:v>
                </c:pt>
              </c:numCache>
            </c:numRef>
          </c:cat>
          <c:val>
            <c:numRef>
              <c:f>Bailleur!$C$13:$G$13</c:f>
              <c:numCache>
                <c:formatCode>0%</c:formatCode>
                <c:ptCount val="5"/>
                <c:pt idx="0">
                  <c:v>7.9410714813350033E-2</c:v>
                </c:pt>
                <c:pt idx="1">
                  <c:v>0.33001441650230035</c:v>
                </c:pt>
                <c:pt idx="2">
                  <c:v>0.20990768426233958</c:v>
                </c:pt>
                <c:pt idx="3">
                  <c:v>0.21490268093921591</c:v>
                </c:pt>
                <c:pt idx="4">
                  <c:v>0.18629497833917771</c:v>
                </c:pt>
              </c:numCache>
            </c:numRef>
          </c:val>
          <c:smooth val="0"/>
        </c:ser>
        <c:ser>
          <c:idx val="2"/>
          <c:order val="2"/>
          <c:tx>
            <c:strRef>
              <c:f>Bailleur!$B$14</c:f>
              <c:strCache>
                <c:ptCount val="1"/>
                <c:pt idx="0">
                  <c:v>Services auxiliaires (non-spécifié par fonction) </c:v>
                </c:pt>
              </c:strCache>
            </c:strRef>
          </c:tx>
          <c:marker>
            <c:symbol val="none"/>
          </c:marker>
          <c:dLbls>
            <c:spPr>
              <a:noFill/>
              <a:ln>
                <a:noFill/>
              </a:ln>
              <a:effectLst/>
            </c:spPr>
            <c:txPr>
              <a:bodyPr/>
              <a:lstStyle/>
              <a:p>
                <a:pPr>
                  <a:defRPr sz="600" b="1"/>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Bailleur!$C$11:$G$11</c:f>
              <c:numCache>
                <c:formatCode>General</c:formatCode>
                <c:ptCount val="5"/>
                <c:pt idx="0">
                  <c:v>2011</c:v>
                </c:pt>
                <c:pt idx="1">
                  <c:v>2012</c:v>
                </c:pt>
                <c:pt idx="2">
                  <c:v>2013</c:v>
                </c:pt>
                <c:pt idx="3">
                  <c:v>2014</c:v>
                </c:pt>
                <c:pt idx="4">
                  <c:v>2015</c:v>
                </c:pt>
              </c:numCache>
            </c:numRef>
          </c:cat>
          <c:val>
            <c:numRef>
              <c:f>Bailleur!$C$14:$G$14</c:f>
              <c:numCache>
                <c:formatCode>0%</c:formatCode>
                <c:ptCount val="5"/>
                <c:pt idx="0">
                  <c:v>5.0833726862621227E-3</c:v>
                </c:pt>
                <c:pt idx="1">
                  <c:v>0</c:v>
                </c:pt>
                <c:pt idx="2">
                  <c:v>4.9671728241848523E-4</c:v>
                </c:pt>
                <c:pt idx="3">
                  <c:v>2.8377717499230871E-4</c:v>
                </c:pt>
                <c:pt idx="4">
                  <c:v>0</c:v>
                </c:pt>
              </c:numCache>
            </c:numRef>
          </c:val>
          <c:smooth val="0"/>
        </c:ser>
        <c:ser>
          <c:idx val="3"/>
          <c:order val="3"/>
          <c:tx>
            <c:strRef>
              <c:f>Bailleur!$B$15</c:f>
              <c:strCache>
                <c:ptCount val="1"/>
                <c:pt idx="0">
                  <c:v>Soins préventifs</c:v>
                </c:pt>
              </c:strCache>
            </c:strRef>
          </c:tx>
          <c:marker>
            <c:symbol val="none"/>
          </c:marker>
          <c:dLbls>
            <c:spPr>
              <a:noFill/>
              <a:ln>
                <a:noFill/>
              </a:ln>
              <a:effectLst/>
            </c:spPr>
            <c:txPr>
              <a:bodyPr/>
              <a:lstStyle/>
              <a:p>
                <a:pPr>
                  <a:defRPr sz="600" b="1"/>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Bailleur!$C$11:$G$11</c:f>
              <c:numCache>
                <c:formatCode>General</c:formatCode>
                <c:ptCount val="5"/>
                <c:pt idx="0">
                  <c:v>2011</c:v>
                </c:pt>
                <c:pt idx="1">
                  <c:v>2012</c:v>
                </c:pt>
                <c:pt idx="2">
                  <c:v>2013</c:v>
                </c:pt>
                <c:pt idx="3">
                  <c:v>2014</c:v>
                </c:pt>
                <c:pt idx="4">
                  <c:v>2015</c:v>
                </c:pt>
              </c:numCache>
            </c:numRef>
          </c:cat>
          <c:val>
            <c:numRef>
              <c:f>Bailleur!$C$15:$G$15</c:f>
              <c:numCache>
                <c:formatCode>0%</c:formatCode>
                <c:ptCount val="5"/>
                <c:pt idx="0">
                  <c:v>0.34596086776581458</c:v>
                </c:pt>
                <c:pt idx="1">
                  <c:v>0.30328769570911185</c:v>
                </c:pt>
                <c:pt idx="2">
                  <c:v>0.42563263663985246</c:v>
                </c:pt>
                <c:pt idx="3">
                  <c:v>0.43778727542362134</c:v>
                </c:pt>
                <c:pt idx="4">
                  <c:v>0.42966514253528226</c:v>
                </c:pt>
              </c:numCache>
            </c:numRef>
          </c:val>
          <c:smooth val="0"/>
        </c:ser>
        <c:ser>
          <c:idx val="4"/>
          <c:order val="4"/>
          <c:tx>
            <c:strRef>
              <c:f>Bailleur!$B$16</c:f>
              <c:strCache>
                <c:ptCount val="1"/>
                <c:pt idx="0">
                  <c:v>Gouvernance, administration du système de santé et des financements </c:v>
                </c:pt>
              </c:strCache>
            </c:strRef>
          </c:tx>
          <c:marker>
            <c:symbol val="none"/>
          </c:marker>
          <c:dLbls>
            <c:spPr>
              <a:noFill/>
              <a:ln>
                <a:noFill/>
              </a:ln>
              <a:effectLst/>
            </c:spPr>
            <c:txPr>
              <a:bodyPr/>
              <a:lstStyle/>
              <a:p>
                <a:pPr>
                  <a:defRPr sz="600" b="1"/>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Bailleur!$C$11:$G$11</c:f>
              <c:numCache>
                <c:formatCode>General</c:formatCode>
                <c:ptCount val="5"/>
                <c:pt idx="0">
                  <c:v>2011</c:v>
                </c:pt>
                <c:pt idx="1">
                  <c:v>2012</c:v>
                </c:pt>
                <c:pt idx="2">
                  <c:v>2013</c:v>
                </c:pt>
                <c:pt idx="3">
                  <c:v>2014</c:v>
                </c:pt>
                <c:pt idx="4">
                  <c:v>2015</c:v>
                </c:pt>
              </c:numCache>
            </c:numRef>
          </c:cat>
          <c:val>
            <c:numRef>
              <c:f>Bailleur!$C$16:$G$16</c:f>
              <c:numCache>
                <c:formatCode>0%</c:formatCode>
                <c:ptCount val="5"/>
                <c:pt idx="0">
                  <c:v>0.5545132158249465</c:v>
                </c:pt>
                <c:pt idx="1">
                  <c:v>0.36615357097813878</c:v>
                </c:pt>
                <c:pt idx="2">
                  <c:v>0.35984225379109591</c:v>
                </c:pt>
                <c:pt idx="3">
                  <c:v>0.34395671623618562</c:v>
                </c:pt>
                <c:pt idx="4">
                  <c:v>0.38177929776096325</c:v>
                </c:pt>
              </c:numCache>
            </c:numRef>
          </c:val>
          <c:smooth val="0"/>
        </c:ser>
        <c:ser>
          <c:idx val="5"/>
          <c:order val="5"/>
          <c:tx>
            <c:strRef>
              <c:f>Bailleur!$B$17</c:f>
              <c:strCache>
                <c:ptCount val="1"/>
              </c:strCache>
            </c:strRef>
          </c:tx>
          <c:marker>
            <c:symbol val="none"/>
          </c:marker>
          <c:cat>
            <c:numRef>
              <c:f>Bailleur!$C$11:$G$11</c:f>
              <c:numCache>
                <c:formatCode>General</c:formatCode>
                <c:ptCount val="5"/>
                <c:pt idx="0">
                  <c:v>2011</c:v>
                </c:pt>
                <c:pt idx="1">
                  <c:v>2012</c:v>
                </c:pt>
                <c:pt idx="2">
                  <c:v>2013</c:v>
                </c:pt>
                <c:pt idx="3">
                  <c:v>2014</c:v>
                </c:pt>
                <c:pt idx="4">
                  <c:v>2015</c:v>
                </c:pt>
              </c:numCache>
            </c:numRef>
          </c:cat>
          <c:val>
            <c:numRef>
              <c:f>Bailleur!$C$17:$G$17</c:f>
              <c:numCache>
                <c:formatCode>General</c:formatCode>
                <c:ptCount val="5"/>
              </c:numCache>
            </c:numRef>
          </c:val>
          <c:smooth val="0"/>
        </c:ser>
        <c:dLbls>
          <c:showLegendKey val="0"/>
          <c:showVal val="0"/>
          <c:showCatName val="0"/>
          <c:showSerName val="0"/>
          <c:showPercent val="0"/>
          <c:showBubbleSize val="0"/>
        </c:dLbls>
        <c:smooth val="0"/>
        <c:axId val="-733131328"/>
        <c:axId val="-734740944"/>
      </c:lineChart>
      <c:catAx>
        <c:axId val="-733131328"/>
        <c:scaling>
          <c:orientation val="minMax"/>
        </c:scaling>
        <c:delete val="0"/>
        <c:axPos val="b"/>
        <c:numFmt formatCode="General" sourceLinked="1"/>
        <c:majorTickMark val="out"/>
        <c:minorTickMark val="none"/>
        <c:tickLblPos val="nextTo"/>
        <c:crossAx val="-734740944"/>
        <c:crosses val="autoZero"/>
        <c:auto val="1"/>
        <c:lblAlgn val="ctr"/>
        <c:lblOffset val="100"/>
        <c:noMultiLvlLbl val="0"/>
      </c:catAx>
      <c:valAx>
        <c:axId val="-734740944"/>
        <c:scaling>
          <c:orientation val="minMax"/>
        </c:scaling>
        <c:delete val="0"/>
        <c:axPos val="l"/>
        <c:numFmt formatCode="0%" sourceLinked="1"/>
        <c:majorTickMark val="out"/>
        <c:minorTickMark val="none"/>
        <c:tickLblPos val="nextTo"/>
        <c:crossAx val="-733131328"/>
        <c:crosses val="autoZero"/>
        <c:crossBetween val="between"/>
      </c:valAx>
    </c:plotArea>
    <c:legend>
      <c:legendPos val="b"/>
      <c:legendEntry>
        <c:idx val="5"/>
        <c:delete val="1"/>
      </c:legendEntry>
      <c:layout>
        <c:manualLayout>
          <c:xMode val="edge"/>
          <c:yMode val="edge"/>
          <c:x val="5.3804988662131507E-2"/>
          <c:y val="0.73267780551821449"/>
          <c:w val="0.85248072562358435"/>
          <c:h val="0.24446501504385124"/>
        </c:manualLayout>
      </c:layout>
      <c:overlay val="0"/>
      <c:txPr>
        <a:bodyPr/>
        <a:lstStyle/>
        <a:p>
          <a:pPr>
            <a:defRPr sz="800" b="1"/>
          </a:pPr>
          <a:endParaRPr lang="fr-FR"/>
        </a:p>
      </c:txPr>
    </c:legend>
    <c:plotVisOnly val="1"/>
    <c:dispBlanksAs val="gap"/>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Feuil5!$B$13</c:f>
              <c:strCache>
                <c:ptCount val="1"/>
                <c:pt idx="0">
                  <c:v>RDM</c:v>
                </c:pt>
              </c:strCache>
            </c:strRef>
          </c:tx>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Feuil5!$C$12:$G$12</c:f>
              <c:numCache>
                <c:formatCode>General</c:formatCode>
                <c:ptCount val="5"/>
                <c:pt idx="0">
                  <c:v>2011</c:v>
                </c:pt>
                <c:pt idx="1">
                  <c:v>2012</c:v>
                </c:pt>
                <c:pt idx="2">
                  <c:v>2013</c:v>
                </c:pt>
                <c:pt idx="3">
                  <c:v>2014</c:v>
                </c:pt>
                <c:pt idx="4">
                  <c:v>2015</c:v>
                </c:pt>
              </c:numCache>
            </c:numRef>
          </c:cat>
          <c:val>
            <c:numRef>
              <c:f>Feuil5!$C$13:$G$13</c:f>
              <c:numCache>
                <c:formatCode>0%</c:formatCode>
                <c:ptCount val="5"/>
                <c:pt idx="0">
                  <c:v>0.76738374736200843</c:v>
                </c:pt>
                <c:pt idx="1">
                  <c:v>0.417773690653305</c:v>
                </c:pt>
                <c:pt idx="2">
                  <c:v>0.24944779722092242</c:v>
                </c:pt>
                <c:pt idx="3">
                  <c:v>6.2525144473256924E-2</c:v>
                </c:pt>
                <c:pt idx="4">
                  <c:v>0.13541225687790276</c:v>
                </c:pt>
              </c:numCache>
            </c:numRef>
          </c:val>
          <c:smooth val="0"/>
        </c:ser>
        <c:ser>
          <c:idx val="1"/>
          <c:order val="1"/>
          <c:tx>
            <c:strRef>
              <c:f>Feuil5!$B$14</c:f>
              <c:strCache>
                <c:ptCount val="1"/>
                <c:pt idx="0">
                  <c:v>GOUVERNEMENT</c:v>
                </c:pt>
              </c:strCache>
            </c:strRef>
          </c:tx>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Feuil5!$C$12:$G$12</c:f>
              <c:numCache>
                <c:formatCode>General</c:formatCode>
                <c:ptCount val="5"/>
                <c:pt idx="0">
                  <c:v>2011</c:v>
                </c:pt>
                <c:pt idx="1">
                  <c:v>2012</c:v>
                </c:pt>
                <c:pt idx="2">
                  <c:v>2013</c:v>
                </c:pt>
                <c:pt idx="3">
                  <c:v>2014</c:v>
                </c:pt>
                <c:pt idx="4">
                  <c:v>2015</c:v>
                </c:pt>
              </c:numCache>
            </c:numRef>
          </c:cat>
          <c:val>
            <c:numRef>
              <c:f>Feuil5!$C$14:$G$14</c:f>
              <c:numCache>
                <c:formatCode>0%</c:formatCode>
                <c:ptCount val="5"/>
                <c:pt idx="0">
                  <c:v>0.23261625263799171</c:v>
                </c:pt>
                <c:pt idx="1">
                  <c:v>0.58222630934669473</c:v>
                </c:pt>
                <c:pt idx="2">
                  <c:v>0.75055220277907764</c:v>
                </c:pt>
                <c:pt idx="3">
                  <c:v>0.93747485552674303</c:v>
                </c:pt>
                <c:pt idx="4">
                  <c:v>0.86458774312209741</c:v>
                </c:pt>
              </c:numCache>
            </c:numRef>
          </c:val>
          <c:smooth val="0"/>
        </c:ser>
        <c:dLbls>
          <c:showLegendKey val="0"/>
          <c:showVal val="1"/>
          <c:showCatName val="0"/>
          <c:showSerName val="0"/>
          <c:showPercent val="0"/>
          <c:showBubbleSize val="0"/>
        </c:dLbls>
        <c:marker val="1"/>
        <c:smooth val="0"/>
        <c:axId val="-734739312"/>
        <c:axId val="-734750192"/>
      </c:lineChart>
      <c:catAx>
        <c:axId val="-734739312"/>
        <c:scaling>
          <c:orientation val="minMax"/>
        </c:scaling>
        <c:delete val="0"/>
        <c:axPos val="b"/>
        <c:numFmt formatCode="General" sourceLinked="1"/>
        <c:majorTickMark val="none"/>
        <c:minorTickMark val="none"/>
        <c:tickLblPos val="nextTo"/>
        <c:crossAx val="-734750192"/>
        <c:crosses val="autoZero"/>
        <c:auto val="1"/>
        <c:lblAlgn val="ctr"/>
        <c:lblOffset val="100"/>
        <c:noMultiLvlLbl val="0"/>
      </c:catAx>
      <c:valAx>
        <c:axId val="-734750192"/>
        <c:scaling>
          <c:orientation val="minMax"/>
        </c:scaling>
        <c:delete val="1"/>
        <c:axPos val="l"/>
        <c:numFmt formatCode="0%" sourceLinked="1"/>
        <c:majorTickMark val="none"/>
        <c:minorTickMark val="none"/>
        <c:tickLblPos val="none"/>
        <c:crossAx val="-734739312"/>
        <c:crosses val="autoZero"/>
        <c:crossBetween val="between"/>
      </c:valAx>
    </c:plotArea>
    <c:legend>
      <c:legendPos val="b"/>
      <c:overlay val="0"/>
    </c:legend>
    <c:plotVisOnly val="1"/>
    <c:dispBlanksAs val="gap"/>
    <c:showDLblsOverMax val="0"/>
  </c:chart>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stacked"/>
        <c:varyColors val="0"/>
        <c:ser>
          <c:idx val="0"/>
          <c:order val="0"/>
          <c:tx>
            <c:strRef>
              <c:f>Tableau!$A$14</c:f>
              <c:strCache>
                <c:ptCount val="1"/>
                <c:pt idx="0">
                  <c:v>Maladies infectieuses et parasitaires</c:v>
                </c:pt>
              </c:strCache>
            </c:strRef>
          </c:tx>
          <c:invertIfNegative val="0"/>
          <c:dLbls>
            <c:spPr>
              <a:noFill/>
              <a:ln>
                <a:noFill/>
              </a:ln>
              <a:effectLst/>
            </c:spPr>
            <c:txPr>
              <a:bodyPr/>
              <a:lstStyle/>
              <a:p>
                <a:pPr>
                  <a:defRPr sz="800"/>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Tableau!$B$13:$F$13</c:f>
              <c:numCache>
                <c:formatCode>General</c:formatCode>
                <c:ptCount val="5"/>
                <c:pt idx="0">
                  <c:v>2011</c:v>
                </c:pt>
                <c:pt idx="1">
                  <c:v>2012</c:v>
                </c:pt>
                <c:pt idx="2">
                  <c:v>2013</c:v>
                </c:pt>
                <c:pt idx="3">
                  <c:v>2014</c:v>
                </c:pt>
                <c:pt idx="4">
                  <c:v>2015</c:v>
                </c:pt>
              </c:numCache>
            </c:numRef>
          </c:cat>
          <c:val>
            <c:numRef>
              <c:f>Tableau!$B$14:$F$14</c:f>
              <c:numCache>
                <c:formatCode>0%</c:formatCode>
                <c:ptCount val="5"/>
                <c:pt idx="0">
                  <c:v>0.61967322802681668</c:v>
                </c:pt>
                <c:pt idx="1">
                  <c:v>0.50583880025344075</c:v>
                </c:pt>
                <c:pt idx="2">
                  <c:v>0.49296495355692088</c:v>
                </c:pt>
                <c:pt idx="3">
                  <c:v>0.47504397034627321</c:v>
                </c:pt>
                <c:pt idx="4">
                  <c:v>0.52277204306003311</c:v>
                </c:pt>
              </c:numCache>
            </c:numRef>
          </c:val>
        </c:ser>
        <c:ser>
          <c:idx val="1"/>
          <c:order val="1"/>
          <c:tx>
            <c:strRef>
              <c:f>Tableau!$A$15</c:f>
              <c:strCache>
                <c:ptCount val="1"/>
                <c:pt idx="0">
                  <c:v>Santé de la reproduction</c:v>
                </c:pt>
              </c:strCache>
            </c:strRef>
          </c:tx>
          <c:invertIfNegative val="0"/>
          <c:dLbls>
            <c:spPr>
              <a:noFill/>
              <a:ln>
                <a:noFill/>
              </a:ln>
              <a:effectLst/>
            </c:spPr>
            <c:txPr>
              <a:bodyPr/>
              <a:lstStyle/>
              <a:p>
                <a:pPr>
                  <a:defRPr sz="800"/>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Tableau!$B$13:$F$13</c:f>
              <c:numCache>
                <c:formatCode>General</c:formatCode>
                <c:ptCount val="5"/>
                <c:pt idx="0">
                  <c:v>2011</c:v>
                </c:pt>
                <c:pt idx="1">
                  <c:v>2012</c:v>
                </c:pt>
                <c:pt idx="2">
                  <c:v>2013</c:v>
                </c:pt>
                <c:pt idx="3">
                  <c:v>2014</c:v>
                </c:pt>
                <c:pt idx="4">
                  <c:v>2015</c:v>
                </c:pt>
              </c:numCache>
            </c:numRef>
          </c:cat>
          <c:val>
            <c:numRef>
              <c:f>Tableau!$B$15:$F$15</c:f>
              <c:numCache>
                <c:formatCode>0%</c:formatCode>
                <c:ptCount val="5"/>
                <c:pt idx="0">
                  <c:v>0.17216655044891052</c:v>
                </c:pt>
                <c:pt idx="1">
                  <c:v>0.3016691061707395</c:v>
                </c:pt>
                <c:pt idx="2">
                  <c:v>0.33657436204798552</c:v>
                </c:pt>
                <c:pt idx="3">
                  <c:v>0.35908882225315386</c:v>
                </c:pt>
                <c:pt idx="4">
                  <c:v>0.2603336026103808</c:v>
                </c:pt>
              </c:numCache>
            </c:numRef>
          </c:val>
        </c:ser>
        <c:ser>
          <c:idx val="2"/>
          <c:order val="2"/>
          <c:tx>
            <c:strRef>
              <c:f>Tableau!$A$16</c:f>
              <c:strCache>
                <c:ptCount val="1"/>
                <c:pt idx="0">
                  <c:v>Carences nutritionnelles</c:v>
                </c:pt>
              </c:strCache>
            </c:strRef>
          </c:tx>
          <c:invertIfNegative val="0"/>
          <c:cat>
            <c:numRef>
              <c:f>Tableau!$B$13:$F$13</c:f>
              <c:numCache>
                <c:formatCode>General</c:formatCode>
                <c:ptCount val="5"/>
                <c:pt idx="0">
                  <c:v>2011</c:v>
                </c:pt>
                <c:pt idx="1">
                  <c:v>2012</c:v>
                </c:pt>
                <c:pt idx="2">
                  <c:v>2013</c:v>
                </c:pt>
                <c:pt idx="3">
                  <c:v>2014</c:v>
                </c:pt>
                <c:pt idx="4">
                  <c:v>2015</c:v>
                </c:pt>
              </c:numCache>
            </c:numRef>
          </c:cat>
          <c:val>
            <c:numRef>
              <c:f>Tableau!$B$16:$F$16</c:f>
              <c:numCache>
                <c:formatCode>0%</c:formatCode>
                <c:ptCount val="5"/>
                <c:pt idx="0">
                  <c:v>4.8710009199980494E-3</c:v>
                </c:pt>
                <c:pt idx="1">
                  <c:v>9.2141615152811669E-3</c:v>
                </c:pt>
                <c:pt idx="2">
                  <c:v>2.9528099552389407E-3</c:v>
                </c:pt>
                <c:pt idx="3">
                  <c:v>3.5498219928470106E-3</c:v>
                </c:pt>
                <c:pt idx="4">
                  <c:v>1.3094744991219286E-2</c:v>
                </c:pt>
              </c:numCache>
            </c:numRef>
          </c:val>
        </c:ser>
        <c:ser>
          <c:idx val="3"/>
          <c:order val="3"/>
          <c:tx>
            <c:strRef>
              <c:f>Tableau!$A$17</c:f>
              <c:strCache>
                <c:ptCount val="1"/>
                <c:pt idx="0">
                  <c:v>Maladies non transmissibles</c:v>
                </c:pt>
              </c:strCache>
            </c:strRef>
          </c:tx>
          <c:invertIfNegative val="0"/>
          <c:dLbls>
            <c:spPr>
              <a:noFill/>
              <a:ln>
                <a:noFill/>
              </a:ln>
              <a:effectLst/>
            </c:spPr>
            <c:txPr>
              <a:bodyPr/>
              <a:lstStyle/>
              <a:p>
                <a:pPr>
                  <a:defRPr sz="800"/>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Tableau!$B$13:$F$13</c:f>
              <c:numCache>
                <c:formatCode>General</c:formatCode>
                <c:ptCount val="5"/>
                <c:pt idx="0">
                  <c:v>2011</c:v>
                </c:pt>
                <c:pt idx="1">
                  <c:v>2012</c:v>
                </c:pt>
                <c:pt idx="2">
                  <c:v>2013</c:v>
                </c:pt>
                <c:pt idx="3">
                  <c:v>2014</c:v>
                </c:pt>
                <c:pt idx="4">
                  <c:v>2015</c:v>
                </c:pt>
              </c:numCache>
            </c:numRef>
          </c:cat>
          <c:val>
            <c:numRef>
              <c:f>Tableau!$B$17:$F$17</c:f>
              <c:numCache>
                <c:formatCode>0%</c:formatCode>
                <c:ptCount val="5"/>
                <c:pt idx="0">
                  <c:v>5.0359529789105489E-2</c:v>
                </c:pt>
                <c:pt idx="1">
                  <c:v>4.4732623296377443E-2</c:v>
                </c:pt>
                <c:pt idx="2">
                  <c:v>4.7491456560307163E-2</c:v>
                </c:pt>
                <c:pt idx="3">
                  <c:v>4.648984370751396E-2</c:v>
                </c:pt>
                <c:pt idx="4">
                  <c:v>4.9899705583426893E-2</c:v>
                </c:pt>
              </c:numCache>
            </c:numRef>
          </c:val>
        </c:ser>
        <c:ser>
          <c:idx val="4"/>
          <c:order val="4"/>
          <c:tx>
            <c:strRef>
              <c:f>Tableau!$A$18</c:f>
              <c:strCache>
                <c:ptCount val="1"/>
                <c:pt idx="0">
                  <c:v>Traumatismes</c:v>
                </c:pt>
              </c:strCache>
            </c:strRef>
          </c:tx>
          <c:invertIfNegative val="0"/>
          <c:cat>
            <c:numRef>
              <c:f>Tableau!$B$13:$F$13</c:f>
              <c:numCache>
                <c:formatCode>General</c:formatCode>
                <c:ptCount val="5"/>
                <c:pt idx="0">
                  <c:v>2011</c:v>
                </c:pt>
                <c:pt idx="1">
                  <c:v>2012</c:v>
                </c:pt>
                <c:pt idx="2">
                  <c:v>2013</c:v>
                </c:pt>
                <c:pt idx="3">
                  <c:v>2014</c:v>
                </c:pt>
                <c:pt idx="4">
                  <c:v>2015</c:v>
                </c:pt>
              </c:numCache>
            </c:numRef>
          </c:cat>
          <c:val>
            <c:numRef>
              <c:f>Tableau!$B$18:$F$18</c:f>
              <c:numCache>
                <c:formatCode>0%</c:formatCode>
                <c:ptCount val="5"/>
                <c:pt idx="0">
                  <c:v>1.3330552468839284E-2</c:v>
                </c:pt>
                <c:pt idx="1">
                  <c:v>1.1536163945060206E-2</c:v>
                </c:pt>
                <c:pt idx="2">
                  <c:v>1.1415678386937743E-2</c:v>
                </c:pt>
                <c:pt idx="3">
                  <c:v>1.0835390974031764E-2</c:v>
                </c:pt>
                <c:pt idx="4">
                  <c:v>1.2390181608403134E-2</c:v>
                </c:pt>
              </c:numCache>
            </c:numRef>
          </c:val>
        </c:ser>
        <c:ser>
          <c:idx val="5"/>
          <c:order val="5"/>
          <c:tx>
            <c:strRef>
              <c:f>Tableau!$A$19</c:f>
              <c:strCache>
                <c:ptCount val="1"/>
                <c:pt idx="0">
                  <c:v>Autres maladies/affections et maladies/affections non spécifiées (n.c.a.)</c:v>
                </c:pt>
              </c:strCache>
            </c:strRef>
          </c:tx>
          <c:invertIfNegative val="0"/>
          <c:dLbls>
            <c:spPr>
              <a:noFill/>
              <a:ln>
                <a:noFill/>
              </a:ln>
              <a:effectLst/>
            </c:spPr>
            <c:txPr>
              <a:bodyPr/>
              <a:lstStyle/>
              <a:p>
                <a:pPr>
                  <a:defRPr sz="800"/>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Tableau!$B$13:$F$13</c:f>
              <c:numCache>
                <c:formatCode>General</c:formatCode>
                <c:ptCount val="5"/>
                <c:pt idx="0">
                  <c:v>2011</c:v>
                </c:pt>
                <c:pt idx="1">
                  <c:v>2012</c:v>
                </c:pt>
                <c:pt idx="2">
                  <c:v>2013</c:v>
                </c:pt>
                <c:pt idx="3">
                  <c:v>2014</c:v>
                </c:pt>
                <c:pt idx="4">
                  <c:v>2015</c:v>
                </c:pt>
              </c:numCache>
            </c:numRef>
          </c:cat>
          <c:val>
            <c:numRef>
              <c:f>Tableau!$B$19:$F$19</c:f>
              <c:numCache>
                <c:formatCode>0%</c:formatCode>
                <c:ptCount val="5"/>
                <c:pt idx="0">
                  <c:v>0.13959913834633075</c:v>
                </c:pt>
                <c:pt idx="1">
                  <c:v>0.12700914481910114</c:v>
                </c:pt>
                <c:pt idx="2">
                  <c:v>0.1086007394926105</c:v>
                </c:pt>
                <c:pt idx="3">
                  <c:v>0.10499215072618105</c:v>
                </c:pt>
                <c:pt idx="4">
                  <c:v>0.1415097221465367</c:v>
                </c:pt>
              </c:numCache>
            </c:numRef>
          </c:val>
        </c:ser>
        <c:dLbls>
          <c:showLegendKey val="0"/>
          <c:showVal val="0"/>
          <c:showCatName val="0"/>
          <c:showSerName val="0"/>
          <c:showPercent val="0"/>
          <c:showBubbleSize val="0"/>
        </c:dLbls>
        <c:gapWidth val="150"/>
        <c:shape val="cylinder"/>
        <c:axId val="-734746928"/>
        <c:axId val="-734744208"/>
        <c:axId val="0"/>
      </c:bar3DChart>
      <c:catAx>
        <c:axId val="-734746928"/>
        <c:scaling>
          <c:orientation val="minMax"/>
        </c:scaling>
        <c:delete val="0"/>
        <c:axPos val="b"/>
        <c:numFmt formatCode="General" sourceLinked="1"/>
        <c:majorTickMark val="out"/>
        <c:minorTickMark val="none"/>
        <c:tickLblPos val="nextTo"/>
        <c:txPr>
          <a:bodyPr/>
          <a:lstStyle/>
          <a:p>
            <a:pPr>
              <a:defRPr sz="800"/>
            </a:pPr>
            <a:endParaRPr lang="fr-FR"/>
          </a:p>
        </c:txPr>
        <c:crossAx val="-734744208"/>
        <c:crosses val="autoZero"/>
        <c:auto val="1"/>
        <c:lblAlgn val="ctr"/>
        <c:lblOffset val="100"/>
        <c:noMultiLvlLbl val="0"/>
      </c:catAx>
      <c:valAx>
        <c:axId val="-734744208"/>
        <c:scaling>
          <c:orientation val="minMax"/>
        </c:scaling>
        <c:delete val="0"/>
        <c:axPos val="l"/>
        <c:majorGridlines/>
        <c:numFmt formatCode="0%" sourceLinked="1"/>
        <c:majorTickMark val="out"/>
        <c:minorTickMark val="none"/>
        <c:tickLblPos val="nextTo"/>
        <c:txPr>
          <a:bodyPr/>
          <a:lstStyle/>
          <a:p>
            <a:pPr>
              <a:defRPr sz="800"/>
            </a:pPr>
            <a:endParaRPr lang="fr-FR"/>
          </a:p>
        </c:txPr>
        <c:crossAx val="-734746928"/>
        <c:crosses val="autoZero"/>
        <c:crossBetween val="between"/>
      </c:valAx>
    </c:plotArea>
    <c:legend>
      <c:legendPos val="r"/>
      <c:overlay val="0"/>
      <c:txPr>
        <a:bodyPr/>
        <a:lstStyle/>
        <a:p>
          <a:pPr>
            <a:defRPr sz="700"/>
          </a:pPr>
          <a:endParaRPr lang="fr-FR"/>
        </a:p>
      </c:txPr>
    </c:legend>
    <c:plotVisOnly val="1"/>
    <c:dispBlanksAs val="gap"/>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647245483203489"/>
          <c:y val="5.4455445544554455E-2"/>
          <c:w val="0.86927710425085769"/>
          <c:h val="0.48883565915646682"/>
        </c:manualLayout>
      </c:layout>
      <c:barChart>
        <c:barDir val="col"/>
        <c:grouping val="stacked"/>
        <c:varyColors val="0"/>
        <c:ser>
          <c:idx val="0"/>
          <c:order val="0"/>
          <c:tx>
            <c:strRef>
              <c:f>'Funding of RMNCH expend.'!$B$7</c:f>
              <c:strCache>
                <c:ptCount val="1"/>
                <c:pt idx="0">
                  <c:v>Fonds des administrations publiques</c:v>
                </c:pt>
              </c:strCache>
            </c:strRef>
          </c:tx>
          <c:spPr>
            <a:solidFill>
              <a:srgbClr val="82BAB6"/>
            </a:solidFill>
            <a:ln w="3174" cap="flat">
              <a:solidFill>
                <a:srgbClr val="689E9B"/>
              </a:solidFill>
            </a:ln>
          </c:spPr>
          <c:invertIfNegative val="0"/>
          <c:dLbls>
            <c:spPr>
              <a:noFill/>
              <a:ln>
                <a:noFill/>
              </a:ln>
              <a:effectLst/>
            </c:spPr>
            <c:txPr>
              <a:bodyPr/>
              <a:lstStyle/>
              <a:p>
                <a:pPr>
                  <a:defRPr sz="800"/>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'Funding of RMNCH expend.'!$C$6:$F$6</c:f>
              <c:strCache>
                <c:ptCount val="4"/>
                <c:pt idx="0">
                  <c:v>2011</c:v>
                </c:pt>
                <c:pt idx="1">
                  <c:v>2012</c:v>
                </c:pt>
                <c:pt idx="2">
                  <c:v>2013</c:v>
                </c:pt>
                <c:pt idx="3">
                  <c:v>2014</c:v>
                </c:pt>
              </c:strCache>
            </c:strRef>
          </c:cat>
          <c:val>
            <c:numRef>
              <c:f>'Funding of RMNCH expend.'!$C$7:$F$7</c:f>
              <c:numCache>
                <c:formatCode>#,##0</c:formatCode>
                <c:ptCount val="4"/>
                <c:pt idx="0">
                  <c:v>1.6408610913140658</c:v>
                </c:pt>
                <c:pt idx="1">
                  <c:v>37.940453309966649</c:v>
                </c:pt>
                <c:pt idx="2">
                  <c:v>57.335546802043851</c:v>
                </c:pt>
                <c:pt idx="3">
                  <c:v>65.998124218643568</c:v>
                </c:pt>
              </c:numCache>
            </c:numRef>
          </c:val>
        </c:ser>
        <c:ser>
          <c:idx val="1"/>
          <c:order val="1"/>
          <c:tx>
            <c:strRef>
              <c:f>'Funding of RMNCH expend.'!$B$8</c:f>
              <c:strCache>
                <c:ptCount val="1"/>
                <c:pt idx="0">
                  <c:v>Fonds externes</c:v>
                </c:pt>
              </c:strCache>
            </c:strRef>
          </c:tx>
          <c:spPr>
            <a:solidFill>
              <a:srgbClr val="B1CA40"/>
            </a:solidFill>
            <a:ln w="3174" cap="flat">
              <a:solidFill>
                <a:srgbClr val="8EA83A"/>
              </a:solidFill>
            </a:ln>
          </c:spPr>
          <c:invertIfNegative val="0"/>
          <c:dLbls>
            <c:spPr>
              <a:noFill/>
              <a:ln>
                <a:noFill/>
              </a:ln>
              <a:effectLst/>
            </c:spPr>
            <c:txPr>
              <a:bodyPr/>
              <a:lstStyle/>
              <a:p>
                <a:pPr>
                  <a:defRPr sz="800"/>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'Funding of RMNCH expend.'!$C$6:$F$6</c:f>
              <c:strCache>
                <c:ptCount val="4"/>
                <c:pt idx="0">
                  <c:v>2011</c:v>
                </c:pt>
                <c:pt idx="1">
                  <c:v>2012</c:v>
                </c:pt>
                <c:pt idx="2">
                  <c:v>2013</c:v>
                </c:pt>
                <c:pt idx="3">
                  <c:v>2014</c:v>
                </c:pt>
              </c:strCache>
            </c:strRef>
          </c:cat>
          <c:val>
            <c:numRef>
              <c:f>'Funding of RMNCH expend.'!$C$8:$F$8</c:f>
              <c:numCache>
                <c:formatCode>#,##0</c:formatCode>
                <c:ptCount val="4"/>
                <c:pt idx="0">
                  <c:v>10.679344284478011</c:v>
                </c:pt>
                <c:pt idx="1">
                  <c:v>11.262157139428574</c:v>
                </c:pt>
                <c:pt idx="2">
                  <c:v>12.730858302587311</c:v>
                </c:pt>
                <c:pt idx="3">
                  <c:v>10.749786309877017</c:v>
                </c:pt>
              </c:numCache>
            </c:numRef>
          </c:val>
        </c:ser>
        <c:ser>
          <c:idx val="2"/>
          <c:order val="2"/>
          <c:tx>
            <c:strRef>
              <c:f>'Funding of RMNCH expend.'!$B$14</c:f>
              <c:strCache>
                <c:ptCount val="1"/>
                <c:pt idx="0">
                  <c:v>Fonds privés</c:v>
                </c:pt>
              </c:strCache>
            </c:strRef>
          </c:tx>
          <c:spPr>
            <a:solidFill>
              <a:srgbClr val="EBAF36"/>
            </a:solidFill>
            <a:ln w="3174" cap="flat">
              <a:solidFill>
                <a:srgbClr val="E09331"/>
              </a:solidFill>
            </a:ln>
          </c:spPr>
          <c:invertIfNegative val="0"/>
          <c:dLbls>
            <c:spPr>
              <a:noFill/>
              <a:ln>
                <a:noFill/>
              </a:ln>
              <a:effectLst/>
            </c:spPr>
            <c:txPr>
              <a:bodyPr/>
              <a:lstStyle/>
              <a:p>
                <a:pPr>
                  <a:defRPr sz="800"/>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'Funding of RMNCH expend.'!$C$6:$F$6</c:f>
              <c:strCache>
                <c:ptCount val="4"/>
                <c:pt idx="0">
                  <c:v>2011</c:v>
                </c:pt>
                <c:pt idx="1">
                  <c:v>2012</c:v>
                </c:pt>
                <c:pt idx="2">
                  <c:v>2013</c:v>
                </c:pt>
                <c:pt idx="3">
                  <c:v>2014</c:v>
                </c:pt>
              </c:strCache>
            </c:strRef>
          </c:cat>
          <c:val>
            <c:numRef>
              <c:f>'Funding of RMNCH expend.'!$C$14:$F$14</c:f>
              <c:numCache>
                <c:formatCode>#,##0</c:formatCode>
                <c:ptCount val="4"/>
                <c:pt idx="0">
                  <c:v>35.195143838368985</c:v>
                </c:pt>
                <c:pt idx="1">
                  <c:v>37.127295945051046</c:v>
                </c:pt>
                <c:pt idx="2">
                  <c:v>39.994806974355882</c:v>
                </c:pt>
                <c:pt idx="3">
                  <c:v>44.886433957236271</c:v>
                </c:pt>
              </c:numCache>
            </c:numRef>
          </c:val>
        </c:ser>
        <c:dLbls>
          <c:showLegendKey val="0"/>
          <c:showVal val="0"/>
          <c:showCatName val="0"/>
          <c:showSerName val="0"/>
          <c:showPercent val="0"/>
          <c:showBubbleSize val="0"/>
        </c:dLbls>
        <c:gapWidth val="150"/>
        <c:overlap val="100"/>
        <c:axId val="-734751280"/>
        <c:axId val="-734740400"/>
      </c:barChart>
      <c:catAx>
        <c:axId val="-734751280"/>
        <c:scaling>
          <c:orientation val="minMax"/>
        </c:scaling>
        <c:delete val="0"/>
        <c:axPos val="b"/>
        <c:majorGridlines>
          <c:spPr>
            <a:ln w="6349" cap="flat">
              <a:solidFill>
                <a:srgbClr val="FFFFFF"/>
              </a:solidFill>
              <a:miter lim="10000"/>
            </a:ln>
          </c:spPr>
        </c:majorGridlines>
        <c:title>
          <c:tx>
            <c:rich>
              <a:bodyPr/>
              <a:lstStyle/>
              <a:p>
                <a:pPr>
                  <a:defRPr/>
                </a:pPr>
                <a:endParaRPr lang="fr-FR"/>
              </a:p>
            </c:rich>
          </c:tx>
          <c:overlay val="0"/>
          <c:spPr>
            <a:noFill/>
            <a:ln>
              <a:noFill/>
            </a:ln>
          </c:spPr>
        </c:title>
        <c:numFmt formatCode="General" sourceLinked="1"/>
        <c:majorTickMark val="none"/>
        <c:minorTickMark val="none"/>
        <c:tickLblPos val="low"/>
        <c:spPr>
          <a:noFill/>
          <a:ln w="3174" cap="flat">
            <a:solidFill>
              <a:srgbClr val="E0E0E0"/>
            </a:solidFill>
            <a:miter lim="10000"/>
          </a:ln>
        </c:spPr>
        <c:txPr>
          <a:bodyPr rot="0"/>
          <a:lstStyle/>
          <a:p>
            <a:pPr>
              <a:defRPr sz="800">
                <a:solidFill>
                  <a:srgbClr val="000000"/>
                </a:solidFill>
                <a:latin typeface="Tahoma"/>
              </a:defRPr>
            </a:pPr>
            <a:endParaRPr lang="fr-FR"/>
          </a:p>
        </c:txPr>
        <c:crossAx val="-734740400"/>
        <c:crosses val="autoZero"/>
        <c:auto val="0"/>
        <c:lblAlgn val="ctr"/>
        <c:lblOffset val="100"/>
        <c:tickMarkSkip val="1"/>
        <c:noMultiLvlLbl val="0"/>
      </c:catAx>
      <c:valAx>
        <c:axId val="-734740400"/>
        <c:scaling>
          <c:orientation val="minMax"/>
        </c:scaling>
        <c:delete val="0"/>
        <c:axPos val="l"/>
        <c:majorGridlines>
          <c:spPr>
            <a:ln w="6349" cap="flat">
              <a:solidFill>
                <a:srgbClr val="FFFFFF"/>
              </a:solidFill>
              <a:miter lim="10000"/>
            </a:ln>
          </c:spPr>
        </c:majorGridlines>
        <c:title>
          <c:tx>
            <c:rich>
              <a:bodyPr rot="-5400000"/>
              <a:lstStyle/>
              <a:p>
                <a:pPr>
                  <a:defRPr/>
                </a:pPr>
                <a:endParaRPr lang="fr-FR"/>
              </a:p>
            </c:rich>
          </c:tx>
          <c:overlay val="0"/>
          <c:spPr>
            <a:noFill/>
            <a:ln>
              <a:noFill/>
            </a:ln>
          </c:spPr>
        </c:title>
        <c:numFmt formatCode="#,##0" sourceLinked="0"/>
        <c:majorTickMark val="none"/>
        <c:minorTickMark val="none"/>
        <c:tickLblPos val="low"/>
        <c:spPr>
          <a:noFill/>
          <a:ln w="3174" cap="flat">
            <a:solidFill>
              <a:srgbClr val="FFFFFF"/>
            </a:solidFill>
            <a:miter lim="10000"/>
          </a:ln>
        </c:spPr>
        <c:txPr>
          <a:bodyPr rot="0"/>
          <a:lstStyle/>
          <a:p>
            <a:pPr>
              <a:defRPr sz="800">
                <a:solidFill>
                  <a:srgbClr val="000000"/>
                </a:solidFill>
                <a:latin typeface="Tahoma"/>
              </a:defRPr>
            </a:pPr>
            <a:endParaRPr lang="fr-FR"/>
          </a:p>
        </c:txPr>
        <c:crossAx val="-734751280"/>
        <c:crosses val="autoZero"/>
        <c:crossBetween val="between"/>
        <c:minorUnit val="0"/>
      </c:valAx>
      <c:spPr>
        <a:gradFill>
          <a:gsLst>
            <a:gs pos="0">
              <a:srgbClr val="DDDDDD"/>
            </a:gs>
            <a:gs pos="100000">
              <a:srgbClr val="FFFFFF"/>
            </a:gs>
          </a:gsLst>
          <a:lin ang="5400000" scaled="0"/>
        </a:gradFill>
        <a:ln>
          <a:noFill/>
        </a:ln>
      </c:spPr>
    </c:plotArea>
    <c:legend>
      <c:legendPos val="b"/>
      <c:layout>
        <c:manualLayout>
          <c:xMode val="edge"/>
          <c:yMode val="edge"/>
          <c:x val="0.16882663972558978"/>
          <c:y val="0.71009524258569534"/>
          <c:w val="0.66675571803524591"/>
          <c:h val="7.1467220680615423E-2"/>
        </c:manualLayout>
      </c:layout>
      <c:overlay val="0"/>
      <c:spPr>
        <a:noFill/>
        <a:ln>
          <a:noFill/>
        </a:ln>
      </c:spPr>
      <c:txPr>
        <a:bodyPr rot="0"/>
        <a:lstStyle/>
        <a:p>
          <a:pPr>
            <a:defRPr sz="800">
              <a:solidFill>
                <a:srgbClr val="000000"/>
              </a:solidFill>
              <a:latin typeface="Tahoma"/>
            </a:defRPr>
          </a:pPr>
          <a:endParaRPr lang="fr-FR"/>
        </a:p>
      </c:txPr>
    </c:legend>
    <c:plotVisOnly val="0"/>
    <c:dispBlanksAs val="gap"/>
    <c:showDLblsOverMax val="0"/>
  </c:chart>
  <c:spPr>
    <a:solidFill>
      <a:srgbClr val="FFFFFF"/>
    </a:solidFill>
    <a:ln w="6349" cap="flat">
      <a:solidFill>
        <a:srgbClr val="C0C0C0"/>
      </a:solidFill>
      <a:miter lim="10000"/>
    </a:ln>
  </c:sp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EB4D3C5-7552-40EA-8C4E-4B683A4C7BBA}" type="doc">
      <dgm:prSet loTypeId="urn:microsoft.com/office/officeart/2005/8/layout/radial4" loCatId="relationship" qsTypeId="urn:microsoft.com/office/officeart/2005/8/quickstyle/simple1" qsCatId="simple" csTypeId="urn:microsoft.com/office/officeart/2005/8/colors/colorful3" csCatId="colorful" phldr="1"/>
      <dgm:spPr/>
      <dgm:t>
        <a:bodyPr/>
        <a:lstStyle/>
        <a:p>
          <a:endParaRPr lang="fr-FR"/>
        </a:p>
      </dgm:t>
    </dgm:pt>
    <dgm:pt modelId="{AAA6B49D-A105-4302-8CDD-9D76170506B4}">
      <dgm:prSet phldrT="[Texte]" custT="1"/>
      <dgm:spPr/>
      <dgm:t>
        <a:bodyPr/>
        <a:lstStyle/>
        <a:p>
          <a:pPr algn="ctr"/>
          <a:r>
            <a:rPr lang="fr-FR" sz="1000" b="1">
              <a:latin typeface="Times New Roman" pitchFamily="18" charset="0"/>
              <a:cs typeface="Times New Roman" pitchFamily="18" charset="0"/>
            </a:rPr>
            <a:t>Administration Publique</a:t>
          </a:r>
        </a:p>
        <a:p>
          <a:pPr algn="ctr"/>
          <a:r>
            <a:rPr lang="fr-FR" sz="1000" b="1">
              <a:latin typeface="Times New Roman" pitchFamily="18" charset="0"/>
              <a:cs typeface="Times New Roman" pitchFamily="18" charset="0"/>
            </a:rPr>
            <a:t>100%</a:t>
          </a:r>
        </a:p>
      </dgm:t>
    </dgm:pt>
    <dgm:pt modelId="{35B21C63-916A-4501-B156-08AD26B8B746}" type="parTrans" cxnId="{BB50046D-6CC9-48C4-9871-A0257DA8A0E4}">
      <dgm:prSet/>
      <dgm:spPr/>
      <dgm:t>
        <a:bodyPr/>
        <a:lstStyle/>
        <a:p>
          <a:pPr algn="ctr"/>
          <a:endParaRPr lang="fr-FR"/>
        </a:p>
      </dgm:t>
    </dgm:pt>
    <dgm:pt modelId="{1FEBAEDC-3E37-4007-AC3E-8A7D9BD8B357}" type="sibTrans" cxnId="{BB50046D-6CC9-48C4-9871-A0257DA8A0E4}">
      <dgm:prSet/>
      <dgm:spPr/>
      <dgm:t>
        <a:bodyPr/>
        <a:lstStyle/>
        <a:p>
          <a:pPr algn="ctr"/>
          <a:endParaRPr lang="fr-FR"/>
        </a:p>
      </dgm:t>
    </dgm:pt>
    <dgm:pt modelId="{23D0227B-1E34-4509-9AD1-BFBE963708ED}">
      <dgm:prSet phldrT="[Texte]" custT="1"/>
      <dgm:spPr/>
      <dgm:t>
        <a:bodyPr/>
        <a:lstStyle/>
        <a:p>
          <a:pPr algn="ctr"/>
          <a:r>
            <a:rPr lang="fr-FR" sz="1050" b="1">
              <a:latin typeface="Times New Roman" pitchFamily="18" charset="0"/>
              <a:cs typeface="Times New Roman" pitchFamily="18" charset="0"/>
            </a:rPr>
            <a:t>FS.2</a:t>
          </a:r>
          <a:endParaRPr lang="fr-FR" sz="1100" b="1">
            <a:latin typeface="Times New Roman" pitchFamily="18" charset="0"/>
            <a:cs typeface="Times New Roman" pitchFamily="18" charset="0"/>
          </a:endParaRPr>
        </a:p>
        <a:p>
          <a:pPr algn="ctr"/>
          <a:r>
            <a:rPr lang="fr-FR" sz="1100" b="1">
              <a:latin typeface="Times New Roman" pitchFamily="18" charset="0"/>
              <a:cs typeface="Times New Roman" pitchFamily="18" charset="0"/>
            </a:rPr>
            <a:t>Partenaires</a:t>
          </a:r>
        </a:p>
        <a:p>
          <a:pPr algn="ctr"/>
          <a:r>
            <a:rPr lang="fr-FR" sz="1100" b="1">
              <a:latin typeface="Times New Roman" pitchFamily="18" charset="0"/>
              <a:cs typeface="Times New Roman" pitchFamily="18" charset="0"/>
            </a:rPr>
            <a:t>46%</a:t>
          </a:r>
        </a:p>
      </dgm:t>
    </dgm:pt>
    <dgm:pt modelId="{FA59FF6C-ED2B-4940-8EE7-76A5560C3208}" type="sibTrans" cxnId="{1C1AB1C2-621C-4F43-BD52-91E5323D222E}">
      <dgm:prSet/>
      <dgm:spPr/>
      <dgm:t>
        <a:bodyPr/>
        <a:lstStyle/>
        <a:p>
          <a:pPr algn="ctr"/>
          <a:endParaRPr lang="fr-FR"/>
        </a:p>
      </dgm:t>
    </dgm:pt>
    <dgm:pt modelId="{0E100B39-316D-4F62-B539-E1C60DBEAE39}" type="parTrans" cxnId="{1C1AB1C2-621C-4F43-BD52-91E5323D222E}">
      <dgm:prSet/>
      <dgm:spPr/>
      <dgm:t>
        <a:bodyPr/>
        <a:lstStyle/>
        <a:p>
          <a:pPr algn="ctr"/>
          <a:endParaRPr lang="fr-FR"/>
        </a:p>
      </dgm:t>
    </dgm:pt>
    <dgm:pt modelId="{D48F2D50-6BFC-4625-B607-395BB87EE474}">
      <dgm:prSet phldrT="[Texte]" custT="1"/>
      <dgm:spPr/>
      <dgm:t>
        <a:bodyPr/>
        <a:lstStyle/>
        <a:p>
          <a:pPr algn="ctr"/>
          <a:r>
            <a:rPr lang="fr-FR" sz="1000" b="1">
              <a:latin typeface="Times New Roman" pitchFamily="18" charset="0"/>
              <a:ea typeface="Tahoma" pitchFamily="34" charset="0"/>
              <a:cs typeface="Times New Roman" pitchFamily="18" charset="0"/>
            </a:rPr>
            <a:t>FS.1</a:t>
          </a:r>
        </a:p>
        <a:p>
          <a:pPr algn="ctr"/>
          <a:r>
            <a:rPr lang="fr-FR" sz="1000" b="1">
              <a:latin typeface="Times New Roman" pitchFamily="18" charset="0"/>
              <a:ea typeface="Tahoma" pitchFamily="34" charset="0"/>
              <a:cs typeface="Times New Roman" pitchFamily="18" charset="0"/>
            </a:rPr>
            <a:t>Tresor Public</a:t>
          </a:r>
        </a:p>
        <a:p>
          <a:pPr algn="ctr"/>
          <a:r>
            <a:rPr lang="fr-FR" sz="1000" b="1">
              <a:latin typeface="Times New Roman" pitchFamily="18" charset="0"/>
              <a:ea typeface="Tahoma" pitchFamily="34" charset="0"/>
              <a:cs typeface="Times New Roman" pitchFamily="18" charset="0"/>
            </a:rPr>
            <a:t>54%</a:t>
          </a:r>
        </a:p>
      </dgm:t>
    </dgm:pt>
    <dgm:pt modelId="{3F637124-143B-4E67-A3CD-0F78007C81B8}" type="sibTrans" cxnId="{9F97DA61-2986-4A03-8DED-CA275AD35CD7}">
      <dgm:prSet/>
      <dgm:spPr/>
      <dgm:t>
        <a:bodyPr/>
        <a:lstStyle/>
        <a:p>
          <a:pPr algn="ctr"/>
          <a:endParaRPr lang="fr-FR"/>
        </a:p>
      </dgm:t>
    </dgm:pt>
    <dgm:pt modelId="{0FA03565-F268-4B41-A8D5-1254810F8F5C}" type="parTrans" cxnId="{9F97DA61-2986-4A03-8DED-CA275AD35CD7}">
      <dgm:prSet/>
      <dgm:spPr/>
      <dgm:t>
        <a:bodyPr/>
        <a:lstStyle/>
        <a:p>
          <a:pPr algn="ctr"/>
          <a:endParaRPr lang="fr-FR"/>
        </a:p>
      </dgm:t>
    </dgm:pt>
    <dgm:pt modelId="{5F3B0E49-BF59-4AF3-B77C-B2AFC059ADAC}" type="pres">
      <dgm:prSet presAssocID="{1EB4D3C5-7552-40EA-8C4E-4B683A4C7BBA}" presName="cycle" presStyleCnt="0">
        <dgm:presLayoutVars>
          <dgm:chMax val="1"/>
          <dgm:dir/>
          <dgm:animLvl val="ctr"/>
          <dgm:resizeHandles val="exact"/>
        </dgm:presLayoutVars>
      </dgm:prSet>
      <dgm:spPr/>
      <dgm:t>
        <a:bodyPr/>
        <a:lstStyle/>
        <a:p>
          <a:endParaRPr lang="fr-FR"/>
        </a:p>
      </dgm:t>
    </dgm:pt>
    <dgm:pt modelId="{3AA859F4-5062-4E29-8E5C-8C42EBB3085E}" type="pres">
      <dgm:prSet presAssocID="{AAA6B49D-A105-4302-8CDD-9D76170506B4}" presName="centerShape" presStyleLbl="node0" presStyleIdx="0" presStyleCnt="1" custScaleX="113032" custScaleY="121379"/>
      <dgm:spPr/>
      <dgm:t>
        <a:bodyPr/>
        <a:lstStyle/>
        <a:p>
          <a:endParaRPr lang="fr-FR"/>
        </a:p>
      </dgm:t>
    </dgm:pt>
    <dgm:pt modelId="{5B5824A1-70AD-4F55-B4C4-539EDD1B9594}" type="pres">
      <dgm:prSet presAssocID="{0FA03565-F268-4B41-A8D5-1254810F8F5C}" presName="parTrans" presStyleLbl="bgSibTrans2D1" presStyleIdx="0" presStyleCnt="2"/>
      <dgm:spPr/>
      <dgm:t>
        <a:bodyPr/>
        <a:lstStyle/>
        <a:p>
          <a:endParaRPr lang="fr-FR"/>
        </a:p>
      </dgm:t>
    </dgm:pt>
    <dgm:pt modelId="{05DB7444-8BA2-4B8C-A5FE-5CC8EE45011E}" type="pres">
      <dgm:prSet presAssocID="{D48F2D50-6BFC-4625-B607-395BB87EE474}" presName="node" presStyleLbl="node1" presStyleIdx="0" presStyleCnt="2" custScaleY="127983">
        <dgm:presLayoutVars>
          <dgm:bulletEnabled val="1"/>
        </dgm:presLayoutVars>
      </dgm:prSet>
      <dgm:spPr/>
      <dgm:t>
        <a:bodyPr/>
        <a:lstStyle/>
        <a:p>
          <a:endParaRPr lang="fr-FR"/>
        </a:p>
      </dgm:t>
    </dgm:pt>
    <dgm:pt modelId="{66662BDC-21CC-478B-8F35-77AAEF917C2F}" type="pres">
      <dgm:prSet presAssocID="{0E100B39-316D-4F62-B539-E1C60DBEAE39}" presName="parTrans" presStyleLbl="bgSibTrans2D1" presStyleIdx="1" presStyleCnt="2"/>
      <dgm:spPr/>
      <dgm:t>
        <a:bodyPr/>
        <a:lstStyle/>
        <a:p>
          <a:endParaRPr lang="fr-FR"/>
        </a:p>
      </dgm:t>
    </dgm:pt>
    <dgm:pt modelId="{4083DE77-9F5F-420F-A573-8070B93E84FF}" type="pres">
      <dgm:prSet presAssocID="{23D0227B-1E34-4509-9AD1-BFBE963708ED}" presName="node" presStyleLbl="node1" presStyleIdx="1" presStyleCnt="2" custScaleX="113938" custScaleY="124260">
        <dgm:presLayoutVars>
          <dgm:bulletEnabled val="1"/>
        </dgm:presLayoutVars>
      </dgm:prSet>
      <dgm:spPr/>
      <dgm:t>
        <a:bodyPr/>
        <a:lstStyle/>
        <a:p>
          <a:endParaRPr lang="fr-FR"/>
        </a:p>
      </dgm:t>
    </dgm:pt>
  </dgm:ptLst>
  <dgm:cxnLst>
    <dgm:cxn modelId="{BB50046D-6CC9-48C4-9871-A0257DA8A0E4}" srcId="{1EB4D3C5-7552-40EA-8C4E-4B683A4C7BBA}" destId="{AAA6B49D-A105-4302-8CDD-9D76170506B4}" srcOrd="0" destOrd="0" parTransId="{35B21C63-916A-4501-B156-08AD26B8B746}" sibTransId="{1FEBAEDC-3E37-4007-AC3E-8A7D9BD8B357}"/>
    <dgm:cxn modelId="{43344531-6D84-4BB7-9F8F-781DB6B65F3D}" type="presOf" srcId="{D48F2D50-6BFC-4625-B607-395BB87EE474}" destId="{05DB7444-8BA2-4B8C-A5FE-5CC8EE45011E}" srcOrd="0" destOrd="0" presId="urn:microsoft.com/office/officeart/2005/8/layout/radial4"/>
    <dgm:cxn modelId="{7ECAFE4D-8BDE-4E02-827E-EFA1D9E88F9A}" type="presOf" srcId="{0E100B39-316D-4F62-B539-E1C60DBEAE39}" destId="{66662BDC-21CC-478B-8F35-77AAEF917C2F}" srcOrd="0" destOrd="0" presId="urn:microsoft.com/office/officeart/2005/8/layout/radial4"/>
    <dgm:cxn modelId="{4E7A0A81-3F09-4721-BB65-B4AB6037E849}" type="presOf" srcId="{0FA03565-F268-4B41-A8D5-1254810F8F5C}" destId="{5B5824A1-70AD-4F55-B4C4-539EDD1B9594}" srcOrd="0" destOrd="0" presId="urn:microsoft.com/office/officeart/2005/8/layout/radial4"/>
    <dgm:cxn modelId="{361A7D28-B118-4114-9B55-7B8319C1426D}" type="presOf" srcId="{AAA6B49D-A105-4302-8CDD-9D76170506B4}" destId="{3AA859F4-5062-4E29-8E5C-8C42EBB3085E}" srcOrd="0" destOrd="0" presId="urn:microsoft.com/office/officeart/2005/8/layout/radial4"/>
    <dgm:cxn modelId="{1C1AB1C2-621C-4F43-BD52-91E5323D222E}" srcId="{AAA6B49D-A105-4302-8CDD-9D76170506B4}" destId="{23D0227B-1E34-4509-9AD1-BFBE963708ED}" srcOrd="1" destOrd="0" parTransId="{0E100B39-316D-4F62-B539-E1C60DBEAE39}" sibTransId="{FA59FF6C-ED2B-4940-8EE7-76A5560C3208}"/>
    <dgm:cxn modelId="{9F97DA61-2986-4A03-8DED-CA275AD35CD7}" srcId="{AAA6B49D-A105-4302-8CDD-9D76170506B4}" destId="{D48F2D50-6BFC-4625-B607-395BB87EE474}" srcOrd="0" destOrd="0" parTransId="{0FA03565-F268-4B41-A8D5-1254810F8F5C}" sibTransId="{3F637124-143B-4E67-A3CD-0F78007C81B8}"/>
    <dgm:cxn modelId="{2E5A6CA7-25EC-4283-9177-F36E6DFB27D0}" type="presOf" srcId="{23D0227B-1E34-4509-9AD1-BFBE963708ED}" destId="{4083DE77-9F5F-420F-A573-8070B93E84FF}" srcOrd="0" destOrd="0" presId="urn:microsoft.com/office/officeart/2005/8/layout/radial4"/>
    <dgm:cxn modelId="{8268F49E-7C9C-4479-B2CD-29E3FDF0CAF3}" type="presOf" srcId="{1EB4D3C5-7552-40EA-8C4E-4B683A4C7BBA}" destId="{5F3B0E49-BF59-4AF3-B77C-B2AFC059ADAC}" srcOrd="0" destOrd="0" presId="urn:microsoft.com/office/officeart/2005/8/layout/radial4"/>
    <dgm:cxn modelId="{91095898-4981-45AE-98B0-E580F13EEFE7}" type="presParOf" srcId="{5F3B0E49-BF59-4AF3-B77C-B2AFC059ADAC}" destId="{3AA859F4-5062-4E29-8E5C-8C42EBB3085E}" srcOrd="0" destOrd="0" presId="urn:microsoft.com/office/officeart/2005/8/layout/radial4"/>
    <dgm:cxn modelId="{6DAF1A43-521D-472E-A947-5A0C6345EB11}" type="presParOf" srcId="{5F3B0E49-BF59-4AF3-B77C-B2AFC059ADAC}" destId="{5B5824A1-70AD-4F55-B4C4-539EDD1B9594}" srcOrd="1" destOrd="0" presId="urn:microsoft.com/office/officeart/2005/8/layout/radial4"/>
    <dgm:cxn modelId="{16FCA0D5-BAC9-445A-8D93-8A785FB71D4B}" type="presParOf" srcId="{5F3B0E49-BF59-4AF3-B77C-B2AFC059ADAC}" destId="{05DB7444-8BA2-4B8C-A5FE-5CC8EE45011E}" srcOrd="2" destOrd="0" presId="urn:microsoft.com/office/officeart/2005/8/layout/radial4"/>
    <dgm:cxn modelId="{39146C76-834A-446C-85DD-A819772CF2CD}" type="presParOf" srcId="{5F3B0E49-BF59-4AF3-B77C-B2AFC059ADAC}" destId="{66662BDC-21CC-478B-8F35-77AAEF917C2F}" srcOrd="3" destOrd="0" presId="urn:microsoft.com/office/officeart/2005/8/layout/radial4"/>
    <dgm:cxn modelId="{47C4957C-5555-42DF-A82A-9E63537F3594}" type="presParOf" srcId="{5F3B0E49-BF59-4AF3-B77C-B2AFC059ADAC}" destId="{4083DE77-9F5F-420F-A573-8070B93E84FF}" srcOrd="4" destOrd="0" presId="urn:microsoft.com/office/officeart/2005/8/layout/radial4"/>
  </dgm:cxnLst>
  <dgm:bg/>
  <dgm:whole/>
  <dgm:extLst>
    <a:ext uri="http://schemas.microsoft.com/office/drawing/2008/diagram">
      <dsp:dataModelExt xmlns:dsp="http://schemas.microsoft.com/office/drawing/2008/diagram" relId="rId3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AA859F4-5062-4E29-8E5C-8C42EBB3085E}">
      <dsp:nvSpPr>
        <dsp:cNvPr id="0" name=""/>
        <dsp:cNvSpPr/>
      </dsp:nvSpPr>
      <dsp:spPr>
        <a:xfrm>
          <a:off x="1726408" y="561552"/>
          <a:ext cx="1208703" cy="1297962"/>
        </a:xfrm>
        <a:prstGeom prst="ellipse">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fr-FR" sz="1000" b="1" kern="1200">
              <a:latin typeface="Times New Roman" pitchFamily="18" charset="0"/>
              <a:cs typeface="Times New Roman" pitchFamily="18" charset="0"/>
            </a:rPr>
            <a:t>Administration Publique</a:t>
          </a:r>
        </a:p>
        <a:p>
          <a:pPr lvl="0" algn="ctr" defTabSz="444500">
            <a:lnSpc>
              <a:spcPct val="90000"/>
            </a:lnSpc>
            <a:spcBef>
              <a:spcPct val="0"/>
            </a:spcBef>
            <a:spcAft>
              <a:spcPct val="35000"/>
            </a:spcAft>
          </a:pPr>
          <a:r>
            <a:rPr lang="fr-FR" sz="1000" b="1" kern="1200">
              <a:latin typeface="Times New Roman" pitchFamily="18" charset="0"/>
              <a:cs typeface="Times New Roman" pitchFamily="18" charset="0"/>
            </a:rPr>
            <a:t>100%</a:t>
          </a:r>
        </a:p>
      </dsp:txBody>
      <dsp:txXfrm>
        <a:off x="1903418" y="751634"/>
        <a:ext cx="854683" cy="917798"/>
      </dsp:txXfrm>
    </dsp:sp>
    <dsp:sp modelId="{5B5824A1-70AD-4F55-B4C4-539EDD1B9594}">
      <dsp:nvSpPr>
        <dsp:cNvPr id="0" name=""/>
        <dsp:cNvSpPr/>
      </dsp:nvSpPr>
      <dsp:spPr>
        <a:xfrm rot="12900000">
          <a:off x="1115064" y="466387"/>
          <a:ext cx="741138" cy="304763"/>
        </a:xfrm>
        <a:prstGeom prst="leftArrow">
          <a:avLst>
            <a:gd name="adj1" fmla="val 60000"/>
            <a:gd name="adj2" fmla="val 50000"/>
          </a:avLst>
        </a:prstGeom>
        <a:solidFill>
          <a:schemeClr val="accent3">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05DB7444-8BA2-4B8C-A5FE-5CC8EE45011E}">
      <dsp:nvSpPr>
        <dsp:cNvPr id="0" name=""/>
        <dsp:cNvSpPr/>
      </dsp:nvSpPr>
      <dsp:spPr>
        <a:xfrm>
          <a:off x="674142" y="-113841"/>
          <a:ext cx="1015879" cy="1040122"/>
        </a:xfrm>
        <a:prstGeom prst="roundRect">
          <a:avLst>
            <a:gd name="adj" fmla="val 10000"/>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lvl="0" algn="ctr" defTabSz="444500">
            <a:lnSpc>
              <a:spcPct val="90000"/>
            </a:lnSpc>
            <a:spcBef>
              <a:spcPct val="0"/>
            </a:spcBef>
            <a:spcAft>
              <a:spcPct val="35000"/>
            </a:spcAft>
          </a:pPr>
          <a:r>
            <a:rPr lang="fr-FR" sz="1000" b="1" kern="1200">
              <a:latin typeface="Times New Roman" pitchFamily="18" charset="0"/>
              <a:ea typeface="Tahoma" pitchFamily="34" charset="0"/>
              <a:cs typeface="Times New Roman" pitchFamily="18" charset="0"/>
            </a:rPr>
            <a:t>FS.1</a:t>
          </a:r>
        </a:p>
        <a:p>
          <a:pPr lvl="0" algn="ctr" defTabSz="444500">
            <a:lnSpc>
              <a:spcPct val="90000"/>
            </a:lnSpc>
            <a:spcBef>
              <a:spcPct val="0"/>
            </a:spcBef>
            <a:spcAft>
              <a:spcPct val="35000"/>
            </a:spcAft>
          </a:pPr>
          <a:r>
            <a:rPr lang="fr-FR" sz="1000" b="1" kern="1200">
              <a:latin typeface="Times New Roman" pitchFamily="18" charset="0"/>
              <a:ea typeface="Tahoma" pitchFamily="34" charset="0"/>
              <a:cs typeface="Times New Roman" pitchFamily="18" charset="0"/>
            </a:rPr>
            <a:t>Tresor Public</a:t>
          </a:r>
        </a:p>
        <a:p>
          <a:pPr lvl="0" algn="ctr" defTabSz="444500">
            <a:lnSpc>
              <a:spcPct val="90000"/>
            </a:lnSpc>
            <a:spcBef>
              <a:spcPct val="0"/>
            </a:spcBef>
            <a:spcAft>
              <a:spcPct val="35000"/>
            </a:spcAft>
          </a:pPr>
          <a:r>
            <a:rPr lang="fr-FR" sz="1000" b="1" kern="1200">
              <a:latin typeface="Times New Roman" pitchFamily="18" charset="0"/>
              <a:ea typeface="Tahoma" pitchFamily="34" charset="0"/>
              <a:cs typeface="Times New Roman" pitchFamily="18" charset="0"/>
            </a:rPr>
            <a:t>54%</a:t>
          </a:r>
        </a:p>
      </dsp:txBody>
      <dsp:txXfrm>
        <a:off x="703896" y="-84087"/>
        <a:ext cx="956371" cy="980614"/>
      </dsp:txXfrm>
    </dsp:sp>
    <dsp:sp modelId="{66662BDC-21CC-478B-8F35-77AAEF917C2F}">
      <dsp:nvSpPr>
        <dsp:cNvPr id="0" name=""/>
        <dsp:cNvSpPr/>
      </dsp:nvSpPr>
      <dsp:spPr>
        <a:xfrm rot="19500000">
          <a:off x="2805316" y="466387"/>
          <a:ext cx="741138" cy="304763"/>
        </a:xfrm>
        <a:prstGeom prst="leftArrow">
          <a:avLst>
            <a:gd name="adj1" fmla="val 60000"/>
            <a:gd name="adj2" fmla="val 50000"/>
          </a:avLst>
        </a:prstGeom>
        <a:solidFill>
          <a:schemeClr val="accent3">
            <a:hueOff val="11250264"/>
            <a:satOff val="-16880"/>
            <a:lumOff val="-2745"/>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4083DE77-9F5F-420F-A573-8070B93E84FF}">
      <dsp:nvSpPr>
        <dsp:cNvPr id="0" name=""/>
        <dsp:cNvSpPr/>
      </dsp:nvSpPr>
      <dsp:spPr>
        <a:xfrm>
          <a:off x="2900702" y="-98712"/>
          <a:ext cx="1157472" cy="1009865"/>
        </a:xfrm>
        <a:prstGeom prst="roundRect">
          <a:avLst>
            <a:gd name="adj" fmla="val 10000"/>
          </a:avLst>
        </a:prstGeom>
        <a:solidFill>
          <a:schemeClr val="accent3">
            <a:hueOff val="11250264"/>
            <a:satOff val="-16880"/>
            <a:lumOff val="-2745"/>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0955" tIns="20955" rIns="20955" bIns="20955" numCol="1" spcCol="1270" anchor="ctr" anchorCtr="0">
          <a:noAutofit/>
        </a:bodyPr>
        <a:lstStyle/>
        <a:p>
          <a:pPr lvl="0" algn="ctr" defTabSz="466725">
            <a:lnSpc>
              <a:spcPct val="90000"/>
            </a:lnSpc>
            <a:spcBef>
              <a:spcPct val="0"/>
            </a:spcBef>
            <a:spcAft>
              <a:spcPct val="35000"/>
            </a:spcAft>
          </a:pPr>
          <a:r>
            <a:rPr lang="fr-FR" sz="1050" b="1" kern="1200">
              <a:latin typeface="Times New Roman" pitchFamily="18" charset="0"/>
              <a:cs typeface="Times New Roman" pitchFamily="18" charset="0"/>
            </a:rPr>
            <a:t>FS.2</a:t>
          </a:r>
          <a:endParaRPr lang="fr-FR" sz="1100" b="1" kern="1200">
            <a:latin typeface="Times New Roman" pitchFamily="18" charset="0"/>
            <a:cs typeface="Times New Roman" pitchFamily="18" charset="0"/>
          </a:endParaRPr>
        </a:p>
        <a:p>
          <a:pPr lvl="0" algn="ctr" defTabSz="466725">
            <a:lnSpc>
              <a:spcPct val="90000"/>
            </a:lnSpc>
            <a:spcBef>
              <a:spcPct val="0"/>
            </a:spcBef>
            <a:spcAft>
              <a:spcPct val="35000"/>
            </a:spcAft>
          </a:pPr>
          <a:r>
            <a:rPr lang="fr-FR" sz="1100" b="1" kern="1200">
              <a:latin typeface="Times New Roman" pitchFamily="18" charset="0"/>
              <a:cs typeface="Times New Roman" pitchFamily="18" charset="0"/>
            </a:rPr>
            <a:t>Partenaires</a:t>
          </a:r>
        </a:p>
        <a:p>
          <a:pPr lvl="0" algn="ctr" defTabSz="466725">
            <a:lnSpc>
              <a:spcPct val="90000"/>
            </a:lnSpc>
            <a:spcBef>
              <a:spcPct val="0"/>
            </a:spcBef>
            <a:spcAft>
              <a:spcPct val="35000"/>
            </a:spcAft>
          </a:pPr>
          <a:r>
            <a:rPr lang="fr-FR" sz="1100" b="1" kern="1200">
              <a:latin typeface="Times New Roman" pitchFamily="18" charset="0"/>
              <a:cs typeface="Times New Roman" pitchFamily="18" charset="0"/>
            </a:rPr>
            <a:t>46%</a:t>
          </a:r>
        </a:p>
      </dsp:txBody>
      <dsp:txXfrm>
        <a:off x="2930280" y="-69134"/>
        <a:ext cx="1098316" cy="950709"/>
      </dsp:txXfrm>
    </dsp:sp>
  </dsp:spTree>
</dsp:drawing>
</file>

<file path=word/diagrams/layout1.xml><?xml version="1.0" encoding="utf-8"?>
<dgm:layoutDef xmlns:dgm="http://schemas.openxmlformats.org/drawingml/2006/diagram" xmlns:a="http://schemas.openxmlformats.org/drawingml/2006/main" uniqueId="urn:microsoft.com/office/officeart/2005/8/layout/radial4">
  <dgm:title val=""/>
  <dgm:desc val=""/>
  <dgm:catLst>
    <dgm:cat type="relationship" pri="19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t modelId="11"/>
        <dgm:pt modelId="12"/>
      </dgm:ptLst>
      <dgm:cxnLst>
        <dgm:cxn modelId="2" srcId="0" destId="1" srcOrd="0" destOrd="0"/>
        <dgm:cxn modelId="15" srcId="1" destId="11" srcOrd="0" destOrd="0"/>
        <dgm:cxn modelId="16" srcId="1" destId="12" srcOrd="1"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0"/>
              <dgm:param type="spanAng" val="360"/>
              <dgm:param type="ctrShpMap" val="fNode"/>
            </dgm:alg>
          </dgm:if>
          <dgm:else name="Name4">
            <dgm:choose name="Name5">
              <dgm:if name="Name6" axis="ch ch" ptType="node node" st="1 1" cnt="1 0" func="cnt" op="lte" val="3">
                <dgm:alg type="cycle">
                  <dgm:param type="stAng" val="-55"/>
                  <dgm:param type="spanAng" val="110"/>
                  <dgm:param type="ctrShpMap" val="fNode"/>
                </dgm:alg>
              </dgm:if>
              <dgm:else name="Name7">
                <dgm:choose name="Name8">
                  <dgm:if name="Name9" axis="ch ch" ptType="node node" st="1 1" cnt="1 0" func="cnt" op="equ" val="4">
                    <dgm:alg type="cycle">
                      <dgm:param type="stAng" val="-75"/>
                      <dgm:param type="spanAng" val="150"/>
                      <dgm:param type="ctrShpMap" val="fNode"/>
                    </dgm:alg>
                  </dgm:if>
                  <dgm:else name="Name10">
                    <dgm:alg type="cycle">
                      <dgm:param type="stAng" val="-90"/>
                      <dgm:param type="spanAng" val="180"/>
                      <dgm:param type="ctrShpMap" val="fNode"/>
                    </dgm:alg>
                  </dgm:else>
                </dgm:choose>
              </dgm:else>
            </dgm:choose>
          </dgm:else>
        </dgm:choose>
      </dgm:if>
      <dgm:else name="Name11">
        <dgm:choose name="Name12">
          <dgm:if name="Name13" axis="ch ch" ptType="node node" st="1 1" cnt="1 0" func="cnt" op="lte" val="1">
            <dgm:alg type="cycle">
              <dgm:param type="stAng" val="0"/>
              <dgm:param type="spanAng" val="-360"/>
              <dgm:param type="ctrShpMap" val="fNode"/>
            </dgm:alg>
          </dgm:if>
          <dgm:else name="Name14">
            <dgm:choose name="Name15">
              <dgm:if name="Name16" axis="ch ch" ptType="node node" st="1 1" cnt="1 0" func="cnt" op="lte" val="3">
                <dgm:alg type="cycle">
                  <dgm:param type="stAng" val="55"/>
                  <dgm:param type="spanAng" val="-110"/>
                  <dgm:param type="ctrShpMap" val="fNode"/>
                </dgm:alg>
              </dgm:if>
              <dgm:else name="Name17">
                <dgm:choose name="Name18">
                  <dgm:if name="Name19" axis="ch ch" ptType="node node" st="1 1" cnt="1 0" func="cnt" op="equ" val="4">
                    <dgm:alg type="cycle">
                      <dgm:param type="stAng" val="75"/>
                      <dgm:param type="spanAng" val="-150"/>
                      <dgm:param type="ctrShpMap" val="fNode"/>
                    </dgm:alg>
                  </dgm:if>
                  <dgm:else name="Name20">
                    <dgm:alg type="cycle">
                      <dgm:param type="stAng" val="90"/>
                      <dgm:param type="spanAng" val="-180"/>
                      <dgm:param type="ctrShpMap" val="fNode"/>
                    </dgm:alg>
                  </dgm:else>
                </dgm:choose>
              </dgm:else>
            </dgm:choose>
          </dgm:else>
        </dgm:choose>
      </dgm:else>
    </dgm:choose>
    <dgm:shape xmlns:r="http://schemas.openxmlformats.org/officeDocument/2006/relationships" r:blip="">
      <dgm:adjLst/>
    </dgm:shape>
    <dgm:presOf/>
    <dgm:constrLst>
      <dgm:constr type="w" for="ch" forName="centerShape" refType="w"/>
      <dgm:constr type="w" for="ch" forName="node" refType="w" refFor="ch" refForName="centerShape" fact="0.95"/>
      <dgm:constr type="h" for="ch" forName="parTrans" refType="w" refFor="ch" refForName="centerShape" fact="0.285"/>
      <dgm:constr type="sp" refType="w" refFor="ch" refForName="centerShape" op="equ" fact="0.23"/>
      <dgm:constr type="sibSp" refType="w" refFor="ch" refForName="node" fact="0.1"/>
      <dgm:constr type="primFontSz" for="ch" forName="node" op="equ"/>
    </dgm:constrLst>
    <dgm:choose name="Name21">
      <dgm:if name="Name22" axis="ch ch" ptType="node node" st="1 1" cnt="1 0" func="cnt" op="lte" val="5">
        <dgm:ruleLst>
          <dgm:rule type="w" for="ch" forName="centerShape" val="NaN" fact="0.27" max="NaN"/>
        </dgm:ruleLst>
      </dgm:if>
      <dgm:else name="Name23">
        <dgm:ruleLst>
          <dgm:rule type="w" for="ch" forName="centerShape" val="NaN" fact="0.27" max="NaN"/>
          <dgm:rule type="w" for="ch" forName="node" val="NaN" fact="0.7" max="NaN"/>
        </dgm:ruleLst>
      </dgm:else>
    </dgm:choose>
    <dgm:forEach name="Name24" axis="ch" ptType="node" cnt="1">
      <dgm:layoutNode name="centerShape" styleLbl="node0">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 type="primFontSz" val="65"/>
          <dgm:constr type="h" refType="w"/>
        </dgm:constrLst>
        <dgm:ruleLst>
          <dgm:rule type="primFontSz" val="5" fact="NaN" max="NaN"/>
        </dgm:ruleLst>
      </dgm:layoutNode>
      <dgm:forEach name="Name25" axis="ch">
        <dgm:forEach name="Name26" axis="self" ptType="parTrans">
          <dgm:layoutNode name="parTrans" styleLbl="bgSibTrans2D1">
            <dgm:alg type="conn">
              <dgm:param type="begPts" val="auto"/>
              <dgm:param type="endPts" val="ctr"/>
              <dgm:param type="endSty" val="noArr"/>
              <dgm:param type="begSty" val="arr"/>
            </dgm:alg>
            <dgm:shape xmlns:r="http://schemas.openxmlformats.org/officeDocument/2006/relationships" type="conn" r:blip="">
              <dgm:adjLst/>
            </dgm:shape>
            <dgm:presOf axis="self"/>
            <dgm:constrLst>
              <dgm:constr type="begPad" refType="connDist" fact="0.055"/>
              <dgm:constr type="endPad"/>
            </dgm:constrLst>
            <dgm:ruleLst/>
          </dgm:layoutNode>
        </dgm:forEach>
        <dgm:forEach name="Name27" axis="self" ptType="node">
          <dgm:layoutNode name="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h" refType="w" fact="0.8"/>
              <dgm:constr type="tMarg" refType="primFontSz" fact="0.15"/>
              <dgm:constr type="bMarg" refType="primFontSz" fact="0.15"/>
              <dgm:constr type="lMarg" refType="primFontSz" fact="0.15"/>
              <dgm:constr type="rMarg" refType="primFontSz" fact="0.1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AEFF88-67D5-421D-91C4-B464F21405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17665</Words>
  <Characters>97158</Characters>
  <Application>Microsoft Office Word</Application>
  <DocSecurity>0</DocSecurity>
  <Lines>809</Lines>
  <Paragraphs>229</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114594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CODDYZ</cp:lastModifiedBy>
  <cp:revision>3</cp:revision>
  <cp:lastPrinted>2017-08-17T15:24:00Z</cp:lastPrinted>
  <dcterms:created xsi:type="dcterms:W3CDTF">2017-09-26T12:32:00Z</dcterms:created>
  <dcterms:modified xsi:type="dcterms:W3CDTF">2017-09-26T12:32:00Z</dcterms:modified>
</cp:coreProperties>
</file>