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theme/themeOverride1.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theme/themeOverride2.xml" ContentType="application/vnd.openxmlformats-officedocument.themeOverride+xml"/>
  <Override PartName="/word/charts/chart16.xml" ContentType="application/vnd.openxmlformats-officedocument.drawingml.chart+xml"/>
  <Override PartName="/word/charts/chart17.xml" ContentType="application/vnd.openxmlformats-officedocument.drawingml.chart+xml"/>
  <Override PartName="/word/drawings/drawing1.xml" ContentType="application/vnd.openxmlformats-officedocument.drawingml.chartshapes+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charts/chart21.xml" ContentType="application/vnd.openxmlformats-officedocument.drawingml.chart+xml"/>
  <Override PartName="/word/theme/themeOverride3.xml" ContentType="application/vnd.openxmlformats-officedocument.themeOverride+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style2.xml" ContentType="application/vnd.ms-office.chartstyle+xml"/>
  <Override PartName="/word/charts/colors2.xml" ContentType="application/vnd.ms-office.chartcolorstyle+xml"/>
  <Override PartName="/word/footer6.xml" ContentType="application/vnd.openxmlformats-officedocument.wordprocessingml.footer+xml"/>
  <Override PartName="/word/footer7.xml" ContentType="application/vnd.openxmlformats-officedocument.wordprocessingml.footer+xml"/>
  <Override PartName="/word/charts/chart28.xml" ContentType="application/vnd.openxmlformats-officedocument.drawingml.chart+xml"/>
  <Override PartName="/word/charts/style3.xml" ContentType="application/vnd.ms-office.chartstyle+xml"/>
  <Override PartName="/word/charts/colors3.xml" ContentType="application/vnd.ms-office.chartcolorstyle+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5F2BF5" w14:textId="77777777" w:rsidR="0025060B" w:rsidRPr="00333A62" w:rsidRDefault="0025060B" w:rsidP="00333A62">
      <w:pPr>
        <w:spacing w:before="120" w:after="120" w:line="276" w:lineRule="auto"/>
        <w:contextualSpacing/>
        <w:rPr>
          <w:rFonts w:ascii="Times New Roman" w:hAnsi="Times New Roman" w:cs="Times New Roman"/>
          <w:b/>
          <w:sz w:val="24"/>
          <w:szCs w:val="24"/>
        </w:rPr>
      </w:pPr>
    </w:p>
    <w:p w14:paraId="1C2634F1" w14:textId="77777777" w:rsidR="0025060B" w:rsidRPr="00333A62" w:rsidRDefault="0025060B" w:rsidP="001543CF">
      <w:pPr>
        <w:pStyle w:val="Default"/>
        <w:spacing w:before="120" w:after="120" w:line="276" w:lineRule="auto"/>
        <w:jc w:val="center"/>
        <w:rPr>
          <w:b/>
          <w:color w:val="auto"/>
        </w:rPr>
      </w:pPr>
      <w:r w:rsidRPr="00333A62">
        <w:rPr>
          <w:b/>
          <w:color w:val="auto"/>
        </w:rPr>
        <w:t>REPUBLIQUE DE COTE D’IVOIRE</w:t>
      </w:r>
    </w:p>
    <w:p w14:paraId="00C9BA5A" w14:textId="77777777" w:rsidR="0025060B" w:rsidRPr="00333A62" w:rsidRDefault="0025060B" w:rsidP="001543CF">
      <w:pPr>
        <w:pStyle w:val="Default"/>
        <w:spacing w:before="120" w:after="120" w:line="276" w:lineRule="auto"/>
        <w:jc w:val="center"/>
        <w:rPr>
          <w:i/>
          <w:color w:val="auto"/>
        </w:rPr>
      </w:pPr>
      <w:r w:rsidRPr="00333A62">
        <w:rPr>
          <w:i/>
          <w:color w:val="auto"/>
        </w:rPr>
        <w:t>Union-Discipline-Travail</w:t>
      </w:r>
    </w:p>
    <w:p w14:paraId="55FEB608" w14:textId="77777777" w:rsidR="0025060B" w:rsidRPr="00333A62" w:rsidRDefault="0025060B" w:rsidP="00333A62">
      <w:pPr>
        <w:spacing w:before="120" w:after="120" w:line="276" w:lineRule="auto"/>
        <w:contextualSpacing/>
        <w:rPr>
          <w:rFonts w:ascii="Times New Roman" w:hAnsi="Times New Roman" w:cs="Times New Roman"/>
          <w:b/>
          <w:sz w:val="24"/>
          <w:szCs w:val="24"/>
          <w:lang w:val="fr-FR"/>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25060B" w:rsidRPr="00333A62" w14:paraId="627A8698" w14:textId="77777777" w:rsidTr="008A0F97">
        <w:tc>
          <w:tcPr>
            <w:tcW w:w="9016" w:type="dxa"/>
            <w:vAlign w:val="center"/>
          </w:tcPr>
          <w:p w14:paraId="279A389C" w14:textId="77777777" w:rsidR="0025060B" w:rsidRPr="002B5BD3" w:rsidRDefault="0025060B" w:rsidP="001543CF">
            <w:pPr>
              <w:spacing w:before="120" w:after="120" w:line="276" w:lineRule="auto"/>
              <w:contextualSpacing/>
              <w:jc w:val="center"/>
              <w:rPr>
                <w:rFonts w:ascii="Times New Roman" w:hAnsi="Times New Roman" w:cs="Times New Roman"/>
                <w:b/>
                <w:sz w:val="24"/>
                <w:szCs w:val="24"/>
                <w:lang w:val="fr-CI"/>
              </w:rPr>
            </w:pPr>
            <w:r w:rsidRPr="00333A62">
              <w:rPr>
                <w:rFonts w:ascii="Times New Roman" w:hAnsi="Times New Roman" w:cs="Times New Roman"/>
                <w:b/>
                <w:noProof/>
                <w:sz w:val="24"/>
                <w:szCs w:val="24"/>
                <w:lang w:val="fr-FR" w:eastAsia="fr-FR"/>
              </w:rPr>
              <w:drawing>
                <wp:anchor distT="0" distB="0" distL="114300" distR="114300" simplePos="0" relativeHeight="251660800" behindDoc="1" locked="0" layoutInCell="1" allowOverlap="1" wp14:anchorId="6081E04B" wp14:editId="2BE4C07F">
                  <wp:simplePos x="0" y="0"/>
                  <wp:positionH relativeFrom="column">
                    <wp:posOffset>2162175</wp:posOffset>
                  </wp:positionH>
                  <wp:positionV relativeFrom="paragraph">
                    <wp:posOffset>15240</wp:posOffset>
                  </wp:positionV>
                  <wp:extent cx="1633855" cy="1511300"/>
                  <wp:effectExtent l="0" t="0" r="4445" b="0"/>
                  <wp:wrapTight wrapText="bothSides">
                    <wp:wrapPolygon edited="0">
                      <wp:start x="10074" y="0"/>
                      <wp:lineTo x="7807" y="272"/>
                      <wp:lineTo x="252" y="3539"/>
                      <wp:lineTo x="0" y="6807"/>
                      <wp:lineTo x="0" y="7896"/>
                      <wp:lineTo x="2518" y="13069"/>
                      <wp:lineTo x="2770" y="13069"/>
                      <wp:lineTo x="252" y="13613"/>
                      <wp:lineTo x="252" y="16608"/>
                      <wp:lineTo x="4030" y="18242"/>
                      <wp:lineTo x="7807" y="21237"/>
                      <wp:lineTo x="9066" y="21237"/>
                      <wp:lineTo x="12340" y="21237"/>
                      <wp:lineTo x="13600" y="21237"/>
                      <wp:lineTo x="17377" y="18242"/>
                      <wp:lineTo x="21155" y="16608"/>
                      <wp:lineTo x="21155" y="13613"/>
                      <wp:lineTo x="18637" y="13069"/>
                      <wp:lineTo x="18888" y="13069"/>
                      <wp:lineTo x="20651" y="8985"/>
                      <wp:lineTo x="21407" y="7896"/>
                      <wp:lineTo x="21407" y="6807"/>
                      <wp:lineTo x="21155" y="3539"/>
                      <wp:lineTo x="13600" y="272"/>
                      <wp:lineTo x="11333" y="0"/>
                      <wp:lineTo x="10074" y="0"/>
                    </wp:wrapPolygon>
                  </wp:wrapTight>
                  <wp:docPr id="24" name="Image 24" descr="Fichier:Coat of arms Ivory Coast ca 1964-2000.sv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rcRect/>
                          <a:stretch>
                            <a:fillRect/>
                          </a:stretch>
                        </pic:blipFill>
                        <pic:spPr>
                          <a:xfrm>
                            <a:off x="0" y="0"/>
                            <a:ext cx="1633855" cy="1511300"/>
                          </a:xfrm>
                          <a:prstGeom prst="rect">
                            <a:avLst/>
                          </a:prstGeom>
                          <a:noFill/>
                          <a:ln>
                            <a:noFill/>
                            <a:prstDash/>
                          </a:ln>
                        </pic:spPr>
                      </pic:pic>
                    </a:graphicData>
                  </a:graphic>
                  <wp14:sizeRelH relativeFrom="page">
                    <wp14:pctWidth>0</wp14:pctWidth>
                  </wp14:sizeRelH>
                  <wp14:sizeRelV relativeFrom="page">
                    <wp14:pctHeight>0</wp14:pctHeight>
                  </wp14:sizeRelV>
                </wp:anchor>
              </w:drawing>
            </w:r>
          </w:p>
        </w:tc>
      </w:tr>
    </w:tbl>
    <w:p w14:paraId="118A71D4" w14:textId="77777777" w:rsidR="0025060B" w:rsidRPr="00333A62" w:rsidRDefault="0025060B" w:rsidP="00333A62">
      <w:pPr>
        <w:spacing w:before="120" w:after="120" w:line="276" w:lineRule="auto"/>
        <w:contextualSpacing/>
        <w:rPr>
          <w:rFonts w:ascii="Times New Roman" w:hAnsi="Times New Roman" w:cs="Times New Roman"/>
          <w:b/>
          <w:sz w:val="24"/>
          <w:szCs w:val="24"/>
        </w:rPr>
      </w:pPr>
    </w:p>
    <w:p w14:paraId="073D881E" w14:textId="77777777" w:rsidR="0025060B" w:rsidRPr="00333A62" w:rsidRDefault="0025060B" w:rsidP="00333A62">
      <w:pPr>
        <w:tabs>
          <w:tab w:val="left" w:pos="3720"/>
        </w:tabs>
        <w:spacing w:before="120" w:after="120" w:line="276" w:lineRule="auto"/>
        <w:rPr>
          <w:rFonts w:ascii="Times New Roman" w:hAnsi="Times New Roman" w:cs="Times New Roman"/>
          <w:b/>
          <w:sz w:val="24"/>
          <w:szCs w:val="24"/>
          <w:lang w:val="fr-FR"/>
        </w:rPr>
      </w:pPr>
    </w:p>
    <w:p w14:paraId="5E9B9FEB" w14:textId="77777777" w:rsidR="0025060B" w:rsidRPr="00333A62" w:rsidRDefault="0025060B" w:rsidP="00333A62">
      <w:pPr>
        <w:tabs>
          <w:tab w:val="left" w:pos="3720"/>
        </w:tabs>
        <w:spacing w:before="120" w:after="120" w:line="276" w:lineRule="auto"/>
        <w:rPr>
          <w:rFonts w:ascii="Times New Roman" w:hAnsi="Times New Roman" w:cs="Times New Roman"/>
          <w:b/>
          <w:sz w:val="24"/>
          <w:szCs w:val="24"/>
          <w:lang w:val="fr-FR"/>
        </w:rPr>
      </w:pPr>
    </w:p>
    <w:p w14:paraId="1352DCFB" w14:textId="77777777" w:rsidR="0025060B" w:rsidRPr="00333A62" w:rsidRDefault="0025060B" w:rsidP="00333A62">
      <w:pPr>
        <w:tabs>
          <w:tab w:val="left" w:pos="3720"/>
        </w:tabs>
        <w:spacing w:before="120" w:after="120" w:line="276" w:lineRule="auto"/>
        <w:rPr>
          <w:rFonts w:ascii="Times New Roman" w:hAnsi="Times New Roman" w:cs="Times New Roman"/>
          <w:b/>
          <w:sz w:val="24"/>
          <w:szCs w:val="24"/>
          <w:lang w:val="fr-FR"/>
        </w:rPr>
      </w:pPr>
    </w:p>
    <w:p w14:paraId="6CF43E28" w14:textId="77777777" w:rsidR="0025060B" w:rsidRPr="00333A62" w:rsidRDefault="0025060B" w:rsidP="00333A62">
      <w:pPr>
        <w:tabs>
          <w:tab w:val="left" w:pos="3720"/>
        </w:tabs>
        <w:spacing w:before="120" w:after="120" w:line="276" w:lineRule="auto"/>
        <w:rPr>
          <w:rFonts w:ascii="Times New Roman" w:hAnsi="Times New Roman" w:cs="Times New Roman"/>
          <w:b/>
          <w:sz w:val="24"/>
          <w:szCs w:val="24"/>
          <w:lang w:val="fr-FR"/>
        </w:rPr>
      </w:pPr>
    </w:p>
    <w:p w14:paraId="71016E7A" w14:textId="77777777" w:rsidR="0025060B" w:rsidRPr="00333A62" w:rsidRDefault="0025060B" w:rsidP="00333A62">
      <w:pPr>
        <w:tabs>
          <w:tab w:val="left" w:pos="3720"/>
        </w:tabs>
        <w:spacing w:before="120" w:after="120" w:line="276" w:lineRule="auto"/>
        <w:rPr>
          <w:rFonts w:ascii="Times New Roman" w:hAnsi="Times New Roman" w:cs="Times New Roman"/>
          <w:b/>
          <w:sz w:val="24"/>
          <w:szCs w:val="24"/>
          <w:lang w:val="fr-FR"/>
        </w:rPr>
      </w:pPr>
    </w:p>
    <w:p w14:paraId="5EF83887" w14:textId="77777777" w:rsidR="0025060B" w:rsidRPr="00333A62" w:rsidRDefault="0025060B" w:rsidP="00333A62">
      <w:pPr>
        <w:tabs>
          <w:tab w:val="left" w:pos="3720"/>
        </w:tabs>
        <w:spacing w:before="120" w:after="120" w:line="276" w:lineRule="auto"/>
        <w:rPr>
          <w:rFonts w:ascii="Times New Roman" w:hAnsi="Times New Roman" w:cs="Times New Roman"/>
          <w:noProof/>
          <w:sz w:val="24"/>
          <w:szCs w:val="24"/>
          <w:lang w:val="fr-FR" w:eastAsia="fr-FR"/>
        </w:rPr>
      </w:pPr>
      <w:r w:rsidRPr="00333A62">
        <w:rPr>
          <w:rFonts w:ascii="Times New Roman" w:hAnsi="Times New Roman" w:cs="Times New Roman"/>
          <w:b/>
          <w:sz w:val="24"/>
          <w:szCs w:val="24"/>
          <w:lang w:val="fr-FR"/>
        </w:rPr>
        <w:t xml:space="preserve">         </w:t>
      </w:r>
    </w:p>
    <w:p w14:paraId="739D76C5" w14:textId="77777777" w:rsidR="0025060B" w:rsidRPr="00333A62" w:rsidRDefault="0025060B" w:rsidP="00333A62">
      <w:pPr>
        <w:spacing w:before="120" w:after="120" w:line="276" w:lineRule="auto"/>
        <w:jc w:val="center"/>
        <w:rPr>
          <w:rFonts w:ascii="Times New Roman" w:hAnsi="Times New Roman" w:cs="Times New Roman"/>
          <w:b/>
          <w:sz w:val="24"/>
          <w:szCs w:val="24"/>
          <w:lang w:val="fr-FR"/>
        </w:rPr>
      </w:pPr>
      <w:r w:rsidRPr="00333A62">
        <w:rPr>
          <w:rFonts w:ascii="Times New Roman" w:hAnsi="Times New Roman" w:cs="Times New Roman"/>
          <w:b/>
          <w:sz w:val="24"/>
          <w:szCs w:val="24"/>
          <w:lang w:val="fr-FR"/>
        </w:rPr>
        <w:t>Financement de la santé</w:t>
      </w:r>
    </w:p>
    <w:p w14:paraId="7AE25AB3" w14:textId="77777777" w:rsidR="0025060B" w:rsidRPr="00333A62" w:rsidRDefault="0025060B" w:rsidP="00333A62">
      <w:pPr>
        <w:spacing w:before="120" w:after="120" w:line="276" w:lineRule="auto"/>
        <w:jc w:val="center"/>
        <w:rPr>
          <w:rFonts w:ascii="Times New Roman" w:hAnsi="Times New Roman" w:cs="Times New Roman"/>
          <w:b/>
          <w:sz w:val="24"/>
          <w:szCs w:val="24"/>
          <w:lang w:val="fr-FR"/>
        </w:rPr>
      </w:pPr>
      <w:r w:rsidRPr="00333A62">
        <w:rPr>
          <w:rFonts w:ascii="Times New Roman" w:hAnsi="Times New Roman" w:cs="Times New Roman"/>
          <w:b/>
          <w:sz w:val="24"/>
          <w:szCs w:val="24"/>
          <w:lang w:val="fr-FR"/>
        </w:rPr>
        <w:t>Dossier d’investissement 2019-2022</w:t>
      </w:r>
    </w:p>
    <w:p w14:paraId="4791F340" w14:textId="77777777" w:rsidR="001543CF" w:rsidRDefault="0025060B" w:rsidP="00333A62">
      <w:pPr>
        <w:spacing w:before="120" w:after="120" w:line="276" w:lineRule="auto"/>
        <w:rPr>
          <w:rFonts w:ascii="Times New Roman" w:hAnsi="Times New Roman" w:cs="Times New Roman"/>
          <w:b/>
          <w:sz w:val="24"/>
          <w:szCs w:val="24"/>
          <w:lang w:val="fr-FR"/>
        </w:rPr>
        <w:sectPr w:rsidR="001543CF" w:rsidSect="001543CF">
          <w:footerReference w:type="default" r:id="rId9"/>
          <w:pgSz w:w="12240" w:h="15840"/>
          <w:pgMar w:top="1134" w:right="1134" w:bottom="1134" w:left="1418" w:header="708" w:footer="708" w:gutter="0"/>
          <w:pgNumType w:start="1"/>
          <w:cols w:space="708"/>
          <w:docGrid w:linePitch="360"/>
        </w:sectPr>
      </w:pPr>
      <w:r w:rsidRPr="00333A62">
        <w:rPr>
          <w:rFonts w:ascii="Times New Roman" w:hAnsi="Times New Roman" w:cs="Times New Roman"/>
          <w:b/>
          <w:sz w:val="24"/>
          <w:szCs w:val="24"/>
          <w:lang w:val="fr-FR"/>
        </w:rPr>
        <w:br w:type="page"/>
      </w:r>
    </w:p>
    <w:p w14:paraId="1EF60699" w14:textId="77777777" w:rsidR="0025060B" w:rsidRDefault="0025060B" w:rsidP="00702F89">
      <w:pPr>
        <w:pStyle w:val="Titre1"/>
        <w:numPr>
          <w:ilvl w:val="0"/>
          <w:numId w:val="0"/>
        </w:numPr>
        <w:ind w:left="432" w:hanging="432"/>
        <w:rPr>
          <w:rFonts w:ascii="Times New Roman" w:hAnsi="Times New Roman" w:cs="Times New Roman"/>
          <w:sz w:val="24"/>
          <w:szCs w:val="24"/>
          <w:lang w:val="fr-FR"/>
        </w:rPr>
      </w:pPr>
      <w:bookmarkStart w:id="0" w:name="_Toc1573780"/>
      <w:r w:rsidRPr="00333A62">
        <w:rPr>
          <w:rFonts w:ascii="Times New Roman" w:hAnsi="Times New Roman" w:cs="Times New Roman"/>
          <w:sz w:val="24"/>
          <w:szCs w:val="24"/>
          <w:lang w:val="fr-FR"/>
        </w:rPr>
        <w:lastRenderedPageBreak/>
        <w:t>SOMMAIRE</w:t>
      </w:r>
      <w:bookmarkEnd w:id="0"/>
    </w:p>
    <w:p w14:paraId="4180BF83" w14:textId="77777777" w:rsidR="00AD55BF" w:rsidRDefault="00AD55BF" w:rsidP="00A35A14">
      <w:pPr>
        <w:spacing w:after="0" w:line="240" w:lineRule="auto"/>
        <w:rPr>
          <w:rFonts w:ascii="Times New Roman" w:hAnsi="Times New Roman" w:cs="Times New Roman"/>
          <w:sz w:val="24"/>
          <w:szCs w:val="24"/>
          <w:lang w:val="fr-FR"/>
        </w:rPr>
      </w:pPr>
    </w:p>
    <w:p w14:paraId="7E883287" w14:textId="77777777" w:rsidR="00C742EB" w:rsidRPr="00C742EB" w:rsidRDefault="006C0B89" w:rsidP="00C742EB">
      <w:pPr>
        <w:pStyle w:val="TM1"/>
        <w:jc w:val="both"/>
        <w:rPr>
          <w:rFonts w:eastAsiaTheme="minorEastAsia"/>
          <w:lang w:eastAsia="fr-FR"/>
        </w:rPr>
      </w:pPr>
      <w:r w:rsidRPr="00C742EB">
        <w:rPr>
          <w:szCs w:val="24"/>
        </w:rPr>
        <w:fldChar w:fldCharType="begin"/>
      </w:r>
      <w:r w:rsidRPr="00C742EB">
        <w:rPr>
          <w:szCs w:val="24"/>
        </w:rPr>
        <w:instrText xml:space="preserve"> TOC \o "1-3" \h \z \u </w:instrText>
      </w:r>
      <w:r w:rsidRPr="00C742EB">
        <w:rPr>
          <w:szCs w:val="24"/>
        </w:rPr>
        <w:fldChar w:fldCharType="separate"/>
      </w:r>
      <w:hyperlink w:anchor="_Toc1573780" w:history="1">
        <w:r w:rsidR="00C742EB" w:rsidRPr="00C742EB">
          <w:rPr>
            <w:rStyle w:val="Lienhypertexte"/>
          </w:rPr>
          <w:t>SOMMAIRE</w:t>
        </w:r>
        <w:r w:rsidR="00C742EB" w:rsidRPr="00C742EB">
          <w:rPr>
            <w:webHidden/>
          </w:rPr>
          <w:tab/>
        </w:r>
        <w:r w:rsidR="00C742EB" w:rsidRPr="00C742EB">
          <w:rPr>
            <w:webHidden/>
          </w:rPr>
          <w:fldChar w:fldCharType="begin"/>
        </w:r>
        <w:r w:rsidR="00C742EB" w:rsidRPr="00C742EB">
          <w:rPr>
            <w:webHidden/>
          </w:rPr>
          <w:instrText xml:space="preserve"> PAGEREF _Toc1573780 \h </w:instrText>
        </w:r>
        <w:r w:rsidR="00C742EB" w:rsidRPr="00C742EB">
          <w:rPr>
            <w:webHidden/>
          </w:rPr>
        </w:r>
        <w:r w:rsidR="00C742EB" w:rsidRPr="00C742EB">
          <w:rPr>
            <w:webHidden/>
          </w:rPr>
          <w:fldChar w:fldCharType="separate"/>
        </w:r>
        <w:r w:rsidR="00C742EB" w:rsidRPr="00C742EB">
          <w:rPr>
            <w:webHidden/>
          </w:rPr>
          <w:t>1</w:t>
        </w:r>
        <w:r w:rsidR="00C742EB" w:rsidRPr="00C742EB">
          <w:rPr>
            <w:webHidden/>
          </w:rPr>
          <w:fldChar w:fldCharType="end"/>
        </w:r>
      </w:hyperlink>
    </w:p>
    <w:p w14:paraId="4A0758A8" w14:textId="0C7BC31B" w:rsidR="00C742EB" w:rsidRPr="00C742EB" w:rsidRDefault="00183BD5" w:rsidP="00C742EB">
      <w:pPr>
        <w:pStyle w:val="TM1"/>
        <w:rPr>
          <w:rFonts w:eastAsiaTheme="minorEastAsia"/>
          <w:lang w:eastAsia="fr-FR"/>
        </w:rPr>
      </w:pPr>
      <w:hyperlink w:anchor="_Toc1573781" w:history="1">
        <w:r w:rsidR="00C742EB" w:rsidRPr="00C742EB">
          <w:rPr>
            <w:rStyle w:val="Lienhypertexte"/>
          </w:rPr>
          <w:t>Liste de tableaux</w:t>
        </w:r>
        <w:r w:rsidR="00C742EB" w:rsidRPr="00C742EB">
          <w:rPr>
            <w:webHidden/>
          </w:rPr>
          <w:tab/>
        </w:r>
        <w:r w:rsidR="00C742EB" w:rsidRPr="00C742EB">
          <w:rPr>
            <w:webHidden/>
          </w:rPr>
          <w:fldChar w:fldCharType="begin"/>
        </w:r>
        <w:r w:rsidR="00C742EB" w:rsidRPr="00C742EB">
          <w:rPr>
            <w:webHidden/>
          </w:rPr>
          <w:instrText xml:space="preserve"> PAGEREF _Toc1573781 \h </w:instrText>
        </w:r>
        <w:r w:rsidR="00C742EB" w:rsidRPr="00C742EB">
          <w:rPr>
            <w:webHidden/>
          </w:rPr>
        </w:r>
        <w:r w:rsidR="00C742EB" w:rsidRPr="00C742EB">
          <w:rPr>
            <w:webHidden/>
          </w:rPr>
          <w:fldChar w:fldCharType="separate"/>
        </w:r>
        <w:r w:rsidR="00C742EB" w:rsidRPr="00C742EB">
          <w:rPr>
            <w:webHidden/>
          </w:rPr>
          <w:t>4</w:t>
        </w:r>
        <w:r w:rsidR="00C742EB" w:rsidRPr="00C742EB">
          <w:rPr>
            <w:webHidden/>
          </w:rPr>
          <w:fldChar w:fldCharType="end"/>
        </w:r>
      </w:hyperlink>
    </w:p>
    <w:p w14:paraId="16E1095D" w14:textId="77777777" w:rsidR="00C742EB" w:rsidRPr="00C742EB" w:rsidRDefault="00183BD5" w:rsidP="00C742EB">
      <w:pPr>
        <w:pStyle w:val="TM1"/>
        <w:rPr>
          <w:rFonts w:eastAsiaTheme="minorEastAsia"/>
          <w:lang w:eastAsia="fr-FR"/>
        </w:rPr>
      </w:pPr>
      <w:hyperlink w:anchor="_Toc1573782" w:history="1">
        <w:r w:rsidR="00C742EB" w:rsidRPr="00C742EB">
          <w:rPr>
            <w:rStyle w:val="Lienhypertexte"/>
          </w:rPr>
          <w:t>Liste des figures</w:t>
        </w:r>
        <w:r w:rsidR="00C742EB" w:rsidRPr="00C742EB">
          <w:rPr>
            <w:webHidden/>
          </w:rPr>
          <w:tab/>
        </w:r>
        <w:r w:rsidR="00C742EB" w:rsidRPr="00C742EB">
          <w:rPr>
            <w:webHidden/>
          </w:rPr>
          <w:fldChar w:fldCharType="begin"/>
        </w:r>
        <w:r w:rsidR="00C742EB" w:rsidRPr="00C742EB">
          <w:rPr>
            <w:webHidden/>
          </w:rPr>
          <w:instrText xml:space="preserve"> PAGEREF _Toc1573782 \h </w:instrText>
        </w:r>
        <w:r w:rsidR="00C742EB" w:rsidRPr="00C742EB">
          <w:rPr>
            <w:webHidden/>
          </w:rPr>
        </w:r>
        <w:r w:rsidR="00C742EB" w:rsidRPr="00C742EB">
          <w:rPr>
            <w:webHidden/>
          </w:rPr>
          <w:fldChar w:fldCharType="separate"/>
        </w:r>
        <w:r w:rsidR="00C742EB" w:rsidRPr="00C742EB">
          <w:rPr>
            <w:webHidden/>
          </w:rPr>
          <w:t>4</w:t>
        </w:r>
        <w:r w:rsidR="00C742EB" w:rsidRPr="00C742EB">
          <w:rPr>
            <w:webHidden/>
          </w:rPr>
          <w:fldChar w:fldCharType="end"/>
        </w:r>
      </w:hyperlink>
    </w:p>
    <w:p w14:paraId="5230F094" w14:textId="77777777" w:rsidR="00C742EB" w:rsidRPr="00C742EB" w:rsidRDefault="00183BD5" w:rsidP="00C742EB">
      <w:pPr>
        <w:pStyle w:val="TM1"/>
        <w:rPr>
          <w:rFonts w:eastAsiaTheme="minorEastAsia"/>
          <w:lang w:eastAsia="fr-FR"/>
        </w:rPr>
      </w:pPr>
      <w:hyperlink w:anchor="_Toc1573783" w:history="1">
        <w:r w:rsidR="00C742EB" w:rsidRPr="00C742EB">
          <w:rPr>
            <w:rStyle w:val="Lienhypertexte"/>
          </w:rPr>
          <w:t>Liste des graphiques</w:t>
        </w:r>
        <w:r w:rsidR="00C742EB" w:rsidRPr="00C742EB">
          <w:rPr>
            <w:webHidden/>
          </w:rPr>
          <w:tab/>
        </w:r>
        <w:r w:rsidR="00C742EB" w:rsidRPr="00C742EB">
          <w:rPr>
            <w:webHidden/>
          </w:rPr>
          <w:fldChar w:fldCharType="begin"/>
        </w:r>
        <w:r w:rsidR="00C742EB" w:rsidRPr="00C742EB">
          <w:rPr>
            <w:webHidden/>
          </w:rPr>
          <w:instrText xml:space="preserve"> PAGEREF _Toc1573783 \h </w:instrText>
        </w:r>
        <w:r w:rsidR="00C742EB" w:rsidRPr="00C742EB">
          <w:rPr>
            <w:webHidden/>
          </w:rPr>
        </w:r>
        <w:r w:rsidR="00C742EB" w:rsidRPr="00C742EB">
          <w:rPr>
            <w:webHidden/>
          </w:rPr>
          <w:fldChar w:fldCharType="separate"/>
        </w:r>
        <w:r w:rsidR="00C742EB" w:rsidRPr="00C742EB">
          <w:rPr>
            <w:webHidden/>
          </w:rPr>
          <w:t>4</w:t>
        </w:r>
        <w:r w:rsidR="00C742EB" w:rsidRPr="00C742EB">
          <w:rPr>
            <w:webHidden/>
          </w:rPr>
          <w:fldChar w:fldCharType="end"/>
        </w:r>
      </w:hyperlink>
    </w:p>
    <w:p w14:paraId="3A8A35A8" w14:textId="77777777" w:rsidR="00C742EB" w:rsidRPr="00C742EB" w:rsidRDefault="00183BD5" w:rsidP="00C742EB">
      <w:pPr>
        <w:pStyle w:val="TM1"/>
        <w:rPr>
          <w:rFonts w:eastAsiaTheme="minorEastAsia"/>
          <w:lang w:eastAsia="fr-FR"/>
        </w:rPr>
      </w:pPr>
      <w:hyperlink w:anchor="_Toc1573784" w:history="1">
        <w:r w:rsidR="00C742EB" w:rsidRPr="00C742EB">
          <w:rPr>
            <w:rStyle w:val="Lienhypertexte"/>
          </w:rPr>
          <w:t>Acronymes, Sigles et Abréviations</w:t>
        </w:r>
        <w:r w:rsidR="00C742EB" w:rsidRPr="00C742EB">
          <w:rPr>
            <w:webHidden/>
          </w:rPr>
          <w:tab/>
        </w:r>
        <w:r w:rsidR="00C742EB" w:rsidRPr="00C742EB">
          <w:rPr>
            <w:webHidden/>
          </w:rPr>
          <w:fldChar w:fldCharType="begin"/>
        </w:r>
        <w:r w:rsidR="00C742EB" w:rsidRPr="00C742EB">
          <w:rPr>
            <w:webHidden/>
          </w:rPr>
          <w:instrText xml:space="preserve"> PAGEREF _Toc1573784 \h </w:instrText>
        </w:r>
        <w:r w:rsidR="00C742EB" w:rsidRPr="00C742EB">
          <w:rPr>
            <w:webHidden/>
          </w:rPr>
        </w:r>
        <w:r w:rsidR="00C742EB" w:rsidRPr="00C742EB">
          <w:rPr>
            <w:webHidden/>
          </w:rPr>
          <w:fldChar w:fldCharType="separate"/>
        </w:r>
        <w:r w:rsidR="00C742EB" w:rsidRPr="00C742EB">
          <w:rPr>
            <w:webHidden/>
          </w:rPr>
          <w:t>6</w:t>
        </w:r>
        <w:r w:rsidR="00C742EB" w:rsidRPr="00C742EB">
          <w:rPr>
            <w:webHidden/>
          </w:rPr>
          <w:fldChar w:fldCharType="end"/>
        </w:r>
      </w:hyperlink>
    </w:p>
    <w:p w14:paraId="63394A57" w14:textId="77777777" w:rsidR="00C742EB" w:rsidRPr="00C742EB" w:rsidRDefault="00183BD5" w:rsidP="00C742EB">
      <w:pPr>
        <w:pStyle w:val="TM1"/>
        <w:rPr>
          <w:rFonts w:eastAsiaTheme="minorEastAsia"/>
          <w:lang w:eastAsia="fr-FR"/>
        </w:rPr>
      </w:pPr>
      <w:hyperlink w:anchor="_Toc1573785" w:history="1">
        <w:r w:rsidR="00C742EB" w:rsidRPr="00C742EB">
          <w:rPr>
            <w:rStyle w:val="Lienhypertexte"/>
          </w:rPr>
          <w:t>Avant-propos</w:t>
        </w:r>
        <w:r w:rsidR="00C742EB" w:rsidRPr="00C742EB">
          <w:rPr>
            <w:webHidden/>
          </w:rPr>
          <w:tab/>
        </w:r>
        <w:r w:rsidR="00C742EB" w:rsidRPr="00C742EB">
          <w:rPr>
            <w:webHidden/>
          </w:rPr>
          <w:fldChar w:fldCharType="begin"/>
        </w:r>
        <w:r w:rsidR="00C742EB" w:rsidRPr="00C742EB">
          <w:rPr>
            <w:webHidden/>
          </w:rPr>
          <w:instrText xml:space="preserve"> PAGEREF _Toc1573785 \h </w:instrText>
        </w:r>
        <w:r w:rsidR="00C742EB" w:rsidRPr="00C742EB">
          <w:rPr>
            <w:webHidden/>
          </w:rPr>
        </w:r>
        <w:r w:rsidR="00C742EB" w:rsidRPr="00C742EB">
          <w:rPr>
            <w:webHidden/>
          </w:rPr>
          <w:fldChar w:fldCharType="separate"/>
        </w:r>
        <w:r w:rsidR="00C742EB" w:rsidRPr="00C742EB">
          <w:rPr>
            <w:webHidden/>
          </w:rPr>
          <w:t>8</w:t>
        </w:r>
        <w:r w:rsidR="00C742EB" w:rsidRPr="00C742EB">
          <w:rPr>
            <w:webHidden/>
          </w:rPr>
          <w:fldChar w:fldCharType="end"/>
        </w:r>
      </w:hyperlink>
    </w:p>
    <w:p w14:paraId="27E5E36B" w14:textId="77777777" w:rsidR="00C742EB" w:rsidRPr="00C742EB" w:rsidRDefault="00183BD5" w:rsidP="00C742EB">
      <w:pPr>
        <w:pStyle w:val="TM1"/>
        <w:rPr>
          <w:rFonts w:eastAsiaTheme="minorEastAsia"/>
          <w:lang w:eastAsia="fr-FR"/>
        </w:rPr>
      </w:pPr>
      <w:hyperlink w:anchor="_Toc1573786" w:history="1">
        <w:r w:rsidR="00C742EB" w:rsidRPr="00C742EB">
          <w:rPr>
            <w:rStyle w:val="Lienhypertexte"/>
          </w:rPr>
          <w:t>Remerciements</w:t>
        </w:r>
        <w:r w:rsidR="00C742EB" w:rsidRPr="00C742EB">
          <w:rPr>
            <w:webHidden/>
          </w:rPr>
          <w:tab/>
        </w:r>
        <w:r w:rsidR="00C742EB" w:rsidRPr="00C742EB">
          <w:rPr>
            <w:webHidden/>
          </w:rPr>
          <w:fldChar w:fldCharType="begin"/>
        </w:r>
        <w:r w:rsidR="00C742EB" w:rsidRPr="00C742EB">
          <w:rPr>
            <w:webHidden/>
          </w:rPr>
          <w:instrText xml:space="preserve"> PAGEREF _Toc1573786 \h </w:instrText>
        </w:r>
        <w:r w:rsidR="00C742EB" w:rsidRPr="00C742EB">
          <w:rPr>
            <w:webHidden/>
          </w:rPr>
        </w:r>
        <w:r w:rsidR="00C742EB" w:rsidRPr="00C742EB">
          <w:rPr>
            <w:webHidden/>
          </w:rPr>
          <w:fldChar w:fldCharType="separate"/>
        </w:r>
        <w:r w:rsidR="00C742EB" w:rsidRPr="00C742EB">
          <w:rPr>
            <w:webHidden/>
          </w:rPr>
          <w:t>8</w:t>
        </w:r>
        <w:r w:rsidR="00C742EB" w:rsidRPr="00C742EB">
          <w:rPr>
            <w:webHidden/>
          </w:rPr>
          <w:fldChar w:fldCharType="end"/>
        </w:r>
      </w:hyperlink>
    </w:p>
    <w:p w14:paraId="3952445B" w14:textId="77777777" w:rsidR="00C742EB" w:rsidRPr="00C742EB" w:rsidRDefault="00183BD5" w:rsidP="00C742EB">
      <w:pPr>
        <w:pStyle w:val="TM1"/>
        <w:rPr>
          <w:rFonts w:eastAsiaTheme="minorEastAsia"/>
          <w:lang w:eastAsia="fr-FR"/>
        </w:rPr>
      </w:pPr>
      <w:hyperlink w:anchor="_Toc1573787" w:history="1">
        <w:r w:rsidR="00C742EB" w:rsidRPr="00C742EB">
          <w:rPr>
            <w:rStyle w:val="Lienhypertexte"/>
          </w:rPr>
          <w:t>Résumé</w:t>
        </w:r>
        <w:r w:rsidR="00C742EB" w:rsidRPr="00C742EB">
          <w:rPr>
            <w:webHidden/>
          </w:rPr>
          <w:tab/>
        </w:r>
        <w:r w:rsidR="00C742EB" w:rsidRPr="00C742EB">
          <w:rPr>
            <w:webHidden/>
          </w:rPr>
          <w:fldChar w:fldCharType="begin"/>
        </w:r>
        <w:r w:rsidR="00C742EB" w:rsidRPr="00C742EB">
          <w:rPr>
            <w:webHidden/>
          </w:rPr>
          <w:instrText xml:space="preserve"> PAGEREF _Toc1573787 \h </w:instrText>
        </w:r>
        <w:r w:rsidR="00C742EB" w:rsidRPr="00C742EB">
          <w:rPr>
            <w:webHidden/>
          </w:rPr>
        </w:r>
        <w:r w:rsidR="00C742EB" w:rsidRPr="00C742EB">
          <w:rPr>
            <w:webHidden/>
          </w:rPr>
          <w:fldChar w:fldCharType="separate"/>
        </w:r>
        <w:r w:rsidR="00C742EB" w:rsidRPr="00C742EB">
          <w:rPr>
            <w:webHidden/>
          </w:rPr>
          <w:t>8</w:t>
        </w:r>
        <w:r w:rsidR="00C742EB" w:rsidRPr="00C742EB">
          <w:rPr>
            <w:webHidden/>
          </w:rPr>
          <w:fldChar w:fldCharType="end"/>
        </w:r>
      </w:hyperlink>
    </w:p>
    <w:p w14:paraId="241531A6" w14:textId="582F4104" w:rsidR="00C742EB" w:rsidRPr="00C742EB" w:rsidRDefault="00183BD5" w:rsidP="00C742EB">
      <w:pPr>
        <w:pStyle w:val="TM1"/>
        <w:rPr>
          <w:rFonts w:eastAsiaTheme="minorEastAsia"/>
          <w:lang w:eastAsia="fr-FR"/>
        </w:rPr>
      </w:pPr>
      <w:hyperlink w:anchor="_Toc1573788" w:history="1">
        <w:r w:rsidR="00C742EB" w:rsidRPr="00C742EB">
          <w:rPr>
            <w:rStyle w:val="Lienhypertexte"/>
          </w:rPr>
          <w:t>I</w:t>
        </w:r>
        <w:r w:rsidR="00C742EB" w:rsidRPr="00C742EB">
          <w:rPr>
            <w:rFonts w:eastAsiaTheme="minorEastAsia"/>
            <w:lang w:eastAsia="fr-FR"/>
          </w:rPr>
          <w:t xml:space="preserve"> </w:t>
        </w:r>
        <w:r w:rsidR="00C742EB" w:rsidRPr="00C742EB">
          <w:rPr>
            <w:rStyle w:val="Lienhypertexte"/>
          </w:rPr>
          <w:t>INTRODUCTION</w:t>
        </w:r>
        <w:r w:rsidR="00C742EB" w:rsidRPr="00C742EB">
          <w:rPr>
            <w:webHidden/>
          </w:rPr>
          <w:tab/>
        </w:r>
        <w:r w:rsidR="00C742EB" w:rsidRPr="00C742EB">
          <w:rPr>
            <w:webHidden/>
          </w:rPr>
          <w:fldChar w:fldCharType="begin"/>
        </w:r>
        <w:r w:rsidR="00C742EB" w:rsidRPr="00C742EB">
          <w:rPr>
            <w:webHidden/>
          </w:rPr>
          <w:instrText xml:space="preserve"> PAGEREF _Toc1573788 \h </w:instrText>
        </w:r>
        <w:r w:rsidR="00C742EB" w:rsidRPr="00C742EB">
          <w:rPr>
            <w:webHidden/>
          </w:rPr>
        </w:r>
        <w:r w:rsidR="00C742EB" w:rsidRPr="00C742EB">
          <w:rPr>
            <w:webHidden/>
          </w:rPr>
          <w:fldChar w:fldCharType="separate"/>
        </w:r>
        <w:r w:rsidR="00C742EB" w:rsidRPr="00C742EB">
          <w:rPr>
            <w:webHidden/>
          </w:rPr>
          <w:t>9</w:t>
        </w:r>
        <w:r w:rsidR="00C742EB" w:rsidRPr="00C742EB">
          <w:rPr>
            <w:webHidden/>
          </w:rPr>
          <w:fldChar w:fldCharType="end"/>
        </w:r>
      </w:hyperlink>
    </w:p>
    <w:p w14:paraId="5C1E77EF" w14:textId="115CAE4B" w:rsidR="00C742EB" w:rsidRPr="00C742EB" w:rsidRDefault="00183BD5" w:rsidP="00C742EB">
      <w:pPr>
        <w:pStyle w:val="TM1"/>
        <w:rPr>
          <w:rFonts w:eastAsiaTheme="minorEastAsia"/>
          <w:lang w:eastAsia="fr-FR"/>
        </w:rPr>
      </w:pPr>
      <w:hyperlink w:anchor="_Toc1573789" w:history="1">
        <w:r w:rsidR="00C742EB" w:rsidRPr="00C742EB">
          <w:rPr>
            <w:rStyle w:val="Lienhypertexte"/>
          </w:rPr>
          <w:t>II</w:t>
        </w:r>
        <w:r w:rsidR="00C742EB" w:rsidRPr="00C742EB">
          <w:rPr>
            <w:rFonts w:eastAsiaTheme="minorEastAsia"/>
            <w:lang w:eastAsia="fr-FR"/>
          </w:rPr>
          <w:t xml:space="preserve"> </w:t>
        </w:r>
        <w:r w:rsidR="00C742EB" w:rsidRPr="00C742EB">
          <w:rPr>
            <w:rStyle w:val="Lienhypertexte"/>
          </w:rPr>
          <w:t>CONTEXTE</w:t>
        </w:r>
        <w:r w:rsidR="00C742EB" w:rsidRPr="00C742EB">
          <w:rPr>
            <w:webHidden/>
          </w:rPr>
          <w:tab/>
        </w:r>
        <w:r w:rsidR="00C742EB" w:rsidRPr="00C742EB">
          <w:rPr>
            <w:webHidden/>
          </w:rPr>
          <w:fldChar w:fldCharType="begin"/>
        </w:r>
        <w:r w:rsidR="00C742EB" w:rsidRPr="00C742EB">
          <w:rPr>
            <w:webHidden/>
          </w:rPr>
          <w:instrText xml:space="preserve"> PAGEREF _Toc1573789 \h </w:instrText>
        </w:r>
        <w:r w:rsidR="00C742EB" w:rsidRPr="00C742EB">
          <w:rPr>
            <w:webHidden/>
          </w:rPr>
        </w:r>
        <w:r w:rsidR="00C742EB" w:rsidRPr="00C742EB">
          <w:rPr>
            <w:webHidden/>
          </w:rPr>
          <w:fldChar w:fldCharType="separate"/>
        </w:r>
        <w:r w:rsidR="00C742EB" w:rsidRPr="00C742EB">
          <w:rPr>
            <w:webHidden/>
          </w:rPr>
          <w:t>10</w:t>
        </w:r>
        <w:r w:rsidR="00C742EB" w:rsidRPr="00C742EB">
          <w:rPr>
            <w:webHidden/>
          </w:rPr>
          <w:fldChar w:fldCharType="end"/>
        </w:r>
      </w:hyperlink>
    </w:p>
    <w:p w14:paraId="17EBE25F" w14:textId="77777777" w:rsidR="00C742EB" w:rsidRPr="00C742EB" w:rsidRDefault="00183BD5">
      <w:pPr>
        <w:pStyle w:val="TM2"/>
        <w:tabs>
          <w:tab w:val="left" w:pos="880"/>
          <w:tab w:val="right" w:leader="dot" w:pos="9678"/>
        </w:tabs>
        <w:rPr>
          <w:rFonts w:eastAsiaTheme="minorEastAsia"/>
          <w:noProof/>
          <w:lang w:val="fr-FR" w:eastAsia="fr-FR"/>
        </w:rPr>
      </w:pPr>
      <w:hyperlink w:anchor="_Toc1573790" w:history="1">
        <w:r w:rsidR="00C742EB" w:rsidRPr="00C742EB">
          <w:rPr>
            <w:rStyle w:val="Lienhypertexte"/>
            <w:rFonts w:ascii="Times New Roman" w:hAnsi="Times New Roman" w:cs="Times New Roman"/>
            <w:noProof/>
          </w:rPr>
          <w:t>II.1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Contexte géographique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_Toc1573790 \h </w:instrText>
        </w:r>
        <w:r w:rsidR="00C742EB" w:rsidRPr="00C742EB">
          <w:rPr>
            <w:noProof/>
            <w:webHidden/>
          </w:rPr>
        </w:r>
        <w:r w:rsidR="00C742EB" w:rsidRPr="00C742EB">
          <w:rPr>
            <w:noProof/>
            <w:webHidden/>
          </w:rPr>
          <w:fldChar w:fldCharType="separate"/>
        </w:r>
        <w:r w:rsidR="00C742EB" w:rsidRPr="00C742EB">
          <w:rPr>
            <w:noProof/>
            <w:webHidden/>
          </w:rPr>
          <w:t>10</w:t>
        </w:r>
        <w:r w:rsidR="00C742EB" w:rsidRPr="00C742EB">
          <w:rPr>
            <w:noProof/>
            <w:webHidden/>
          </w:rPr>
          <w:fldChar w:fldCharType="end"/>
        </w:r>
      </w:hyperlink>
    </w:p>
    <w:p w14:paraId="4F58021F" w14:textId="77777777" w:rsidR="00C742EB" w:rsidRPr="00C742EB" w:rsidRDefault="00183BD5">
      <w:pPr>
        <w:pStyle w:val="TM2"/>
        <w:tabs>
          <w:tab w:val="left" w:pos="880"/>
          <w:tab w:val="right" w:leader="dot" w:pos="9678"/>
        </w:tabs>
        <w:rPr>
          <w:rFonts w:eastAsiaTheme="minorEastAsia"/>
          <w:noProof/>
          <w:lang w:val="fr-FR" w:eastAsia="fr-FR"/>
        </w:rPr>
      </w:pPr>
      <w:hyperlink w:anchor="_Toc1573791" w:history="1">
        <w:r w:rsidR="00C742EB" w:rsidRPr="00C742EB">
          <w:rPr>
            <w:rStyle w:val="Lienhypertexte"/>
            <w:rFonts w:ascii="Times New Roman" w:hAnsi="Times New Roman" w:cs="Times New Roman"/>
            <w:noProof/>
          </w:rPr>
          <w:t>II.2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Contexte politico-administratif</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_Toc1573791 \h </w:instrText>
        </w:r>
        <w:r w:rsidR="00C742EB" w:rsidRPr="00C742EB">
          <w:rPr>
            <w:noProof/>
            <w:webHidden/>
          </w:rPr>
        </w:r>
        <w:r w:rsidR="00C742EB" w:rsidRPr="00C742EB">
          <w:rPr>
            <w:noProof/>
            <w:webHidden/>
          </w:rPr>
          <w:fldChar w:fldCharType="separate"/>
        </w:r>
        <w:r w:rsidR="00C742EB" w:rsidRPr="00C742EB">
          <w:rPr>
            <w:noProof/>
            <w:webHidden/>
          </w:rPr>
          <w:t>11</w:t>
        </w:r>
        <w:r w:rsidR="00C742EB" w:rsidRPr="00C742EB">
          <w:rPr>
            <w:noProof/>
            <w:webHidden/>
          </w:rPr>
          <w:fldChar w:fldCharType="end"/>
        </w:r>
      </w:hyperlink>
    </w:p>
    <w:p w14:paraId="7E562E28" w14:textId="77777777" w:rsidR="00C742EB" w:rsidRPr="00C742EB" w:rsidRDefault="00183BD5">
      <w:pPr>
        <w:pStyle w:val="TM2"/>
        <w:tabs>
          <w:tab w:val="left" w:pos="880"/>
          <w:tab w:val="right" w:leader="dot" w:pos="9678"/>
        </w:tabs>
        <w:rPr>
          <w:rFonts w:eastAsiaTheme="minorEastAsia"/>
          <w:noProof/>
          <w:lang w:val="fr-FR" w:eastAsia="fr-FR"/>
        </w:rPr>
      </w:pPr>
      <w:hyperlink w:anchor="_Toc1573792" w:history="1">
        <w:r w:rsidR="00C742EB" w:rsidRPr="00C742EB">
          <w:rPr>
            <w:rStyle w:val="Lienhypertexte"/>
            <w:rFonts w:ascii="Times New Roman" w:hAnsi="Times New Roman" w:cs="Times New Roman"/>
            <w:noProof/>
          </w:rPr>
          <w:t>II.3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Contexte macro-économique, humain de la Côte d’Ivoire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_Toc1573792 \h </w:instrText>
        </w:r>
        <w:r w:rsidR="00C742EB" w:rsidRPr="00C742EB">
          <w:rPr>
            <w:noProof/>
            <w:webHidden/>
          </w:rPr>
        </w:r>
        <w:r w:rsidR="00C742EB" w:rsidRPr="00C742EB">
          <w:rPr>
            <w:noProof/>
            <w:webHidden/>
          </w:rPr>
          <w:fldChar w:fldCharType="separate"/>
        </w:r>
        <w:r w:rsidR="00C742EB" w:rsidRPr="00C742EB">
          <w:rPr>
            <w:noProof/>
            <w:webHidden/>
          </w:rPr>
          <w:t>11</w:t>
        </w:r>
        <w:r w:rsidR="00C742EB" w:rsidRPr="00C742EB">
          <w:rPr>
            <w:noProof/>
            <w:webHidden/>
          </w:rPr>
          <w:fldChar w:fldCharType="end"/>
        </w:r>
      </w:hyperlink>
    </w:p>
    <w:p w14:paraId="4B35BF00" w14:textId="77777777" w:rsidR="00C742EB" w:rsidRPr="00C742EB" w:rsidRDefault="00183BD5">
      <w:pPr>
        <w:pStyle w:val="TM3"/>
        <w:tabs>
          <w:tab w:val="left" w:pos="1320"/>
          <w:tab w:val="right" w:leader="dot" w:pos="9678"/>
        </w:tabs>
        <w:rPr>
          <w:rFonts w:eastAsiaTheme="minorEastAsia"/>
          <w:noProof/>
          <w:lang w:val="fr-FR" w:eastAsia="fr-FR"/>
        </w:rPr>
      </w:pPr>
      <w:hyperlink w:anchor="_Toc1573793" w:history="1">
        <w:r w:rsidR="00C742EB" w:rsidRPr="00C742EB">
          <w:rPr>
            <w:rStyle w:val="Lienhypertexte"/>
            <w:rFonts w:ascii="Times New Roman" w:hAnsi="Times New Roman" w:cs="Times New Roman"/>
            <w:noProof/>
          </w:rPr>
          <w:t>II.3.1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Situation macro-économique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_Toc1573793 \h </w:instrText>
        </w:r>
        <w:r w:rsidR="00C742EB" w:rsidRPr="00C742EB">
          <w:rPr>
            <w:noProof/>
            <w:webHidden/>
          </w:rPr>
        </w:r>
        <w:r w:rsidR="00C742EB" w:rsidRPr="00C742EB">
          <w:rPr>
            <w:noProof/>
            <w:webHidden/>
          </w:rPr>
          <w:fldChar w:fldCharType="separate"/>
        </w:r>
        <w:r w:rsidR="00C742EB" w:rsidRPr="00C742EB">
          <w:rPr>
            <w:noProof/>
            <w:webHidden/>
          </w:rPr>
          <w:t>11</w:t>
        </w:r>
        <w:r w:rsidR="00C742EB" w:rsidRPr="00C742EB">
          <w:rPr>
            <w:noProof/>
            <w:webHidden/>
          </w:rPr>
          <w:fldChar w:fldCharType="end"/>
        </w:r>
      </w:hyperlink>
    </w:p>
    <w:p w14:paraId="67ED3040" w14:textId="77777777" w:rsidR="00C742EB" w:rsidRPr="00C742EB" w:rsidRDefault="00183BD5">
      <w:pPr>
        <w:pStyle w:val="TM3"/>
        <w:tabs>
          <w:tab w:val="left" w:pos="1320"/>
          <w:tab w:val="right" w:leader="dot" w:pos="9678"/>
        </w:tabs>
        <w:rPr>
          <w:rFonts w:eastAsiaTheme="minorEastAsia"/>
          <w:noProof/>
          <w:lang w:val="fr-FR" w:eastAsia="fr-FR"/>
        </w:rPr>
      </w:pPr>
      <w:hyperlink w:anchor="_Toc1573794" w:history="1">
        <w:r w:rsidR="00C742EB" w:rsidRPr="00C742EB">
          <w:rPr>
            <w:rStyle w:val="Lienhypertexte"/>
            <w:rFonts w:ascii="Times New Roman" w:hAnsi="Times New Roman" w:cs="Times New Roman"/>
            <w:noProof/>
          </w:rPr>
          <w:t>II.3.2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Indicateurs généraux</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_Toc1573794 \h </w:instrText>
        </w:r>
        <w:r w:rsidR="00C742EB" w:rsidRPr="00C742EB">
          <w:rPr>
            <w:noProof/>
            <w:webHidden/>
          </w:rPr>
        </w:r>
        <w:r w:rsidR="00C742EB" w:rsidRPr="00C742EB">
          <w:rPr>
            <w:noProof/>
            <w:webHidden/>
          </w:rPr>
          <w:fldChar w:fldCharType="separate"/>
        </w:r>
        <w:r w:rsidR="00C742EB" w:rsidRPr="00C742EB">
          <w:rPr>
            <w:noProof/>
            <w:webHidden/>
          </w:rPr>
          <w:t>12</w:t>
        </w:r>
        <w:r w:rsidR="00C742EB" w:rsidRPr="00C742EB">
          <w:rPr>
            <w:noProof/>
            <w:webHidden/>
          </w:rPr>
          <w:fldChar w:fldCharType="end"/>
        </w:r>
      </w:hyperlink>
    </w:p>
    <w:p w14:paraId="1160EB82" w14:textId="77777777" w:rsidR="00C742EB" w:rsidRPr="00C742EB" w:rsidRDefault="00183BD5">
      <w:pPr>
        <w:pStyle w:val="TM3"/>
        <w:tabs>
          <w:tab w:val="left" w:pos="1320"/>
          <w:tab w:val="right" w:leader="dot" w:pos="9678"/>
        </w:tabs>
        <w:rPr>
          <w:rFonts w:eastAsiaTheme="minorEastAsia"/>
          <w:noProof/>
          <w:lang w:val="fr-FR" w:eastAsia="fr-FR"/>
        </w:rPr>
      </w:pPr>
      <w:hyperlink w:anchor="_Toc1573795" w:history="1">
        <w:r w:rsidR="00C742EB" w:rsidRPr="00C742EB">
          <w:rPr>
            <w:rStyle w:val="Lienhypertexte"/>
            <w:rFonts w:ascii="Times New Roman" w:hAnsi="Times New Roman" w:cs="Times New Roman"/>
            <w:noProof/>
          </w:rPr>
          <w:t>II.3.3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Développement humain</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_Toc1573795 \h </w:instrText>
        </w:r>
        <w:r w:rsidR="00C742EB" w:rsidRPr="00C742EB">
          <w:rPr>
            <w:noProof/>
            <w:webHidden/>
          </w:rPr>
        </w:r>
        <w:r w:rsidR="00C742EB" w:rsidRPr="00C742EB">
          <w:rPr>
            <w:noProof/>
            <w:webHidden/>
          </w:rPr>
          <w:fldChar w:fldCharType="separate"/>
        </w:r>
        <w:r w:rsidR="00C742EB" w:rsidRPr="00C742EB">
          <w:rPr>
            <w:noProof/>
            <w:webHidden/>
          </w:rPr>
          <w:t>13</w:t>
        </w:r>
        <w:r w:rsidR="00C742EB" w:rsidRPr="00C742EB">
          <w:rPr>
            <w:noProof/>
            <w:webHidden/>
          </w:rPr>
          <w:fldChar w:fldCharType="end"/>
        </w:r>
      </w:hyperlink>
    </w:p>
    <w:p w14:paraId="4E378F0D" w14:textId="77777777" w:rsidR="00C742EB" w:rsidRPr="00C742EB" w:rsidRDefault="00183BD5">
      <w:pPr>
        <w:pStyle w:val="TM2"/>
        <w:tabs>
          <w:tab w:val="left" w:pos="880"/>
          <w:tab w:val="right" w:leader="dot" w:pos="9678"/>
        </w:tabs>
        <w:rPr>
          <w:rFonts w:eastAsiaTheme="minorEastAsia"/>
          <w:noProof/>
          <w:lang w:val="fr-FR" w:eastAsia="fr-FR"/>
        </w:rPr>
      </w:pPr>
      <w:hyperlink w:anchor="_Toc1573796" w:history="1">
        <w:r w:rsidR="00C742EB" w:rsidRPr="00C742EB">
          <w:rPr>
            <w:rStyle w:val="Lienhypertexte"/>
            <w:rFonts w:ascii="Times New Roman" w:hAnsi="Times New Roman" w:cs="Times New Roman"/>
            <w:noProof/>
          </w:rPr>
          <w:t>II.4</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Contexte sanitaire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_Toc1573796 \h </w:instrText>
        </w:r>
        <w:r w:rsidR="00C742EB" w:rsidRPr="00C742EB">
          <w:rPr>
            <w:noProof/>
            <w:webHidden/>
          </w:rPr>
        </w:r>
        <w:r w:rsidR="00C742EB" w:rsidRPr="00C742EB">
          <w:rPr>
            <w:noProof/>
            <w:webHidden/>
          </w:rPr>
          <w:fldChar w:fldCharType="separate"/>
        </w:r>
        <w:r w:rsidR="00C742EB" w:rsidRPr="00C742EB">
          <w:rPr>
            <w:noProof/>
            <w:webHidden/>
          </w:rPr>
          <w:t>15</w:t>
        </w:r>
        <w:r w:rsidR="00C742EB" w:rsidRPr="00C742EB">
          <w:rPr>
            <w:noProof/>
            <w:webHidden/>
          </w:rPr>
          <w:fldChar w:fldCharType="end"/>
        </w:r>
      </w:hyperlink>
    </w:p>
    <w:p w14:paraId="4477C1BC" w14:textId="77777777" w:rsidR="00C742EB" w:rsidRPr="00C742EB" w:rsidRDefault="00183BD5">
      <w:pPr>
        <w:pStyle w:val="TM3"/>
        <w:tabs>
          <w:tab w:val="left" w:pos="1320"/>
          <w:tab w:val="right" w:leader="dot" w:pos="9678"/>
        </w:tabs>
        <w:rPr>
          <w:rFonts w:eastAsiaTheme="minorEastAsia"/>
          <w:noProof/>
          <w:lang w:val="fr-FR" w:eastAsia="fr-FR"/>
        </w:rPr>
      </w:pPr>
      <w:hyperlink w:anchor="_Toc1573797" w:history="1">
        <w:r w:rsidR="00C742EB" w:rsidRPr="00C742EB">
          <w:rPr>
            <w:rStyle w:val="Lienhypertexte"/>
            <w:rFonts w:ascii="Times New Roman" w:hAnsi="Times New Roman" w:cs="Times New Roman"/>
            <w:noProof/>
          </w:rPr>
          <w:t>II.4.1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Ressources humaines en santé</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_Toc1573797 \h </w:instrText>
        </w:r>
        <w:r w:rsidR="00C742EB" w:rsidRPr="00C742EB">
          <w:rPr>
            <w:noProof/>
            <w:webHidden/>
          </w:rPr>
        </w:r>
        <w:r w:rsidR="00C742EB" w:rsidRPr="00C742EB">
          <w:rPr>
            <w:noProof/>
            <w:webHidden/>
          </w:rPr>
          <w:fldChar w:fldCharType="separate"/>
        </w:r>
        <w:r w:rsidR="00C742EB" w:rsidRPr="00C742EB">
          <w:rPr>
            <w:noProof/>
            <w:webHidden/>
          </w:rPr>
          <w:t>15</w:t>
        </w:r>
        <w:r w:rsidR="00C742EB" w:rsidRPr="00C742EB">
          <w:rPr>
            <w:noProof/>
            <w:webHidden/>
          </w:rPr>
          <w:fldChar w:fldCharType="end"/>
        </w:r>
      </w:hyperlink>
    </w:p>
    <w:p w14:paraId="4150253C" w14:textId="77777777" w:rsidR="00C742EB" w:rsidRPr="00C742EB" w:rsidRDefault="00183BD5">
      <w:pPr>
        <w:pStyle w:val="TM3"/>
        <w:tabs>
          <w:tab w:val="left" w:pos="1320"/>
          <w:tab w:val="right" w:leader="dot" w:pos="9678"/>
        </w:tabs>
        <w:rPr>
          <w:rFonts w:eastAsiaTheme="minorEastAsia"/>
          <w:noProof/>
          <w:lang w:val="fr-FR" w:eastAsia="fr-FR"/>
        </w:rPr>
      </w:pPr>
      <w:hyperlink w:anchor="_Toc1573798" w:history="1">
        <w:r w:rsidR="00C742EB" w:rsidRPr="00C742EB">
          <w:rPr>
            <w:rStyle w:val="Lienhypertexte"/>
            <w:rFonts w:ascii="Times New Roman" w:hAnsi="Times New Roman" w:cs="Times New Roman"/>
            <w:noProof/>
          </w:rPr>
          <w:t>II.4.2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Infrastructures et équipements sanitaires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_Toc1573798 \h </w:instrText>
        </w:r>
        <w:r w:rsidR="00C742EB" w:rsidRPr="00C742EB">
          <w:rPr>
            <w:noProof/>
            <w:webHidden/>
          </w:rPr>
        </w:r>
        <w:r w:rsidR="00C742EB" w:rsidRPr="00C742EB">
          <w:rPr>
            <w:noProof/>
            <w:webHidden/>
          </w:rPr>
          <w:fldChar w:fldCharType="separate"/>
        </w:r>
        <w:r w:rsidR="00C742EB" w:rsidRPr="00C742EB">
          <w:rPr>
            <w:noProof/>
            <w:webHidden/>
          </w:rPr>
          <w:t>16</w:t>
        </w:r>
        <w:r w:rsidR="00C742EB" w:rsidRPr="00C742EB">
          <w:rPr>
            <w:noProof/>
            <w:webHidden/>
          </w:rPr>
          <w:fldChar w:fldCharType="end"/>
        </w:r>
      </w:hyperlink>
    </w:p>
    <w:p w14:paraId="3AB143C4" w14:textId="77777777" w:rsidR="00C742EB" w:rsidRPr="00C742EB" w:rsidRDefault="00183BD5">
      <w:pPr>
        <w:pStyle w:val="TM3"/>
        <w:tabs>
          <w:tab w:val="left" w:pos="1320"/>
          <w:tab w:val="right" w:leader="dot" w:pos="9678"/>
        </w:tabs>
        <w:rPr>
          <w:rFonts w:eastAsiaTheme="minorEastAsia"/>
          <w:noProof/>
          <w:lang w:val="fr-FR" w:eastAsia="fr-FR"/>
        </w:rPr>
      </w:pPr>
      <w:hyperlink w:anchor="_Toc1573799" w:history="1">
        <w:r w:rsidR="00C742EB" w:rsidRPr="00C742EB">
          <w:rPr>
            <w:rStyle w:val="Lienhypertexte"/>
            <w:rFonts w:ascii="Times New Roman" w:hAnsi="Times New Roman" w:cs="Times New Roman"/>
            <w:noProof/>
          </w:rPr>
          <w:t>II.4.3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Médicaments et autres intrants stratégiques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_Toc1573799 \h </w:instrText>
        </w:r>
        <w:r w:rsidR="00C742EB" w:rsidRPr="00C742EB">
          <w:rPr>
            <w:noProof/>
            <w:webHidden/>
          </w:rPr>
        </w:r>
        <w:r w:rsidR="00C742EB" w:rsidRPr="00C742EB">
          <w:rPr>
            <w:noProof/>
            <w:webHidden/>
          </w:rPr>
          <w:fldChar w:fldCharType="separate"/>
        </w:r>
        <w:r w:rsidR="00C742EB" w:rsidRPr="00C742EB">
          <w:rPr>
            <w:noProof/>
            <w:webHidden/>
          </w:rPr>
          <w:t>17</w:t>
        </w:r>
        <w:r w:rsidR="00C742EB" w:rsidRPr="00C742EB">
          <w:rPr>
            <w:noProof/>
            <w:webHidden/>
          </w:rPr>
          <w:fldChar w:fldCharType="end"/>
        </w:r>
      </w:hyperlink>
    </w:p>
    <w:p w14:paraId="3D818F4B" w14:textId="77777777" w:rsidR="00C742EB" w:rsidRPr="00C742EB" w:rsidRDefault="00183BD5">
      <w:pPr>
        <w:pStyle w:val="TM2"/>
        <w:tabs>
          <w:tab w:val="left" w:pos="880"/>
          <w:tab w:val="right" w:leader="dot" w:pos="9678"/>
        </w:tabs>
        <w:rPr>
          <w:rFonts w:eastAsiaTheme="minorEastAsia"/>
          <w:noProof/>
          <w:lang w:val="fr-FR" w:eastAsia="fr-FR"/>
        </w:rPr>
      </w:pPr>
      <w:hyperlink w:anchor="_Toc1573800" w:history="1">
        <w:r w:rsidR="00C742EB" w:rsidRPr="00C742EB">
          <w:rPr>
            <w:rStyle w:val="Lienhypertexte"/>
            <w:rFonts w:ascii="Times New Roman" w:hAnsi="Times New Roman" w:cs="Times New Roman"/>
            <w:noProof/>
          </w:rPr>
          <w:t>II.5</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Financement de la santé en Côte d’Ivoire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_Toc1573800 \h </w:instrText>
        </w:r>
        <w:r w:rsidR="00C742EB" w:rsidRPr="00C742EB">
          <w:rPr>
            <w:noProof/>
            <w:webHidden/>
          </w:rPr>
        </w:r>
        <w:r w:rsidR="00C742EB" w:rsidRPr="00C742EB">
          <w:rPr>
            <w:noProof/>
            <w:webHidden/>
          </w:rPr>
          <w:fldChar w:fldCharType="separate"/>
        </w:r>
        <w:r w:rsidR="00C742EB" w:rsidRPr="00C742EB">
          <w:rPr>
            <w:noProof/>
            <w:webHidden/>
          </w:rPr>
          <w:t>20</w:t>
        </w:r>
        <w:r w:rsidR="00C742EB" w:rsidRPr="00C742EB">
          <w:rPr>
            <w:noProof/>
            <w:webHidden/>
          </w:rPr>
          <w:fldChar w:fldCharType="end"/>
        </w:r>
      </w:hyperlink>
    </w:p>
    <w:p w14:paraId="2E6308F6" w14:textId="77777777" w:rsidR="00C742EB" w:rsidRPr="00C742EB" w:rsidRDefault="00183BD5">
      <w:pPr>
        <w:pStyle w:val="TM2"/>
        <w:tabs>
          <w:tab w:val="left" w:pos="880"/>
          <w:tab w:val="right" w:leader="dot" w:pos="9678"/>
        </w:tabs>
        <w:rPr>
          <w:rFonts w:eastAsiaTheme="minorEastAsia"/>
          <w:noProof/>
          <w:lang w:val="fr-FR" w:eastAsia="fr-FR"/>
        </w:rPr>
      </w:pPr>
      <w:hyperlink w:anchor="_Toc1573801" w:history="1">
        <w:r w:rsidR="00C742EB" w:rsidRPr="00C742EB">
          <w:rPr>
            <w:rStyle w:val="Lienhypertexte"/>
            <w:rFonts w:ascii="Times New Roman" w:eastAsia="Times New Roman" w:hAnsi="Times New Roman" w:cs="Times New Roman"/>
            <w:noProof/>
            <w:lang w:eastAsia="fr-FR"/>
          </w:rPr>
          <w:t>II.6</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Secteur privé de la santé</w:t>
        </w:r>
        <w:r w:rsidR="00C742EB" w:rsidRPr="00C742EB">
          <w:rPr>
            <w:rStyle w:val="Lienhypertexte"/>
            <w:rFonts w:ascii="Times New Roman" w:eastAsia="Times New Roman" w:hAnsi="Times New Roman" w:cs="Times New Roman"/>
            <w:noProof/>
            <w:lang w:eastAsia="fr-FR"/>
          </w:rPr>
          <w:t> :</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_Toc1573801 \h </w:instrText>
        </w:r>
        <w:r w:rsidR="00C742EB" w:rsidRPr="00C742EB">
          <w:rPr>
            <w:noProof/>
            <w:webHidden/>
          </w:rPr>
        </w:r>
        <w:r w:rsidR="00C742EB" w:rsidRPr="00C742EB">
          <w:rPr>
            <w:noProof/>
            <w:webHidden/>
          </w:rPr>
          <w:fldChar w:fldCharType="separate"/>
        </w:r>
        <w:r w:rsidR="00C742EB" w:rsidRPr="00C742EB">
          <w:rPr>
            <w:noProof/>
            <w:webHidden/>
          </w:rPr>
          <w:t>21</w:t>
        </w:r>
        <w:r w:rsidR="00C742EB" w:rsidRPr="00C742EB">
          <w:rPr>
            <w:noProof/>
            <w:webHidden/>
          </w:rPr>
          <w:fldChar w:fldCharType="end"/>
        </w:r>
      </w:hyperlink>
    </w:p>
    <w:p w14:paraId="285BA19B" w14:textId="6424F14E" w:rsidR="00C742EB" w:rsidRPr="00C742EB" w:rsidRDefault="00183BD5" w:rsidP="00C742EB">
      <w:pPr>
        <w:pStyle w:val="TM1"/>
        <w:rPr>
          <w:rFonts w:eastAsiaTheme="minorEastAsia"/>
          <w:lang w:eastAsia="fr-FR"/>
        </w:rPr>
      </w:pPr>
      <w:hyperlink w:anchor="_Toc1573802" w:history="1">
        <w:r w:rsidR="00C742EB" w:rsidRPr="00C742EB">
          <w:rPr>
            <w:rStyle w:val="Lienhypertexte"/>
          </w:rPr>
          <w:t>III</w:t>
        </w:r>
        <w:r w:rsidR="00C742EB" w:rsidRPr="00C742EB">
          <w:rPr>
            <w:rFonts w:eastAsiaTheme="minorEastAsia"/>
            <w:lang w:eastAsia="fr-FR"/>
          </w:rPr>
          <w:t xml:space="preserve"> </w:t>
        </w:r>
        <w:r w:rsidR="00C742EB" w:rsidRPr="00C742EB">
          <w:rPr>
            <w:rStyle w:val="Lienhypertexte"/>
          </w:rPr>
          <w:t>ANALYSE SITUATIONNELLE</w:t>
        </w:r>
        <w:r w:rsidR="00C742EB" w:rsidRPr="00C742EB">
          <w:rPr>
            <w:webHidden/>
          </w:rPr>
          <w:tab/>
        </w:r>
        <w:r w:rsidR="00C742EB" w:rsidRPr="00C742EB">
          <w:rPr>
            <w:webHidden/>
          </w:rPr>
          <w:fldChar w:fldCharType="begin"/>
        </w:r>
        <w:r w:rsidR="00C742EB" w:rsidRPr="00C742EB">
          <w:rPr>
            <w:webHidden/>
          </w:rPr>
          <w:instrText xml:space="preserve"> PAGEREF _Toc1573802 \h </w:instrText>
        </w:r>
        <w:r w:rsidR="00C742EB" w:rsidRPr="00C742EB">
          <w:rPr>
            <w:webHidden/>
          </w:rPr>
        </w:r>
        <w:r w:rsidR="00C742EB" w:rsidRPr="00C742EB">
          <w:rPr>
            <w:webHidden/>
          </w:rPr>
          <w:fldChar w:fldCharType="separate"/>
        </w:r>
        <w:r w:rsidR="00C742EB" w:rsidRPr="00C742EB">
          <w:rPr>
            <w:webHidden/>
          </w:rPr>
          <w:t>22</w:t>
        </w:r>
        <w:r w:rsidR="00C742EB" w:rsidRPr="00C742EB">
          <w:rPr>
            <w:webHidden/>
          </w:rPr>
          <w:fldChar w:fldCharType="end"/>
        </w:r>
      </w:hyperlink>
    </w:p>
    <w:p w14:paraId="5E5381C9" w14:textId="77777777" w:rsidR="00C742EB" w:rsidRPr="00C742EB" w:rsidRDefault="00183BD5">
      <w:pPr>
        <w:pStyle w:val="TM2"/>
        <w:tabs>
          <w:tab w:val="left" w:pos="880"/>
          <w:tab w:val="right" w:leader="dot" w:pos="9678"/>
        </w:tabs>
        <w:rPr>
          <w:rFonts w:eastAsiaTheme="minorEastAsia"/>
          <w:noProof/>
          <w:lang w:val="fr-FR" w:eastAsia="fr-FR"/>
        </w:rPr>
      </w:pPr>
      <w:hyperlink w:anchor="_Toc1573803" w:history="1">
        <w:r w:rsidR="00C742EB" w:rsidRPr="00C742EB">
          <w:rPr>
            <w:rStyle w:val="Lienhypertexte"/>
            <w:rFonts w:ascii="Times New Roman" w:hAnsi="Times New Roman" w:cs="Times New Roman"/>
            <w:noProof/>
          </w:rPr>
          <w:t>III.1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Structure de la mortalité et de la morbidité en CI</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_Toc1573803 \h </w:instrText>
        </w:r>
        <w:r w:rsidR="00C742EB" w:rsidRPr="00C742EB">
          <w:rPr>
            <w:noProof/>
            <w:webHidden/>
          </w:rPr>
        </w:r>
        <w:r w:rsidR="00C742EB" w:rsidRPr="00C742EB">
          <w:rPr>
            <w:noProof/>
            <w:webHidden/>
          </w:rPr>
          <w:fldChar w:fldCharType="separate"/>
        </w:r>
        <w:r w:rsidR="00C742EB" w:rsidRPr="00C742EB">
          <w:rPr>
            <w:noProof/>
            <w:webHidden/>
          </w:rPr>
          <w:t>22</w:t>
        </w:r>
        <w:r w:rsidR="00C742EB" w:rsidRPr="00C742EB">
          <w:rPr>
            <w:noProof/>
            <w:webHidden/>
          </w:rPr>
          <w:fldChar w:fldCharType="end"/>
        </w:r>
      </w:hyperlink>
    </w:p>
    <w:p w14:paraId="44A6EAFD" w14:textId="77777777" w:rsidR="00C742EB" w:rsidRPr="00C742EB" w:rsidRDefault="00183BD5">
      <w:pPr>
        <w:pStyle w:val="TM2"/>
        <w:tabs>
          <w:tab w:val="left" w:pos="880"/>
          <w:tab w:val="right" w:leader="dot" w:pos="9678"/>
        </w:tabs>
        <w:rPr>
          <w:rFonts w:eastAsiaTheme="minorEastAsia"/>
          <w:noProof/>
          <w:lang w:val="fr-FR" w:eastAsia="fr-FR"/>
        </w:rPr>
      </w:pPr>
      <w:hyperlink w:anchor="_Toc1573804" w:history="1">
        <w:r w:rsidR="00C742EB" w:rsidRPr="00C742EB">
          <w:rPr>
            <w:rStyle w:val="Lienhypertexte"/>
            <w:rFonts w:ascii="Times New Roman" w:hAnsi="Times New Roman" w:cs="Times New Roman"/>
            <w:noProof/>
          </w:rPr>
          <w:t>III.2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Indicateurs clefs de la santé de la reproduction, de la mère, du nouveau-né, de l’enfant et des adolescents (SRMNEA)</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_Toc1573804 \h </w:instrText>
        </w:r>
        <w:r w:rsidR="00C742EB" w:rsidRPr="00C742EB">
          <w:rPr>
            <w:noProof/>
            <w:webHidden/>
          </w:rPr>
        </w:r>
        <w:r w:rsidR="00C742EB" w:rsidRPr="00C742EB">
          <w:rPr>
            <w:noProof/>
            <w:webHidden/>
          </w:rPr>
          <w:fldChar w:fldCharType="separate"/>
        </w:r>
        <w:r w:rsidR="00C742EB" w:rsidRPr="00C742EB">
          <w:rPr>
            <w:noProof/>
            <w:webHidden/>
          </w:rPr>
          <w:t>22</w:t>
        </w:r>
        <w:r w:rsidR="00C742EB" w:rsidRPr="00C742EB">
          <w:rPr>
            <w:noProof/>
            <w:webHidden/>
          </w:rPr>
          <w:fldChar w:fldCharType="end"/>
        </w:r>
      </w:hyperlink>
    </w:p>
    <w:p w14:paraId="5291C61F"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05" w:history="1">
        <w:r w:rsidR="00C742EB" w:rsidRPr="00C742EB">
          <w:rPr>
            <w:rStyle w:val="Lienhypertexte"/>
            <w:rFonts w:ascii="Times New Roman" w:hAnsi="Times New Roman" w:cs="Times New Roman"/>
            <w:noProof/>
          </w:rPr>
          <w:t>III.2.1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Mortalité Maternelle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_Toc1573805 \h </w:instrText>
        </w:r>
        <w:r w:rsidR="00C742EB" w:rsidRPr="00C742EB">
          <w:rPr>
            <w:noProof/>
            <w:webHidden/>
          </w:rPr>
        </w:r>
        <w:r w:rsidR="00C742EB" w:rsidRPr="00C742EB">
          <w:rPr>
            <w:noProof/>
            <w:webHidden/>
          </w:rPr>
          <w:fldChar w:fldCharType="separate"/>
        </w:r>
        <w:r w:rsidR="00C742EB" w:rsidRPr="00C742EB">
          <w:rPr>
            <w:noProof/>
            <w:webHidden/>
          </w:rPr>
          <w:t>22</w:t>
        </w:r>
        <w:r w:rsidR="00C742EB" w:rsidRPr="00C742EB">
          <w:rPr>
            <w:noProof/>
            <w:webHidden/>
          </w:rPr>
          <w:fldChar w:fldCharType="end"/>
        </w:r>
      </w:hyperlink>
    </w:p>
    <w:p w14:paraId="3D6A87C7"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06" w:history="1">
        <w:r w:rsidR="00C742EB" w:rsidRPr="00C742EB">
          <w:rPr>
            <w:rStyle w:val="Lienhypertexte"/>
            <w:rFonts w:ascii="Times New Roman" w:hAnsi="Times New Roman" w:cs="Times New Roman"/>
            <w:noProof/>
            <w:lang w:val="fr-FR"/>
          </w:rPr>
          <w:t>III.2.2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lang w:val="fr-FR"/>
          </w:rPr>
          <w:t>Mortinatalité</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_Toc1573806 \h </w:instrText>
        </w:r>
        <w:r w:rsidR="00C742EB" w:rsidRPr="00C742EB">
          <w:rPr>
            <w:noProof/>
            <w:webHidden/>
          </w:rPr>
        </w:r>
        <w:r w:rsidR="00C742EB" w:rsidRPr="00C742EB">
          <w:rPr>
            <w:noProof/>
            <w:webHidden/>
          </w:rPr>
          <w:fldChar w:fldCharType="separate"/>
        </w:r>
        <w:r w:rsidR="00C742EB" w:rsidRPr="00C742EB">
          <w:rPr>
            <w:noProof/>
            <w:webHidden/>
          </w:rPr>
          <w:t>25</w:t>
        </w:r>
        <w:r w:rsidR="00C742EB" w:rsidRPr="00C742EB">
          <w:rPr>
            <w:noProof/>
            <w:webHidden/>
          </w:rPr>
          <w:fldChar w:fldCharType="end"/>
        </w:r>
      </w:hyperlink>
    </w:p>
    <w:p w14:paraId="3AE7A214"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07" w:history="1">
        <w:r w:rsidR="00C742EB" w:rsidRPr="00C742EB">
          <w:rPr>
            <w:rStyle w:val="Lienhypertexte"/>
            <w:rFonts w:ascii="Times New Roman" w:hAnsi="Times New Roman" w:cs="Times New Roman"/>
            <w:noProof/>
          </w:rPr>
          <w:t>III.2.3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Mortalité néonatale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_Toc1573807 \h </w:instrText>
        </w:r>
        <w:r w:rsidR="00C742EB" w:rsidRPr="00C742EB">
          <w:rPr>
            <w:noProof/>
            <w:webHidden/>
          </w:rPr>
        </w:r>
        <w:r w:rsidR="00C742EB" w:rsidRPr="00C742EB">
          <w:rPr>
            <w:noProof/>
            <w:webHidden/>
          </w:rPr>
          <w:fldChar w:fldCharType="separate"/>
        </w:r>
        <w:r w:rsidR="00C742EB" w:rsidRPr="00C742EB">
          <w:rPr>
            <w:noProof/>
            <w:webHidden/>
          </w:rPr>
          <w:t>25</w:t>
        </w:r>
        <w:r w:rsidR="00C742EB" w:rsidRPr="00C742EB">
          <w:rPr>
            <w:noProof/>
            <w:webHidden/>
          </w:rPr>
          <w:fldChar w:fldCharType="end"/>
        </w:r>
      </w:hyperlink>
    </w:p>
    <w:p w14:paraId="6341A95D"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08" w:history="1">
        <w:r w:rsidR="00C742EB" w:rsidRPr="00C742EB">
          <w:rPr>
            <w:rStyle w:val="Lienhypertexte"/>
            <w:rFonts w:ascii="Times New Roman" w:hAnsi="Times New Roman" w:cs="Times New Roman"/>
            <w:noProof/>
          </w:rPr>
          <w:t>III.2.4</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Mortalité infanto-juvénile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_Toc1573808 \h </w:instrText>
        </w:r>
        <w:r w:rsidR="00C742EB" w:rsidRPr="00C742EB">
          <w:rPr>
            <w:noProof/>
            <w:webHidden/>
          </w:rPr>
        </w:r>
        <w:r w:rsidR="00C742EB" w:rsidRPr="00C742EB">
          <w:rPr>
            <w:noProof/>
            <w:webHidden/>
          </w:rPr>
          <w:fldChar w:fldCharType="separate"/>
        </w:r>
        <w:r w:rsidR="00C742EB" w:rsidRPr="00C742EB">
          <w:rPr>
            <w:noProof/>
            <w:webHidden/>
          </w:rPr>
          <w:t>27</w:t>
        </w:r>
        <w:r w:rsidR="00C742EB" w:rsidRPr="00C742EB">
          <w:rPr>
            <w:noProof/>
            <w:webHidden/>
          </w:rPr>
          <w:fldChar w:fldCharType="end"/>
        </w:r>
      </w:hyperlink>
    </w:p>
    <w:p w14:paraId="690B354A"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09" w:history="1">
        <w:r w:rsidR="00C742EB" w:rsidRPr="00C742EB">
          <w:rPr>
            <w:rStyle w:val="Lienhypertexte"/>
            <w:rFonts w:ascii="Times New Roman" w:hAnsi="Times New Roman" w:cs="Times New Roman"/>
            <w:noProof/>
          </w:rPr>
          <w:t>III.2.5</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Situation nutritionnelle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_Toc1573809 \h </w:instrText>
        </w:r>
        <w:r w:rsidR="00C742EB" w:rsidRPr="00C742EB">
          <w:rPr>
            <w:noProof/>
            <w:webHidden/>
          </w:rPr>
        </w:r>
        <w:r w:rsidR="00C742EB" w:rsidRPr="00C742EB">
          <w:rPr>
            <w:noProof/>
            <w:webHidden/>
          </w:rPr>
          <w:fldChar w:fldCharType="separate"/>
        </w:r>
        <w:r w:rsidR="00C742EB" w:rsidRPr="00C742EB">
          <w:rPr>
            <w:noProof/>
            <w:webHidden/>
          </w:rPr>
          <w:t>29</w:t>
        </w:r>
        <w:r w:rsidR="00C742EB" w:rsidRPr="00C742EB">
          <w:rPr>
            <w:noProof/>
            <w:webHidden/>
          </w:rPr>
          <w:fldChar w:fldCharType="end"/>
        </w:r>
      </w:hyperlink>
    </w:p>
    <w:p w14:paraId="6E085649"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10" w:history="1">
        <w:r w:rsidR="00C742EB" w:rsidRPr="00C742EB">
          <w:rPr>
            <w:rStyle w:val="Lienhypertexte"/>
            <w:rFonts w:ascii="Times New Roman" w:hAnsi="Times New Roman" w:cs="Times New Roman"/>
            <w:noProof/>
          </w:rPr>
          <w:t>III.2.6</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Santé des adolescents et des jeunes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_Toc1573810 \h </w:instrText>
        </w:r>
        <w:r w:rsidR="00C742EB" w:rsidRPr="00C742EB">
          <w:rPr>
            <w:noProof/>
            <w:webHidden/>
          </w:rPr>
        </w:r>
        <w:r w:rsidR="00C742EB" w:rsidRPr="00C742EB">
          <w:rPr>
            <w:noProof/>
            <w:webHidden/>
          </w:rPr>
          <w:fldChar w:fldCharType="separate"/>
        </w:r>
        <w:r w:rsidR="00C742EB" w:rsidRPr="00C742EB">
          <w:rPr>
            <w:noProof/>
            <w:webHidden/>
          </w:rPr>
          <w:t>32</w:t>
        </w:r>
        <w:r w:rsidR="00C742EB" w:rsidRPr="00C742EB">
          <w:rPr>
            <w:noProof/>
            <w:webHidden/>
          </w:rPr>
          <w:fldChar w:fldCharType="end"/>
        </w:r>
      </w:hyperlink>
    </w:p>
    <w:p w14:paraId="50E318C4" w14:textId="77777777" w:rsidR="00C742EB" w:rsidRPr="00C742EB" w:rsidRDefault="00183BD5">
      <w:pPr>
        <w:pStyle w:val="TM2"/>
        <w:tabs>
          <w:tab w:val="left" w:pos="880"/>
          <w:tab w:val="right" w:leader="dot" w:pos="9678"/>
        </w:tabs>
        <w:rPr>
          <w:rFonts w:eastAsiaTheme="minorEastAsia"/>
          <w:noProof/>
          <w:lang w:val="fr-FR" w:eastAsia="fr-FR"/>
        </w:rPr>
      </w:pPr>
      <w:hyperlink w:anchor="_Toc1573811" w:history="1">
        <w:r w:rsidR="00C742EB" w:rsidRPr="00C742EB">
          <w:rPr>
            <w:rStyle w:val="Lienhypertexte"/>
            <w:rFonts w:ascii="Times New Roman" w:hAnsi="Times New Roman" w:cs="Times New Roman"/>
            <w:noProof/>
          </w:rPr>
          <w:t>III.3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Couverture des interventions à haut impact sur la SRMNEA</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_Toc1573811 \h </w:instrText>
        </w:r>
        <w:r w:rsidR="00C742EB" w:rsidRPr="00C742EB">
          <w:rPr>
            <w:noProof/>
            <w:webHidden/>
          </w:rPr>
        </w:r>
        <w:r w:rsidR="00C742EB" w:rsidRPr="00C742EB">
          <w:rPr>
            <w:noProof/>
            <w:webHidden/>
          </w:rPr>
          <w:fldChar w:fldCharType="separate"/>
        </w:r>
        <w:r w:rsidR="00C742EB" w:rsidRPr="00C742EB">
          <w:rPr>
            <w:noProof/>
            <w:webHidden/>
          </w:rPr>
          <w:t>33</w:t>
        </w:r>
        <w:r w:rsidR="00C742EB" w:rsidRPr="00C742EB">
          <w:rPr>
            <w:noProof/>
            <w:webHidden/>
          </w:rPr>
          <w:fldChar w:fldCharType="end"/>
        </w:r>
      </w:hyperlink>
    </w:p>
    <w:p w14:paraId="333A06EC"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12" w:history="1">
        <w:r w:rsidR="00C742EB" w:rsidRPr="00C742EB">
          <w:rPr>
            <w:rStyle w:val="Lienhypertexte"/>
            <w:rFonts w:ascii="Times New Roman" w:hAnsi="Times New Roman" w:cs="Times New Roman"/>
            <w:noProof/>
          </w:rPr>
          <w:t>III.3.1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Vaccination</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_Toc1573812 \h </w:instrText>
        </w:r>
        <w:r w:rsidR="00C742EB" w:rsidRPr="00C742EB">
          <w:rPr>
            <w:noProof/>
            <w:webHidden/>
          </w:rPr>
        </w:r>
        <w:r w:rsidR="00C742EB" w:rsidRPr="00C742EB">
          <w:rPr>
            <w:noProof/>
            <w:webHidden/>
          </w:rPr>
          <w:fldChar w:fldCharType="separate"/>
        </w:r>
        <w:r w:rsidR="00C742EB" w:rsidRPr="00C742EB">
          <w:rPr>
            <w:noProof/>
            <w:webHidden/>
          </w:rPr>
          <w:t>33</w:t>
        </w:r>
        <w:r w:rsidR="00C742EB" w:rsidRPr="00C742EB">
          <w:rPr>
            <w:noProof/>
            <w:webHidden/>
          </w:rPr>
          <w:fldChar w:fldCharType="end"/>
        </w:r>
      </w:hyperlink>
    </w:p>
    <w:p w14:paraId="54285EE7"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13" w:history="1">
        <w:r w:rsidR="00C742EB" w:rsidRPr="00C742EB">
          <w:rPr>
            <w:rStyle w:val="Lienhypertexte"/>
            <w:rFonts w:ascii="Times New Roman" w:hAnsi="Times New Roman" w:cs="Times New Roman"/>
            <w:noProof/>
          </w:rPr>
          <w:t>III.3.2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Utilisation de la contraception</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_Toc1573813 \h </w:instrText>
        </w:r>
        <w:r w:rsidR="00C742EB" w:rsidRPr="00C742EB">
          <w:rPr>
            <w:noProof/>
            <w:webHidden/>
          </w:rPr>
        </w:r>
        <w:r w:rsidR="00C742EB" w:rsidRPr="00C742EB">
          <w:rPr>
            <w:noProof/>
            <w:webHidden/>
          </w:rPr>
          <w:fldChar w:fldCharType="separate"/>
        </w:r>
        <w:r w:rsidR="00C742EB" w:rsidRPr="00C742EB">
          <w:rPr>
            <w:noProof/>
            <w:webHidden/>
          </w:rPr>
          <w:t>33</w:t>
        </w:r>
        <w:r w:rsidR="00C742EB" w:rsidRPr="00C742EB">
          <w:rPr>
            <w:noProof/>
            <w:webHidden/>
          </w:rPr>
          <w:fldChar w:fldCharType="end"/>
        </w:r>
      </w:hyperlink>
    </w:p>
    <w:p w14:paraId="2BCDB596"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14" w:history="1">
        <w:r w:rsidR="00C742EB" w:rsidRPr="00C742EB">
          <w:rPr>
            <w:rStyle w:val="Lienhypertexte"/>
            <w:rFonts w:ascii="Times New Roman" w:hAnsi="Times New Roman" w:cs="Times New Roman"/>
            <w:noProof/>
          </w:rPr>
          <w:t>III.3.3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Couverture des soins prénatals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_Toc1573814 \h </w:instrText>
        </w:r>
        <w:r w:rsidR="00C742EB" w:rsidRPr="00C742EB">
          <w:rPr>
            <w:noProof/>
            <w:webHidden/>
          </w:rPr>
        </w:r>
        <w:r w:rsidR="00C742EB" w:rsidRPr="00C742EB">
          <w:rPr>
            <w:noProof/>
            <w:webHidden/>
          </w:rPr>
          <w:fldChar w:fldCharType="separate"/>
        </w:r>
        <w:r w:rsidR="00C742EB" w:rsidRPr="00C742EB">
          <w:rPr>
            <w:noProof/>
            <w:webHidden/>
          </w:rPr>
          <w:t>34</w:t>
        </w:r>
        <w:r w:rsidR="00C742EB" w:rsidRPr="00C742EB">
          <w:rPr>
            <w:noProof/>
            <w:webHidden/>
          </w:rPr>
          <w:fldChar w:fldCharType="end"/>
        </w:r>
      </w:hyperlink>
    </w:p>
    <w:p w14:paraId="0DBC0407"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15" w:history="1">
        <w:r w:rsidR="00C742EB" w:rsidRPr="00C742EB">
          <w:rPr>
            <w:rStyle w:val="Lienhypertexte"/>
            <w:rFonts w:ascii="Times New Roman" w:hAnsi="Times New Roman" w:cs="Times New Roman"/>
            <w:noProof/>
          </w:rPr>
          <w:t>III.3.4</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Couverture des accouchements assistés par un personnel qualifié</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_Toc1573815 \h </w:instrText>
        </w:r>
        <w:r w:rsidR="00C742EB" w:rsidRPr="00C742EB">
          <w:rPr>
            <w:noProof/>
            <w:webHidden/>
          </w:rPr>
        </w:r>
        <w:r w:rsidR="00C742EB" w:rsidRPr="00C742EB">
          <w:rPr>
            <w:noProof/>
            <w:webHidden/>
          </w:rPr>
          <w:fldChar w:fldCharType="separate"/>
        </w:r>
        <w:r w:rsidR="00C742EB" w:rsidRPr="00C742EB">
          <w:rPr>
            <w:noProof/>
            <w:webHidden/>
          </w:rPr>
          <w:t>35</w:t>
        </w:r>
        <w:r w:rsidR="00C742EB" w:rsidRPr="00C742EB">
          <w:rPr>
            <w:noProof/>
            <w:webHidden/>
          </w:rPr>
          <w:fldChar w:fldCharType="end"/>
        </w:r>
      </w:hyperlink>
    </w:p>
    <w:p w14:paraId="00F32D6E"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16" w:history="1">
        <w:r w:rsidR="00C742EB" w:rsidRPr="00C742EB">
          <w:rPr>
            <w:rStyle w:val="Lienhypertexte"/>
            <w:rFonts w:ascii="Times New Roman" w:hAnsi="Times New Roman" w:cs="Times New Roman"/>
            <w:noProof/>
          </w:rPr>
          <w:t>III.3.5</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Couverture des soins postnatals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_Toc1573816 \h </w:instrText>
        </w:r>
        <w:r w:rsidR="00C742EB" w:rsidRPr="00C742EB">
          <w:rPr>
            <w:noProof/>
            <w:webHidden/>
          </w:rPr>
        </w:r>
        <w:r w:rsidR="00C742EB" w:rsidRPr="00C742EB">
          <w:rPr>
            <w:noProof/>
            <w:webHidden/>
          </w:rPr>
          <w:fldChar w:fldCharType="separate"/>
        </w:r>
        <w:r w:rsidR="00C742EB" w:rsidRPr="00C742EB">
          <w:rPr>
            <w:noProof/>
            <w:webHidden/>
          </w:rPr>
          <w:t>36</w:t>
        </w:r>
        <w:r w:rsidR="00C742EB" w:rsidRPr="00C742EB">
          <w:rPr>
            <w:noProof/>
            <w:webHidden/>
          </w:rPr>
          <w:fldChar w:fldCharType="end"/>
        </w:r>
      </w:hyperlink>
    </w:p>
    <w:p w14:paraId="0C2280DF"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17" w:history="1">
        <w:r w:rsidR="00C742EB" w:rsidRPr="00C742EB">
          <w:rPr>
            <w:rStyle w:val="Lienhypertexte"/>
            <w:rFonts w:ascii="Times New Roman" w:hAnsi="Times New Roman" w:cs="Times New Roman"/>
            <w:noProof/>
          </w:rPr>
          <w:t>III.3.6</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Couverture des Soins Obstétricaux et Néonataux d’Urgence (SONU)</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_Toc1573817 \h </w:instrText>
        </w:r>
        <w:r w:rsidR="00C742EB" w:rsidRPr="00C742EB">
          <w:rPr>
            <w:noProof/>
            <w:webHidden/>
          </w:rPr>
        </w:r>
        <w:r w:rsidR="00C742EB" w:rsidRPr="00C742EB">
          <w:rPr>
            <w:noProof/>
            <w:webHidden/>
          </w:rPr>
          <w:fldChar w:fldCharType="separate"/>
        </w:r>
        <w:r w:rsidR="00C742EB" w:rsidRPr="00C742EB">
          <w:rPr>
            <w:noProof/>
            <w:webHidden/>
          </w:rPr>
          <w:t>36</w:t>
        </w:r>
        <w:r w:rsidR="00C742EB" w:rsidRPr="00C742EB">
          <w:rPr>
            <w:noProof/>
            <w:webHidden/>
          </w:rPr>
          <w:fldChar w:fldCharType="end"/>
        </w:r>
      </w:hyperlink>
    </w:p>
    <w:p w14:paraId="22B6AF6D"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18" w:history="1">
        <w:r w:rsidR="00C742EB" w:rsidRPr="00C742EB">
          <w:rPr>
            <w:rStyle w:val="Lienhypertexte"/>
            <w:rFonts w:ascii="Times New Roman" w:hAnsi="Times New Roman" w:cs="Times New Roman"/>
            <w:noProof/>
          </w:rPr>
          <w:t>III.3.7</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Prise en Charge Intégrée de la Mère du Nouveau-né et de l’Enfant (PCIMNE)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_Toc1573818 \h </w:instrText>
        </w:r>
        <w:r w:rsidR="00C742EB" w:rsidRPr="00C742EB">
          <w:rPr>
            <w:noProof/>
            <w:webHidden/>
          </w:rPr>
        </w:r>
        <w:r w:rsidR="00C742EB" w:rsidRPr="00C742EB">
          <w:rPr>
            <w:noProof/>
            <w:webHidden/>
          </w:rPr>
          <w:fldChar w:fldCharType="separate"/>
        </w:r>
        <w:r w:rsidR="00C742EB" w:rsidRPr="00C742EB">
          <w:rPr>
            <w:noProof/>
            <w:webHidden/>
          </w:rPr>
          <w:t>36</w:t>
        </w:r>
        <w:r w:rsidR="00C742EB" w:rsidRPr="00C742EB">
          <w:rPr>
            <w:noProof/>
            <w:webHidden/>
          </w:rPr>
          <w:fldChar w:fldCharType="end"/>
        </w:r>
      </w:hyperlink>
    </w:p>
    <w:p w14:paraId="5574A15B" w14:textId="77777777" w:rsidR="00C742EB" w:rsidRPr="00C742EB" w:rsidRDefault="00183BD5">
      <w:pPr>
        <w:pStyle w:val="TM2"/>
        <w:tabs>
          <w:tab w:val="left" w:pos="880"/>
          <w:tab w:val="right" w:leader="dot" w:pos="9678"/>
        </w:tabs>
        <w:rPr>
          <w:rFonts w:eastAsiaTheme="minorEastAsia"/>
          <w:noProof/>
          <w:lang w:val="fr-FR" w:eastAsia="fr-FR"/>
        </w:rPr>
      </w:pPr>
      <w:hyperlink w:anchor="_Toc1573819" w:history="1">
        <w:r w:rsidR="00C742EB" w:rsidRPr="00C742EB">
          <w:rPr>
            <w:rStyle w:val="Lienhypertexte"/>
            <w:rFonts w:ascii="Times New Roman" w:hAnsi="Times New Roman" w:cs="Times New Roman"/>
            <w:noProof/>
          </w:rPr>
          <w:t>III.4</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Analyse situationnelle de l’enregistrement et statistiques d’État civil (ESEC)</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_Toc1573819 \h </w:instrText>
        </w:r>
        <w:r w:rsidR="00C742EB" w:rsidRPr="00C742EB">
          <w:rPr>
            <w:noProof/>
            <w:webHidden/>
          </w:rPr>
        </w:r>
        <w:r w:rsidR="00C742EB" w:rsidRPr="00C742EB">
          <w:rPr>
            <w:noProof/>
            <w:webHidden/>
          </w:rPr>
          <w:fldChar w:fldCharType="separate"/>
        </w:r>
        <w:r w:rsidR="00C742EB" w:rsidRPr="00C742EB">
          <w:rPr>
            <w:noProof/>
            <w:webHidden/>
          </w:rPr>
          <w:t>37</w:t>
        </w:r>
        <w:r w:rsidR="00C742EB" w:rsidRPr="00C742EB">
          <w:rPr>
            <w:noProof/>
            <w:webHidden/>
          </w:rPr>
          <w:fldChar w:fldCharType="end"/>
        </w:r>
      </w:hyperlink>
    </w:p>
    <w:p w14:paraId="765EFD74" w14:textId="77777777" w:rsidR="00C742EB" w:rsidRPr="00C742EB" w:rsidRDefault="00183BD5" w:rsidP="00C742EB">
      <w:pPr>
        <w:pStyle w:val="TM1"/>
        <w:rPr>
          <w:rFonts w:eastAsiaTheme="minorEastAsia"/>
          <w:lang w:eastAsia="fr-FR"/>
        </w:rPr>
      </w:pPr>
      <w:hyperlink w:anchor="_Toc1573820" w:history="1">
        <w:r w:rsidR="00C742EB" w:rsidRPr="00C742EB">
          <w:rPr>
            <w:rStyle w:val="Lienhypertexte"/>
          </w:rPr>
          <w:t>IV</w:t>
        </w:r>
        <w:r w:rsidR="00C742EB" w:rsidRPr="00C742EB">
          <w:rPr>
            <w:rFonts w:eastAsiaTheme="minorEastAsia"/>
            <w:lang w:eastAsia="fr-FR"/>
          </w:rPr>
          <w:tab/>
        </w:r>
        <w:r w:rsidR="00C742EB" w:rsidRPr="00C742EB">
          <w:rPr>
            <w:rStyle w:val="Lienhypertexte"/>
          </w:rPr>
          <w:t>GOULOTS D’ÉTRANGLEMENT À L’UTILISATION EFFECTIVE DES SERVICES DE LA SRMNEA ET DE L’ESEC</w:t>
        </w:r>
        <w:r w:rsidR="00C742EB" w:rsidRPr="00C742EB">
          <w:rPr>
            <w:webHidden/>
          </w:rPr>
          <w:tab/>
        </w:r>
        <w:r w:rsidR="00C742EB" w:rsidRPr="00C742EB">
          <w:rPr>
            <w:webHidden/>
          </w:rPr>
          <w:fldChar w:fldCharType="begin"/>
        </w:r>
        <w:r w:rsidR="00C742EB" w:rsidRPr="00C742EB">
          <w:rPr>
            <w:webHidden/>
          </w:rPr>
          <w:instrText xml:space="preserve"> PAGEREF _Toc1573820 \h </w:instrText>
        </w:r>
        <w:r w:rsidR="00C742EB" w:rsidRPr="00C742EB">
          <w:rPr>
            <w:webHidden/>
          </w:rPr>
        </w:r>
        <w:r w:rsidR="00C742EB" w:rsidRPr="00C742EB">
          <w:rPr>
            <w:webHidden/>
          </w:rPr>
          <w:fldChar w:fldCharType="separate"/>
        </w:r>
        <w:r w:rsidR="00C742EB" w:rsidRPr="00C742EB">
          <w:rPr>
            <w:webHidden/>
          </w:rPr>
          <w:t>40</w:t>
        </w:r>
        <w:r w:rsidR="00C742EB" w:rsidRPr="00C742EB">
          <w:rPr>
            <w:webHidden/>
          </w:rPr>
          <w:fldChar w:fldCharType="end"/>
        </w:r>
      </w:hyperlink>
    </w:p>
    <w:p w14:paraId="352E481F" w14:textId="77777777" w:rsidR="00C742EB" w:rsidRPr="00C742EB" w:rsidRDefault="00183BD5">
      <w:pPr>
        <w:pStyle w:val="TM2"/>
        <w:tabs>
          <w:tab w:val="left" w:pos="880"/>
          <w:tab w:val="right" w:leader="dot" w:pos="9678"/>
        </w:tabs>
        <w:rPr>
          <w:rFonts w:eastAsiaTheme="minorEastAsia"/>
          <w:noProof/>
          <w:lang w:val="fr-FR" w:eastAsia="fr-FR"/>
        </w:rPr>
      </w:pPr>
      <w:hyperlink w:anchor="_Toc1573821" w:history="1">
        <w:r w:rsidR="00C742EB" w:rsidRPr="00C742EB">
          <w:rPr>
            <w:rStyle w:val="Lienhypertexte"/>
            <w:rFonts w:ascii="Times New Roman" w:hAnsi="Times New Roman" w:cs="Times New Roman"/>
            <w:noProof/>
          </w:rPr>
          <w:t>IV.1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Méthodologie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_Toc1573821 \h </w:instrText>
        </w:r>
        <w:r w:rsidR="00C742EB" w:rsidRPr="00C742EB">
          <w:rPr>
            <w:noProof/>
            <w:webHidden/>
          </w:rPr>
        </w:r>
        <w:r w:rsidR="00C742EB" w:rsidRPr="00C742EB">
          <w:rPr>
            <w:noProof/>
            <w:webHidden/>
          </w:rPr>
          <w:fldChar w:fldCharType="separate"/>
        </w:r>
        <w:r w:rsidR="00C742EB" w:rsidRPr="00C742EB">
          <w:rPr>
            <w:noProof/>
            <w:webHidden/>
          </w:rPr>
          <w:t>40</w:t>
        </w:r>
        <w:r w:rsidR="00C742EB" w:rsidRPr="00C742EB">
          <w:rPr>
            <w:noProof/>
            <w:webHidden/>
          </w:rPr>
          <w:fldChar w:fldCharType="end"/>
        </w:r>
      </w:hyperlink>
    </w:p>
    <w:p w14:paraId="4B91A634" w14:textId="77777777" w:rsidR="00C742EB" w:rsidRPr="00C742EB" w:rsidRDefault="00183BD5">
      <w:pPr>
        <w:pStyle w:val="TM2"/>
        <w:tabs>
          <w:tab w:val="left" w:pos="880"/>
          <w:tab w:val="right" w:leader="dot" w:pos="9678"/>
        </w:tabs>
        <w:rPr>
          <w:rFonts w:eastAsiaTheme="minorEastAsia"/>
          <w:noProof/>
          <w:lang w:val="fr-FR" w:eastAsia="fr-FR"/>
        </w:rPr>
      </w:pPr>
      <w:hyperlink w:anchor="_Toc1573822" w:history="1">
        <w:r w:rsidR="00C742EB" w:rsidRPr="00C742EB">
          <w:rPr>
            <w:rStyle w:val="Lienhypertexte"/>
            <w:rFonts w:ascii="Times New Roman" w:hAnsi="Times New Roman" w:cs="Times New Roman"/>
            <w:noProof/>
          </w:rPr>
          <w:t>IV.2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Défis liés à la demande (SRMNEA)</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_Toc1573822 \h </w:instrText>
        </w:r>
        <w:r w:rsidR="00C742EB" w:rsidRPr="00C742EB">
          <w:rPr>
            <w:noProof/>
            <w:webHidden/>
          </w:rPr>
        </w:r>
        <w:r w:rsidR="00C742EB" w:rsidRPr="00C742EB">
          <w:rPr>
            <w:noProof/>
            <w:webHidden/>
          </w:rPr>
          <w:fldChar w:fldCharType="separate"/>
        </w:r>
        <w:r w:rsidR="00C742EB" w:rsidRPr="00C742EB">
          <w:rPr>
            <w:noProof/>
            <w:webHidden/>
          </w:rPr>
          <w:t>40</w:t>
        </w:r>
        <w:r w:rsidR="00C742EB" w:rsidRPr="00C742EB">
          <w:rPr>
            <w:noProof/>
            <w:webHidden/>
          </w:rPr>
          <w:fldChar w:fldCharType="end"/>
        </w:r>
      </w:hyperlink>
    </w:p>
    <w:p w14:paraId="2DA1E3AC" w14:textId="77777777" w:rsidR="00C742EB" w:rsidRPr="00C742EB" w:rsidRDefault="00183BD5">
      <w:pPr>
        <w:pStyle w:val="TM2"/>
        <w:tabs>
          <w:tab w:val="left" w:pos="880"/>
          <w:tab w:val="right" w:leader="dot" w:pos="9678"/>
        </w:tabs>
        <w:rPr>
          <w:rFonts w:eastAsiaTheme="minorEastAsia"/>
          <w:noProof/>
          <w:lang w:val="fr-FR" w:eastAsia="fr-FR"/>
        </w:rPr>
      </w:pPr>
      <w:hyperlink w:anchor="_Toc1573823" w:history="1">
        <w:r w:rsidR="00C742EB" w:rsidRPr="00C742EB">
          <w:rPr>
            <w:rStyle w:val="Lienhypertexte"/>
            <w:rFonts w:ascii="Times New Roman" w:hAnsi="Times New Roman" w:cs="Times New Roman"/>
            <w:noProof/>
          </w:rPr>
          <w:t>IV.3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Défis liés à l’offre (SRMNEA)</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_Toc1573823 \h </w:instrText>
        </w:r>
        <w:r w:rsidR="00C742EB" w:rsidRPr="00C742EB">
          <w:rPr>
            <w:noProof/>
            <w:webHidden/>
          </w:rPr>
        </w:r>
        <w:r w:rsidR="00C742EB" w:rsidRPr="00C742EB">
          <w:rPr>
            <w:noProof/>
            <w:webHidden/>
          </w:rPr>
          <w:fldChar w:fldCharType="separate"/>
        </w:r>
        <w:r w:rsidR="00C742EB" w:rsidRPr="00C742EB">
          <w:rPr>
            <w:noProof/>
            <w:webHidden/>
          </w:rPr>
          <w:t>41</w:t>
        </w:r>
        <w:r w:rsidR="00C742EB" w:rsidRPr="00C742EB">
          <w:rPr>
            <w:noProof/>
            <w:webHidden/>
          </w:rPr>
          <w:fldChar w:fldCharType="end"/>
        </w:r>
      </w:hyperlink>
    </w:p>
    <w:p w14:paraId="36A7FB9A" w14:textId="77777777" w:rsidR="00C742EB" w:rsidRPr="00C742EB" w:rsidRDefault="00183BD5">
      <w:pPr>
        <w:pStyle w:val="TM2"/>
        <w:tabs>
          <w:tab w:val="left" w:pos="880"/>
          <w:tab w:val="right" w:leader="dot" w:pos="9678"/>
        </w:tabs>
        <w:rPr>
          <w:rFonts w:eastAsiaTheme="minorEastAsia"/>
          <w:noProof/>
          <w:lang w:val="fr-FR" w:eastAsia="fr-FR"/>
        </w:rPr>
      </w:pPr>
      <w:hyperlink w:anchor="_Toc1573824" w:history="1">
        <w:r w:rsidR="00C742EB" w:rsidRPr="00C742EB">
          <w:rPr>
            <w:rStyle w:val="Lienhypertexte"/>
            <w:rFonts w:ascii="Times New Roman" w:hAnsi="Times New Roman" w:cs="Times New Roman"/>
            <w:noProof/>
          </w:rPr>
          <w:t>IV.4</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Synthèse des goulots par mode de prestation</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_Toc1573824 \h </w:instrText>
        </w:r>
        <w:r w:rsidR="00C742EB" w:rsidRPr="00C742EB">
          <w:rPr>
            <w:noProof/>
            <w:webHidden/>
          </w:rPr>
        </w:r>
        <w:r w:rsidR="00C742EB" w:rsidRPr="00C742EB">
          <w:rPr>
            <w:noProof/>
            <w:webHidden/>
          </w:rPr>
          <w:fldChar w:fldCharType="separate"/>
        </w:r>
        <w:r w:rsidR="00C742EB" w:rsidRPr="00C742EB">
          <w:rPr>
            <w:noProof/>
            <w:webHidden/>
          </w:rPr>
          <w:t>44</w:t>
        </w:r>
        <w:r w:rsidR="00C742EB" w:rsidRPr="00C742EB">
          <w:rPr>
            <w:noProof/>
            <w:webHidden/>
          </w:rPr>
          <w:fldChar w:fldCharType="end"/>
        </w:r>
      </w:hyperlink>
    </w:p>
    <w:p w14:paraId="656C0CAC" w14:textId="5C2D29D5" w:rsidR="00C742EB" w:rsidRPr="00C742EB" w:rsidRDefault="00183BD5" w:rsidP="00C742EB">
      <w:pPr>
        <w:pStyle w:val="TM1"/>
        <w:rPr>
          <w:rFonts w:eastAsiaTheme="minorEastAsia"/>
          <w:lang w:eastAsia="fr-FR"/>
        </w:rPr>
      </w:pPr>
      <w:hyperlink w:anchor="_Toc1573825" w:history="1">
        <w:r w:rsidR="00C742EB" w:rsidRPr="00C742EB">
          <w:rPr>
            <w:rStyle w:val="Lienhypertexte"/>
          </w:rPr>
          <w:t>V</w:t>
        </w:r>
        <w:r w:rsidR="00C742EB" w:rsidRPr="00C742EB">
          <w:rPr>
            <w:rFonts w:eastAsiaTheme="minorEastAsia"/>
            <w:lang w:eastAsia="fr-FR"/>
          </w:rPr>
          <w:t xml:space="preserve"> </w:t>
        </w:r>
        <w:r w:rsidR="00C742EB" w:rsidRPr="00C742EB">
          <w:rPr>
            <w:rStyle w:val="Lienhypertexte"/>
          </w:rPr>
          <w:t>LA REPONSE A LA MORTALITE MATERNELLE, NEONATALE, INFANTO-JUVENILE ET A LA SANTE DE REPRODUCTION DES JEUNES/ADOLESCENTS</w:t>
        </w:r>
        <w:r w:rsidR="00C742EB" w:rsidRPr="00C742EB">
          <w:rPr>
            <w:webHidden/>
          </w:rPr>
          <w:tab/>
        </w:r>
        <w:r w:rsidR="00C742EB" w:rsidRPr="00C742EB">
          <w:rPr>
            <w:webHidden/>
          </w:rPr>
          <w:fldChar w:fldCharType="begin"/>
        </w:r>
        <w:r w:rsidR="00C742EB" w:rsidRPr="00C742EB">
          <w:rPr>
            <w:webHidden/>
          </w:rPr>
          <w:instrText xml:space="preserve"> PAGEREF _Toc1573825 \h </w:instrText>
        </w:r>
        <w:r w:rsidR="00C742EB" w:rsidRPr="00C742EB">
          <w:rPr>
            <w:webHidden/>
          </w:rPr>
        </w:r>
        <w:r w:rsidR="00C742EB" w:rsidRPr="00C742EB">
          <w:rPr>
            <w:webHidden/>
          </w:rPr>
          <w:fldChar w:fldCharType="separate"/>
        </w:r>
        <w:r w:rsidR="00C742EB" w:rsidRPr="00C742EB">
          <w:rPr>
            <w:webHidden/>
          </w:rPr>
          <w:t>47</w:t>
        </w:r>
        <w:r w:rsidR="00C742EB" w:rsidRPr="00C742EB">
          <w:rPr>
            <w:webHidden/>
          </w:rPr>
          <w:fldChar w:fldCharType="end"/>
        </w:r>
      </w:hyperlink>
    </w:p>
    <w:p w14:paraId="7D2F187E" w14:textId="77777777" w:rsidR="00C742EB" w:rsidRPr="00C742EB" w:rsidRDefault="00183BD5">
      <w:pPr>
        <w:pStyle w:val="TM2"/>
        <w:tabs>
          <w:tab w:val="left" w:pos="880"/>
          <w:tab w:val="right" w:leader="dot" w:pos="9678"/>
        </w:tabs>
        <w:rPr>
          <w:rFonts w:eastAsiaTheme="minorEastAsia"/>
          <w:noProof/>
          <w:lang w:val="fr-FR" w:eastAsia="fr-FR"/>
        </w:rPr>
      </w:pPr>
      <w:hyperlink w:anchor="_Toc1573826" w:history="1">
        <w:r w:rsidR="00C742EB" w:rsidRPr="00C742EB">
          <w:rPr>
            <w:rStyle w:val="Lienhypertexte"/>
            <w:rFonts w:ascii="Times New Roman" w:hAnsi="Times New Roman" w:cs="Times New Roman"/>
            <w:noProof/>
          </w:rPr>
          <w:t>V.1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Vision pour l’amélioration de la santé de la mère et de l’enfant</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_Toc1573826 \h </w:instrText>
        </w:r>
        <w:r w:rsidR="00C742EB" w:rsidRPr="00C742EB">
          <w:rPr>
            <w:noProof/>
            <w:webHidden/>
          </w:rPr>
        </w:r>
        <w:r w:rsidR="00C742EB" w:rsidRPr="00C742EB">
          <w:rPr>
            <w:noProof/>
            <w:webHidden/>
          </w:rPr>
          <w:fldChar w:fldCharType="separate"/>
        </w:r>
        <w:r w:rsidR="00C742EB" w:rsidRPr="00C742EB">
          <w:rPr>
            <w:noProof/>
            <w:webHidden/>
          </w:rPr>
          <w:t>47</w:t>
        </w:r>
        <w:r w:rsidR="00C742EB" w:rsidRPr="00C742EB">
          <w:rPr>
            <w:noProof/>
            <w:webHidden/>
          </w:rPr>
          <w:fldChar w:fldCharType="end"/>
        </w:r>
      </w:hyperlink>
    </w:p>
    <w:p w14:paraId="12CB9D33" w14:textId="77777777" w:rsidR="00C742EB" w:rsidRPr="00C742EB" w:rsidRDefault="00183BD5">
      <w:pPr>
        <w:pStyle w:val="TM2"/>
        <w:tabs>
          <w:tab w:val="left" w:pos="880"/>
          <w:tab w:val="right" w:leader="dot" w:pos="9678"/>
        </w:tabs>
        <w:rPr>
          <w:rFonts w:eastAsiaTheme="minorEastAsia"/>
          <w:noProof/>
          <w:lang w:val="fr-FR" w:eastAsia="fr-FR"/>
        </w:rPr>
      </w:pPr>
      <w:hyperlink w:anchor="_Toc1573827" w:history="1">
        <w:r w:rsidR="00C742EB" w:rsidRPr="00C742EB">
          <w:rPr>
            <w:rStyle w:val="Lienhypertexte"/>
            <w:rFonts w:ascii="Times New Roman" w:hAnsi="Times New Roman" w:cs="Times New Roman"/>
            <w:noProof/>
          </w:rPr>
          <w:t>V.2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Principes directeurs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_Toc1573827 \h </w:instrText>
        </w:r>
        <w:r w:rsidR="00C742EB" w:rsidRPr="00C742EB">
          <w:rPr>
            <w:noProof/>
            <w:webHidden/>
          </w:rPr>
        </w:r>
        <w:r w:rsidR="00C742EB" w:rsidRPr="00C742EB">
          <w:rPr>
            <w:noProof/>
            <w:webHidden/>
          </w:rPr>
          <w:fldChar w:fldCharType="separate"/>
        </w:r>
        <w:r w:rsidR="00C742EB" w:rsidRPr="00C742EB">
          <w:rPr>
            <w:noProof/>
            <w:webHidden/>
          </w:rPr>
          <w:t>47</w:t>
        </w:r>
        <w:r w:rsidR="00C742EB" w:rsidRPr="00C742EB">
          <w:rPr>
            <w:noProof/>
            <w:webHidden/>
          </w:rPr>
          <w:fldChar w:fldCharType="end"/>
        </w:r>
      </w:hyperlink>
    </w:p>
    <w:p w14:paraId="285A7815" w14:textId="77777777" w:rsidR="00C742EB" w:rsidRPr="00C742EB" w:rsidRDefault="00183BD5">
      <w:pPr>
        <w:pStyle w:val="TM2"/>
        <w:tabs>
          <w:tab w:val="left" w:pos="880"/>
          <w:tab w:val="right" w:leader="dot" w:pos="9678"/>
        </w:tabs>
        <w:rPr>
          <w:rFonts w:eastAsiaTheme="minorEastAsia"/>
          <w:noProof/>
          <w:lang w:val="fr-FR" w:eastAsia="fr-FR"/>
        </w:rPr>
      </w:pPr>
      <w:hyperlink w:anchor="_Toc1573828" w:history="1">
        <w:r w:rsidR="00C742EB" w:rsidRPr="00C742EB">
          <w:rPr>
            <w:rStyle w:val="Lienhypertexte"/>
            <w:rFonts w:ascii="Times New Roman" w:hAnsi="Times New Roman" w:cs="Times New Roman"/>
            <w:noProof/>
          </w:rPr>
          <w:t>V.3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Dynamique de changement</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_Toc1573828 \h </w:instrText>
        </w:r>
        <w:r w:rsidR="00C742EB" w:rsidRPr="00C742EB">
          <w:rPr>
            <w:noProof/>
            <w:webHidden/>
          </w:rPr>
        </w:r>
        <w:r w:rsidR="00C742EB" w:rsidRPr="00C742EB">
          <w:rPr>
            <w:noProof/>
            <w:webHidden/>
          </w:rPr>
          <w:fldChar w:fldCharType="separate"/>
        </w:r>
        <w:r w:rsidR="00C742EB" w:rsidRPr="00C742EB">
          <w:rPr>
            <w:noProof/>
            <w:webHidden/>
          </w:rPr>
          <w:t>47</w:t>
        </w:r>
        <w:r w:rsidR="00C742EB" w:rsidRPr="00C742EB">
          <w:rPr>
            <w:noProof/>
            <w:webHidden/>
          </w:rPr>
          <w:fldChar w:fldCharType="end"/>
        </w:r>
      </w:hyperlink>
    </w:p>
    <w:p w14:paraId="31BD8D34" w14:textId="2ECC44E1" w:rsidR="00C742EB" w:rsidRPr="00C742EB" w:rsidRDefault="00183BD5">
      <w:pPr>
        <w:pStyle w:val="TM2"/>
        <w:tabs>
          <w:tab w:val="left" w:pos="880"/>
          <w:tab w:val="right" w:leader="dot" w:pos="9678"/>
        </w:tabs>
        <w:rPr>
          <w:rFonts w:eastAsiaTheme="minorEastAsia"/>
          <w:noProof/>
          <w:lang w:val="fr-FR" w:eastAsia="fr-FR"/>
        </w:rPr>
      </w:pPr>
      <w:hyperlink w:anchor="_Toc1573829" w:history="1">
        <w:r w:rsidR="00C742EB" w:rsidRPr="00C742EB">
          <w:rPr>
            <w:rStyle w:val="Lienhypertexte"/>
            <w:rFonts w:ascii="Times New Roman" w:hAnsi="Times New Roman" w:cs="Times New Roman"/>
            <w:noProof/>
            <w:lang w:val="fr-CI"/>
          </w:rPr>
          <w:t>V.4</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lang w:val="fr-CI"/>
          </w:rPr>
          <w:t>Choix des domaines et régions prioritaires, cibles, scenarii et impacts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_Toc1573829 \h </w:instrText>
        </w:r>
        <w:r w:rsidR="00C742EB" w:rsidRPr="00C742EB">
          <w:rPr>
            <w:noProof/>
            <w:webHidden/>
          </w:rPr>
        </w:r>
        <w:r w:rsidR="00C742EB" w:rsidRPr="00C742EB">
          <w:rPr>
            <w:noProof/>
            <w:webHidden/>
          </w:rPr>
          <w:fldChar w:fldCharType="separate"/>
        </w:r>
        <w:r w:rsidR="00C742EB" w:rsidRPr="00C742EB">
          <w:rPr>
            <w:noProof/>
            <w:webHidden/>
          </w:rPr>
          <w:t>49</w:t>
        </w:r>
        <w:r w:rsidR="00C742EB" w:rsidRPr="00C742EB">
          <w:rPr>
            <w:noProof/>
            <w:webHidden/>
          </w:rPr>
          <w:fldChar w:fldCharType="end"/>
        </w:r>
      </w:hyperlink>
    </w:p>
    <w:p w14:paraId="4FDED9FC"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30" w:history="1">
        <w:r w:rsidR="00C742EB" w:rsidRPr="00C742EB">
          <w:rPr>
            <w:rStyle w:val="Lienhypertexte"/>
            <w:rFonts w:ascii="Times New Roman" w:hAnsi="Times New Roman" w:cs="Times New Roman"/>
            <w:noProof/>
            <w:lang w:val="fr-CI"/>
          </w:rPr>
          <w:t>V.4.1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lang w:val="fr-CI"/>
          </w:rPr>
          <w:t>Méthode de priorisation</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_Toc1573830 \h </w:instrText>
        </w:r>
        <w:r w:rsidR="00C742EB" w:rsidRPr="00C742EB">
          <w:rPr>
            <w:noProof/>
            <w:webHidden/>
          </w:rPr>
        </w:r>
        <w:r w:rsidR="00C742EB" w:rsidRPr="00C742EB">
          <w:rPr>
            <w:noProof/>
            <w:webHidden/>
          </w:rPr>
          <w:fldChar w:fldCharType="separate"/>
        </w:r>
        <w:r w:rsidR="00C742EB" w:rsidRPr="00C742EB">
          <w:rPr>
            <w:noProof/>
            <w:webHidden/>
          </w:rPr>
          <w:t>49</w:t>
        </w:r>
        <w:r w:rsidR="00C742EB" w:rsidRPr="00C742EB">
          <w:rPr>
            <w:noProof/>
            <w:webHidden/>
          </w:rPr>
          <w:fldChar w:fldCharType="end"/>
        </w:r>
      </w:hyperlink>
    </w:p>
    <w:p w14:paraId="335D6713"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31" w:history="1">
        <w:r w:rsidR="00C742EB" w:rsidRPr="00C742EB">
          <w:rPr>
            <w:rStyle w:val="Lienhypertexte"/>
            <w:rFonts w:ascii="Times New Roman" w:hAnsi="Times New Roman" w:cs="Times New Roman"/>
            <w:noProof/>
            <w:lang w:val="fr-CI"/>
          </w:rPr>
          <w:t>V.4.2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lang w:val="fr-CI"/>
          </w:rPr>
          <w:t>Identification des critères de sélection</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_Toc1573831 \h </w:instrText>
        </w:r>
        <w:r w:rsidR="00C742EB" w:rsidRPr="00C742EB">
          <w:rPr>
            <w:noProof/>
            <w:webHidden/>
          </w:rPr>
        </w:r>
        <w:r w:rsidR="00C742EB" w:rsidRPr="00C742EB">
          <w:rPr>
            <w:noProof/>
            <w:webHidden/>
          </w:rPr>
          <w:fldChar w:fldCharType="separate"/>
        </w:r>
        <w:r w:rsidR="00C742EB" w:rsidRPr="00C742EB">
          <w:rPr>
            <w:noProof/>
            <w:webHidden/>
          </w:rPr>
          <w:t>49</w:t>
        </w:r>
        <w:r w:rsidR="00C742EB" w:rsidRPr="00C742EB">
          <w:rPr>
            <w:noProof/>
            <w:webHidden/>
          </w:rPr>
          <w:fldChar w:fldCharType="end"/>
        </w:r>
      </w:hyperlink>
    </w:p>
    <w:p w14:paraId="2148052B"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32" w:history="1">
        <w:r w:rsidR="00C742EB" w:rsidRPr="00C742EB">
          <w:rPr>
            <w:rStyle w:val="Lienhypertexte"/>
            <w:rFonts w:ascii="Times New Roman" w:hAnsi="Times New Roman" w:cs="Times New Roman"/>
            <w:noProof/>
            <w:lang w:val="fr-CI"/>
          </w:rPr>
          <w:t>V.4.3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lang w:val="fr-CI"/>
          </w:rPr>
          <w:t>Choix des valeurs de référence et pondération des critères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_Toc1573832 \h </w:instrText>
        </w:r>
        <w:r w:rsidR="00C742EB" w:rsidRPr="00C742EB">
          <w:rPr>
            <w:noProof/>
            <w:webHidden/>
          </w:rPr>
        </w:r>
        <w:r w:rsidR="00C742EB" w:rsidRPr="00C742EB">
          <w:rPr>
            <w:noProof/>
            <w:webHidden/>
          </w:rPr>
          <w:fldChar w:fldCharType="separate"/>
        </w:r>
        <w:r w:rsidR="00C742EB" w:rsidRPr="00C742EB">
          <w:rPr>
            <w:noProof/>
            <w:webHidden/>
          </w:rPr>
          <w:t>49</w:t>
        </w:r>
        <w:r w:rsidR="00C742EB" w:rsidRPr="00C742EB">
          <w:rPr>
            <w:noProof/>
            <w:webHidden/>
          </w:rPr>
          <w:fldChar w:fldCharType="end"/>
        </w:r>
      </w:hyperlink>
    </w:p>
    <w:p w14:paraId="62FAFE1D"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33" w:history="1">
        <w:r w:rsidR="00C742EB" w:rsidRPr="00C742EB">
          <w:rPr>
            <w:rStyle w:val="Lienhypertexte"/>
            <w:rFonts w:ascii="Times New Roman" w:hAnsi="Times New Roman" w:cs="Times New Roman"/>
            <w:noProof/>
            <w:lang w:val="fr-CI"/>
          </w:rPr>
          <w:t>V.4.4</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lang w:val="fr-CI"/>
          </w:rPr>
          <w:t>Résultats de la priorisation des régions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_Toc1573833 \h </w:instrText>
        </w:r>
        <w:r w:rsidR="00C742EB" w:rsidRPr="00C742EB">
          <w:rPr>
            <w:noProof/>
            <w:webHidden/>
          </w:rPr>
        </w:r>
        <w:r w:rsidR="00C742EB" w:rsidRPr="00C742EB">
          <w:rPr>
            <w:noProof/>
            <w:webHidden/>
          </w:rPr>
          <w:fldChar w:fldCharType="separate"/>
        </w:r>
        <w:r w:rsidR="00C742EB" w:rsidRPr="00C742EB">
          <w:rPr>
            <w:noProof/>
            <w:webHidden/>
          </w:rPr>
          <w:t>51</w:t>
        </w:r>
        <w:r w:rsidR="00C742EB" w:rsidRPr="00C742EB">
          <w:rPr>
            <w:noProof/>
            <w:webHidden/>
          </w:rPr>
          <w:fldChar w:fldCharType="end"/>
        </w:r>
      </w:hyperlink>
    </w:p>
    <w:p w14:paraId="51F380EA" w14:textId="77777777" w:rsidR="00C742EB" w:rsidRPr="00C742EB" w:rsidRDefault="00183BD5">
      <w:pPr>
        <w:pStyle w:val="TM3"/>
        <w:tabs>
          <w:tab w:val="left" w:pos="1320"/>
          <w:tab w:val="right" w:leader="dot" w:pos="9678"/>
        </w:tabs>
        <w:rPr>
          <w:rFonts w:eastAsiaTheme="minorEastAsia"/>
          <w:noProof/>
          <w:lang w:val="fr-FR" w:eastAsia="fr-FR"/>
        </w:rPr>
      </w:pPr>
      <w:hyperlink w:anchor="_Toc1573834" w:history="1">
        <w:r w:rsidR="00C742EB" w:rsidRPr="00C742EB">
          <w:rPr>
            <w:rStyle w:val="Lienhypertexte"/>
            <w:rFonts w:ascii="Times New Roman" w:hAnsi="Times New Roman" w:cs="Times New Roman"/>
            <w:noProof/>
            <w:lang w:val="fr-CI"/>
          </w:rPr>
          <w:t>V.4.5</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lang w:val="fr-CI"/>
          </w:rPr>
          <w:t>Classification des régions après priorisation</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_Toc1573834 \h </w:instrText>
        </w:r>
        <w:r w:rsidR="00C742EB" w:rsidRPr="00C742EB">
          <w:rPr>
            <w:noProof/>
            <w:webHidden/>
          </w:rPr>
        </w:r>
        <w:r w:rsidR="00C742EB" w:rsidRPr="00C742EB">
          <w:rPr>
            <w:noProof/>
            <w:webHidden/>
          </w:rPr>
          <w:fldChar w:fldCharType="separate"/>
        </w:r>
        <w:r w:rsidR="00C742EB" w:rsidRPr="00C742EB">
          <w:rPr>
            <w:noProof/>
            <w:webHidden/>
          </w:rPr>
          <w:t>52</w:t>
        </w:r>
        <w:r w:rsidR="00C742EB" w:rsidRPr="00C742EB">
          <w:rPr>
            <w:noProof/>
            <w:webHidden/>
          </w:rPr>
          <w:fldChar w:fldCharType="end"/>
        </w:r>
      </w:hyperlink>
    </w:p>
    <w:p w14:paraId="05A57DCF" w14:textId="77777777" w:rsidR="00C742EB" w:rsidRPr="00C742EB" w:rsidRDefault="00183BD5">
      <w:pPr>
        <w:pStyle w:val="TM2"/>
        <w:tabs>
          <w:tab w:val="left" w:pos="880"/>
          <w:tab w:val="right" w:leader="dot" w:pos="9678"/>
        </w:tabs>
        <w:rPr>
          <w:rFonts w:eastAsiaTheme="minorEastAsia"/>
          <w:noProof/>
          <w:lang w:val="fr-FR" w:eastAsia="fr-FR"/>
        </w:rPr>
      </w:pPr>
      <w:hyperlink w:anchor="_Toc1573835" w:history="1">
        <w:r w:rsidR="00C742EB" w:rsidRPr="00C742EB">
          <w:rPr>
            <w:rStyle w:val="Lienhypertexte"/>
            <w:rFonts w:ascii="Times New Roman" w:hAnsi="Times New Roman" w:cs="Times New Roman"/>
            <w:noProof/>
            <w:lang w:val="fr-CI"/>
          </w:rPr>
          <w:t>V.5</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lang w:val="fr-CI"/>
          </w:rPr>
          <w:t>Définition des scénarii</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_Toc1573835 \h </w:instrText>
        </w:r>
        <w:r w:rsidR="00C742EB" w:rsidRPr="00C742EB">
          <w:rPr>
            <w:noProof/>
            <w:webHidden/>
          </w:rPr>
        </w:r>
        <w:r w:rsidR="00C742EB" w:rsidRPr="00C742EB">
          <w:rPr>
            <w:noProof/>
            <w:webHidden/>
          </w:rPr>
          <w:fldChar w:fldCharType="separate"/>
        </w:r>
        <w:r w:rsidR="00C742EB" w:rsidRPr="00C742EB">
          <w:rPr>
            <w:noProof/>
            <w:webHidden/>
          </w:rPr>
          <w:t>53</w:t>
        </w:r>
        <w:r w:rsidR="00C742EB" w:rsidRPr="00C742EB">
          <w:rPr>
            <w:noProof/>
            <w:webHidden/>
          </w:rPr>
          <w:fldChar w:fldCharType="end"/>
        </w:r>
      </w:hyperlink>
    </w:p>
    <w:p w14:paraId="38D817C9" w14:textId="6D84B5AF" w:rsidR="00C742EB" w:rsidRPr="00C742EB" w:rsidRDefault="00183BD5" w:rsidP="00C742EB">
      <w:pPr>
        <w:pStyle w:val="TM1"/>
        <w:rPr>
          <w:rFonts w:eastAsiaTheme="minorEastAsia"/>
          <w:lang w:eastAsia="fr-FR"/>
        </w:rPr>
      </w:pPr>
      <w:hyperlink w:anchor="_Toc1573836" w:history="1">
        <w:r w:rsidR="00C742EB" w:rsidRPr="00C742EB">
          <w:rPr>
            <w:rStyle w:val="Lienhypertexte"/>
          </w:rPr>
          <w:t>VI</w:t>
        </w:r>
        <w:r w:rsidR="00C742EB" w:rsidRPr="00C742EB">
          <w:rPr>
            <w:rFonts w:eastAsiaTheme="minorEastAsia"/>
            <w:lang w:eastAsia="fr-FR"/>
          </w:rPr>
          <w:t xml:space="preserve"> </w:t>
        </w:r>
        <w:r w:rsidR="00C742EB" w:rsidRPr="00C742EB">
          <w:rPr>
            <w:rStyle w:val="Lienhypertexte"/>
          </w:rPr>
          <w:t>AXES PRIORITAIRES DE LA REPONSE A LA MORTALITE MATERNELLE, NEONATALE, INFANTO-JUVENILE ET A LA SANTE DE REPRODUCTION DES JEUNES/ADOLESCENTS</w:t>
        </w:r>
        <w:r w:rsidR="00C742EB" w:rsidRPr="00C742EB">
          <w:rPr>
            <w:webHidden/>
          </w:rPr>
          <w:tab/>
        </w:r>
        <w:r w:rsidR="00C742EB" w:rsidRPr="00C742EB">
          <w:rPr>
            <w:webHidden/>
          </w:rPr>
          <w:fldChar w:fldCharType="begin"/>
        </w:r>
        <w:r w:rsidR="00C742EB" w:rsidRPr="00C742EB">
          <w:rPr>
            <w:webHidden/>
          </w:rPr>
          <w:instrText xml:space="preserve"> PAGEREF _Toc1573836 \h </w:instrText>
        </w:r>
        <w:r w:rsidR="00C742EB" w:rsidRPr="00C742EB">
          <w:rPr>
            <w:webHidden/>
          </w:rPr>
        </w:r>
        <w:r w:rsidR="00C742EB" w:rsidRPr="00C742EB">
          <w:rPr>
            <w:webHidden/>
          </w:rPr>
          <w:fldChar w:fldCharType="separate"/>
        </w:r>
        <w:r w:rsidR="00C742EB" w:rsidRPr="00C742EB">
          <w:rPr>
            <w:webHidden/>
          </w:rPr>
          <w:t>59</w:t>
        </w:r>
        <w:r w:rsidR="00C742EB" w:rsidRPr="00C742EB">
          <w:rPr>
            <w:webHidden/>
          </w:rPr>
          <w:fldChar w:fldCharType="end"/>
        </w:r>
      </w:hyperlink>
    </w:p>
    <w:p w14:paraId="55154C97" w14:textId="77777777" w:rsidR="00C742EB" w:rsidRPr="00C742EB" w:rsidRDefault="00183BD5">
      <w:pPr>
        <w:pStyle w:val="TM2"/>
        <w:tabs>
          <w:tab w:val="left" w:pos="880"/>
          <w:tab w:val="right" w:leader="dot" w:pos="9678"/>
        </w:tabs>
        <w:rPr>
          <w:rFonts w:eastAsiaTheme="minorEastAsia"/>
          <w:noProof/>
          <w:lang w:val="fr-FR" w:eastAsia="fr-FR"/>
        </w:rPr>
      </w:pPr>
      <w:hyperlink w:anchor="_Toc1573837" w:history="1">
        <w:r w:rsidR="00C742EB" w:rsidRPr="00C742EB">
          <w:rPr>
            <w:rStyle w:val="Lienhypertexte"/>
            <w:rFonts w:ascii="Times New Roman" w:hAnsi="Times New Roman" w:cs="Times New Roman"/>
            <w:noProof/>
          </w:rPr>
          <w:t>VI.1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Priorité 1 : Renforcement de la santé communautaire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_Toc1573837 \h </w:instrText>
        </w:r>
        <w:r w:rsidR="00C742EB" w:rsidRPr="00C742EB">
          <w:rPr>
            <w:noProof/>
            <w:webHidden/>
          </w:rPr>
        </w:r>
        <w:r w:rsidR="00C742EB" w:rsidRPr="00C742EB">
          <w:rPr>
            <w:noProof/>
            <w:webHidden/>
          </w:rPr>
          <w:fldChar w:fldCharType="separate"/>
        </w:r>
        <w:r w:rsidR="00C742EB" w:rsidRPr="00C742EB">
          <w:rPr>
            <w:noProof/>
            <w:webHidden/>
          </w:rPr>
          <w:t>59</w:t>
        </w:r>
        <w:r w:rsidR="00C742EB" w:rsidRPr="00C742EB">
          <w:rPr>
            <w:noProof/>
            <w:webHidden/>
          </w:rPr>
          <w:fldChar w:fldCharType="end"/>
        </w:r>
      </w:hyperlink>
    </w:p>
    <w:p w14:paraId="2D281D24" w14:textId="77777777" w:rsidR="00C742EB" w:rsidRPr="00C742EB" w:rsidRDefault="00183BD5">
      <w:pPr>
        <w:pStyle w:val="TM2"/>
        <w:tabs>
          <w:tab w:val="left" w:pos="880"/>
          <w:tab w:val="right" w:leader="dot" w:pos="9678"/>
        </w:tabs>
        <w:rPr>
          <w:rFonts w:eastAsiaTheme="minorEastAsia"/>
          <w:noProof/>
          <w:lang w:val="fr-FR" w:eastAsia="fr-FR"/>
        </w:rPr>
      </w:pPr>
      <w:hyperlink w:anchor="_Toc1573838" w:history="1">
        <w:r w:rsidR="00C742EB" w:rsidRPr="00C742EB">
          <w:rPr>
            <w:rStyle w:val="Lienhypertexte"/>
            <w:rFonts w:ascii="Times New Roman" w:hAnsi="Times New Roman" w:cs="Times New Roman"/>
            <w:noProof/>
          </w:rPr>
          <w:t>VI.2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Priorité 2 : Amélioration de la qualité des soins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_Toc1573838 \h </w:instrText>
        </w:r>
        <w:r w:rsidR="00C742EB" w:rsidRPr="00C742EB">
          <w:rPr>
            <w:noProof/>
            <w:webHidden/>
          </w:rPr>
        </w:r>
        <w:r w:rsidR="00C742EB" w:rsidRPr="00C742EB">
          <w:rPr>
            <w:noProof/>
            <w:webHidden/>
          </w:rPr>
          <w:fldChar w:fldCharType="separate"/>
        </w:r>
        <w:r w:rsidR="00C742EB" w:rsidRPr="00C742EB">
          <w:rPr>
            <w:noProof/>
            <w:webHidden/>
          </w:rPr>
          <w:t>60</w:t>
        </w:r>
        <w:r w:rsidR="00C742EB" w:rsidRPr="00C742EB">
          <w:rPr>
            <w:noProof/>
            <w:webHidden/>
          </w:rPr>
          <w:fldChar w:fldCharType="end"/>
        </w:r>
      </w:hyperlink>
    </w:p>
    <w:p w14:paraId="76F2B136" w14:textId="77777777" w:rsidR="00C742EB" w:rsidRPr="00C742EB" w:rsidRDefault="00183BD5">
      <w:pPr>
        <w:pStyle w:val="TM2"/>
        <w:tabs>
          <w:tab w:val="left" w:pos="880"/>
          <w:tab w:val="right" w:leader="dot" w:pos="9678"/>
        </w:tabs>
        <w:rPr>
          <w:rFonts w:eastAsiaTheme="minorEastAsia"/>
          <w:noProof/>
          <w:lang w:val="fr-FR" w:eastAsia="fr-FR"/>
        </w:rPr>
      </w:pPr>
      <w:hyperlink w:anchor="_Toc1573839" w:history="1">
        <w:r w:rsidR="00C742EB" w:rsidRPr="00C742EB">
          <w:rPr>
            <w:rStyle w:val="Lienhypertexte"/>
            <w:rFonts w:ascii="Times New Roman" w:hAnsi="Times New Roman" w:cs="Times New Roman"/>
            <w:noProof/>
          </w:rPr>
          <w:t>VI.3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Priorité 3 : Renforcement de la chaine d’approvisionnement</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_Toc1573839 \h </w:instrText>
        </w:r>
        <w:r w:rsidR="00C742EB" w:rsidRPr="00C742EB">
          <w:rPr>
            <w:noProof/>
            <w:webHidden/>
          </w:rPr>
        </w:r>
        <w:r w:rsidR="00C742EB" w:rsidRPr="00C742EB">
          <w:rPr>
            <w:noProof/>
            <w:webHidden/>
          </w:rPr>
          <w:fldChar w:fldCharType="separate"/>
        </w:r>
        <w:r w:rsidR="00C742EB" w:rsidRPr="00C742EB">
          <w:rPr>
            <w:noProof/>
            <w:webHidden/>
          </w:rPr>
          <w:t>62</w:t>
        </w:r>
        <w:r w:rsidR="00C742EB" w:rsidRPr="00C742EB">
          <w:rPr>
            <w:noProof/>
            <w:webHidden/>
          </w:rPr>
          <w:fldChar w:fldCharType="end"/>
        </w:r>
      </w:hyperlink>
    </w:p>
    <w:p w14:paraId="57855B3A" w14:textId="77777777" w:rsidR="00C742EB" w:rsidRPr="00C742EB" w:rsidRDefault="00183BD5">
      <w:pPr>
        <w:pStyle w:val="TM2"/>
        <w:tabs>
          <w:tab w:val="left" w:pos="880"/>
          <w:tab w:val="right" w:leader="dot" w:pos="9678"/>
        </w:tabs>
        <w:rPr>
          <w:rFonts w:eastAsiaTheme="minorEastAsia"/>
          <w:noProof/>
          <w:lang w:val="fr-FR" w:eastAsia="fr-FR"/>
        </w:rPr>
      </w:pPr>
      <w:hyperlink w:anchor="_Toc1573840" w:history="1">
        <w:r w:rsidR="00C742EB" w:rsidRPr="00C742EB">
          <w:rPr>
            <w:rStyle w:val="Lienhypertexte"/>
            <w:rFonts w:ascii="Times New Roman" w:hAnsi="Times New Roman" w:cs="Times New Roman"/>
            <w:noProof/>
          </w:rPr>
          <w:t>VI.4</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Priorité 4 : Amélioration de la disponibilité des ressources humaines qualifiées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_Toc1573840 \h </w:instrText>
        </w:r>
        <w:r w:rsidR="00C742EB" w:rsidRPr="00C742EB">
          <w:rPr>
            <w:noProof/>
            <w:webHidden/>
          </w:rPr>
        </w:r>
        <w:r w:rsidR="00C742EB" w:rsidRPr="00C742EB">
          <w:rPr>
            <w:noProof/>
            <w:webHidden/>
          </w:rPr>
          <w:fldChar w:fldCharType="separate"/>
        </w:r>
        <w:r w:rsidR="00C742EB" w:rsidRPr="00C742EB">
          <w:rPr>
            <w:noProof/>
            <w:webHidden/>
          </w:rPr>
          <w:t>63</w:t>
        </w:r>
        <w:r w:rsidR="00C742EB" w:rsidRPr="00C742EB">
          <w:rPr>
            <w:noProof/>
            <w:webHidden/>
          </w:rPr>
          <w:fldChar w:fldCharType="end"/>
        </w:r>
      </w:hyperlink>
    </w:p>
    <w:p w14:paraId="3209AE97" w14:textId="77777777" w:rsidR="00C742EB" w:rsidRPr="00C742EB" w:rsidRDefault="00183BD5">
      <w:pPr>
        <w:pStyle w:val="TM2"/>
        <w:tabs>
          <w:tab w:val="left" w:pos="880"/>
          <w:tab w:val="right" w:leader="dot" w:pos="9678"/>
        </w:tabs>
        <w:rPr>
          <w:rFonts w:eastAsiaTheme="minorEastAsia"/>
          <w:noProof/>
          <w:lang w:val="fr-FR" w:eastAsia="fr-FR"/>
        </w:rPr>
      </w:pPr>
      <w:hyperlink w:anchor="_Toc1573841" w:history="1">
        <w:r w:rsidR="00C742EB" w:rsidRPr="00C742EB">
          <w:rPr>
            <w:rStyle w:val="Lienhypertexte"/>
            <w:rFonts w:ascii="Times New Roman" w:hAnsi="Times New Roman" w:cs="Times New Roman"/>
            <w:noProof/>
          </w:rPr>
          <w:t>VI.5</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Priorité 5 : Renforcement du système d’information sanitaire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_Toc1573841 \h </w:instrText>
        </w:r>
        <w:r w:rsidR="00C742EB" w:rsidRPr="00C742EB">
          <w:rPr>
            <w:noProof/>
            <w:webHidden/>
          </w:rPr>
        </w:r>
        <w:r w:rsidR="00C742EB" w:rsidRPr="00C742EB">
          <w:rPr>
            <w:noProof/>
            <w:webHidden/>
          </w:rPr>
          <w:fldChar w:fldCharType="separate"/>
        </w:r>
        <w:r w:rsidR="00C742EB" w:rsidRPr="00C742EB">
          <w:rPr>
            <w:noProof/>
            <w:webHidden/>
          </w:rPr>
          <w:t>64</w:t>
        </w:r>
        <w:r w:rsidR="00C742EB" w:rsidRPr="00C742EB">
          <w:rPr>
            <w:noProof/>
            <w:webHidden/>
          </w:rPr>
          <w:fldChar w:fldCharType="end"/>
        </w:r>
      </w:hyperlink>
    </w:p>
    <w:p w14:paraId="387BADA0" w14:textId="77777777" w:rsidR="00C742EB" w:rsidRPr="00C742EB" w:rsidRDefault="00183BD5">
      <w:pPr>
        <w:pStyle w:val="TM2"/>
        <w:tabs>
          <w:tab w:val="left" w:pos="880"/>
          <w:tab w:val="right" w:leader="dot" w:pos="9678"/>
        </w:tabs>
        <w:rPr>
          <w:rFonts w:eastAsiaTheme="minorEastAsia"/>
          <w:noProof/>
          <w:lang w:val="fr-FR" w:eastAsia="fr-FR"/>
        </w:rPr>
      </w:pPr>
      <w:hyperlink w:anchor="_Toc1573842" w:history="1">
        <w:r w:rsidR="00C742EB" w:rsidRPr="00C742EB">
          <w:rPr>
            <w:rStyle w:val="Lienhypertexte"/>
            <w:rFonts w:ascii="Times New Roman" w:hAnsi="Times New Roman" w:cs="Times New Roman"/>
            <w:noProof/>
          </w:rPr>
          <w:t>VI.6</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Priorité 6 : Renforcement de l’intégration du secteur privé</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_Toc1573842 \h </w:instrText>
        </w:r>
        <w:r w:rsidR="00C742EB" w:rsidRPr="00C742EB">
          <w:rPr>
            <w:noProof/>
            <w:webHidden/>
          </w:rPr>
        </w:r>
        <w:r w:rsidR="00C742EB" w:rsidRPr="00C742EB">
          <w:rPr>
            <w:noProof/>
            <w:webHidden/>
          </w:rPr>
          <w:fldChar w:fldCharType="separate"/>
        </w:r>
        <w:r w:rsidR="00C742EB" w:rsidRPr="00C742EB">
          <w:rPr>
            <w:noProof/>
            <w:webHidden/>
          </w:rPr>
          <w:t>66</w:t>
        </w:r>
        <w:r w:rsidR="00C742EB" w:rsidRPr="00C742EB">
          <w:rPr>
            <w:noProof/>
            <w:webHidden/>
          </w:rPr>
          <w:fldChar w:fldCharType="end"/>
        </w:r>
      </w:hyperlink>
    </w:p>
    <w:p w14:paraId="7BC093A3" w14:textId="77777777" w:rsidR="00C742EB" w:rsidRPr="00C742EB" w:rsidRDefault="00183BD5">
      <w:pPr>
        <w:pStyle w:val="TM2"/>
        <w:tabs>
          <w:tab w:val="left" w:pos="880"/>
          <w:tab w:val="right" w:leader="dot" w:pos="9678"/>
        </w:tabs>
        <w:rPr>
          <w:rFonts w:eastAsiaTheme="minorEastAsia"/>
          <w:noProof/>
          <w:lang w:val="fr-FR" w:eastAsia="fr-FR"/>
        </w:rPr>
      </w:pPr>
      <w:hyperlink w:anchor="_Toc1573843" w:history="1">
        <w:r w:rsidR="00C742EB" w:rsidRPr="00C742EB">
          <w:rPr>
            <w:rStyle w:val="Lienhypertexte"/>
            <w:rFonts w:ascii="Times New Roman" w:hAnsi="Times New Roman" w:cs="Times New Roman"/>
            <w:noProof/>
          </w:rPr>
          <w:t>VI.7</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Priorité 7 : Mise en place des réformes nécessaires pour améliorer la performance globale du système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_Toc1573843 \h </w:instrText>
        </w:r>
        <w:r w:rsidR="00C742EB" w:rsidRPr="00C742EB">
          <w:rPr>
            <w:noProof/>
            <w:webHidden/>
          </w:rPr>
        </w:r>
        <w:r w:rsidR="00C742EB" w:rsidRPr="00C742EB">
          <w:rPr>
            <w:noProof/>
            <w:webHidden/>
          </w:rPr>
          <w:fldChar w:fldCharType="separate"/>
        </w:r>
        <w:r w:rsidR="00C742EB" w:rsidRPr="00C742EB">
          <w:rPr>
            <w:noProof/>
            <w:webHidden/>
          </w:rPr>
          <w:t>67</w:t>
        </w:r>
        <w:r w:rsidR="00C742EB" w:rsidRPr="00C742EB">
          <w:rPr>
            <w:noProof/>
            <w:webHidden/>
          </w:rPr>
          <w:fldChar w:fldCharType="end"/>
        </w:r>
      </w:hyperlink>
    </w:p>
    <w:p w14:paraId="25ECBD1E" w14:textId="4E146342" w:rsidR="00C742EB" w:rsidRPr="00C742EB" w:rsidRDefault="00183BD5" w:rsidP="00C742EB">
      <w:pPr>
        <w:pStyle w:val="TM1"/>
        <w:rPr>
          <w:rFonts w:eastAsiaTheme="minorEastAsia"/>
          <w:lang w:eastAsia="fr-FR"/>
        </w:rPr>
      </w:pPr>
      <w:hyperlink w:anchor="_Toc1573844" w:history="1">
        <w:r w:rsidR="00C742EB" w:rsidRPr="00C742EB">
          <w:rPr>
            <w:rStyle w:val="Lienhypertexte"/>
          </w:rPr>
          <w:t>VII</w:t>
        </w:r>
        <w:r w:rsidR="00C742EB" w:rsidRPr="00C742EB">
          <w:rPr>
            <w:rFonts w:eastAsiaTheme="minorEastAsia"/>
            <w:lang w:eastAsia="fr-FR"/>
          </w:rPr>
          <w:t xml:space="preserve"> </w:t>
        </w:r>
        <w:r w:rsidR="00C742EB" w:rsidRPr="00C742EB">
          <w:rPr>
            <w:rStyle w:val="Lienhypertexte"/>
          </w:rPr>
          <w:t>CADRE DE MISE EN ŒUVRE</w:t>
        </w:r>
        <w:r w:rsidR="00C742EB" w:rsidRPr="00C742EB">
          <w:rPr>
            <w:webHidden/>
          </w:rPr>
          <w:tab/>
        </w:r>
        <w:r w:rsidR="00C742EB" w:rsidRPr="00C742EB">
          <w:rPr>
            <w:webHidden/>
          </w:rPr>
          <w:fldChar w:fldCharType="begin"/>
        </w:r>
        <w:r w:rsidR="00C742EB" w:rsidRPr="00C742EB">
          <w:rPr>
            <w:webHidden/>
          </w:rPr>
          <w:instrText xml:space="preserve"> PAGEREF _Toc1573844 \h </w:instrText>
        </w:r>
        <w:r w:rsidR="00C742EB" w:rsidRPr="00C742EB">
          <w:rPr>
            <w:webHidden/>
          </w:rPr>
        </w:r>
        <w:r w:rsidR="00C742EB" w:rsidRPr="00C742EB">
          <w:rPr>
            <w:webHidden/>
          </w:rPr>
          <w:fldChar w:fldCharType="separate"/>
        </w:r>
        <w:r w:rsidR="00C742EB" w:rsidRPr="00C742EB">
          <w:rPr>
            <w:webHidden/>
          </w:rPr>
          <w:t>69</w:t>
        </w:r>
        <w:r w:rsidR="00C742EB" w:rsidRPr="00C742EB">
          <w:rPr>
            <w:webHidden/>
          </w:rPr>
          <w:fldChar w:fldCharType="end"/>
        </w:r>
      </w:hyperlink>
    </w:p>
    <w:p w14:paraId="061FE6C4" w14:textId="77777777" w:rsidR="00C742EB" w:rsidRPr="00C742EB" w:rsidRDefault="00183BD5">
      <w:pPr>
        <w:pStyle w:val="TM2"/>
        <w:tabs>
          <w:tab w:val="left" w:pos="1100"/>
          <w:tab w:val="right" w:leader="dot" w:pos="9678"/>
        </w:tabs>
        <w:rPr>
          <w:rFonts w:eastAsiaTheme="minorEastAsia"/>
          <w:noProof/>
          <w:lang w:val="fr-FR" w:eastAsia="fr-FR"/>
        </w:rPr>
      </w:pPr>
      <w:hyperlink w:anchor="_Toc1573845" w:history="1">
        <w:r w:rsidR="00C742EB" w:rsidRPr="00C742EB">
          <w:rPr>
            <w:rStyle w:val="Lienhypertexte"/>
            <w:rFonts w:ascii="Times New Roman" w:hAnsi="Times New Roman" w:cs="Times New Roman"/>
            <w:noProof/>
          </w:rPr>
          <w:t>VII.1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Plateforme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_Toc1573845 \h </w:instrText>
        </w:r>
        <w:r w:rsidR="00C742EB" w:rsidRPr="00C742EB">
          <w:rPr>
            <w:noProof/>
            <w:webHidden/>
          </w:rPr>
        </w:r>
        <w:r w:rsidR="00C742EB" w:rsidRPr="00C742EB">
          <w:rPr>
            <w:noProof/>
            <w:webHidden/>
          </w:rPr>
          <w:fldChar w:fldCharType="separate"/>
        </w:r>
        <w:r w:rsidR="00C742EB" w:rsidRPr="00C742EB">
          <w:rPr>
            <w:noProof/>
            <w:webHidden/>
          </w:rPr>
          <w:t>69</w:t>
        </w:r>
        <w:r w:rsidR="00C742EB" w:rsidRPr="00C742EB">
          <w:rPr>
            <w:noProof/>
            <w:webHidden/>
          </w:rPr>
          <w:fldChar w:fldCharType="end"/>
        </w:r>
      </w:hyperlink>
    </w:p>
    <w:p w14:paraId="10E4AFE4" w14:textId="77777777" w:rsidR="00C742EB" w:rsidRPr="00C742EB" w:rsidRDefault="00183BD5">
      <w:pPr>
        <w:pStyle w:val="TM2"/>
        <w:tabs>
          <w:tab w:val="left" w:pos="1100"/>
          <w:tab w:val="right" w:leader="dot" w:pos="9678"/>
        </w:tabs>
        <w:rPr>
          <w:rFonts w:eastAsiaTheme="minorEastAsia"/>
          <w:noProof/>
          <w:lang w:val="fr-FR" w:eastAsia="fr-FR"/>
        </w:rPr>
      </w:pPr>
      <w:hyperlink w:anchor="_Toc1573846" w:history="1">
        <w:r w:rsidR="00C742EB" w:rsidRPr="00C742EB">
          <w:rPr>
            <w:rStyle w:val="Lienhypertexte"/>
            <w:rFonts w:ascii="Times New Roman" w:hAnsi="Times New Roman" w:cs="Times New Roman"/>
            <w:noProof/>
          </w:rPr>
          <w:t>VII.2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Niveau de mise en œuvre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_Toc1573846 \h </w:instrText>
        </w:r>
        <w:r w:rsidR="00C742EB" w:rsidRPr="00C742EB">
          <w:rPr>
            <w:noProof/>
            <w:webHidden/>
          </w:rPr>
        </w:r>
        <w:r w:rsidR="00C742EB" w:rsidRPr="00C742EB">
          <w:rPr>
            <w:noProof/>
            <w:webHidden/>
          </w:rPr>
          <w:fldChar w:fldCharType="separate"/>
        </w:r>
        <w:r w:rsidR="00C742EB" w:rsidRPr="00C742EB">
          <w:rPr>
            <w:noProof/>
            <w:webHidden/>
          </w:rPr>
          <w:t>69</w:t>
        </w:r>
        <w:r w:rsidR="00C742EB" w:rsidRPr="00C742EB">
          <w:rPr>
            <w:noProof/>
            <w:webHidden/>
          </w:rPr>
          <w:fldChar w:fldCharType="end"/>
        </w:r>
      </w:hyperlink>
    </w:p>
    <w:p w14:paraId="303C8AA2" w14:textId="77777777" w:rsidR="00C742EB" w:rsidRPr="00C742EB" w:rsidRDefault="00183BD5">
      <w:pPr>
        <w:pStyle w:val="TM2"/>
        <w:tabs>
          <w:tab w:val="left" w:pos="1100"/>
          <w:tab w:val="right" w:leader="dot" w:pos="9678"/>
        </w:tabs>
        <w:rPr>
          <w:rFonts w:eastAsiaTheme="minorEastAsia"/>
          <w:noProof/>
          <w:lang w:val="fr-FR" w:eastAsia="fr-FR"/>
        </w:rPr>
      </w:pPr>
      <w:hyperlink w:anchor="_Toc1573847" w:history="1">
        <w:r w:rsidR="00C742EB" w:rsidRPr="00C742EB">
          <w:rPr>
            <w:rStyle w:val="Lienhypertexte"/>
            <w:rFonts w:ascii="Times New Roman" w:hAnsi="Times New Roman" w:cs="Times New Roman"/>
            <w:noProof/>
          </w:rPr>
          <w:t>VII.3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Les acteurs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_Toc1573847 \h </w:instrText>
        </w:r>
        <w:r w:rsidR="00C742EB" w:rsidRPr="00C742EB">
          <w:rPr>
            <w:noProof/>
            <w:webHidden/>
          </w:rPr>
        </w:r>
        <w:r w:rsidR="00C742EB" w:rsidRPr="00C742EB">
          <w:rPr>
            <w:noProof/>
            <w:webHidden/>
          </w:rPr>
          <w:fldChar w:fldCharType="separate"/>
        </w:r>
        <w:r w:rsidR="00C742EB" w:rsidRPr="00C742EB">
          <w:rPr>
            <w:noProof/>
            <w:webHidden/>
          </w:rPr>
          <w:t>70</w:t>
        </w:r>
        <w:r w:rsidR="00C742EB" w:rsidRPr="00C742EB">
          <w:rPr>
            <w:noProof/>
            <w:webHidden/>
          </w:rPr>
          <w:fldChar w:fldCharType="end"/>
        </w:r>
      </w:hyperlink>
    </w:p>
    <w:p w14:paraId="1D9F234C" w14:textId="0DBA6364" w:rsidR="00C742EB" w:rsidRPr="00C742EB" w:rsidRDefault="00183BD5" w:rsidP="00C742EB">
      <w:pPr>
        <w:pStyle w:val="TM1"/>
        <w:rPr>
          <w:rFonts w:eastAsiaTheme="minorEastAsia"/>
          <w:lang w:eastAsia="fr-FR"/>
        </w:rPr>
      </w:pPr>
      <w:hyperlink w:anchor="_Toc1573848" w:history="1">
        <w:r w:rsidR="00C742EB" w:rsidRPr="00C742EB">
          <w:rPr>
            <w:rStyle w:val="Lienhypertexte"/>
          </w:rPr>
          <w:t>VIII</w:t>
        </w:r>
        <w:r w:rsidR="00C742EB" w:rsidRPr="00C742EB">
          <w:rPr>
            <w:rFonts w:eastAsiaTheme="minorEastAsia"/>
            <w:lang w:eastAsia="fr-FR"/>
          </w:rPr>
          <w:t xml:space="preserve"> </w:t>
        </w:r>
        <w:r w:rsidR="00C742EB" w:rsidRPr="00C742EB">
          <w:rPr>
            <w:rStyle w:val="Lienhypertexte"/>
          </w:rPr>
          <w:t>BUDGET DU DOSSIER D’INVESTISSEMENT</w:t>
        </w:r>
        <w:r w:rsidR="00C742EB" w:rsidRPr="00C742EB">
          <w:rPr>
            <w:webHidden/>
          </w:rPr>
          <w:tab/>
        </w:r>
        <w:r w:rsidR="00C742EB" w:rsidRPr="00C742EB">
          <w:rPr>
            <w:webHidden/>
          </w:rPr>
          <w:fldChar w:fldCharType="begin"/>
        </w:r>
        <w:r w:rsidR="00C742EB" w:rsidRPr="00C742EB">
          <w:rPr>
            <w:webHidden/>
          </w:rPr>
          <w:instrText xml:space="preserve"> PAGEREF _Toc1573848 \h </w:instrText>
        </w:r>
        <w:r w:rsidR="00C742EB" w:rsidRPr="00C742EB">
          <w:rPr>
            <w:webHidden/>
          </w:rPr>
        </w:r>
        <w:r w:rsidR="00C742EB" w:rsidRPr="00C742EB">
          <w:rPr>
            <w:webHidden/>
          </w:rPr>
          <w:fldChar w:fldCharType="separate"/>
        </w:r>
        <w:r w:rsidR="00C742EB" w:rsidRPr="00C742EB">
          <w:rPr>
            <w:webHidden/>
          </w:rPr>
          <w:t>71</w:t>
        </w:r>
        <w:r w:rsidR="00C742EB" w:rsidRPr="00C742EB">
          <w:rPr>
            <w:webHidden/>
          </w:rPr>
          <w:fldChar w:fldCharType="end"/>
        </w:r>
      </w:hyperlink>
    </w:p>
    <w:p w14:paraId="7D19E828" w14:textId="77777777" w:rsidR="00C742EB" w:rsidRPr="00C742EB" w:rsidRDefault="00183BD5">
      <w:pPr>
        <w:pStyle w:val="TM2"/>
        <w:tabs>
          <w:tab w:val="left" w:pos="1100"/>
          <w:tab w:val="right" w:leader="dot" w:pos="9678"/>
        </w:tabs>
        <w:rPr>
          <w:rFonts w:eastAsiaTheme="minorEastAsia"/>
          <w:noProof/>
          <w:lang w:val="fr-FR" w:eastAsia="fr-FR"/>
        </w:rPr>
      </w:pPr>
      <w:hyperlink w:anchor="_Toc1573849" w:history="1">
        <w:r w:rsidR="00C742EB" w:rsidRPr="00C742EB">
          <w:rPr>
            <w:rStyle w:val="Lienhypertexte"/>
            <w:rFonts w:ascii="Times New Roman" w:hAnsi="Times New Roman" w:cs="Times New Roman"/>
            <w:noProof/>
          </w:rPr>
          <w:t>VIII.1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Les besoins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_Toc1573849 \h </w:instrText>
        </w:r>
        <w:r w:rsidR="00C742EB" w:rsidRPr="00C742EB">
          <w:rPr>
            <w:noProof/>
            <w:webHidden/>
          </w:rPr>
        </w:r>
        <w:r w:rsidR="00C742EB" w:rsidRPr="00C742EB">
          <w:rPr>
            <w:noProof/>
            <w:webHidden/>
          </w:rPr>
          <w:fldChar w:fldCharType="separate"/>
        </w:r>
        <w:r w:rsidR="00C742EB" w:rsidRPr="00C742EB">
          <w:rPr>
            <w:noProof/>
            <w:webHidden/>
          </w:rPr>
          <w:t>71</w:t>
        </w:r>
        <w:r w:rsidR="00C742EB" w:rsidRPr="00C742EB">
          <w:rPr>
            <w:noProof/>
            <w:webHidden/>
          </w:rPr>
          <w:fldChar w:fldCharType="end"/>
        </w:r>
      </w:hyperlink>
    </w:p>
    <w:p w14:paraId="65EC46A8" w14:textId="77777777" w:rsidR="00C742EB" w:rsidRPr="00C742EB" w:rsidRDefault="00183BD5">
      <w:pPr>
        <w:pStyle w:val="TM2"/>
        <w:tabs>
          <w:tab w:val="left" w:pos="1100"/>
          <w:tab w:val="right" w:leader="dot" w:pos="9678"/>
        </w:tabs>
        <w:rPr>
          <w:rFonts w:eastAsiaTheme="minorEastAsia"/>
          <w:noProof/>
          <w:lang w:val="fr-FR" w:eastAsia="fr-FR"/>
        </w:rPr>
      </w:pPr>
      <w:hyperlink w:anchor="_Toc1573850" w:history="1">
        <w:r w:rsidR="00C742EB" w:rsidRPr="00C742EB">
          <w:rPr>
            <w:rStyle w:val="Lienhypertexte"/>
            <w:rFonts w:ascii="Times New Roman" w:hAnsi="Times New Roman" w:cs="Times New Roman"/>
            <w:noProof/>
          </w:rPr>
          <w:t>VIII.2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Ressources potentiellement disponibles</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_Toc1573850 \h </w:instrText>
        </w:r>
        <w:r w:rsidR="00C742EB" w:rsidRPr="00C742EB">
          <w:rPr>
            <w:noProof/>
            <w:webHidden/>
          </w:rPr>
        </w:r>
        <w:r w:rsidR="00C742EB" w:rsidRPr="00C742EB">
          <w:rPr>
            <w:noProof/>
            <w:webHidden/>
          </w:rPr>
          <w:fldChar w:fldCharType="separate"/>
        </w:r>
        <w:r w:rsidR="00C742EB" w:rsidRPr="00C742EB">
          <w:rPr>
            <w:noProof/>
            <w:webHidden/>
          </w:rPr>
          <w:t>74</w:t>
        </w:r>
        <w:r w:rsidR="00C742EB" w:rsidRPr="00C742EB">
          <w:rPr>
            <w:noProof/>
            <w:webHidden/>
          </w:rPr>
          <w:fldChar w:fldCharType="end"/>
        </w:r>
      </w:hyperlink>
    </w:p>
    <w:p w14:paraId="345F8C40" w14:textId="77777777" w:rsidR="00C742EB" w:rsidRPr="00C742EB" w:rsidRDefault="00183BD5">
      <w:pPr>
        <w:pStyle w:val="TM2"/>
        <w:tabs>
          <w:tab w:val="left" w:pos="1100"/>
          <w:tab w:val="right" w:leader="dot" w:pos="9678"/>
        </w:tabs>
        <w:rPr>
          <w:rFonts w:eastAsiaTheme="minorEastAsia"/>
          <w:noProof/>
          <w:lang w:val="fr-FR" w:eastAsia="fr-FR"/>
        </w:rPr>
      </w:pPr>
      <w:hyperlink w:anchor="_Toc1573851" w:history="1">
        <w:r w:rsidR="00C742EB" w:rsidRPr="00C742EB">
          <w:rPr>
            <w:rStyle w:val="Lienhypertexte"/>
            <w:rFonts w:ascii="Times New Roman" w:hAnsi="Times New Roman" w:cs="Times New Roman"/>
            <w:noProof/>
          </w:rPr>
          <w:t>VIII.3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Analyse du gap financier</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_Toc1573851 \h </w:instrText>
        </w:r>
        <w:r w:rsidR="00C742EB" w:rsidRPr="00C742EB">
          <w:rPr>
            <w:noProof/>
            <w:webHidden/>
          </w:rPr>
        </w:r>
        <w:r w:rsidR="00C742EB" w:rsidRPr="00C742EB">
          <w:rPr>
            <w:noProof/>
            <w:webHidden/>
          </w:rPr>
          <w:fldChar w:fldCharType="separate"/>
        </w:r>
        <w:r w:rsidR="00C742EB" w:rsidRPr="00C742EB">
          <w:rPr>
            <w:noProof/>
            <w:webHidden/>
          </w:rPr>
          <w:t>75</w:t>
        </w:r>
        <w:r w:rsidR="00C742EB" w:rsidRPr="00C742EB">
          <w:rPr>
            <w:noProof/>
            <w:webHidden/>
          </w:rPr>
          <w:fldChar w:fldCharType="end"/>
        </w:r>
      </w:hyperlink>
    </w:p>
    <w:p w14:paraId="50943855" w14:textId="4F248433" w:rsidR="00C742EB" w:rsidRPr="00C742EB" w:rsidRDefault="00183BD5" w:rsidP="00C742EB">
      <w:pPr>
        <w:pStyle w:val="TM1"/>
        <w:rPr>
          <w:rFonts w:eastAsiaTheme="minorEastAsia"/>
          <w:lang w:eastAsia="fr-FR"/>
        </w:rPr>
      </w:pPr>
      <w:hyperlink w:anchor="_Toc1573852" w:history="1">
        <w:r w:rsidR="00C742EB" w:rsidRPr="00C742EB">
          <w:rPr>
            <w:rStyle w:val="Lienhypertexte"/>
          </w:rPr>
          <w:t>IX</w:t>
        </w:r>
        <w:r w:rsidR="00C742EB" w:rsidRPr="00C742EB">
          <w:rPr>
            <w:rFonts w:eastAsiaTheme="minorEastAsia"/>
            <w:lang w:eastAsia="fr-FR"/>
          </w:rPr>
          <w:t xml:space="preserve"> </w:t>
        </w:r>
        <w:r w:rsidR="00C742EB" w:rsidRPr="00C742EB">
          <w:rPr>
            <w:rStyle w:val="Lienhypertexte"/>
          </w:rPr>
          <w:t>RÉFÉRENCES</w:t>
        </w:r>
        <w:r w:rsidR="00C742EB" w:rsidRPr="00C742EB">
          <w:rPr>
            <w:webHidden/>
          </w:rPr>
          <w:tab/>
        </w:r>
        <w:r w:rsidR="00C742EB" w:rsidRPr="00C742EB">
          <w:rPr>
            <w:webHidden/>
          </w:rPr>
          <w:fldChar w:fldCharType="begin"/>
        </w:r>
        <w:r w:rsidR="00C742EB" w:rsidRPr="00C742EB">
          <w:rPr>
            <w:webHidden/>
          </w:rPr>
          <w:instrText xml:space="preserve"> PAGEREF _Toc1573852 \h </w:instrText>
        </w:r>
        <w:r w:rsidR="00C742EB" w:rsidRPr="00C742EB">
          <w:rPr>
            <w:webHidden/>
          </w:rPr>
        </w:r>
        <w:r w:rsidR="00C742EB" w:rsidRPr="00C742EB">
          <w:rPr>
            <w:webHidden/>
          </w:rPr>
          <w:fldChar w:fldCharType="separate"/>
        </w:r>
        <w:r w:rsidR="00C742EB" w:rsidRPr="00C742EB">
          <w:rPr>
            <w:webHidden/>
          </w:rPr>
          <w:t>78</w:t>
        </w:r>
        <w:r w:rsidR="00C742EB" w:rsidRPr="00C742EB">
          <w:rPr>
            <w:webHidden/>
          </w:rPr>
          <w:fldChar w:fldCharType="end"/>
        </w:r>
      </w:hyperlink>
    </w:p>
    <w:p w14:paraId="614200D9" w14:textId="0FBCA4B5" w:rsidR="00C742EB" w:rsidRPr="00C742EB" w:rsidRDefault="00183BD5" w:rsidP="00C742EB">
      <w:pPr>
        <w:pStyle w:val="TM1"/>
        <w:rPr>
          <w:rFonts w:eastAsiaTheme="minorEastAsia"/>
          <w:lang w:eastAsia="fr-FR"/>
        </w:rPr>
      </w:pPr>
      <w:hyperlink w:anchor="_Toc1573853" w:history="1">
        <w:r w:rsidR="00C742EB" w:rsidRPr="00C742EB">
          <w:rPr>
            <w:rStyle w:val="Lienhypertexte"/>
          </w:rPr>
          <w:t>X</w:t>
        </w:r>
        <w:r w:rsidR="00C742EB" w:rsidRPr="00C742EB">
          <w:rPr>
            <w:rFonts w:eastAsiaTheme="minorEastAsia"/>
            <w:lang w:eastAsia="fr-FR"/>
          </w:rPr>
          <w:t xml:space="preserve"> </w:t>
        </w:r>
        <w:r w:rsidR="00C742EB" w:rsidRPr="00C742EB">
          <w:rPr>
            <w:rStyle w:val="Lienhypertexte"/>
          </w:rPr>
          <w:t>ANNEXES</w:t>
        </w:r>
        <w:r w:rsidR="00C742EB" w:rsidRPr="00C742EB">
          <w:rPr>
            <w:webHidden/>
          </w:rPr>
          <w:tab/>
        </w:r>
        <w:r w:rsidR="00C742EB" w:rsidRPr="00C742EB">
          <w:rPr>
            <w:webHidden/>
          </w:rPr>
          <w:fldChar w:fldCharType="begin"/>
        </w:r>
        <w:r w:rsidR="00C742EB" w:rsidRPr="00C742EB">
          <w:rPr>
            <w:webHidden/>
          </w:rPr>
          <w:instrText xml:space="preserve"> PAGEREF _Toc1573853 \h </w:instrText>
        </w:r>
        <w:r w:rsidR="00C742EB" w:rsidRPr="00C742EB">
          <w:rPr>
            <w:webHidden/>
          </w:rPr>
        </w:r>
        <w:r w:rsidR="00C742EB" w:rsidRPr="00C742EB">
          <w:rPr>
            <w:webHidden/>
          </w:rPr>
          <w:fldChar w:fldCharType="separate"/>
        </w:r>
        <w:r w:rsidR="00C742EB" w:rsidRPr="00C742EB">
          <w:rPr>
            <w:webHidden/>
          </w:rPr>
          <w:t>78</w:t>
        </w:r>
        <w:r w:rsidR="00C742EB" w:rsidRPr="00C742EB">
          <w:rPr>
            <w:webHidden/>
          </w:rPr>
          <w:fldChar w:fldCharType="end"/>
        </w:r>
      </w:hyperlink>
    </w:p>
    <w:p w14:paraId="3C277B38" w14:textId="77777777" w:rsidR="00C742EB" w:rsidRPr="00C742EB" w:rsidRDefault="00183BD5">
      <w:pPr>
        <w:pStyle w:val="TM2"/>
        <w:tabs>
          <w:tab w:val="left" w:pos="880"/>
          <w:tab w:val="right" w:leader="dot" w:pos="9678"/>
        </w:tabs>
        <w:rPr>
          <w:rFonts w:eastAsiaTheme="minorEastAsia"/>
          <w:noProof/>
          <w:lang w:val="fr-FR" w:eastAsia="fr-FR"/>
        </w:rPr>
      </w:pPr>
      <w:hyperlink w:anchor="_Toc1573854" w:history="1">
        <w:r w:rsidR="00C742EB" w:rsidRPr="00C742EB">
          <w:rPr>
            <w:rStyle w:val="Lienhypertexte"/>
            <w:rFonts w:ascii="Times New Roman" w:hAnsi="Times New Roman" w:cs="Times New Roman"/>
            <w:noProof/>
          </w:rPr>
          <w:t>X.1</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Annexe 1. Cadre logique</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_Toc1573854 \h </w:instrText>
        </w:r>
        <w:r w:rsidR="00C742EB" w:rsidRPr="00C742EB">
          <w:rPr>
            <w:noProof/>
            <w:webHidden/>
          </w:rPr>
        </w:r>
        <w:r w:rsidR="00C742EB" w:rsidRPr="00C742EB">
          <w:rPr>
            <w:noProof/>
            <w:webHidden/>
          </w:rPr>
          <w:fldChar w:fldCharType="separate"/>
        </w:r>
        <w:r w:rsidR="00C742EB" w:rsidRPr="00C742EB">
          <w:rPr>
            <w:noProof/>
            <w:webHidden/>
          </w:rPr>
          <w:t>78</w:t>
        </w:r>
        <w:r w:rsidR="00C742EB" w:rsidRPr="00C742EB">
          <w:rPr>
            <w:noProof/>
            <w:webHidden/>
          </w:rPr>
          <w:fldChar w:fldCharType="end"/>
        </w:r>
      </w:hyperlink>
    </w:p>
    <w:p w14:paraId="51AEECE2" w14:textId="77777777" w:rsidR="00C742EB" w:rsidRPr="00C742EB" w:rsidRDefault="00183BD5">
      <w:pPr>
        <w:pStyle w:val="TM2"/>
        <w:tabs>
          <w:tab w:val="left" w:pos="880"/>
          <w:tab w:val="right" w:leader="dot" w:pos="9678"/>
        </w:tabs>
        <w:rPr>
          <w:rFonts w:eastAsiaTheme="minorEastAsia"/>
          <w:noProof/>
          <w:lang w:val="fr-FR" w:eastAsia="fr-FR"/>
        </w:rPr>
      </w:pPr>
      <w:hyperlink w:anchor="_Toc1573855" w:history="1">
        <w:r w:rsidR="00C742EB" w:rsidRPr="00C742EB">
          <w:rPr>
            <w:rStyle w:val="Lienhypertexte"/>
            <w:rFonts w:ascii="Times New Roman" w:hAnsi="Times New Roman" w:cs="Times New Roman"/>
            <w:noProof/>
          </w:rPr>
          <w:t>X.2</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Annexe 2. Cadre des résultats et de suivi et évaluation</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_Toc1573855 \h </w:instrText>
        </w:r>
        <w:r w:rsidR="00C742EB" w:rsidRPr="00C742EB">
          <w:rPr>
            <w:noProof/>
            <w:webHidden/>
          </w:rPr>
        </w:r>
        <w:r w:rsidR="00C742EB" w:rsidRPr="00C742EB">
          <w:rPr>
            <w:noProof/>
            <w:webHidden/>
          </w:rPr>
          <w:fldChar w:fldCharType="separate"/>
        </w:r>
        <w:r w:rsidR="00C742EB" w:rsidRPr="00C742EB">
          <w:rPr>
            <w:noProof/>
            <w:webHidden/>
          </w:rPr>
          <w:t>78</w:t>
        </w:r>
        <w:r w:rsidR="00C742EB" w:rsidRPr="00C742EB">
          <w:rPr>
            <w:noProof/>
            <w:webHidden/>
          </w:rPr>
          <w:fldChar w:fldCharType="end"/>
        </w:r>
      </w:hyperlink>
    </w:p>
    <w:p w14:paraId="3EC27644" w14:textId="77777777" w:rsidR="00C742EB" w:rsidRPr="00C742EB" w:rsidRDefault="00183BD5">
      <w:pPr>
        <w:pStyle w:val="TM2"/>
        <w:tabs>
          <w:tab w:val="left" w:pos="880"/>
          <w:tab w:val="right" w:leader="dot" w:pos="9678"/>
        </w:tabs>
        <w:rPr>
          <w:rFonts w:eastAsiaTheme="minorEastAsia"/>
          <w:noProof/>
          <w:lang w:val="fr-FR" w:eastAsia="fr-FR"/>
        </w:rPr>
      </w:pPr>
      <w:hyperlink w:anchor="_Toc1573856" w:history="1">
        <w:r w:rsidR="00C742EB" w:rsidRPr="00C742EB">
          <w:rPr>
            <w:rStyle w:val="Lienhypertexte"/>
            <w:rFonts w:ascii="Times New Roman" w:hAnsi="Times New Roman" w:cs="Times New Roman"/>
            <w:noProof/>
          </w:rPr>
          <w:t>X.3</w:t>
        </w:r>
        <w:r w:rsidR="00C742EB" w:rsidRPr="00C742EB">
          <w:rPr>
            <w:rFonts w:eastAsiaTheme="minorEastAsia"/>
            <w:noProof/>
            <w:lang w:val="fr-FR" w:eastAsia="fr-FR"/>
          </w:rPr>
          <w:tab/>
        </w:r>
        <w:r w:rsidR="00C742EB" w:rsidRPr="00C742EB">
          <w:rPr>
            <w:rStyle w:val="Lienhypertexte"/>
            <w:rFonts w:ascii="Times New Roman" w:hAnsi="Times New Roman" w:cs="Times New Roman"/>
            <w:noProof/>
          </w:rPr>
          <w:t>Annexe 3 : Processus d’élaboration du dossier d’investissement</w:t>
        </w:r>
        <w:r w:rsidR="00C742EB" w:rsidRPr="00C742EB">
          <w:rPr>
            <w:noProof/>
            <w:webHidden/>
          </w:rPr>
          <w:tab/>
        </w:r>
        <w:r w:rsidR="00C742EB" w:rsidRPr="00C742EB">
          <w:rPr>
            <w:noProof/>
            <w:webHidden/>
          </w:rPr>
          <w:fldChar w:fldCharType="begin"/>
        </w:r>
        <w:r w:rsidR="00C742EB" w:rsidRPr="00C742EB">
          <w:rPr>
            <w:noProof/>
            <w:webHidden/>
          </w:rPr>
          <w:instrText xml:space="preserve"> PAGEREF _Toc1573856 \h </w:instrText>
        </w:r>
        <w:r w:rsidR="00C742EB" w:rsidRPr="00C742EB">
          <w:rPr>
            <w:noProof/>
            <w:webHidden/>
          </w:rPr>
        </w:r>
        <w:r w:rsidR="00C742EB" w:rsidRPr="00C742EB">
          <w:rPr>
            <w:noProof/>
            <w:webHidden/>
          </w:rPr>
          <w:fldChar w:fldCharType="separate"/>
        </w:r>
        <w:r w:rsidR="00C742EB" w:rsidRPr="00C742EB">
          <w:rPr>
            <w:noProof/>
            <w:webHidden/>
          </w:rPr>
          <w:t>78</w:t>
        </w:r>
        <w:r w:rsidR="00C742EB" w:rsidRPr="00C742EB">
          <w:rPr>
            <w:noProof/>
            <w:webHidden/>
          </w:rPr>
          <w:fldChar w:fldCharType="end"/>
        </w:r>
      </w:hyperlink>
    </w:p>
    <w:p w14:paraId="6E87F45C" w14:textId="77777777" w:rsidR="006C0B89" w:rsidRPr="00E17303" w:rsidRDefault="006C0B89" w:rsidP="00A35A14">
      <w:pPr>
        <w:spacing w:after="0" w:line="240" w:lineRule="auto"/>
        <w:rPr>
          <w:rFonts w:ascii="Times New Roman" w:hAnsi="Times New Roman" w:cs="Times New Roman"/>
          <w:sz w:val="24"/>
          <w:szCs w:val="24"/>
          <w:lang w:val="fr-FR"/>
        </w:rPr>
      </w:pPr>
      <w:r w:rsidRPr="00C742EB">
        <w:rPr>
          <w:rFonts w:ascii="Times New Roman" w:hAnsi="Times New Roman" w:cs="Times New Roman"/>
          <w:sz w:val="24"/>
          <w:szCs w:val="24"/>
          <w:lang w:val="fr-FR"/>
        </w:rPr>
        <w:fldChar w:fldCharType="end"/>
      </w:r>
    </w:p>
    <w:p w14:paraId="221C9EED" w14:textId="77777777" w:rsidR="006C0B89" w:rsidRDefault="006C0B89">
      <w:pPr>
        <w:rPr>
          <w:rFonts w:ascii="Times New Roman" w:hAnsi="Times New Roman" w:cs="Times New Roman"/>
          <w:sz w:val="24"/>
          <w:szCs w:val="24"/>
        </w:rPr>
      </w:pPr>
      <w:r>
        <w:rPr>
          <w:rFonts w:ascii="Times New Roman" w:hAnsi="Times New Roman" w:cs="Times New Roman"/>
          <w:sz w:val="24"/>
          <w:szCs w:val="24"/>
        </w:rPr>
        <w:br w:type="page"/>
      </w:r>
    </w:p>
    <w:p w14:paraId="7C7FE35A" w14:textId="688CA4F6" w:rsidR="00A70C8A" w:rsidRPr="002A5721" w:rsidRDefault="00A70C8A" w:rsidP="00DF3145">
      <w:pPr>
        <w:pStyle w:val="Titre1"/>
        <w:numPr>
          <w:ilvl w:val="0"/>
          <w:numId w:val="0"/>
        </w:numPr>
        <w:spacing w:line="360" w:lineRule="auto"/>
        <w:ind w:left="432" w:hanging="432"/>
        <w:rPr>
          <w:rFonts w:ascii="Times New Roman" w:hAnsi="Times New Roman" w:cs="Times New Roman"/>
          <w:b/>
          <w:sz w:val="24"/>
          <w:szCs w:val="24"/>
        </w:rPr>
      </w:pPr>
      <w:bookmarkStart w:id="1" w:name="_Toc1573781"/>
      <w:r w:rsidRPr="002A5721">
        <w:rPr>
          <w:rFonts w:ascii="Times New Roman" w:hAnsi="Times New Roman" w:cs="Times New Roman"/>
          <w:b/>
          <w:sz w:val="24"/>
          <w:szCs w:val="24"/>
        </w:rPr>
        <w:lastRenderedPageBreak/>
        <w:t>Liste de tableaux</w:t>
      </w:r>
      <w:bookmarkEnd w:id="1"/>
    </w:p>
    <w:p w14:paraId="28553C56" w14:textId="77777777" w:rsidR="00E97CB5" w:rsidRPr="00E97CB5" w:rsidRDefault="00A70C8A"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r w:rsidRPr="00ED1BDC">
        <w:rPr>
          <w:rFonts w:ascii="Times New Roman" w:hAnsi="Times New Roman" w:cs="Times New Roman"/>
          <w:sz w:val="24"/>
          <w:szCs w:val="24"/>
        </w:rPr>
        <w:fldChar w:fldCharType="begin"/>
      </w:r>
      <w:r w:rsidRPr="00ED1BDC">
        <w:rPr>
          <w:rFonts w:ascii="Times New Roman" w:hAnsi="Times New Roman" w:cs="Times New Roman"/>
          <w:sz w:val="24"/>
          <w:szCs w:val="24"/>
        </w:rPr>
        <w:instrText xml:space="preserve"> TOC \h \z \c "Tableau" </w:instrText>
      </w:r>
      <w:r w:rsidRPr="00ED1BDC">
        <w:rPr>
          <w:rFonts w:ascii="Times New Roman" w:hAnsi="Times New Roman" w:cs="Times New Roman"/>
          <w:sz w:val="24"/>
          <w:szCs w:val="24"/>
        </w:rPr>
        <w:fldChar w:fldCharType="separate"/>
      </w:r>
      <w:hyperlink w:anchor="_Toc1588375" w:history="1">
        <w:r w:rsidR="00E97CB5" w:rsidRPr="00E97CB5">
          <w:rPr>
            <w:rStyle w:val="Lienhypertexte"/>
            <w:rFonts w:ascii="Times New Roman" w:hAnsi="Times New Roman" w:cs="Times New Roman"/>
            <w:noProof/>
            <w:sz w:val="24"/>
          </w:rPr>
          <w:t>Tableau 1 : Caractéristiques démographiques et socio-économiques de la Côte-d’Ivoire en 2016</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_Toc1588375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12</w:t>
        </w:r>
        <w:r w:rsidR="00E97CB5" w:rsidRPr="00E97CB5">
          <w:rPr>
            <w:rFonts w:ascii="Times New Roman" w:hAnsi="Times New Roman" w:cs="Times New Roman"/>
            <w:noProof/>
            <w:webHidden/>
            <w:sz w:val="24"/>
          </w:rPr>
          <w:fldChar w:fldCharType="end"/>
        </w:r>
      </w:hyperlink>
    </w:p>
    <w:p w14:paraId="68F872FA"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76" w:history="1">
        <w:r w:rsidR="00E97CB5" w:rsidRPr="00E97CB5">
          <w:rPr>
            <w:rStyle w:val="Lienhypertexte"/>
            <w:rFonts w:ascii="Times New Roman" w:hAnsi="Times New Roman" w:cs="Times New Roman"/>
            <w:noProof/>
            <w:sz w:val="24"/>
          </w:rPr>
          <w:t xml:space="preserve">Tableau 2 : </w:t>
        </w:r>
        <w:r w:rsidR="00E97CB5" w:rsidRPr="00E97CB5">
          <w:rPr>
            <w:rStyle w:val="Lienhypertexte"/>
            <w:rFonts w:ascii="Times New Roman" w:hAnsi="Times New Roman" w:cs="Times New Roman"/>
            <w:noProof/>
            <w:sz w:val="24"/>
            <w:lang w:val="fr-CI"/>
          </w:rPr>
          <w:t>Affectation des coefficients multiplicateurs par type d’indicateurs</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_Toc1588376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50</w:t>
        </w:r>
        <w:r w:rsidR="00E97CB5" w:rsidRPr="00E97CB5">
          <w:rPr>
            <w:rFonts w:ascii="Times New Roman" w:hAnsi="Times New Roman" w:cs="Times New Roman"/>
            <w:noProof/>
            <w:webHidden/>
            <w:sz w:val="24"/>
          </w:rPr>
          <w:fldChar w:fldCharType="end"/>
        </w:r>
      </w:hyperlink>
    </w:p>
    <w:p w14:paraId="1E5FC274"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77" w:history="1">
        <w:r w:rsidR="00E97CB5" w:rsidRPr="00E97CB5">
          <w:rPr>
            <w:rStyle w:val="Lienhypertexte"/>
            <w:rFonts w:ascii="Times New Roman" w:hAnsi="Times New Roman" w:cs="Times New Roman"/>
            <w:noProof/>
            <w:sz w:val="24"/>
          </w:rPr>
          <w:t xml:space="preserve">Tableau 3 : </w:t>
        </w:r>
        <w:r w:rsidR="00E97CB5" w:rsidRPr="00E97CB5">
          <w:rPr>
            <w:rStyle w:val="Lienhypertexte"/>
            <w:rFonts w:ascii="Times New Roman" w:hAnsi="Times New Roman" w:cs="Times New Roman"/>
            <w:noProof/>
            <w:sz w:val="24"/>
            <w:lang w:val="fr-CI"/>
          </w:rPr>
          <w:t>Valeur de l’indicateur selon le degré</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_Toc1588377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50</w:t>
        </w:r>
        <w:r w:rsidR="00E97CB5" w:rsidRPr="00E97CB5">
          <w:rPr>
            <w:rFonts w:ascii="Times New Roman" w:hAnsi="Times New Roman" w:cs="Times New Roman"/>
            <w:noProof/>
            <w:webHidden/>
            <w:sz w:val="24"/>
          </w:rPr>
          <w:fldChar w:fldCharType="end"/>
        </w:r>
      </w:hyperlink>
    </w:p>
    <w:p w14:paraId="5AB3A99D"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78" w:history="1">
        <w:r w:rsidR="00E97CB5" w:rsidRPr="00E97CB5">
          <w:rPr>
            <w:rStyle w:val="Lienhypertexte"/>
            <w:rFonts w:ascii="Times New Roman" w:hAnsi="Times New Roman" w:cs="Times New Roman"/>
            <w:noProof/>
            <w:sz w:val="24"/>
          </w:rPr>
          <w:t>Tableau 4 : Scores des régions</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_Toc1588378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51</w:t>
        </w:r>
        <w:r w:rsidR="00E97CB5" w:rsidRPr="00E97CB5">
          <w:rPr>
            <w:rFonts w:ascii="Times New Roman" w:hAnsi="Times New Roman" w:cs="Times New Roman"/>
            <w:noProof/>
            <w:webHidden/>
            <w:sz w:val="24"/>
          </w:rPr>
          <w:fldChar w:fldCharType="end"/>
        </w:r>
      </w:hyperlink>
    </w:p>
    <w:p w14:paraId="397EE532"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79" w:history="1">
        <w:r w:rsidR="00E97CB5" w:rsidRPr="00E97CB5">
          <w:rPr>
            <w:rStyle w:val="Lienhypertexte"/>
            <w:rFonts w:ascii="Times New Roman" w:hAnsi="Times New Roman" w:cs="Times New Roman"/>
            <w:noProof/>
            <w:sz w:val="24"/>
          </w:rPr>
          <w:t>Tableau 5 : Priorisation des régions</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_Toc1588379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52</w:t>
        </w:r>
        <w:r w:rsidR="00E97CB5" w:rsidRPr="00E97CB5">
          <w:rPr>
            <w:rFonts w:ascii="Times New Roman" w:hAnsi="Times New Roman" w:cs="Times New Roman"/>
            <w:noProof/>
            <w:webHidden/>
            <w:sz w:val="24"/>
          </w:rPr>
          <w:fldChar w:fldCharType="end"/>
        </w:r>
      </w:hyperlink>
    </w:p>
    <w:p w14:paraId="542B7DFD"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80" w:history="1">
        <w:r w:rsidR="00E97CB5" w:rsidRPr="00E97CB5">
          <w:rPr>
            <w:rStyle w:val="Lienhypertexte"/>
            <w:rFonts w:ascii="Times New Roman" w:hAnsi="Times New Roman" w:cs="Times New Roman"/>
            <w:noProof/>
            <w:sz w:val="24"/>
          </w:rPr>
          <w:t xml:space="preserve">Tableau 6 : </w:t>
        </w:r>
        <w:r w:rsidR="00E97CB5" w:rsidRPr="00E97CB5">
          <w:rPr>
            <w:rStyle w:val="Lienhypertexte"/>
            <w:rFonts w:ascii="Times New Roman" w:hAnsi="Times New Roman" w:cs="Times New Roman"/>
            <w:noProof/>
            <w:sz w:val="24"/>
            <w:lang w:val="fr-CI"/>
          </w:rPr>
          <w:t>Récapitulatif des décès évités par scenario</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_Toc1588380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58</w:t>
        </w:r>
        <w:r w:rsidR="00E97CB5" w:rsidRPr="00E97CB5">
          <w:rPr>
            <w:rFonts w:ascii="Times New Roman" w:hAnsi="Times New Roman" w:cs="Times New Roman"/>
            <w:noProof/>
            <w:webHidden/>
            <w:sz w:val="24"/>
          </w:rPr>
          <w:fldChar w:fldCharType="end"/>
        </w:r>
      </w:hyperlink>
    </w:p>
    <w:p w14:paraId="238D300C"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81" w:history="1">
        <w:r w:rsidR="00E97CB5" w:rsidRPr="00E97CB5">
          <w:rPr>
            <w:rStyle w:val="Lienhypertexte"/>
            <w:rFonts w:ascii="Times New Roman" w:hAnsi="Times New Roman" w:cs="Times New Roman"/>
            <w:noProof/>
            <w:sz w:val="24"/>
          </w:rPr>
          <w:t xml:space="preserve">Tableau 7 : </w:t>
        </w:r>
        <w:r w:rsidR="00E97CB5" w:rsidRPr="00E97CB5">
          <w:rPr>
            <w:rStyle w:val="Lienhypertexte"/>
            <w:rFonts w:ascii="Times New Roman" w:hAnsi="Times New Roman" w:cs="Times New Roman"/>
            <w:noProof/>
            <w:sz w:val="24"/>
            <w:lang w:eastAsia="fr-FR"/>
          </w:rPr>
          <w:t>Récapitulatif des coûts</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_Toc1588381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71</w:t>
        </w:r>
        <w:r w:rsidR="00E97CB5" w:rsidRPr="00E97CB5">
          <w:rPr>
            <w:rFonts w:ascii="Times New Roman" w:hAnsi="Times New Roman" w:cs="Times New Roman"/>
            <w:noProof/>
            <w:webHidden/>
            <w:sz w:val="24"/>
          </w:rPr>
          <w:fldChar w:fldCharType="end"/>
        </w:r>
      </w:hyperlink>
    </w:p>
    <w:p w14:paraId="7A790DBA"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82" w:history="1">
        <w:r w:rsidR="00E97CB5" w:rsidRPr="00E97CB5">
          <w:rPr>
            <w:rStyle w:val="Lienhypertexte"/>
            <w:rFonts w:ascii="Times New Roman" w:hAnsi="Times New Roman" w:cs="Times New Roman"/>
            <w:noProof/>
            <w:sz w:val="24"/>
          </w:rPr>
          <w:t xml:space="preserve">Tableau 8 : </w:t>
        </w:r>
        <w:r w:rsidR="00E97CB5" w:rsidRPr="00E97CB5">
          <w:rPr>
            <w:rStyle w:val="Lienhypertexte"/>
            <w:rFonts w:ascii="Times New Roman" w:hAnsi="Times New Roman" w:cs="Times New Roman"/>
            <w:noProof/>
            <w:sz w:val="24"/>
            <w:lang w:eastAsia="fr-FR"/>
          </w:rPr>
          <w:t>Calcul des coûts présentés par catégorie des couts</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_Toc1588382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72</w:t>
        </w:r>
        <w:r w:rsidR="00E97CB5" w:rsidRPr="00E97CB5">
          <w:rPr>
            <w:rFonts w:ascii="Times New Roman" w:hAnsi="Times New Roman" w:cs="Times New Roman"/>
            <w:noProof/>
            <w:webHidden/>
            <w:sz w:val="24"/>
          </w:rPr>
          <w:fldChar w:fldCharType="end"/>
        </w:r>
      </w:hyperlink>
    </w:p>
    <w:p w14:paraId="1110A2D1"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83" w:history="1">
        <w:r w:rsidR="00E97CB5" w:rsidRPr="00E97CB5">
          <w:rPr>
            <w:rStyle w:val="Lienhypertexte"/>
            <w:rFonts w:ascii="Times New Roman" w:hAnsi="Times New Roman" w:cs="Times New Roman"/>
            <w:noProof/>
            <w:sz w:val="24"/>
          </w:rPr>
          <w:t xml:space="preserve">Tableau 10 : </w:t>
        </w:r>
        <w:r w:rsidR="00E97CB5" w:rsidRPr="00E97CB5">
          <w:rPr>
            <w:rStyle w:val="Lienhypertexte"/>
            <w:rFonts w:ascii="Times New Roman" w:hAnsi="Times New Roman" w:cs="Times New Roman"/>
            <w:noProof/>
            <w:sz w:val="24"/>
            <w:lang w:eastAsia="fr-FR"/>
          </w:rPr>
          <w:t>Ressources disponibles pour chaque priorité nationale</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_Toc1588383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75</w:t>
        </w:r>
        <w:r w:rsidR="00E97CB5" w:rsidRPr="00E97CB5">
          <w:rPr>
            <w:rFonts w:ascii="Times New Roman" w:hAnsi="Times New Roman" w:cs="Times New Roman"/>
            <w:noProof/>
            <w:webHidden/>
            <w:sz w:val="24"/>
          </w:rPr>
          <w:fldChar w:fldCharType="end"/>
        </w:r>
      </w:hyperlink>
    </w:p>
    <w:p w14:paraId="4642E459"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84" w:history="1">
        <w:r w:rsidR="00E97CB5" w:rsidRPr="00E97CB5">
          <w:rPr>
            <w:rStyle w:val="Lienhypertexte"/>
            <w:rFonts w:ascii="Times New Roman" w:hAnsi="Times New Roman" w:cs="Times New Roman"/>
            <w:noProof/>
            <w:sz w:val="24"/>
          </w:rPr>
          <w:t xml:space="preserve">Tableau 11: </w:t>
        </w:r>
        <w:r w:rsidR="00E97CB5" w:rsidRPr="00E97CB5">
          <w:rPr>
            <w:rStyle w:val="Lienhypertexte"/>
            <w:rFonts w:ascii="Times New Roman" w:hAnsi="Times New Roman" w:cs="Times New Roman"/>
            <w:noProof/>
            <w:sz w:val="24"/>
            <w:lang w:eastAsia="fr-FR"/>
          </w:rPr>
          <w:t>Gaps financiers pour les priorités GFF</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_Toc1588384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76</w:t>
        </w:r>
        <w:r w:rsidR="00E97CB5" w:rsidRPr="00E97CB5">
          <w:rPr>
            <w:rFonts w:ascii="Times New Roman" w:hAnsi="Times New Roman" w:cs="Times New Roman"/>
            <w:noProof/>
            <w:webHidden/>
            <w:sz w:val="24"/>
          </w:rPr>
          <w:fldChar w:fldCharType="end"/>
        </w:r>
      </w:hyperlink>
    </w:p>
    <w:p w14:paraId="0F3EFB8F" w14:textId="77777777" w:rsidR="00E97CB5" w:rsidRDefault="00183BD5" w:rsidP="00E97CB5">
      <w:pPr>
        <w:pStyle w:val="Tabledesillustrations"/>
        <w:tabs>
          <w:tab w:val="right" w:leader="dot" w:pos="9678"/>
        </w:tabs>
        <w:spacing w:before="60" w:after="60" w:line="276" w:lineRule="auto"/>
        <w:jc w:val="both"/>
        <w:rPr>
          <w:rFonts w:eastAsiaTheme="minorEastAsia"/>
          <w:noProof/>
          <w:lang w:val="fr-FR" w:eastAsia="fr-FR"/>
        </w:rPr>
      </w:pPr>
      <w:hyperlink w:anchor="_Toc1588385" w:history="1">
        <w:r w:rsidR="00E97CB5" w:rsidRPr="00E97CB5">
          <w:rPr>
            <w:rStyle w:val="Lienhypertexte"/>
            <w:rFonts w:ascii="Times New Roman" w:hAnsi="Times New Roman" w:cs="Times New Roman"/>
            <w:noProof/>
            <w:sz w:val="24"/>
          </w:rPr>
          <w:t xml:space="preserve">Tableau 12: </w:t>
        </w:r>
        <w:r w:rsidR="00E97CB5" w:rsidRPr="00E97CB5">
          <w:rPr>
            <w:rStyle w:val="Lienhypertexte"/>
            <w:rFonts w:ascii="Times New Roman" w:hAnsi="Times New Roman" w:cs="Times New Roman"/>
            <w:noProof/>
            <w:sz w:val="24"/>
            <w:lang w:eastAsia="fr-FR"/>
          </w:rPr>
          <w:t>Gaps financiers pour les catégories de coûts</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_Toc1588385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76</w:t>
        </w:r>
        <w:r w:rsidR="00E97CB5" w:rsidRPr="00E97CB5">
          <w:rPr>
            <w:rFonts w:ascii="Times New Roman" w:hAnsi="Times New Roman" w:cs="Times New Roman"/>
            <w:noProof/>
            <w:webHidden/>
            <w:sz w:val="24"/>
          </w:rPr>
          <w:fldChar w:fldCharType="end"/>
        </w:r>
      </w:hyperlink>
    </w:p>
    <w:p w14:paraId="7C951428" w14:textId="2ABAE97E" w:rsidR="002A5721" w:rsidRPr="002A5721" w:rsidRDefault="00A70C8A" w:rsidP="00E97CB5">
      <w:pPr>
        <w:spacing w:before="60" w:after="60" w:line="276" w:lineRule="auto"/>
        <w:jc w:val="both"/>
        <w:rPr>
          <w:rFonts w:ascii="Times New Roman" w:hAnsi="Times New Roman" w:cs="Times New Roman"/>
          <w:sz w:val="24"/>
          <w:szCs w:val="24"/>
        </w:rPr>
      </w:pPr>
      <w:r w:rsidRPr="00ED1BDC">
        <w:rPr>
          <w:rFonts w:ascii="Times New Roman" w:hAnsi="Times New Roman" w:cs="Times New Roman"/>
          <w:sz w:val="24"/>
          <w:szCs w:val="24"/>
        </w:rPr>
        <w:fldChar w:fldCharType="end"/>
      </w:r>
    </w:p>
    <w:p w14:paraId="2F45442E" w14:textId="37B8B85A" w:rsidR="0025060B" w:rsidRPr="002A5721" w:rsidRDefault="0025060B" w:rsidP="00DF3145">
      <w:pPr>
        <w:pStyle w:val="Titre1"/>
        <w:numPr>
          <w:ilvl w:val="0"/>
          <w:numId w:val="0"/>
        </w:numPr>
        <w:spacing w:line="360" w:lineRule="auto"/>
        <w:ind w:left="432" w:hanging="432"/>
        <w:rPr>
          <w:rFonts w:ascii="Times New Roman" w:hAnsi="Times New Roman" w:cs="Times New Roman"/>
          <w:b/>
          <w:sz w:val="24"/>
          <w:szCs w:val="24"/>
        </w:rPr>
      </w:pPr>
      <w:bookmarkStart w:id="2" w:name="_Toc1573782"/>
      <w:r w:rsidRPr="002A5721">
        <w:rPr>
          <w:rFonts w:ascii="Times New Roman" w:hAnsi="Times New Roman" w:cs="Times New Roman"/>
          <w:b/>
          <w:sz w:val="24"/>
          <w:szCs w:val="24"/>
        </w:rPr>
        <w:t>Liste de</w:t>
      </w:r>
      <w:r w:rsidR="00A70C8A" w:rsidRPr="002A5721">
        <w:rPr>
          <w:rFonts w:ascii="Times New Roman" w:hAnsi="Times New Roman" w:cs="Times New Roman"/>
          <w:b/>
          <w:sz w:val="24"/>
          <w:szCs w:val="24"/>
        </w:rPr>
        <w:t>s</w:t>
      </w:r>
      <w:r w:rsidRPr="002A5721">
        <w:rPr>
          <w:rFonts w:ascii="Times New Roman" w:hAnsi="Times New Roman" w:cs="Times New Roman"/>
          <w:b/>
          <w:sz w:val="24"/>
          <w:szCs w:val="24"/>
        </w:rPr>
        <w:t xml:space="preserve"> figures</w:t>
      </w:r>
      <w:bookmarkEnd w:id="2"/>
    </w:p>
    <w:p w14:paraId="552FC26C" w14:textId="77777777" w:rsidR="00E97CB5" w:rsidRPr="00E97CB5" w:rsidRDefault="00A70C8A"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r w:rsidRPr="002A5721">
        <w:rPr>
          <w:rFonts w:ascii="Times New Roman" w:hAnsi="Times New Roman" w:cs="Times New Roman"/>
          <w:sz w:val="24"/>
          <w:szCs w:val="24"/>
        </w:rPr>
        <w:fldChar w:fldCharType="begin"/>
      </w:r>
      <w:r w:rsidRPr="00702F89">
        <w:rPr>
          <w:rFonts w:ascii="Times New Roman" w:hAnsi="Times New Roman" w:cs="Times New Roman"/>
          <w:sz w:val="24"/>
          <w:szCs w:val="24"/>
        </w:rPr>
        <w:instrText xml:space="preserve"> TOC \h \z \c "Figure" </w:instrText>
      </w:r>
      <w:r w:rsidRPr="002A5721">
        <w:rPr>
          <w:rFonts w:ascii="Times New Roman" w:hAnsi="Times New Roman" w:cs="Times New Roman"/>
          <w:sz w:val="24"/>
          <w:szCs w:val="24"/>
        </w:rPr>
        <w:fldChar w:fldCharType="separate"/>
      </w:r>
      <w:hyperlink w:anchor="_Toc1588388" w:history="1">
        <w:r w:rsidR="00E97CB5" w:rsidRPr="00E97CB5">
          <w:rPr>
            <w:rStyle w:val="Lienhypertexte"/>
            <w:rFonts w:ascii="Times New Roman" w:hAnsi="Times New Roman" w:cs="Times New Roman"/>
            <w:noProof/>
            <w:sz w:val="24"/>
          </w:rPr>
          <w:t>Figure 1:</w:t>
        </w:r>
        <w:r w:rsidR="00E97CB5" w:rsidRPr="00E97CB5">
          <w:rPr>
            <w:rStyle w:val="Lienhypertexte"/>
            <w:rFonts w:ascii="Times New Roman" w:hAnsi="Times New Roman" w:cs="Times New Roman"/>
            <w:iCs/>
            <w:noProof/>
            <w:sz w:val="24"/>
          </w:rPr>
          <w:t>Pyramide sanitaire de Côte d’Ivoire</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_Toc1588388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15</w:t>
        </w:r>
        <w:r w:rsidR="00E97CB5" w:rsidRPr="00E97CB5">
          <w:rPr>
            <w:rFonts w:ascii="Times New Roman" w:hAnsi="Times New Roman" w:cs="Times New Roman"/>
            <w:noProof/>
            <w:webHidden/>
            <w:sz w:val="24"/>
          </w:rPr>
          <w:fldChar w:fldCharType="end"/>
        </w:r>
      </w:hyperlink>
    </w:p>
    <w:p w14:paraId="24428DA4"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89" w:history="1">
        <w:r w:rsidR="00E97CB5" w:rsidRPr="00E97CB5">
          <w:rPr>
            <w:rStyle w:val="Lienhypertexte"/>
            <w:rFonts w:ascii="Times New Roman" w:hAnsi="Times New Roman" w:cs="Times New Roman"/>
            <w:noProof/>
            <w:sz w:val="24"/>
          </w:rPr>
          <w:t>Figure 2 : Modes de prestations de soins Equist</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_Toc1588389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40</w:t>
        </w:r>
        <w:r w:rsidR="00E97CB5" w:rsidRPr="00E97CB5">
          <w:rPr>
            <w:rFonts w:ascii="Times New Roman" w:hAnsi="Times New Roman" w:cs="Times New Roman"/>
            <w:noProof/>
            <w:webHidden/>
            <w:sz w:val="24"/>
          </w:rPr>
          <w:fldChar w:fldCharType="end"/>
        </w:r>
      </w:hyperlink>
    </w:p>
    <w:p w14:paraId="28408F57"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90" w:history="1">
        <w:r w:rsidR="00E97CB5" w:rsidRPr="00E97CB5">
          <w:rPr>
            <w:rStyle w:val="Lienhypertexte"/>
            <w:rFonts w:ascii="Times New Roman" w:hAnsi="Times New Roman" w:cs="Times New Roman"/>
            <w:noProof/>
            <w:sz w:val="24"/>
          </w:rPr>
          <w:t>Figure 3 : Synthèse des goulots d’étranglement des pratiques familiales</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_Toc1588390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44</w:t>
        </w:r>
        <w:r w:rsidR="00E97CB5" w:rsidRPr="00E97CB5">
          <w:rPr>
            <w:rFonts w:ascii="Times New Roman" w:hAnsi="Times New Roman" w:cs="Times New Roman"/>
            <w:noProof/>
            <w:webHidden/>
            <w:sz w:val="24"/>
          </w:rPr>
          <w:fldChar w:fldCharType="end"/>
        </w:r>
      </w:hyperlink>
    </w:p>
    <w:p w14:paraId="4FC7D060"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91" w:history="1">
        <w:r w:rsidR="00E97CB5" w:rsidRPr="00E97CB5">
          <w:rPr>
            <w:rStyle w:val="Lienhypertexte"/>
            <w:rFonts w:ascii="Times New Roman" w:hAnsi="Times New Roman" w:cs="Times New Roman"/>
            <w:noProof/>
            <w:sz w:val="24"/>
          </w:rPr>
          <w:t>Figure 4 : Synthèse des goulots d’étranglement des soins préventifs</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_Toc1588391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45</w:t>
        </w:r>
        <w:r w:rsidR="00E97CB5" w:rsidRPr="00E97CB5">
          <w:rPr>
            <w:rFonts w:ascii="Times New Roman" w:hAnsi="Times New Roman" w:cs="Times New Roman"/>
            <w:noProof/>
            <w:webHidden/>
            <w:sz w:val="24"/>
          </w:rPr>
          <w:fldChar w:fldCharType="end"/>
        </w:r>
      </w:hyperlink>
    </w:p>
    <w:p w14:paraId="3F91CF90"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92" w:history="1">
        <w:r w:rsidR="00E97CB5" w:rsidRPr="00E97CB5">
          <w:rPr>
            <w:rStyle w:val="Lienhypertexte"/>
            <w:rFonts w:ascii="Times New Roman" w:hAnsi="Times New Roman" w:cs="Times New Roman"/>
            <w:noProof/>
            <w:sz w:val="24"/>
          </w:rPr>
          <w:t>Figure 5 : Synthèse des goulots d’étranglement des soins curatifs</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_Toc1588392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46</w:t>
        </w:r>
        <w:r w:rsidR="00E97CB5" w:rsidRPr="00E97CB5">
          <w:rPr>
            <w:rFonts w:ascii="Times New Roman" w:hAnsi="Times New Roman" w:cs="Times New Roman"/>
            <w:noProof/>
            <w:webHidden/>
            <w:sz w:val="24"/>
          </w:rPr>
          <w:fldChar w:fldCharType="end"/>
        </w:r>
      </w:hyperlink>
    </w:p>
    <w:p w14:paraId="57D4953D"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93" w:history="1">
        <w:r w:rsidR="00E97CB5" w:rsidRPr="00E97CB5">
          <w:rPr>
            <w:rStyle w:val="Lienhypertexte"/>
            <w:rFonts w:ascii="Times New Roman" w:hAnsi="Times New Roman" w:cs="Times New Roman"/>
            <w:noProof/>
            <w:sz w:val="24"/>
          </w:rPr>
          <w:t xml:space="preserve">Figure 6 : </w:t>
        </w:r>
        <w:r w:rsidR="00E97CB5" w:rsidRPr="00E97CB5">
          <w:rPr>
            <w:rStyle w:val="Lienhypertexte"/>
            <w:rFonts w:ascii="Times New Roman" w:hAnsi="Times New Roman" w:cs="Times New Roman"/>
            <w:noProof/>
            <w:sz w:val="24"/>
            <w:lang w:val="fr-CI"/>
          </w:rPr>
          <w:t>Extrait de l’estimation de l’impact du scenario minimal (05 régions), Equist 2018</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_Toc1588393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53</w:t>
        </w:r>
        <w:r w:rsidR="00E97CB5" w:rsidRPr="00E97CB5">
          <w:rPr>
            <w:rFonts w:ascii="Times New Roman" w:hAnsi="Times New Roman" w:cs="Times New Roman"/>
            <w:noProof/>
            <w:webHidden/>
            <w:sz w:val="24"/>
          </w:rPr>
          <w:fldChar w:fldCharType="end"/>
        </w:r>
      </w:hyperlink>
    </w:p>
    <w:p w14:paraId="116E1B68"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94" w:history="1">
        <w:r w:rsidR="00E97CB5" w:rsidRPr="00E97CB5">
          <w:rPr>
            <w:rStyle w:val="Lienhypertexte"/>
            <w:rFonts w:ascii="Times New Roman" w:hAnsi="Times New Roman" w:cs="Times New Roman"/>
            <w:noProof/>
            <w:sz w:val="24"/>
          </w:rPr>
          <w:t xml:space="preserve">Figure 7 : </w:t>
        </w:r>
        <w:r w:rsidR="00E97CB5" w:rsidRPr="00E97CB5">
          <w:rPr>
            <w:rStyle w:val="Lienhypertexte"/>
            <w:rFonts w:ascii="Times New Roman" w:hAnsi="Times New Roman" w:cs="Times New Roman"/>
            <w:noProof/>
            <w:sz w:val="24"/>
            <w:lang w:val="fr-CI"/>
          </w:rPr>
          <w:t>Extrait de l’estimation de l’impact du scenario minimal (05 régions), Equist 2018</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_Toc1588394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54</w:t>
        </w:r>
        <w:r w:rsidR="00E97CB5" w:rsidRPr="00E97CB5">
          <w:rPr>
            <w:rFonts w:ascii="Times New Roman" w:hAnsi="Times New Roman" w:cs="Times New Roman"/>
            <w:noProof/>
            <w:webHidden/>
            <w:sz w:val="24"/>
          </w:rPr>
          <w:fldChar w:fldCharType="end"/>
        </w:r>
      </w:hyperlink>
    </w:p>
    <w:p w14:paraId="481E1AE1"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95" w:history="1">
        <w:r w:rsidR="00E97CB5" w:rsidRPr="00E97CB5">
          <w:rPr>
            <w:rStyle w:val="Lienhypertexte"/>
            <w:rFonts w:ascii="Times New Roman" w:hAnsi="Times New Roman" w:cs="Times New Roman"/>
            <w:noProof/>
            <w:sz w:val="24"/>
          </w:rPr>
          <w:t xml:space="preserve">Figure 8 : </w:t>
        </w:r>
        <w:r w:rsidR="00E97CB5" w:rsidRPr="00E97CB5">
          <w:rPr>
            <w:rStyle w:val="Lienhypertexte"/>
            <w:rFonts w:ascii="Times New Roman" w:hAnsi="Times New Roman" w:cs="Times New Roman"/>
            <w:noProof/>
            <w:sz w:val="24"/>
            <w:lang w:val="fr-CI"/>
          </w:rPr>
          <w:t>Extrait de l’estimation de l’impact du scenario moyen (08 régions), Equist 2018</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_Toc1588395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55</w:t>
        </w:r>
        <w:r w:rsidR="00E97CB5" w:rsidRPr="00E97CB5">
          <w:rPr>
            <w:rFonts w:ascii="Times New Roman" w:hAnsi="Times New Roman" w:cs="Times New Roman"/>
            <w:noProof/>
            <w:webHidden/>
            <w:sz w:val="24"/>
          </w:rPr>
          <w:fldChar w:fldCharType="end"/>
        </w:r>
      </w:hyperlink>
    </w:p>
    <w:p w14:paraId="45FA091F"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96" w:history="1">
        <w:r w:rsidR="00E97CB5" w:rsidRPr="00E97CB5">
          <w:rPr>
            <w:rStyle w:val="Lienhypertexte"/>
            <w:rFonts w:ascii="Times New Roman" w:hAnsi="Times New Roman" w:cs="Times New Roman"/>
            <w:noProof/>
            <w:sz w:val="24"/>
          </w:rPr>
          <w:t xml:space="preserve">Figure 9 : </w:t>
        </w:r>
        <w:r w:rsidR="00E97CB5" w:rsidRPr="00E97CB5">
          <w:rPr>
            <w:rStyle w:val="Lienhypertexte"/>
            <w:rFonts w:ascii="Times New Roman" w:hAnsi="Times New Roman" w:cs="Times New Roman"/>
            <w:noProof/>
            <w:sz w:val="24"/>
            <w:lang w:val="fr-CI"/>
          </w:rPr>
          <w:t>Extrait de l’estimation de l’impact du scenario moyen (08 régions), Equist 2018</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_Toc1588396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56</w:t>
        </w:r>
        <w:r w:rsidR="00E97CB5" w:rsidRPr="00E97CB5">
          <w:rPr>
            <w:rFonts w:ascii="Times New Roman" w:hAnsi="Times New Roman" w:cs="Times New Roman"/>
            <w:noProof/>
            <w:webHidden/>
            <w:sz w:val="24"/>
          </w:rPr>
          <w:fldChar w:fldCharType="end"/>
        </w:r>
      </w:hyperlink>
    </w:p>
    <w:p w14:paraId="243CCCDF"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97" w:history="1">
        <w:r w:rsidR="00E97CB5" w:rsidRPr="00E97CB5">
          <w:rPr>
            <w:rStyle w:val="Lienhypertexte"/>
            <w:rFonts w:ascii="Times New Roman" w:hAnsi="Times New Roman" w:cs="Times New Roman"/>
            <w:noProof/>
            <w:sz w:val="24"/>
          </w:rPr>
          <w:t xml:space="preserve">Figure 10 : </w:t>
        </w:r>
        <w:r w:rsidR="00E97CB5" w:rsidRPr="00E97CB5">
          <w:rPr>
            <w:rStyle w:val="Lienhypertexte"/>
            <w:rFonts w:ascii="Times New Roman" w:hAnsi="Times New Roman" w:cs="Times New Roman"/>
            <w:noProof/>
            <w:sz w:val="24"/>
            <w:lang w:val="fr-CI"/>
          </w:rPr>
          <w:t>Extrait de l’estimation de l’impact du scenario national (11 régions), Equist 2018</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_Toc1588397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57</w:t>
        </w:r>
        <w:r w:rsidR="00E97CB5" w:rsidRPr="00E97CB5">
          <w:rPr>
            <w:rFonts w:ascii="Times New Roman" w:hAnsi="Times New Roman" w:cs="Times New Roman"/>
            <w:noProof/>
            <w:webHidden/>
            <w:sz w:val="24"/>
          </w:rPr>
          <w:fldChar w:fldCharType="end"/>
        </w:r>
      </w:hyperlink>
    </w:p>
    <w:p w14:paraId="4B8C3BFC"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98" w:history="1">
        <w:r w:rsidR="00E97CB5" w:rsidRPr="00E97CB5">
          <w:rPr>
            <w:rStyle w:val="Lienhypertexte"/>
            <w:rFonts w:ascii="Times New Roman" w:hAnsi="Times New Roman" w:cs="Times New Roman"/>
            <w:noProof/>
            <w:sz w:val="24"/>
          </w:rPr>
          <w:t xml:space="preserve">Figure 11 : </w:t>
        </w:r>
        <w:r w:rsidR="00E97CB5" w:rsidRPr="00E97CB5">
          <w:rPr>
            <w:rStyle w:val="Lienhypertexte"/>
            <w:rFonts w:ascii="Times New Roman" w:hAnsi="Times New Roman" w:cs="Times New Roman"/>
            <w:noProof/>
            <w:sz w:val="24"/>
            <w:lang w:val="fr-CI"/>
          </w:rPr>
          <w:t>Extrait de l’estimation de l’impact du scenario national (11 régions), Equist 2018</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_Toc1588398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58</w:t>
        </w:r>
        <w:r w:rsidR="00E97CB5" w:rsidRPr="00E97CB5">
          <w:rPr>
            <w:rFonts w:ascii="Times New Roman" w:hAnsi="Times New Roman" w:cs="Times New Roman"/>
            <w:noProof/>
            <w:webHidden/>
            <w:sz w:val="24"/>
          </w:rPr>
          <w:fldChar w:fldCharType="end"/>
        </w:r>
      </w:hyperlink>
    </w:p>
    <w:p w14:paraId="5DE61C7E"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lang w:val="fr-FR" w:eastAsia="fr-FR"/>
        </w:rPr>
      </w:pPr>
      <w:hyperlink w:anchor="_Toc1588399" w:history="1">
        <w:r w:rsidR="00E97CB5" w:rsidRPr="00E97CB5">
          <w:rPr>
            <w:rStyle w:val="Lienhypertexte"/>
            <w:rFonts w:ascii="Times New Roman" w:hAnsi="Times New Roman" w:cs="Times New Roman"/>
            <w:noProof/>
            <w:sz w:val="24"/>
          </w:rPr>
          <w:t>Figure 12 : Financement total par source de financement, 2016-2020</w:t>
        </w:r>
        <w:r w:rsidR="00E97CB5" w:rsidRPr="00E97CB5">
          <w:rPr>
            <w:rFonts w:ascii="Times New Roman" w:hAnsi="Times New Roman" w:cs="Times New Roman"/>
            <w:noProof/>
            <w:webHidden/>
            <w:sz w:val="24"/>
          </w:rPr>
          <w:tab/>
        </w:r>
        <w:r w:rsidR="00E97CB5" w:rsidRPr="00E97CB5">
          <w:rPr>
            <w:rFonts w:ascii="Times New Roman" w:hAnsi="Times New Roman" w:cs="Times New Roman"/>
            <w:noProof/>
            <w:webHidden/>
            <w:sz w:val="24"/>
          </w:rPr>
          <w:fldChar w:fldCharType="begin"/>
        </w:r>
        <w:r w:rsidR="00E97CB5" w:rsidRPr="00E97CB5">
          <w:rPr>
            <w:rFonts w:ascii="Times New Roman" w:hAnsi="Times New Roman" w:cs="Times New Roman"/>
            <w:noProof/>
            <w:webHidden/>
            <w:sz w:val="24"/>
          </w:rPr>
          <w:instrText xml:space="preserve"> PAGEREF _Toc1588399 \h </w:instrText>
        </w:r>
        <w:r w:rsidR="00E97CB5" w:rsidRPr="00E97CB5">
          <w:rPr>
            <w:rFonts w:ascii="Times New Roman" w:hAnsi="Times New Roman" w:cs="Times New Roman"/>
            <w:noProof/>
            <w:webHidden/>
            <w:sz w:val="24"/>
          </w:rPr>
        </w:r>
        <w:r w:rsidR="00E97CB5" w:rsidRPr="00E97CB5">
          <w:rPr>
            <w:rFonts w:ascii="Times New Roman" w:hAnsi="Times New Roman" w:cs="Times New Roman"/>
            <w:noProof/>
            <w:webHidden/>
            <w:sz w:val="24"/>
          </w:rPr>
          <w:fldChar w:fldCharType="separate"/>
        </w:r>
        <w:r w:rsidR="00E97CB5" w:rsidRPr="00E97CB5">
          <w:rPr>
            <w:rFonts w:ascii="Times New Roman" w:hAnsi="Times New Roman" w:cs="Times New Roman"/>
            <w:noProof/>
            <w:webHidden/>
            <w:sz w:val="24"/>
          </w:rPr>
          <w:t>74</w:t>
        </w:r>
        <w:r w:rsidR="00E97CB5" w:rsidRPr="00E97CB5">
          <w:rPr>
            <w:rFonts w:ascii="Times New Roman" w:hAnsi="Times New Roman" w:cs="Times New Roman"/>
            <w:noProof/>
            <w:webHidden/>
            <w:sz w:val="24"/>
          </w:rPr>
          <w:fldChar w:fldCharType="end"/>
        </w:r>
      </w:hyperlink>
    </w:p>
    <w:p w14:paraId="5FE007D4" w14:textId="45E27F1C" w:rsidR="00E97CB5" w:rsidRDefault="00E97CB5">
      <w:pPr>
        <w:pStyle w:val="Tabledesillustrations"/>
        <w:tabs>
          <w:tab w:val="right" w:leader="dot" w:pos="9678"/>
        </w:tabs>
        <w:rPr>
          <w:rFonts w:eastAsiaTheme="minorEastAsia"/>
          <w:noProof/>
          <w:lang w:val="fr-FR" w:eastAsia="fr-FR"/>
        </w:rPr>
      </w:pPr>
    </w:p>
    <w:p w14:paraId="06FE8067" w14:textId="2A1DA275" w:rsidR="00A70C8A" w:rsidRDefault="00A70C8A" w:rsidP="002A5721">
      <w:pPr>
        <w:spacing w:line="276" w:lineRule="auto"/>
        <w:rPr>
          <w:rFonts w:ascii="Times New Roman" w:hAnsi="Times New Roman" w:cs="Times New Roman"/>
          <w:sz w:val="24"/>
          <w:szCs w:val="24"/>
        </w:rPr>
      </w:pPr>
      <w:r w:rsidRPr="002A5721">
        <w:rPr>
          <w:rFonts w:ascii="Times New Roman" w:hAnsi="Times New Roman" w:cs="Times New Roman"/>
          <w:sz w:val="24"/>
          <w:szCs w:val="24"/>
        </w:rPr>
        <w:fldChar w:fldCharType="end"/>
      </w:r>
    </w:p>
    <w:p w14:paraId="4DEE317B" w14:textId="33A7641F" w:rsidR="00A70C8A" w:rsidRPr="00E97CB5" w:rsidRDefault="00A70C8A" w:rsidP="00E97CB5">
      <w:pPr>
        <w:pStyle w:val="Titre1"/>
        <w:numPr>
          <w:ilvl w:val="0"/>
          <w:numId w:val="0"/>
        </w:numPr>
        <w:spacing w:before="60" w:after="60" w:line="276" w:lineRule="auto"/>
        <w:ind w:left="432" w:hanging="432"/>
        <w:rPr>
          <w:rFonts w:ascii="Times New Roman" w:hAnsi="Times New Roman" w:cs="Times New Roman"/>
          <w:b/>
          <w:sz w:val="24"/>
          <w:szCs w:val="24"/>
        </w:rPr>
      </w:pPr>
      <w:bookmarkStart w:id="3" w:name="_Toc1573783"/>
      <w:r w:rsidRPr="00E97CB5">
        <w:rPr>
          <w:rFonts w:ascii="Times New Roman" w:hAnsi="Times New Roman" w:cs="Times New Roman"/>
          <w:b/>
          <w:sz w:val="24"/>
          <w:szCs w:val="24"/>
        </w:rPr>
        <w:t>Liste des graphiques</w:t>
      </w:r>
      <w:bookmarkEnd w:id="3"/>
    </w:p>
    <w:p w14:paraId="05803215" w14:textId="77777777" w:rsidR="00E97CB5" w:rsidRPr="00E97CB5" w:rsidRDefault="00A70C8A"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r w:rsidRPr="00E97CB5">
        <w:rPr>
          <w:rFonts w:ascii="Times New Roman" w:hAnsi="Times New Roman" w:cs="Times New Roman"/>
          <w:sz w:val="24"/>
          <w:szCs w:val="24"/>
        </w:rPr>
        <w:fldChar w:fldCharType="begin"/>
      </w:r>
      <w:r w:rsidRPr="00E97CB5">
        <w:rPr>
          <w:rFonts w:ascii="Times New Roman" w:hAnsi="Times New Roman" w:cs="Times New Roman"/>
          <w:sz w:val="24"/>
          <w:szCs w:val="24"/>
        </w:rPr>
        <w:instrText xml:space="preserve"> TOC \h \z \c "Graphique" </w:instrText>
      </w:r>
      <w:r w:rsidRPr="00E97CB5">
        <w:rPr>
          <w:rFonts w:ascii="Times New Roman" w:hAnsi="Times New Roman" w:cs="Times New Roman"/>
          <w:sz w:val="24"/>
          <w:szCs w:val="24"/>
        </w:rPr>
        <w:fldChar w:fldCharType="separate"/>
      </w:r>
      <w:hyperlink w:anchor="_Toc1588477" w:history="1">
        <w:r w:rsidR="00E97CB5" w:rsidRPr="00E97CB5">
          <w:rPr>
            <w:rStyle w:val="Lienhypertexte"/>
            <w:rFonts w:ascii="Times New Roman" w:hAnsi="Times New Roman" w:cs="Times New Roman"/>
            <w:noProof/>
            <w:sz w:val="24"/>
            <w:szCs w:val="24"/>
          </w:rPr>
          <w:t>Graphique 1 : Évolution du PIB ivoirien (en %)</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_Toc1588477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13</w:t>
        </w:r>
        <w:r w:rsidR="00E97CB5" w:rsidRPr="00E97CB5">
          <w:rPr>
            <w:rFonts w:ascii="Times New Roman" w:hAnsi="Times New Roman" w:cs="Times New Roman"/>
            <w:noProof/>
            <w:webHidden/>
            <w:sz w:val="24"/>
            <w:szCs w:val="24"/>
          </w:rPr>
          <w:fldChar w:fldCharType="end"/>
        </w:r>
      </w:hyperlink>
    </w:p>
    <w:p w14:paraId="220DF1E0"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78" w:history="1">
        <w:r w:rsidR="00E97CB5" w:rsidRPr="00E97CB5">
          <w:rPr>
            <w:rStyle w:val="Lienhypertexte"/>
            <w:rFonts w:ascii="Times New Roman" w:hAnsi="Times New Roman" w:cs="Times New Roman"/>
            <w:noProof/>
            <w:sz w:val="24"/>
            <w:szCs w:val="24"/>
          </w:rPr>
          <w:t>Graphique 2: Évolution de l’IDH en Côte d’Ivoire sur la période des OMD</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_Toc1588478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14</w:t>
        </w:r>
        <w:r w:rsidR="00E97CB5" w:rsidRPr="00E97CB5">
          <w:rPr>
            <w:rFonts w:ascii="Times New Roman" w:hAnsi="Times New Roman" w:cs="Times New Roman"/>
            <w:noProof/>
            <w:webHidden/>
            <w:sz w:val="24"/>
            <w:szCs w:val="24"/>
          </w:rPr>
          <w:fldChar w:fldCharType="end"/>
        </w:r>
      </w:hyperlink>
    </w:p>
    <w:p w14:paraId="0C04D23B"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79" w:history="1">
        <w:r w:rsidR="00E97CB5" w:rsidRPr="00E97CB5">
          <w:rPr>
            <w:rStyle w:val="Lienhypertexte"/>
            <w:rFonts w:ascii="Times New Roman" w:hAnsi="Times New Roman" w:cs="Times New Roman"/>
            <w:noProof/>
            <w:sz w:val="24"/>
            <w:szCs w:val="24"/>
          </w:rPr>
          <w:t>Graphique 3 :</w:t>
        </w:r>
        <w:r w:rsidR="00E97CB5" w:rsidRPr="00E97CB5">
          <w:rPr>
            <w:rStyle w:val="Lienhypertexte"/>
            <w:rFonts w:ascii="Times New Roman" w:hAnsi="Times New Roman" w:cs="Times New Roman"/>
            <w:noProof/>
            <w:sz w:val="24"/>
            <w:szCs w:val="24"/>
            <w:u w:color="000000"/>
          </w:rPr>
          <w:t xml:space="preserve"> Proportion de pauvres vivant sous le seuil national de pauvreté de 1985 à 2015</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_Toc1588479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14</w:t>
        </w:r>
        <w:r w:rsidR="00E97CB5" w:rsidRPr="00E97CB5">
          <w:rPr>
            <w:rFonts w:ascii="Times New Roman" w:hAnsi="Times New Roman" w:cs="Times New Roman"/>
            <w:noProof/>
            <w:webHidden/>
            <w:sz w:val="24"/>
            <w:szCs w:val="24"/>
          </w:rPr>
          <w:fldChar w:fldCharType="end"/>
        </w:r>
      </w:hyperlink>
    </w:p>
    <w:p w14:paraId="3001C939"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80" w:history="1">
        <w:r w:rsidR="00E97CB5" w:rsidRPr="00E97CB5">
          <w:rPr>
            <w:rStyle w:val="Lienhypertexte"/>
            <w:rFonts w:ascii="Times New Roman" w:hAnsi="Times New Roman" w:cs="Times New Roman"/>
            <w:noProof/>
            <w:sz w:val="24"/>
            <w:szCs w:val="24"/>
          </w:rPr>
          <w:t xml:space="preserve">Graphique 4 : </w:t>
        </w:r>
        <w:r w:rsidR="00E97CB5" w:rsidRPr="00E97CB5">
          <w:rPr>
            <w:rStyle w:val="Lienhypertexte"/>
            <w:rFonts w:ascii="Times New Roman" w:eastAsiaTheme="majorEastAsia" w:hAnsi="Times New Roman" w:cs="Times New Roman"/>
            <w:noProof/>
            <w:sz w:val="24"/>
            <w:szCs w:val="24"/>
          </w:rPr>
          <w:t xml:space="preserve">Distribution des Causes des décès maternels en </w:t>
        </w:r>
        <w:r w:rsidR="00E97CB5" w:rsidRPr="00E97CB5">
          <w:rPr>
            <w:rStyle w:val="Lienhypertexte"/>
            <w:rFonts w:ascii="Times New Roman" w:eastAsiaTheme="majorEastAsia" w:hAnsi="Times New Roman" w:cs="Times New Roman"/>
            <w:noProof/>
            <w:sz w:val="24"/>
            <w:szCs w:val="24"/>
            <w:lang w:val="fr-CI"/>
          </w:rPr>
          <w:t>Côte d’Ivoire.</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_Toc1588480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23</w:t>
        </w:r>
        <w:r w:rsidR="00E97CB5" w:rsidRPr="00E97CB5">
          <w:rPr>
            <w:rFonts w:ascii="Times New Roman" w:hAnsi="Times New Roman" w:cs="Times New Roman"/>
            <w:noProof/>
            <w:webHidden/>
            <w:sz w:val="24"/>
            <w:szCs w:val="24"/>
          </w:rPr>
          <w:fldChar w:fldCharType="end"/>
        </w:r>
      </w:hyperlink>
    </w:p>
    <w:p w14:paraId="4F91547E"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81" w:history="1">
        <w:r w:rsidR="00E97CB5" w:rsidRPr="00E97CB5">
          <w:rPr>
            <w:rStyle w:val="Lienhypertexte"/>
            <w:rFonts w:ascii="Times New Roman" w:hAnsi="Times New Roman" w:cs="Times New Roman"/>
            <w:noProof/>
            <w:sz w:val="24"/>
            <w:szCs w:val="24"/>
          </w:rPr>
          <w:t>Graphique 5</w:t>
        </w:r>
        <w:r w:rsidR="00E97CB5" w:rsidRPr="00E97CB5">
          <w:rPr>
            <w:rStyle w:val="Lienhypertexte"/>
            <w:rFonts w:ascii="Times New Roman" w:hAnsi="Times New Roman" w:cs="Times New Roman"/>
            <w:noProof/>
            <w:sz w:val="24"/>
            <w:szCs w:val="24"/>
            <w:lang w:eastAsia="fr-FR"/>
          </w:rPr>
          <w:t>: Repartition des décès maternels par tranche d’âge.</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_Toc1588481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23</w:t>
        </w:r>
        <w:r w:rsidR="00E97CB5" w:rsidRPr="00E97CB5">
          <w:rPr>
            <w:rFonts w:ascii="Times New Roman" w:hAnsi="Times New Roman" w:cs="Times New Roman"/>
            <w:noProof/>
            <w:webHidden/>
            <w:sz w:val="24"/>
            <w:szCs w:val="24"/>
          </w:rPr>
          <w:fldChar w:fldCharType="end"/>
        </w:r>
      </w:hyperlink>
    </w:p>
    <w:p w14:paraId="156335E0"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82" w:history="1">
        <w:r w:rsidR="00E97CB5" w:rsidRPr="00E97CB5">
          <w:rPr>
            <w:rStyle w:val="Lienhypertexte"/>
            <w:rFonts w:ascii="Times New Roman" w:hAnsi="Times New Roman" w:cs="Times New Roman"/>
            <w:noProof/>
            <w:sz w:val="24"/>
            <w:szCs w:val="24"/>
          </w:rPr>
          <w:t>Graphique 6</w:t>
        </w:r>
        <w:r w:rsidR="00E97CB5" w:rsidRPr="00E97CB5">
          <w:rPr>
            <w:rStyle w:val="Lienhypertexte"/>
            <w:rFonts w:ascii="Times New Roman" w:eastAsiaTheme="majorEastAsia" w:hAnsi="Times New Roman" w:cs="Times New Roman"/>
            <w:noProof/>
            <w:sz w:val="24"/>
            <w:szCs w:val="24"/>
          </w:rPr>
          <w:t> : Répartition des décès selon le moment de la survenue des décès.</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_Toc1588482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24</w:t>
        </w:r>
        <w:r w:rsidR="00E97CB5" w:rsidRPr="00E97CB5">
          <w:rPr>
            <w:rFonts w:ascii="Times New Roman" w:hAnsi="Times New Roman" w:cs="Times New Roman"/>
            <w:noProof/>
            <w:webHidden/>
            <w:sz w:val="24"/>
            <w:szCs w:val="24"/>
          </w:rPr>
          <w:fldChar w:fldCharType="end"/>
        </w:r>
      </w:hyperlink>
    </w:p>
    <w:p w14:paraId="1A168C86"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83" w:history="1">
        <w:r w:rsidR="00E97CB5" w:rsidRPr="00E97CB5">
          <w:rPr>
            <w:rStyle w:val="Lienhypertexte"/>
            <w:rFonts w:ascii="Times New Roman" w:hAnsi="Times New Roman" w:cs="Times New Roman"/>
            <w:noProof/>
            <w:sz w:val="24"/>
            <w:szCs w:val="24"/>
          </w:rPr>
          <w:t xml:space="preserve">Graphique 7 : </w:t>
        </w:r>
        <w:r w:rsidR="00E97CB5" w:rsidRPr="00E97CB5">
          <w:rPr>
            <w:rStyle w:val="Lienhypertexte"/>
            <w:rFonts w:ascii="Times New Roman" w:eastAsiaTheme="majorEastAsia" w:hAnsi="Times New Roman" w:cs="Times New Roman"/>
            <w:noProof/>
            <w:sz w:val="24"/>
            <w:szCs w:val="24"/>
          </w:rPr>
          <w:t>Répartition des décès maternels par région sanitaire.</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_Toc1588483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24</w:t>
        </w:r>
        <w:r w:rsidR="00E97CB5" w:rsidRPr="00E97CB5">
          <w:rPr>
            <w:rFonts w:ascii="Times New Roman" w:hAnsi="Times New Roman" w:cs="Times New Roman"/>
            <w:noProof/>
            <w:webHidden/>
            <w:sz w:val="24"/>
            <w:szCs w:val="24"/>
          </w:rPr>
          <w:fldChar w:fldCharType="end"/>
        </w:r>
      </w:hyperlink>
    </w:p>
    <w:p w14:paraId="6E19A25B"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84" w:history="1">
        <w:r w:rsidR="00E97CB5" w:rsidRPr="00E97CB5">
          <w:rPr>
            <w:rStyle w:val="Lienhypertexte"/>
            <w:rFonts w:ascii="Times New Roman" w:hAnsi="Times New Roman" w:cs="Times New Roman"/>
            <w:noProof/>
            <w:sz w:val="24"/>
            <w:szCs w:val="24"/>
          </w:rPr>
          <w:t>Graphique 8 : Projection de la mortalité néo-natale.</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_Toc1588484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25</w:t>
        </w:r>
        <w:r w:rsidR="00E97CB5" w:rsidRPr="00E97CB5">
          <w:rPr>
            <w:rFonts w:ascii="Times New Roman" w:hAnsi="Times New Roman" w:cs="Times New Roman"/>
            <w:noProof/>
            <w:webHidden/>
            <w:sz w:val="24"/>
            <w:szCs w:val="24"/>
          </w:rPr>
          <w:fldChar w:fldCharType="end"/>
        </w:r>
      </w:hyperlink>
    </w:p>
    <w:p w14:paraId="6876674E"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85" w:history="1">
        <w:r w:rsidR="00E97CB5" w:rsidRPr="00E97CB5">
          <w:rPr>
            <w:rStyle w:val="Lienhypertexte"/>
            <w:rFonts w:ascii="Times New Roman" w:hAnsi="Times New Roman" w:cs="Times New Roman"/>
            <w:noProof/>
            <w:sz w:val="24"/>
            <w:szCs w:val="24"/>
          </w:rPr>
          <w:t>Graphique 9 : Évolution de la mortalité néonatale par régions de 2006 à 2016.</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_Toc1588485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26</w:t>
        </w:r>
        <w:r w:rsidR="00E97CB5" w:rsidRPr="00E97CB5">
          <w:rPr>
            <w:rFonts w:ascii="Times New Roman" w:hAnsi="Times New Roman" w:cs="Times New Roman"/>
            <w:noProof/>
            <w:webHidden/>
            <w:sz w:val="24"/>
            <w:szCs w:val="24"/>
          </w:rPr>
          <w:fldChar w:fldCharType="end"/>
        </w:r>
      </w:hyperlink>
    </w:p>
    <w:p w14:paraId="21660B0E"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86" w:history="1">
        <w:r w:rsidR="00E97CB5" w:rsidRPr="00E97CB5">
          <w:rPr>
            <w:rStyle w:val="Lienhypertexte"/>
            <w:rFonts w:ascii="Times New Roman" w:hAnsi="Times New Roman" w:cs="Times New Roman"/>
            <w:noProof/>
            <w:sz w:val="24"/>
            <w:szCs w:val="24"/>
          </w:rPr>
          <w:t>Graphique 10 : Répartition de la réduction de la mortalité NN entre 2011 et 2016 selon le niveau de pauvreté.</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_Toc1588486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27</w:t>
        </w:r>
        <w:r w:rsidR="00E97CB5" w:rsidRPr="00E97CB5">
          <w:rPr>
            <w:rFonts w:ascii="Times New Roman" w:hAnsi="Times New Roman" w:cs="Times New Roman"/>
            <w:noProof/>
            <w:webHidden/>
            <w:sz w:val="24"/>
            <w:szCs w:val="24"/>
          </w:rPr>
          <w:fldChar w:fldCharType="end"/>
        </w:r>
      </w:hyperlink>
    </w:p>
    <w:p w14:paraId="62C2EB41"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87" w:history="1">
        <w:r w:rsidR="00E97CB5" w:rsidRPr="00E97CB5">
          <w:rPr>
            <w:rStyle w:val="Lienhypertexte"/>
            <w:rFonts w:ascii="Times New Roman" w:hAnsi="Times New Roman" w:cs="Times New Roman"/>
            <w:noProof/>
            <w:sz w:val="24"/>
            <w:szCs w:val="24"/>
          </w:rPr>
          <w:t>Graphique 11: Répartition des causes des décès néonatals selon les régions en 2016.</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_Toc1588487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27</w:t>
        </w:r>
        <w:r w:rsidR="00E97CB5" w:rsidRPr="00E97CB5">
          <w:rPr>
            <w:rFonts w:ascii="Times New Roman" w:hAnsi="Times New Roman" w:cs="Times New Roman"/>
            <w:noProof/>
            <w:webHidden/>
            <w:sz w:val="24"/>
            <w:szCs w:val="24"/>
          </w:rPr>
          <w:fldChar w:fldCharType="end"/>
        </w:r>
      </w:hyperlink>
    </w:p>
    <w:p w14:paraId="6AC80E47"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88" w:history="1">
        <w:r w:rsidR="00E97CB5" w:rsidRPr="00E97CB5">
          <w:rPr>
            <w:rStyle w:val="Lienhypertexte"/>
            <w:rFonts w:ascii="Times New Roman" w:hAnsi="Times New Roman" w:cs="Times New Roman"/>
            <w:noProof/>
            <w:sz w:val="24"/>
            <w:szCs w:val="24"/>
          </w:rPr>
          <w:t>Graphique 12</w:t>
        </w:r>
        <w:r w:rsidR="00E97CB5" w:rsidRPr="00E97CB5">
          <w:rPr>
            <w:rStyle w:val="Lienhypertexte"/>
            <w:rFonts w:ascii="Times New Roman" w:hAnsi="Times New Roman" w:cs="Times New Roman"/>
            <w:noProof/>
            <w:sz w:val="24"/>
            <w:szCs w:val="24"/>
            <w:lang w:val="fr-CI"/>
          </w:rPr>
          <w:t> : Répartition de la mortalité des moins de 5 ans par région.</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_Toc1588488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28</w:t>
        </w:r>
        <w:r w:rsidR="00E97CB5" w:rsidRPr="00E97CB5">
          <w:rPr>
            <w:rFonts w:ascii="Times New Roman" w:hAnsi="Times New Roman" w:cs="Times New Roman"/>
            <w:noProof/>
            <w:webHidden/>
            <w:sz w:val="24"/>
            <w:szCs w:val="24"/>
          </w:rPr>
          <w:fldChar w:fldCharType="end"/>
        </w:r>
      </w:hyperlink>
    </w:p>
    <w:p w14:paraId="17D8A8B1"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89" w:history="1">
        <w:r w:rsidR="00E97CB5" w:rsidRPr="00E97CB5">
          <w:rPr>
            <w:rStyle w:val="Lienhypertexte"/>
            <w:rFonts w:ascii="Times New Roman" w:hAnsi="Times New Roman" w:cs="Times New Roman"/>
            <w:noProof/>
            <w:sz w:val="24"/>
            <w:szCs w:val="24"/>
          </w:rPr>
          <w:t>Graphique 13</w:t>
        </w:r>
        <w:r w:rsidR="00E97CB5" w:rsidRPr="00E97CB5">
          <w:rPr>
            <w:rStyle w:val="Lienhypertexte"/>
            <w:rFonts w:ascii="Times New Roman" w:hAnsi="Times New Roman" w:cs="Times New Roman"/>
            <w:noProof/>
            <w:sz w:val="24"/>
            <w:szCs w:val="24"/>
            <w:lang w:val="fr-CI"/>
          </w:rPr>
          <w:t>: Evolution de la mortalité des moins de 5 ans en Côte d'Ivoire.</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_Toc1588489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28</w:t>
        </w:r>
        <w:r w:rsidR="00E97CB5" w:rsidRPr="00E97CB5">
          <w:rPr>
            <w:rFonts w:ascii="Times New Roman" w:hAnsi="Times New Roman" w:cs="Times New Roman"/>
            <w:noProof/>
            <w:webHidden/>
            <w:sz w:val="24"/>
            <w:szCs w:val="24"/>
          </w:rPr>
          <w:fldChar w:fldCharType="end"/>
        </w:r>
      </w:hyperlink>
    </w:p>
    <w:p w14:paraId="6DCC3B2E"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90" w:history="1">
        <w:r w:rsidR="00E97CB5" w:rsidRPr="00E97CB5">
          <w:rPr>
            <w:rStyle w:val="Lienhypertexte"/>
            <w:rFonts w:ascii="Times New Roman" w:hAnsi="Times New Roman" w:cs="Times New Roman"/>
            <w:noProof/>
            <w:sz w:val="24"/>
            <w:szCs w:val="24"/>
          </w:rPr>
          <w:t>Graphique 14</w:t>
        </w:r>
        <w:r w:rsidR="00E97CB5" w:rsidRPr="00E97CB5">
          <w:rPr>
            <w:rStyle w:val="Lienhypertexte"/>
            <w:rFonts w:ascii="Times New Roman" w:hAnsi="Times New Roman" w:cs="Times New Roman"/>
            <w:noProof/>
            <w:sz w:val="24"/>
            <w:szCs w:val="24"/>
            <w:lang w:val="fr-CI"/>
          </w:rPr>
          <w:t>: Répartition des causes des décès infanto-juvénile par région.</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_Toc1588490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29</w:t>
        </w:r>
        <w:r w:rsidR="00E97CB5" w:rsidRPr="00E97CB5">
          <w:rPr>
            <w:rFonts w:ascii="Times New Roman" w:hAnsi="Times New Roman" w:cs="Times New Roman"/>
            <w:noProof/>
            <w:webHidden/>
            <w:sz w:val="24"/>
            <w:szCs w:val="24"/>
          </w:rPr>
          <w:fldChar w:fldCharType="end"/>
        </w:r>
      </w:hyperlink>
    </w:p>
    <w:p w14:paraId="4F074C58"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91" w:history="1">
        <w:r w:rsidR="00E97CB5" w:rsidRPr="00E97CB5">
          <w:rPr>
            <w:rStyle w:val="Lienhypertexte"/>
            <w:rFonts w:ascii="Times New Roman" w:hAnsi="Times New Roman" w:cs="Times New Roman"/>
            <w:noProof/>
            <w:sz w:val="24"/>
            <w:szCs w:val="24"/>
          </w:rPr>
          <w:t>Graphique 15 :</w:t>
        </w:r>
        <w:r w:rsidR="00E97CB5" w:rsidRPr="00E97CB5">
          <w:rPr>
            <w:rStyle w:val="Lienhypertexte"/>
            <w:rFonts w:ascii="Times New Roman" w:hAnsi="Times New Roman" w:cs="Times New Roman"/>
            <w:noProof/>
            <w:sz w:val="24"/>
            <w:szCs w:val="24"/>
            <w:lang w:eastAsia="fr-FR"/>
          </w:rPr>
          <w:t xml:space="preserve"> </w:t>
        </w:r>
        <w:r w:rsidR="00E97CB5" w:rsidRPr="00E97CB5">
          <w:rPr>
            <w:rStyle w:val="Lienhypertexte"/>
            <w:rFonts w:ascii="Times New Roman" w:hAnsi="Times New Roman" w:cs="Times New Roman"/>
            <w:noProof/>
            <w:sz w:val="24"/>
            <w:szCs w:val="24"/>
          </w:rPr>
          <w:t>Evolution du retard de croissance sévère et modéré chez les moins de 5 ans.</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_Toc1588491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30</w:t>
        </w:r>
        <w:r w:rsidR="00E97CB5" w:rsidRPr="00E97CB5">
          <w:rPr>
            <w:rFonts w:ascii="Times New Roman" w:hAnsi="Times New Roman" w:cs="Times New Roman"/>
            <w:noProof/>
            <w:webHidden/>
            <w:sz w:val="24"/>
            <w:szCs w:val="24"/>
          </w:rPr>
          <w:fldChar w:fldCharType="end"/>
        </w:r>
      </w:hyperlink>
    </w:p>
    <w:p w14:paraId="6608B6E4"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92" w:history="1">
        <w:r w:rsidR="00E97CB5" w:rsidRPr="00E97CB5">
          <w:rPr>
            <w:rStyle w:val="Lienhypertexte"/>
            <w:rFonts w:ascii="Times New Roman" w:hAnsi="Times New Roman" w:cs="Times New Roman"/>
            <w:noProof/>
            <w:sz w:val="24"/>
            <w:szCs w:val="24"/>
          </w:rPr>
          <w:t>Graphique 16: Evolution de la malnutrition aigüe sévère chez les moins de 5 ans.</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_Toc1588492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30</w:t>
        </w:r>
        <w:r w:rsidR="00E97CB5" w:rsidRPr="00E97CB5">
          <w:rPr>
            <w:rFonts w:ascii="Times New Roman" w:hAnsi="Times New Roman" w:cs="Times New Roman"/>
            <w:noProof/>
            <w:webHidden/>
            <w:sz w:val="24"/>
            <w:szCs w:val="24"/>
          </w:rPr>
          <w:fldChar w:fldCharType="end"/>
        </w:r>
      </w:hyperlink>
    </w:p>
    <w:p w14:paraId="775D2A62"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93" w:history="1">
        <w:r w:rsidR="00E97CB5" w:rsidRPr="00E97CB5">
          <w:rPr>
            <w:rStyle w:val="Lienhypertexte"/>
            <w:rFonts w:ascii="Times New Roman" w:hAnsi="Times New Roman" w:cs="Times New Roman"/>
            <w:noProof/>
            <w:sz w:val="24"/>
            <w:szCs w:val="24"/>
          </w:rPr>
          <w:t>Graphique 17: Prévalence de l’allaitement exclusif par région.</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_Toc1588493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32</w:t>
        </w:r>
        <w:r w:rsidR="00E97CB5" w:rsidRPr="00E97CB5">
          <w:rPr>
            <w:rFonts w:ascii="Times New Roman" w:hAnsi="Times New Roman" w:cs="Times New Roman"/>
            <w:noProof/>
            <w:webHidden/>
            <w:sz w:val="24"/>
            <w:szCs w:val="24"/>
          </w:rPr>
          <w:fldChar w:fldCharType="end"/>
        </w:r>
      </w:hyperlink>
    </w:p>
    <w:p w14:paraId="4C2FDE79"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94" w:history="1">
        <w:r w:rsidR="00E97CB5" w:rsidRPr="00E97CB5">
          <w:rPr>
            <w:rStyle w:val="Lienhypertexte"/>
            <w:rFonts w:ascii="Times New Roman" w:hAnsi="Times New Roman" w:cs="Times New Roman"/>
            <w:noProof/>
            <w:sz w:val="24"/>
            <w:szCs w:val="24"/>
          </w:rPr>
          <w:t>Graphique 18: Evolution de la prévalence contraceptive et des besoins non satisfaits en matière de contraception de 2012 à 2018. (Source TRACK 2020)</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_Toc1588494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34</w:t>
        </w:r>
        <w:r w:rsidR="00E97CB5" w:rsidRPr="00E97CB5">
          <w:rPr>
            <w:rFonts w:ascii="Times New Roman" w:hAnsi="Times New Roman" w:cs="Times New Roman"/>
            <w:noProof/>
            <w:webHidden/>
            <w:sz w:val="24"/>
            <w:szCs w:val="24"/>
          </w:rPr>
          <w:fldChar w:fldCharType="end"/>
        </w:r>
      </w:hyperlink>
    </w:p>
    <w:p w14:paraId="63769EF2"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95" w:history="1">
        <w:r w:rsidR="00E97CB5" w:rsidRPr="00E97CB5">
          <w:rPr>
            <w:rStyle w:val="Lienhypertexte"/>
            <w:rFonts w:ascii="Times New Roman" w:hAnsi="Times New Roman" w:cs="Times New Roman"/>
            <w:noProof/>
            <w:sz w:val="24"/>
            <w:szCs w:val="24"/>
          </w:rPr>
          <w:t>Graphique 19: Distribution en pourcentage de femmes selon le nombre de mois de grossesse au moment de la première visite prénatale.</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_Toc1588495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34</w:t>
        </w:r>
        <w:r w:rsidR="00E97CB5" w:rsidRPr="00E97CB5">
          <w:rPr>
            <w:rFonts w:ascii="Times New Roman" w:hAnsi="Times New Roman" w:cs="Times New Roman"/>
            <w:noProof/>
            <w:webHidden/>
            <w:sz w:val="24"/>
            <w:szCs w:val="24"/>
          </w:rPr>
          <w:fldChar w:fldCharType="end"/>
        </w:r>
      </w:hyperlink>
    </w:p>
    <w:p w14:paraId="58BCA5B2"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96" w:history="1">
        <w:r w:rsidR="00E97CB5" w:rsidRPr="00E97CB5">
          <w:rPr>
            <w:rStyle w:val="Lienhypertexte"/>
            <w:rFonts w:ascii="Times New Roman" w:hAnsi="Times New Roman" w:cs="Times New Roman"/>
            <w:noProof/>
            <w:sz w:val="24"/>
            <w:szCs w:val="24"/>
          </w:rPr>
          <w:t>Graphique 20</w:t>
        </w:r>
        <w:r w:rsidR="00E97CB5" w:rsidRPr="00E97CB5">
          <w:rPr>
            <w:rStyle w:val="Lienhypertexte"/>
            <w:rFonts w:ascii="Times New Roman" w:hAnsi="Times New Roman" w:cs="Times New Roman"/>
            <w:noProof/>
            <w:sz w:val="24"/>
            <w:szCs w:val="24"/>
            <w:lang w:val="fr-FR"/>
          </w:rPr>
          <w:t> : Évolution de l’enregistrement des naissances en Côte d’Ivoire de 2014 à 2017</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_Toc1588496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38</w:t>
        </w:r>
        <w:r w:rsidR="00E97CB5" w:rsidRPr="00E97CB5">
          <w:rPr>
            <w:rFonts w:ascii="Times New Roman" w:hAnsi="Times New Roman" w:cs="Times New Roman"/>
            <w:noProof/>
            <w:webHidden/>
            <w:sz w:val="24"/>
            <w:szCs w:val="24"/>
          </w:rPr>
          <w:fldChar w:fldCharType="end"/>
        </w:r>
      </w:hyperlink>
    </w:p>
    <w:p w14:paraId="582D7A33" w14:textId="77777777" w:rsidR="00E97CB5" w:rsidRPr="00E97CB5" w:rsidRDefault="00183BD5" w:rsidP="00E97CB5">
      <w:pPr>
        <w:pStyle w:val="Tabledesillustrations"/>
        <w:tabs>
          <w:tab w:val="right" w:leader="dot" w:pos="9678"/>
        </w:tabs>
        <w:spacing w:before="60" w:after="60" w:line="276" w:lineRule="auto"/>
        <w:jc w:val="both"/>
        <w:rPr>
          <w:rFonts w:ascii="Times New Roman" w:eastAsiaTheme="minorEastAsia" w:hAnsi="Times New Roman" w:cs="Times New Roman"/>
          <w:noProof/>
          <w:sz w:val="24"/>
          <w:szCs w:val="24"/>
          <w:lang w:val="fr-FR" w:eastAsia="fr-FR"/>
        </w:rPr>
      </w:pPr>
      <w:hyperlink w:anchor="_Toc1588497" w:history="1">
        <w:r w:rsidR="00E97CB5" w:rsidRPr="00E97CB5">
          <w:rPr>
            <w:rStyle w:val="Lienhypertexte"/>
            <w:rFonts w:ascii="Times New Roman" w:hAnsi="Times New Roman" w:cs="Times New Roman"/>
            <w:noProof/>
            <w:sz w:val="24"/>
            <w:szCs w:val="24"/>
          </w:rPr>
          <w:t>Graphique 21 : Impact des interventions en fin 2022</w:t>
        </w:r>
        <w:r w:rsidR="00E97CB5" w:rsidRPr="00E97CB5">
          <w:rPr>
            <w:rFonts w:ascii="Times New Roman" w:hAnsi="Times New Roman" w:cs="Times New Roman"/>
            <w:noProof/>
            <w:webHidden/>
            <w:sz w:val="24"/>
            <w:szCs w:val="24"/>
          </w:rPr>
          <w:tab/>
        </w:r>
        <w:r w:rsidR="00E97CB5" w:rsidRPr="00E97CB5">
          <w:rPr>
            <w:rFonts w:ascii="Times New Roman" w:hAnsi="Times New Roman" w:cs="Times New Roman"/>
            <w:noProof/>
            <w:webHidden/>
            <w:sz w:val="24"/>
            <w:szCs w:val="24"/>
          </w:rPr>
          <w:fldChar w:fldCharType="begin"/>
        </w:r>
        <w:r w:rsidR="00E97CB5" w:rsidRPr="00E97CB5">
          <w:rPr>
            <w:rFonts w:ascii="Times New Roman" w:hAnsi="Times New Roman" w:cs="Times New Roman"/>
            <w:noProof/>
            <w:webHidden/>
            <w:sz w:val="24"/>
            <w:szCs w:val="24"/>
          </w:rPr>
          <w:instrText xml:space="preserve"> PAGEREF _Toc1588497 \h </w:instrText>
        </w:r>
        <w:r w:rsidR="00E97CB5" w:rsidRPr="00E97CB5">
          <w:rPr>
            <w:rFonts w:ascii="Times New Roman" w:hAnsi="Times New Roman" w:cs="Times New Roman"/>
            <w:noProof/>
            <w:webHidden/>
            <w:sz w:val="24"/>
            <w:szCs w:val="24"/>
          </w:rPr>
        </w:r>
        <w:r w:rsidR="00E97CB5" w:rsidRPr="00E97CB5">
          <w:rPr>
            <w:rFonts w:ascii="Times New Roman" w:hAnsi="Times New Roman" w:cs="Times New Roman"/>
            <w:noProof/>
            <w:webHidden/>
            <w:sz w:val="24"/>
            <w:szCs w:val="24"/>
          </w:rPr>
          <w:fldChar w:fldCharType="separate"/>
        </w:r>
        <w:r w:rsidR="00E97CB5" w:rsidRPr="00E97CB5">
          <w:rPr>
            <w:rFonts w:ascii="Times New Roman" w:hAnsi="Times New Roman" w:cs="Times New Roman"/>
            <w:noProof/>
            <w:webHidden/>
            <w:sz w:val="24"/>
            <w:szCs w:val="24"/>
          </w:rPr>
          <w:t>59</w:t>
        </w:r>
        <w:r w:rsidR="00E97CB5" w:rsidRPr="00E97CB5">
          <w:rPr>
            <w:rFonts w:ascii="Times New Roman" w:hAnsi="Times New Roman" w:cs="Times New Roman"/>
            <w:noProof/>
            <w:webHidden/>
            <w:sz w:val="24"/>
            <w:szCs w:val="24"/>
          </w:rPr>
          <w:fldChar w:fldCharType="end"/>
        </w:r>
      </w:hyperlink>
    </w:p>
    <w:p w14:paraId="45ED1765" w14:textId="77777777" w:rsidR="00A70C8A" w:rsidRPr="00E97CB5" w:rsidRDefault="00A70C8A" w:rsidP="00E97CB5">
      <w:pPr>
        <w:spacing w:before="60" w:after="60" w:line="276" w:lineRule="auto"/>
        <w:rPr>
          <w:rFonts w:ascii="Times New Roman" w:hAnsi="Times New Roman" w:cs="Times New Roman"/>
          <w:sz w:val="24"/>
          <w:szCs w:val="24"/>
        </w:rPr>
      </w:pPr>
      <w:r w:rsidRPr="00E97CB5">
        <w:rPr>
          <w:rFonts w:ascii="Times New Roman" w:hAnsi="Times New Roman" w:cs="Times New Roman"/>
          <w:sz w:val="24"/>
          <w:szCs w:val="24"/>
        </w:rPr>
        <w:fldChar w:fldCharType="end"/>
      </w:r>
    </w:p>
    <w:p w14:paraId="0563EA3F" w14:textId="77777777" w:rsidR="00A70C8A" w:rsidRPr="002A5721" w:rsidRDefault="00A70C8A" w:rsidP="002A5721">
      <w:pPr>
        <w:spacing w:before="120" w:after="120" w:line="276" w:lineRule="auto"/>
        <w:rPr>
          <w:rFonts w:ascii="Times New Roman" w:hAnsi="Times New Roman" w:cs="Times New Roman"/>
          <w:sz w:val="24"/>
          <w:szCs w:val="24"/>
        </w:rPr>
      </w:pPr>
    </w:p>
    <w:p w14:paraId="7AEECA68" w14:textId="77777777" w:rsidR="009B0B16" w:rsidRDefault="009B0B16">
      <w:pPr>
        <w:rPr>
          <w:rFonts w:ascii="Times New Roman" w:eastAsiaTheme="majorEastAsia" w:hAnsi="Times New Roman" w:cs="Times New Roman"/>
          <w:b/>
          <w:color w:val="2F5496" w:themeColor="accent1" w:themeShade="BF"/>
          <w:sz w:val="24"/>
          <w:szCs w:val="24"/>
        </w:rPr>
      </w:pPr>
      <w:r>
        <w:rPr>
          <w:rFonts w:ascii="Times New Roman" w:hAnsi="Times New Roman" w:cs="Times New Roman"/>
          <w:b/>
          <w:sz w:val="24"/>
          <w:szCs w:val="24"/>
        </w:rPr>
        <w:br w:type="page"/>
      </w:r>
    </w:p>
    <w:p w14:paraId="0F555DA6" w14:textId="14B19005" w:rsidR="0025060B" w:rsidRPr="00DF3145" w:rsidRDefault="002F23D0" w:rsidP="00D97CCC">
      <w:pPr>
        <w:pStyle w:val="Titre1"/>
        <w:numPr>
          <w:ilvl w:val="0"/>
          <w:numId w:val="0"/>
        </w:numPr>
        <w:ind w:left="432" w:hanging="432"/>
        <w:rPr>
          <w:rFonts w:ascii="Times New Roman" w:hAnsi="Times New Roman" w:cs="Times New Roman"/>
          <w:b/>
          <w:sz w:val="24"/>
          <w:szCs w:val="24"/>
        </w:rPr>
      </w:pPr>
      <w:bookmarkStart w:id="4" w:name="_Toc1573784"/>
      <w:r w:rsidRPr="00DF3145">
        <w:rPr>
          <w:rFonts w:ascii="Times New Roman" w:hAnsi="Times New Roman" w:cs="Times New Roman"/>
          <w:b/>
          <w:sz w:val="24"/>
          <w:szCs w:val="24"/>
        </w:rPr>
        <w:lastRenderedPageBreak/>
        <w:t>Acronymes, Sigles et Abréviations</w:t>
      </w:r>
      <w:bookmarkEnd w:id="4"/>
    </w:p>
    <w:p w14:paraId="37FBB98D" w14:textId="77777777" w:rsidR="001E6397" w:rsidRPr="001E6397" w:rsidRDefault="001E6397" w:rsidP="001E6397"/>
    <w:tbl>
      <w:tblPr>
        <w:tblW w:w="9587" w:type="dxa"/>
        <w:tblLayout w:type="fixed"/>
        <w:tblLook w:val="0000" w:firstRow="0" w:lastRow="0" w:firstColumn="0" w:lastColumn="0" w:noHBand="0" w:noVBand="0"/>
      </w:tblPr>
      <w:tblGrid>
        <w:gridCol w:w="1527"/>
        <w:gridCol w:w="277"/>
        <w:gridCol w:w="7783"/>
      </w:tblGrid>
      <w:tr w:rsidR="001E6397" w:rsidRPr="00630310" w14:paraId="6F86CE0F" w14:textId="77777777" w:rsidTr="00DF3145">
        <w:trPr>
          <w:trHeight w:val="110"/>
        </w:trPr>
        <w:tc>
          <w:tcPr>
            <w:tcW w:w="1527" w:type="dxa"/>
            <w:vAlign w:val="center"/>
          </w:tcPr>
          <w:p w14:paraId="78DE608D" w14:textId="77777777" w:rsidR="001E6397" w:rsidRPr="00630310" w:rsidRDefault="001E6397" w:rsidP="00DF3145">
            <w:pPr>
              <w:pStyle w:val="Default"/>
            </w:pPr>
            <w:r w:rsidRPr="00630310">
              <w:t xml:space="preserve">ACT </w:t>
            </w:r>
          </w:p>
        </w:tc>
        <w:tc>
          <w:tcPr>
            <w:tcW w:w="277" w:type="dxa"/>
            <w:vAlign w:val="center"/>
          </w:tcPr>
          <w:p w14:paraId="062B09BF" w14:textId="77777777" w:rsidR="001E6397" w:rsidRPr="00630310" w:rsidRDefault="001E6397" w:rsidP="00DF3145">
            <w:pPr>
              <w:pStyle w:val="Default"/>
            </w:pPr>
            <w:r w:rsidRPr="00630310">
              <w:t xml:space="preserve">: </w:t>
            </w:r>
          </w:p>
        </w:tc>
        <w:tc>
          <w:tcPr>
            <w:tcW w:w="7783" w:type="dxa"/>
            <w:vAlign w:val="center"/>
          </w:tcPr>
          <w:p w14:paraId="3C219611" w14:textId="77777777" w:rsidR="001E6397" w:rsidRPr="00630310" w:rsidRDefault="001E6397" w:rsidP="00DF3145">
            <w:pPr>
              <w:pStyle w:val="Default"/>
            </w:pPr>
            <w:r w:rsidRPr="00630310">
              <w:t xml:space="preserve">Combinaison thérapeutique à base d’Artémisinine </w:t>
            </w:r>
          </w:p>
        </w:tc>
      </w:tr>
      <w:tr w:rsidR="001E6397" w:rsidRPr="00630310" w14:paraId="2DE1FCBD" w14:textId="77777777" w:rsidTr="00DF3145">
        <w:trPr>
          <w:trHeight w:val="110"/>
        </w:trPr>
        <w:tc>
          <w:tcPr>
            <w:tcW w:w="1527" w:type="dxa"/>
            <w:vAlign w:val="center"/>
          </w:tcPr>
          <w:p w14:paraId="219C0505" w14:textId="77777777" w:rsidR="001E6397" w:rsidRPr="00630310" w:rsidRDefault="001E6397" w:rsidP="00DF3145">
            <w:pPr>
              <w:pStyle w:val="Default"/>
              <w:rPr>
                <w:lang w:val="fr-CI"/>
              </w:rPr>
            </w:pPr>
            <w:r w:rsidRPr="00630310">
              <w:rPr>
                <w:lang w:val="fr-CI"/>
              </w:rPr>
              <w:t>AGSF</w:t>
            </w:r>
          </w:p>
        </w:tc>
        <w:tc>
          <w:tcPr>
            <w:tcW w:w="277" w:type="dxa"/>
            <w:vAlign w:val="center"/>
          </w:tcPr>
          <w:p w14:paraId="7979561F" w14:textId="77777777" w:rsidR="001E6397" w:rsidRPr="00630310" w:rsidRDefault="001E6397" w:rsidP="00DF3145">
            <w:pPr>
              <w:pStyle w:val="Default"/>
            </w:pPr>
            <w:r w:rsidRPr="00630310">
              <w:t>:</w:t>
            </w:r>
          </w:p>
        </w:tc>
        <w:tc>
          <w:tcPr>
            <w:tcW w:w="7783" w:type="dxa"/>
            <w:vAlign w:val="center"/>
          </w:tcPr>
          <w:p w14:paraId="3EE9E424" w14:textId="77777777" w:rsidR="001E6397" w:rsidRPr="00630310" w:rsidRDefault="001E6397" w:rsidP="00DF3145">
            <w:pPr>
              <w:pStyle w:val="Default"/>
              <w:rPr>
                <w:lang w:val="fr-CI"/>
              </w:rPr>
            </w:pPr>
            <w:r w:rsidRPr="00630310">
              <w:rPr>
                <w:lang w:val="fr-CI"/>
              </w:rPr>
              <w:t>Accessibilité géographique aux soins en stratégie fixe</w:t>
            </w:r>
          </w:p>
        </w:tc>
      </w:tr>
      <w:tr w:rsidR="001E6397" w:rsidRPr="00630310" w14:paraId="3C694855" w14:textId="77777777" w:rsidTr="00DF3145">
        <w:trPr>
          <w:trHeight w:val="110"/>
        </w:trPr>
        <w:tc>
          <w:tcPr>
            <w:tcW w:w="1527" w:type="dxa"/>
            <w:vAlign w:val="center"/>
          </w:tcPr>
          <w:p w14:paraId="51A9B953" w14:textId="77777777" w:rsidR="001E6397" w:rsidRPr="00630310" w:rsidRDefault="001E6397" w:rsidP="00DF3145">
            <w:pPr>
              <w:pStyle w:val="Default"/>
            </w:pPr>
            <w:r w:rsidRPr="00630310">
              <w:t>ANRP</w:t>
            </w:r>
          </w:p>
        </w:tc>
        <w:tc>
          <w:tcPr>
            <w:tcW w:w="277" w:type="dxa"/>
            <w:vAlign w:val="center"/>
          </w:tcPr>
          <w:p w14:paraId="773776BF" w14:textId="77777777" w:rsidR="001E6397" w:rsidRPr="00630310" w:rsidRDefault="001E6397" w:rsidP="00DF3145">
            <w:pPr>
              <w:pStyle w:val="Default"/>
            </w:pPr>
          </w:p>
        </w:tc>
        <w:tc>
          <w:tcPr>
            <w:tcW w:w="7783" w:type="dxa"/>
            <w:vAlign w:val="center"/>
          </w:tcPr>
          <w:p w14:paraId="25D3762C" w14:textId="77777777" w:rsidR="001E6397" w:rsidRPr="00630310" w:rsidRDefault="001E6397" w:rsidP="00DF3145">
            <w:pPr>
              <w:pStyle w:val="Default"/>
            </w:pPr>
            <w:r w:rsidRPr="00630310">
              <w:t>Agence nationale de régulation pharmaceutique</w:t>
            </w:r>
          </w:p>
        </w:tc>
      </w:tr>
      <w:tr w:rsidR="001E6397" w:rsidRPr="00630310" w14:paraId="66783E0F" w14:textId="77777777" w:rsidTr="00DF3145">
        <w:trPr>
          <w:trHeight w:val="110"/>
        </w:trPr>
        <w:tc>
          <w:tcPr>
            <w:tcW w:w="1527" w:type="dxa"/>
            <w:vAlign w:val="center"/>
          </w:tcPr>
          <w:p w14:paraId="2E08B042" w14:textId="77777777" w:rsidR="001E6397" w:rsidRPr="00630310" w:rsidRDefault="001E6397" w:rsidP="00DF3145">
            <w:pPr>
              <w:pStyle w:val="Default"/>
            </w:pPr>
            <w:r w:rsidRPr="00630310">
              <w:t xml:space="preserve">ASC </w:t>
            </w:r>
          </w:p>
        </w:tc>
        <w:tc>
          <w:tcPr>
            <w:tcW w:w="277" w:type="dxa"/>
            <w:vAlign w:val="center"/>
          </w:tcPr>
          <w:p w14:paraId="1E5EA37A" w14:textId="77777777" w:rsidR="001E6397" w:rsidRPr="00630310" w:rsidRDefault="001E6397" w:rsidP="00DF3145">
            <w:pPr>
              <w:pStyle w:val="Default"/>
            </w:pPr>
            <w:r w:rsidRPr="00630310">
              <w:t xml:space="preserve">: </w:t>
            </w:r>
          </w:p>
        </w:tc>
        <w:tc>
          <w:tcPr>
            <w:tcW w:w="7783" w:type="dxa"/>
            <w:vAlign w:val="center"/>
          </w:tcPr>
          <w:p w14:paraId="2FB24E72" w14:textId="77777777" w:rsidR="001E6397" w:rsidRPr="00630310" w:rsidRDefault="001E6397" w:rsidP="00DF3145">
            <w:pPr>
              <w:pStyle w:val="Default"/>
            </w:pPr>
            <w:r w:rsidRPr="00630310">
              <w:t xml:space="preserve">Agent de santé communautaire </w:t>
            </w:r>
          </w:p>
        </w:tc>
      </w:tr>
      <w:tr w:rsidR="001E6397" w:rsidRPr="00630310" w14:paraId="10B13C58" w14:textId="77777777" w:rsidTr="00DF3145">
        <w:trPr>
          <w:trHeight w:val="110"/>
        </w:trPr>
        <w:tc>
          <w:tcPr>
            <w:tcW w:w="1527" w:type="dxa"/>
            <w:vAlign w:val="center"/>
          </w:tcPr>
          <w:p w14:paraId="2DF1ACB4" w14:textId="77777777" w:rsidR="001E6397" w:rsidRPr="00630310" w:rsidRDefault="001E6397" w:rsidP="00DF3145">
            <w:pPr>
              <w:pStyle w:val="Default"/>
            </w:pPr>
            <w:r w:rsidRPr="00630310">
              <w:t xml:space="preserve">AT </w:t>
            </w:r>
          </w:p>
        </w:tc>
        <w:tc>
          <w:tcPr>
            <w:tcW w:w="277" w:type="dxa"/>
            <w:vAlign w:val="center"/>
          </w:tcPr>
          <w:p w14:paraId="2B7B3468" w14:textId="77777777" w:rsidR="001E6397" w:rsidRPr="00630310" w:rsidRDefault="001E6397" w:rsidP="00DF3145">
            <w:pPr>
              <w:pStyle w:val="Default"/>
            </w:pPr>
            <w:r w:rsidRPr="00630310">
              <w:t xml:space="preserve">: </w:t>
            </w:r>
          </w:p>
        </w:tc>
        <w:tc>
          <w:tcPr>
            <w:tcW w:w="7783" w:type="dxa"/>
            <w:vAlign w:val="center"/>
          </w:tcPr>
          <w:p w14:paraId="30964A68" w14:textId="77777777" w:rsidR="001E6397" w:rsidRPr="00630310" w:rsidRDefault="001E6397" w:rsidP="00DF3145">
            <w:pPr>
              <w:pStyle w:val="Default"/>
            </w:pPr>
            <w:r w:rsidRPr="00630310">
              <w:t xml:space="preserve">Assistant Technique </w:t>
            </w:r>
          </w:p>
        </w:tc>
      </w:tr>
      <w:tr w:rsidR="001E6397" w:rsidRPr="00630310" w14:paraId="29E2DD96" w14:textId="77777777" w:rsidTr="00DF3145">
        <w:trPr>
          <w:trHeight w:val="110"/>
        </w:trPr>
        <w:tc>
          <w:tcPr>
            <w:tcW w:w="1527" w:type="dxa"/>
            <w:vAlign w:val="center"/>
          </w:tcPr>
          <w:p w14:paraId="7A64B729" w14:textId="77777777" w:rsidR="001E6397" w:rsidRPr="00630310" w:rsidRDefault="001E6397" w:rsidP="00DF3145">
            <w:pPr>
              <w:pStyle w:val="Default"/>
            </w:pPr>
            <w:r w:rsidRPr="00630310">
              <w:t>BIT</w:t>
            </w:r>
          </w:p>
        </w:tc>
        <w:tc>
          <w:tcPr>
            <w:tcW w:w="277" w:type="dxa"/>
            <w:vAlign w:val="center"/>
          </w:tcPr>
          <w:p w14:paraId="04D38CC5" w14:textId="77777777" w:rsidR="001E6397" w:rsidRPr="00630310" w:rsidRDefault="001E6397" w:rsidP="00DF3145">
            <w:pPr>
              <w:pStyle w:val="Default"/>
            </w:pPr>
            <w:r w:rsidRPr="00630310">
              <w:t>:</w:t>
            </w:r>
          </w:p>
        </w:tc>
        <w:tc>
          <w:tcPr>
            <w:tcW w:w="7783" w:type="dxa"/>
            <w:vAlign w:val="center"/>
          </w:tcPr>
          <w:p w14:paraId="42CC1232" w14:textId="77777777" w:rsidR="001E6397" w:rsidRPr="00630310" w:rsidRDefault="001E6397" w:rsidP="00DF3145">
            <w:pPr>
              <w:pStyle w:val="Default"/>
            </w:pPr>
            <w:r w:rsidRPr="00630310">
              <w:t>Bureau international du travail</w:t>
            </w:r>
          </w:p>
        </w:tc>
      </w:tr>
      <w:tr w:rsidR="001E6397" w:rsidRPr="00630310" w14:paraId="6D11558F" w14:textId="77777777" w:rsidTr="00DF3145">
        <w:trPr>
          <w:trHeight w:val="110"/>
        </w:trPr>
        <w:tc>
          <w:tcPr>
            <w:tcW w:w="1527" w:type="dxa"/>
            <w:vAlign w:val="center"/>
          </w:tcPr>
          <w:p w14:paraId="7F5B79A9" w14:textId="77777777" w:rsidR="001E6397" w:rsidRPr="00630310" w:rsidRDefault="001E6397" w:rsidP="00DF3145">
            <w:pPr>
              <w:pStyle w:val="Default"/>
            </w:pPr>
            <w:r w:rsidRPr="00630310">
              <w:t xml:space="preserve">CCC </w:t>
            </w:r>
          </w:p>
        </w:tc>
        <w:tc>
          <w:tcPr>
            <w:tcW w:w="277" w:type="dxa"/>
            <w:vAlign w:val="center"/>
          </w:tcPr>
          <w:p w14:paraId="7357551B" w14:textId="77777777" w:rsidR="001E6397" w:rsidRPr="00630310" w:rsidRDefault="001E6397" w:rsidP="00DF3145">
            <w:pPr>
              <w:pStyle w:val="Default"/>
            </w:pPr>
            <w:r w:rsidRPr="00630310">
              <w:t xml:space="preserve">: </w:t>
            </w:r>
          </w:p>
        </w:tc>
        <w:tc>
          <w:tcPr>
            <w:tcW w:w="7783" w:type="dxa"/>
            <w:vAlign w:val="center"/>
          </w:tcPr>
          <w:p w14:paraId="7868F1CE" w14:textId="77777777" w:rsidR="001E6397" w:rsidRPr="00630310" w:rsidRDefault="001E6397" w:rsidP="00DF3145">
            <w:pPr>
              <w:pStyle w:val="Default"/>
            </w:pPr>
            <w:r w:rsidRPr="00630310">
              <w:t xml:space="preserve">Communication pour le changement de comportement </w:t>
            </w:r>
          </w:p>
        </w:tc>
      </w:tr>
      <w:tr w:rsidR="001E6397" w:rsidRPr="00630310" w14:paraId="515BE042" w14:textId="77777777" w:rsidTr="00DF3145">
        <w:trPr>
          <w:trHeight w:val="110"/>
        </w:trPr>
        <w:tc>
          <w:tcPr>
            <w:tcW w:w="1527" w:type="dxa"/>
            <w:vAlign w:val="center"/>
          </w:tcPr>
          <w:p w14:paraId="4D0C342D" w14:textId="77777777" w:rsidR="001E6397" w:rsidRPr="00630310" w:rsidRDefault="001E6397" w:rsidP="00DF3145">
            <w:pPr>
              <w:pStyle w:val="Default"/>
              <w:rPr>
                <w:lang w:val="fr-CI"/>
              </w:rPr>
            </w:pPr>
            <w:r w:rsidRPr="00630310">
              <w:rPr>
                <w:lang w:val="fr-CI"/>
              </w:rPr>
              <w:t>CCFS</w:t>
            </w:r>
          </w:p>
        </w:tc>
        <w:tc>
          <w:tcPr>
            <w:tcW w:w="277" w:type="dxa"/>
            <w:vAlign w:val="center"/>
          </w:tcPr>
          <w:p w14:paraId="683A8B78" w14:textId="77777777" w:rsidR="001E6397" w:rsidRPr="00630310" w:rsidRDefault="001E6397" w:rsidP="00DF3145">
            <w:pPr>
              <w:pStyle w:val="Default"/>
            </w:pPr>
            <w:r w:rsidRPr="00630310">
              <w:t>:</w:t>
            </w:r>
          </w:p>
        </w:tc>
        <w:tc>
          <w:tcPr>
            <w:tcW w:w="7783" w:type="dxa"/>
            <w:vAlign w:val="center"/>
          </w:tcPr>
          <w:p w14:paraId="290574BB" w14:textId="77777777" w:rsidR="001E6397" w:rsidRPr="00630310" w:rsidRDefault="001E6397" w:rsidP="00DF3145">
            <w:pPr>
              <w:pStyle w:val="Default"/>
              <w:rPr>
                <w:lang w:val="fr-CI"/>
              </w:rPr>
            </w:pPr>
            <w:r w:rsidRPr="00630310">
              <w:rPr>
                <w:bCs/>
                <w:iCs/>
              </w:rPr>
              <w:t>Comité de coordination du financement de la Santé</w:t>
            </w:r>
          </w:p>
        </w:tc>
      </w:tr>
      <w:tr w:rsidR="001E6397" w:rsidRPr="00630310" w14:paraId="37E94871" w14:textId="77777777" w:rsidTr="00DF3145">
        <w:trPr>
          <w:trHeight w:val="110"/>
        </w:trPr>
        <w:tc>
          <w:tcPr>
            <w:tcW w:w="1527" w:type="dxa"/>
            <w:vAlign w:val="center"/>
          </w:tcPr>
          <w:p w14:paraId="4CB711E7" w14:textId="77777777" w:rsidR="001E6397" w:rsidRPr="00630310" w:rsidRDefault="001E6397" w:rsidP="00DF3145">
            <w:pPr>
              <w:pStyle w:val="Default"/>
            </w:pPr>
            <w:r w:rsidRPr="00630310">
              <w:t xml:space="preserve">CDMT </w:t>
            </w:r>
          </w:p>
        </w:tc>
        <w:tc>
          <w:tcPr>
            <w:tcW w:w="277" w:type="dxa"/>
            <w:vAlign w:val="center"/>
          </w:tcPr>
          <w:p w14:paraId="2636A12A" w14:textId="77777777" w:rsidR="001E6397" w:rsidRPr="00630310" w:rsidRDefault="001E6397" w:rsidP="00DF3145">
            <w:pPr>
              <w:pStyle w:val="Default"/>
            </w:pPr>
            <w:r w:rsidRPr="00630310">
              <w:t xml:space="preserve">: </w:t>
            </w:r>
          </w:p>
        </w:tc>
        <w:tc>
          <w:tcPr>
            <w:tcW w:w="7783" w:type="dxa"/>
            <w:vAlign w:val="center"/>
          </w:tcPr>
          <w:p w14:paraId="18D17E5C" w14:textId="77777777" w:rsidR="001E6397" w:rsidRPr="00630310" w:rsidRDefault="001E6397" w:rsidP="00DF3145">
            <w:pPr>
              <w:pStyle w:val="Default"/>
            </w:pPr>
            <w:r w:rsidRPr="00630310">
              <w:t xml:space="preserve">Cadre de dépense à moyen terme </w:t>
            </w:r>
          </w:p>
        </w:tc>
      </w:tr>
      <w:tr w:rsidR="001E6397" w:rsidRPr="00630310" w14:paraId="69ECB7C6" w14:textId="77777777" w:rsidTr="00DF3145">
        <w:trPr>
          <w:trHeight w:val="110"/>
        </w:trPr>
        <w:tc>
          <w:tcPr>
            <w:tcW w:w="1527" w:type="dxa"/>
            <w:vAlign w:val="center"/>
          </w:tcPr>
          <w:p w14:paraId="0B8CF9A9" w14:textId="77777777" w:rsidR="001E6397" w:rsidRPr="00630310" w:rsidRDefault="001E6397" w:rsidP="00DF3145">
            <w:pPr>
              <w:pStyle w:val="Default"/>
            </w:pPr>
            <w:r w:rsidRPr="00630310">
              <w:t xml:space="preserve">CHR </w:t>
            </w:r>
          </w:p>
        </w:tc>
        <w:tc>
          <w:tcPr>
            <w:tcW w:w="277" w:type="dxa"/>
            <w:vAlign w:val="center"/>
          </w:tcPr>
          <w:p w14:paraId="3A527D5F" w14:textId="77777777" w:rsidR="001E6397" w:rsidRPr="00630310" w:rsidRDefault="001E6397" w:rsidP="00DF3145">
            <w:pPr>
              <w:pStyle w:val="Default"/>
            </w:pPr>
            <w:r w:rsidRPr="00630310">
              <w:t xml:space="preserve">: </w:t>
            </w:r>
          </w:p>
        </w:tc>
        <w:tc>
          <w:tcPr>
            <w:tcW w:w="7783" w:type="dxa"/>
            <w:vAlign w:val="center"/>
          </w:tcPr>
          <w:p w14:paraId="09A0691A" w14:textId="77777777" w:rsidR="001E6397" w:rsidRPr="00630310" w:rsidRDefault="001E6397" w:rsidP="00DF3145">
            <w:pPr>
              <w:pStyle w:val="Default"/>
            </w:pPr>
            <w:r w:rsidRPr="00630310">
              <w:t xml:space="preserve">Centre hospitalier régional </w:t>
            </w:r>
          </w:p>
        </w:tc>
      </w:tr>
      <w:tr w:rsidR="001E6397" w:rsidRPr="00630310" w14:paraId="0F00541E" w14:textId="77777777" w:rsidTr="00DF3145">
        <w:trPr>
          <w:trHeight w:val="110"/>
        </w:trPr>
        <w:tc>
          <w:tcPr>
            <w:tcW w:w="1527" w:type="dxa"/>
            <w:vAlign w:val="center"/>
          </w:tcPr>
          <w:p w14:paraId="39532303" w14:textId="77777777" w:rsidR="001E6397" w:rsidRPr="00630310" w:rsidRDefault="001E6397" w:rsidP="00DF3145">
            <w:pPr>
              <w:pStyle w:val="Default"/>
            </w:pPr>
            <w:r w:rsidRPr="00630310">
              <w:t xml:space="preserve">CHU </w:t>
            </w:r>
          </w:p>
        </w:tc>
        <w:tc>
          <w:tcPr>
            <w:tcW w:w="277" w:type="dxa"/>
            <w:vAlign w:val="center"/>
          </w:tcPr>
          <w:p w14:paraId="4572FC23" w14:textId="77777777" w:rsidR="001E6397" w:rsidRPr="00630310" w:rsidRDefault="001E6397" w:rsidP="00DF3145">
            <w:pPr>
              <w:pStyle w:val="Default"/>
            </w:pPr>
            <w:r w:rsidRPr="00630310">
              <w:t xml:space="preserve">: </w:t>
            </w:r>
          </w:p>
        </w:tc>
        <w:tc>
          <w:tcPr>
            <w:tcW w:w="7783" w:type="dxa"/>
            <w:vAlign w:val="center"/>
          </w:tcPr>
          <w:p w14:paraId="673FA095" w14:textId="77777777" w:rsidR="001E6397" w:rsidRPr="00630310" w:rsidRDefault="001E6397" w:rsidP="00DF3145">
            <w:pPr>
              <w:pStyle w:val="Default"/>
            </w:pPr>
            <w:r w:rsidRPr="00630310">
              <w:t xml:space="preserve">Centre hospitalier universitaire </w:t>
            </w:r>
          </w:p>
        </w:tc>
      </w:tr>
      <w:tr w:rsidR="001E6397" w:rsidRPr="00630310" w14:paraId="1977BA6D" w14:textId="77777777" w:rsidTr="00DF3145">
        <w:trPr>
          <w:trHeight w:val="110"/>
        </w:trPr>
        <w:tc>
          <w:tcPr>
            <w:tcW w:w="1527" w:type="dxa"/>
            <w:vAlign w:val="center"/>
          </w:tcPr>
          <w:p w14:paraId="1AA7AA2A" w14:textId="77777777" w:rsidR="001E6397" w:rsidRPr="00630310" w:rsidRDefault="001E6397" w:rsidP="00DF3145">
            <w:pPr>
              <w:pStyle w:val="Default"/>
            </w:pPr>
            <w:r w:rsidRPr="00630310">
              <w:t>CNP-PPP</w:t>
            </w:r>
          </w:p>
        </w:tc>
        <w:tc>
          <w:tcPr>
            <w:tcW w:w="277" w:type="dxa"/>
            <w:vAlign w:val="center"/>
          </w:tcPr>
          <w:p w14:paraId="2D37C7A1" w14:textId="77777777" w:rsidR="001E6397" w:rsidRPr="00630310" w:rsidRDefault="001E6397" w:rsidP="00DF3145">
            <w:pPr>
              <w:pStyle w:val="Default"/>
            </w:pPr>
            <w:r w:rsidRPr="00630310">
              <w:t>:</w:t>
            </w:r>
          </w:p>
        </w:tc>
        <w:tc>
          <w:tcPr>
            <w:tcW w:w="7783" w:type="dxa"/>
            <w:vAlign w:val="center"/>
          </w:tcPr>
          <w:p w14:paraId="4FF23212" w14:textId="77777777" w:rsidR="001E6397" w:rsidRPr="00630310" w:rsidRDefault="001E6397" w:rsidP="00DF3145">
            <w:pPr>
              <w:pStyle w:val="Default"/>
            </w:pPr>
            <w:r w:rsidRPr="00630310">
              <w:t>Comité national de pilotage du partenariat public privé</w:t>
            </w:r>
          </w:p>
        </w:tc>
      </w:tr>
      <w:tr w:rsidR="001E6397" w:rsidRPr="00630310" w14:paraId="0FFEA8F8" w14:textId="77777777" w:rsidTr="00DF3145">
        <w:trPr>
          <w:trHeight w:val="110"/>
        </w:trPr>
        <w:tc>
          <w:tcPr>
            <w:tcW w:w="1527" w:type="dxa"/>
            <w:vAlign w:val="center"/>
          </w:tcPr>
          <w:p w14:paraId="2137B1EE" w14:textId="77777777" w:rsidR="001E6397" w:rsidRPr="00630310" w:rsidRDefault="001E6397" w:rsidP="00DF3145">
            <w:pPr>
              <w:pStyle w:val="Default"/>
              <w:rPr>
                <w:lang w:val="fr-CI"/>
              </w:rPr>
            </w:pPr>
            <w:r w:rsidRPr="00630310">
              <w:rPr>
                <w:lang w:val="fr-CI"/>
              </w:rPr>
              <w:t>CPM</w:t>
            </w:r>
          </w:p>
        </w:tc>
        <w:tc>
          <w:tcPr>
            <w:tcW w:w="277" w:type="dxa"/>
            <w:vAlign w:val="center"/>
          </w:tcPr>
          <w:p w14:paraId="70B1B221" w14:textId="77777777" w:rsidR="001E6397" w:rsidRPr="00630310" w:rsidRDefault="001E6397" w:rsidP="00DF3145">
            <w:pPr>
              <w:pStyle w:val="Default"/>
            </w:pPr>
            <w:r w:rsidRPr="00630310">
              <w:t>:</w:t>
            </w:r>
          </w:p>
        </w:tc>
        <w:tc>
          <w:tcPr>
            <w:tcW w:w="7783" w:type="dxa"/>
            <w:vAlign w:val="center"/>
          </w:tcPr>
          <w:p w14:paraId="6C0B7E71" w14:textId="77777777" w:rsidR="001E6397" w:rsidRPr="00630310" w:rsidRDefault="001E6397" w:rsidP="00DF3145">
            <w:pPr>
              <w:pStyle w:val="Default"/>
            </w:pPr>
            <w:r w:rsidRPr="00630310">
              <w:rPr>
                <w:lang w:val="fr-CI"/>
              </w:rPr>
              <w:t>Contribution au poids de la mortalité des moins de 5 ans</w:t>
            </w:r>
          </w:p>
        </w:tc>
      </w:tr>
      <w:tr w:rsidR="001E6397" w:rsidRPr="00630310" w14:paraId="4F15C773" w14:textId="77777777" w:rsidTr="00DF3145">
        <w:trPr>
          <w:trHeight w:val="110"/>
        </w:trPr>
        <w:tc>
          <w:tcPr>
            <w:tcW w:w="1527" w:type="dxa"/>
            <w:vAlign w:val="center"/>
          </w:tcPr>
          <w:p w14:paraId="37A4E592" w14:textId="77777777" w:rsidR="001E6397" w:rsidRPr="00630310" w:rsidRDefault="001E6397" w:rsidP="00DF3145">
            <w:pPr>
              <w:pStyle w:val="Default"/>
            </w:pPr>
            <w:r w:rsidRPr="00630310">
              <w:t>CPN</w:t>
            </w:r>
          </w:p>
        </w:tc>
        <w:tc>
          <w:tcPr>
            <w:tcW w:w="277" w:type="dxa"/>
            <w:vAlign w:val="center"/>
          </w:tcPr>
          <w:p w14:paraId="4C07E3B6" w14:textId="77777777" w:rsidR="001E6397" w:rsidRPr="00630310" w:rsidRDefault="001E6397" w:rsidP="00DF3145">
            <w:pPr>
              <w:pStyle w:val="Default"/>
            </w:pPr>
          </w:p>
        </w:tc>
        <w:tc>
          <w:tcPr>
            <w:tcW w:w="7783" w:type="dxa"/>
            <w:vAlign w:val="center"/>
          </w:tcPr>
          <w:p w14:paraId="65B79681" w14:textId="77777777" w:rsidR="001E6397" w:rsidRPr="00630310" w:rsidRDefault="001E6397" w:rsidP="00DF3145">
            <w:pPr>
              <w:pStyle w:val="Default"/>
            </w:pPr>
            <w:r w:rsidRPr="00630310">
              <w:t xml:space="preserve">Consultation prénatale </w:t>
            </w:r>
          </w:p>
        </w:tc>
      </w:tr>
      <w:tr w:rsidR="001E6397" w:rsidRPr="00630310" w14:paraId="784F1061" w14:textId="77777777" w:rsidTr="00DF3145">
        <w:trPr>
          <w:trHeight w:val="110"/>
        </w:trPr>
        <w:tc>
          <w:tcPr>
            <w:tcW w:w="1527" w:type="dxa"/>
            <w:vAlign w:val="center"/>
          </w:tcPr>
          <w:p w14:paraId="119178E5" w14:textId="77777777" w:rsidR="001E6397" w:rsidRPr="00630310" w:rsidRDefault="001E6397" w:rsidP="00DF3145">
            <w:pPr>
              <w:pStyle w:val="Default"/>
            </w:pPr>
            <w:r w:rsidRPr="00630310">
              <w:t>CPoN</w:t>
            </w:r>
          </w:p>
        </w:tc>
        <w:tc>
          <w:tcPr>
            <w:tcW w:w="277" w:type="dxa"/>
            <w:vAlign w:val="center"/>
          </w:tcPr>
          <w:p w14:paraId="14D7B52C" w14:textId="77777777" w:rsidR="001E6397" w:rsidRPr="00630310" w:rsidRDefault="001E6397" w:rsidP="00DF3145">
            <w:pPr>
              <w:pStyle w:val="Default"/>
            </w:pPr>
          </w:p>
        </w:tc>
        <w:tc>
          <w:tcPr>
            <w:tcW w:w="7783" w:type="dxa"/>
            <w:vAlign w:val="center"/>
          </w:tcPr>
          <w:p w14:paraId="324E1381" w14:textId="77777777" w:rsidR="001E6397" w:rsidRPr="00630310" w:rsidRDefault="001E6397" w:rsidP="00DF3145">
            <w:pPr>
              <w:pStyle w:val="Default"/>
            </w:pPr>
            <w:r w:rsidRPr="00630310">
              <w:rPr>
                <w:rFonts w:eastAsiaTheme="majorEastAsia"/>
                <w:iCs/>
              </w:rPr>
              <w:t>Consultation post-natale</w:t>
            </w:r>
          </w:p>
        </w:tc>
      </w:tr>
      <w:tr w:rsidR="001E6397" w:rsidRPr="00630310" w14:paraId="32CB2158" w14:textId="77777777" w:rsidTr="00DF3145">
        <w:trPr>
          <w:trHeight w:val="110"/>
        </w:trPr>
        <w:tc>
          <w:tcPr>
            <w:tcW w:w="1527" w:type="dxa"/>
            <w:vAlign w:val="center"/>
          </w:tcPr>
          <w:p w14:paraId="0C345540" w14:textId="77777777" w:rsidR="001E6397" w:rsidRPr="00630310" w:rsidRDefault="001E6397" w:rsidP="00DF3145">
            <w:pPr>
              <w:pStyle w:val="Default"/>
            </w:pPr>
            <w:r w:rsidRPr="00630310">
              <w:t>CSR</w:t>
            </w:r>
          </w:p>
        </w:tc>
        <w:tc>
          <w:tcPr>
            <w:tcW w:w="277" w:type="dxa"/>
            <w:vAlign w:val="center"/>
          </w:tcPr>
          <w:p w14:paraId="4EB71D0A" w14:textId="77777777" w:rsidR="001E6397" w:rsidRPr="00630310" w:rsidRDefault="001E6397" w:rsidP="00DF3145">
            <w:pPr>
              <w:pStyle w:val="Default"/>
            </w:pPr>
            <w:r w:rsidRPr="00630310">
              <w:t>:</w:t>
            </w:r>
          </w:p>
        </w:tc>
        <w:tc>
          <w:tcPr>
            <w:tcW w:w="7783" w:type="dxa"/>
            <w:vAlign w:val="center"/>
          </w:tcPr>
          <w:p w14:paraId="61E1E997" w14:textId="77777777" w:rsidR="001E6397" w:rsidRPr="00630310" w:rsidRDefault="001E6397" w:rsidP="00DF3145">
            <w:pPr>
              <w:pStyle w:val="Default"/>
            </w:pPr>
            <w:r w:rsidRPr="00630310">
              <w:rPr>
                <w:lang w:val="fr-CI"/>
              </w:rPr>
              <w:t>Centre de santé rural</w:t>
            </w:r>
          </w:p>
        </w:tc>
      </w:tr>
      <w:tr w:rsidR="001E6397" w:rsidRPr="00630310" w14:paraId="62FC4F22" w14:textId="77777777" w:rsidTr="00DF3145">
        <w:trPr>
          <w:trHeight w:val="110"/>
        </w:trPr>
        <w:tc>
          <w:tcPr>
            <w:tcW w:w="1527" w:type="dxa"/>
            <w:vAlign w:val="center"/>
          </w:tcPr>
          <w:p w14:paraId="35CAFE7E" w14:textId="77777777" w:rsidR="001E6397" w:rsidRPr="00630310" w:rsidRDefault="001E6397" w:rsidP="00DF3145">
            <w:pPr>
              <w:pStyle w:val="Default"/>
            </w:pPr>
            <w:r w:rsidRPr="00630310">
              <w:t>CSU</w:t>
            </w:r>
          </w:p>
        </w:tc>
        <w:tc>
          <w:tcPr>
            <w:tcW w:w="277" w:type="dxa"/>
            <w:vAlign w:val="center"/>
          </w:tcPr>
          <w:p w14:paraId="4791F33A" w14:textId="77777777" w:rsidR="001E6397" w:rsidRPr="00630310" w:rsidRDefault="001E6397" w:rsidP="00DF3145">
            <w:pPr>
              <w:pStyle w:val="Default"/>
            </w:pPr>
            <w:r w:rsidRPr="00630310">
              <w:t>:</w:t>
            </w:r>
          </w:p>
        </w:tc>
        <w:tc>
          <w:tcPr>
            <w:tcW w:w="7783" w:type="dxa"/>
            <w:vAlign w:val="center"/>
          </w:tcPr>
          <w:p w14:paraId="452CCE8A" w14:textId="77777777" w:rsidR="001E6397" w:rsidRPr="00630310" w:rsidRDefault="001E6397" w:rsidP="00DF3145">
            <w:pPr>
              <w:pStyle w:val="Default"/>
            </w:pPr>
            <w:r w:rsidRPr="00630310">
              <w:rPr>
                <w:lang w:val="fr-CI"/>
              </w:rPr>
              <w:t>Centre de santé urbain</w:t>
            </w:r>
          </w:p>
        </w:tc>
      </w:tr>
      <w:tr w:rsidR="001E6397" w:rsidRPr="00630310" w14:paraId="6D65A2EB" w14:textId="77777777" w:rsidTr="00DF3145">
        <w:trPr>
          <w:trHeight w:val="110"/>
        </w:trPr>
        <w:tc>
          <w:tcPr>
            <w:tcW w:w="1527" w:type="dxa"/>
            <w:vAlign w:val="center"/>
          </w:tcPr>
          <w:p w14:paraId="0474C4BD" w14:textId="77777777" w:rsidR="001E6397" w:rsidRPr="00630310" w:rsidRDefault="001E6397" w:rsidP="00DF3145">
            <w:pPr>
              <w:pStyle w:val="Default"/>
            </w:pPr>
            <w:r w:rsidRPr="00630310">
              <w:t xml:space="preserve">DAF </w:t>
            </w:r>
          </w:p>
        </w:tc>
        <w:tc>
          <w:tcPr>
            <w:tcW w:w="277" w:type="dxa"/>
            <w:vAlign w:val="center"/>
          </w:tcPr>
          <w:p w14:paraId="0EAC4408" w14:textId="77777777" w:rsidR="001E6397" w:rsidRPr="00630310" w:rsidRDefault="001E6397" w:rsidP="00DF3145">
            <w:pPr>
              <w:pStyle w:val="Default"/>
            </w:pPr>
            <w:r w:rsidRPr="00630310">
              <w:t xml:space="preserve">: </w:t>
            </w:r>
          </w:p>
        </w:tc>
        <w:tc>
          <w:tcPr>
            <w:tcW w:w="7783" w:type="dxa"/>
            <w:vAlign w:val="center"/>
          </w:tcPr>
          <w:p w14:paraId="01BA9152" w14:textId="77777777" w:rsidR="001E6397" w:rsidRPr="00630310" w:rsidRDefault="001E6397" w:rsidP="00DF3145">
            <w:pPr>
              <w:pStyle w:val="Default"/>
            </w:pPr>
            <w:r w:rsidRPr="00630310">
              <w:t>Direction de</w:t>
            </w:r>
            <w:r>
              <w:t>s</w:t>
            </w:r>
            <w:r w:rsidRPr="00630310">
              <w:t xml:space="preserve"> </w:t>
            </w:r>
            <w:r>
              <w:t>affaires financières</w:t>
            </w:r>
          </w:p>
        </w:tc>
      </w:tr>
      <w:tr w:rsidR="001E6397" w:rsidRPr="00630310" w14:paraId="457D8052" w14:textId="77777777" w:rsidTr="00DF3145">
        <w:trPr>
          <w:trHeight w:val="110"/>
        </w:trPr>
        <w:tc>
          <w:tcPr>
            <w:tcW w:w="1527" w:type="dxa"/>
            <w:vAlign w:val="center"/>
          </w:tcPr>
          <w:p w14:paraId="6F28110C" w14:textId="77777777" w:rsidR="001E6397" w:rsidRPr="00630310" w:rsidRDefault="001E6397" w:rsidP="00DF3145">
            <w:pPr>
              <w:pStyle w:val="Default"/>
              <w:rPr>
                <w:lang w:val="fr-CI"/>
              </w:rPr>
            </w:pPr>
            <w:r w:rsidRPr="00630310">
              <w:rPr>
                <w:lang w:val="fr-CI"/>
              </w:rPr>
              <w:t>DDS</w:t>
            </w:r>
          </w:p>
        </w:tc>
        <w:tc>
          <w:tcPr>
            <w:tcW w:w="277" w:type="dxa"/>
            <w:vAlign w:val="center"/>
          </w:tcPr>
          <w:p w14:paraId="6F22FE0E" w14:textId="77777777" w:rsidR="001E6397" w:rsidRPr="00630310" w:rsidRDefault="001E6397" w:rsidP="00DF3145">
            <w:pPr>
              <w:pStyle w:val="Default"/>
            </w:pPr>
            <w:r w:rsidRPr="00630310">
              <w:t>::</w:t>
            </w:r>
          </w:p>
        </w:tc>
        <w:tc>
          <w:tcPr>
            <w:tcW w:w="7783" w:type="dxa"/>
            <w:vAlign w:val="center"/>
          </w:tcPr>
          <w:p w14:paraId="2C79534D" w14:textId="77777777" w:rsidR="001E6397" w:rsidRPr="00630310" w:rsidRDefault="001E6397" w:rsidP="00DF3145">
            <w:pPr>
              <w:pStyle w:val="Default"/>
            </w:pPr>
            <w:r w:rsidRPr="00630310">
              <w:t>Direction départementale de la santé</w:t>
            </w:r>
          </w:p>
        </w:tc>
      </w:tr>
      <w:tr w:rsidR="001E6397" w:rsidRPr="00630310" w14:paraId="00B96ABA" w14:textId="77777777" w:rsidTr="00DF3145">
        <w:trPr>
          <w:trHeight w:val="110"/>
        </w:trPr>
        <w:tc>
          <w:tcPr>
            <w:tcW w:w="1527" w:type="dxa"/>
            <w:vAlign w:val="center"/>
          </w:tcPr>
          <w:p w14:paraId="7AB0B156" w14:textId="77777777" w:rsidR="001E6397" w:rsidRPr="00630310" w:rsidRDefault="001E6397" w:rsidP="00DF3145">
            <w:pPr>
              <w:pStyle w:val="Default"/>
            </w:pPr>
            <w:r w:rsidRPr="00630310">
              <w:t>DEPS</w:t>
            </w:r>
          </w:p>
        </w:tc>
        <w:tc>
          <w:tcPr>
            <w:tcW w:w="277" w:type="dxa"/>
            <w:vAlign w:val="center"/>
          </w:tcPr>
          <w:p w14:paraId="6790317E" w14:textId="77777777" w:rsidR="001E6397" w:rsidRPr="00630310" w:rsidRDefault="001E6397" w:rsidP="00DF3145">
            <w:pPr>
              <w:pStyle w:val="Default"/>
            </w:pPr>
            <w:r w:rsidRPr="00630310">
              <w:t>:</w:t>
            </w:r>
          </w:p>
        </w:tc>
        <w:tc>
          <w:tcPr>
            <w:tcW w:w="7783" w:type="dxa"/>
            <w:vAlign w:val="center"/>
          </w:tcPr>
          <w:p w14:paraId="21C7955A" w14:textId="77777777" w:rsidR="001E6397" w:rsidRPr="00630310" w:rsidRDefault="001E6397" w:rsidP="00DF3145">
            <w:pPr>
              <w:pStyle w:val="Default"/>
            </w:pPr>
            <w:r w:rsidRPr="00630310">
              <w:t>Direction des établissements et professions sanitaires</w:t>
            </w:r>
          </w:p>
        </w:tc>
      </w:tr>
      <w:tr w:rsidR="001E6397" w:rsidRPr="00630310" w14:paraId="78BEF4A8" w14:textId="77777777" w:rsidTr="00DF3145">
        <w:trPr>
          <w:trHeight w:val="110"/>
        </w:trPr>
        <w:tc>
          <w:tcPr>
            <w:tcW w:w="1527" w:type="dxa"/>
            <w:vAlign w:val="center"/>
          </w:tcPr>
          <w:p w14:paraId="64400A8E" w14:textId="77777777" w:rsidR="001E6397" w:rsidRPr="00630310" w:rsidRDefault="001E6397" w:rsidP="00DF3145">
            <w:pPr>
              <w:pStyle w:val="Default"/>
            </w:pPr>
            <w:r w:rsidRPr="00630310">
              <w:t xml:space="preserve">DGS </w:t>
            </w:r>
          </w:p>
        </w:tc>
        <w:tc>
          <w:tcPr>
            <w:tcW w:w="277" w:type="dxa"/>
            <w:vAlign w:val="center"/>
          </w:tcPr>
          <w:p w14:paraId="07E1D124" w14:textId="77777777" w:rsidR="001E6397" w:rsidRPr="00630310" w:rsidRDefault="001E6397" w:rsidP="00DF3145">
            <w:pPr>
              <w:pStyle w:val="Default"/>
            </w:pPr>
            <w:r w:rsidRPr="00630310">
              <w:t xml:space="preserve">: </w:t>
            </w:r>
          </w:p>
        </w:tc>
        <w:tc>
          <w:tcPr>
            <w:tcW w:w="7783" w:type="dxa"/>
            <w:vAlign w:val="center"/>
          </w:tcPr>
          <w:p w14:paraId="7D211210" w14:textId="77777777" w:rsidR="001E6397" w:rsidRPr="00630310" w:rsidRDefault="001E6397" w:rsidP="00DF3145">
            <w:pPr>
              <w:pStyle w:val="Default"/>
            </w:pPr>
            <w:r w:rsidRPr="00630310">
              <w:t xml:space="preserve">Direction générale de la santé </w:t>
            </w:r>
          </w:p>
        </w:tc>
      </w:tr>
      <w:tr w:rsidR="001E6397" w:rsidRPr="00630310" w14:paraId="75CEC0EF" w14:textId="77777777" w:rsidTr="00DF3145">
        <w:trPr>
          <w:trHeight w:val="110"/>
        </w:trPr>
        <w:tc>
          <w:tcPr>
            <w:tcW w:w="1527" w:type="dxa"/>
            <w:vAlign w:val="center"/>
          </w:tcPr>
          <w:p w14:paraId="50BCD32E" w14:textId="77777777" w:rsidR="001E6397" w:rsidRPr="00630310" w:rsidRDefault="001E6397" w:rsidP="00DF3145">
            <w:pPr>
              <w:pStyle w:val="Default"/>
            </w:pPr>
            <w:r w:rsidRPr="00630310">
              <w:t>DPML</w:t>
            </w:r>
          </w:p>
        </w:tc>
        <w:tc>
          <w:tcPr>
            <w:tcW w:w="277" w:type="dxa"/>
            <w:vAlign w:val="center"/>
          </w:tcPr>
          <w:p w14:paraId="76FE792E" w14:textId="77777777" w:rsidR="001E6397" w:rsidRPr="00630310" w:rsidRDefault="001E6397" w:rsidP="00DF3145">
            <w:pPr>
              <w:pStyle w:val="Default"/>
            </w:pPr>
            <w:r w:rsidRPr="00630310">
              <w:t>:</w:t>
            </w:r>
          </w:p>
        </w:tc>
        <w:tc>
          <w:tcPr>
            <w:tcW w:w="7783" w:type="dxa"/>
            <w:vAlign w:val="center"/>
          </w:tcPr>
          <w:p w14:paraId="1B7BC204" w14:textId="77777777" w:rsidR="001E6397" w:rsidRPr="00630310" w:rsidRDefault="001E6397" w:rsidP="00DF3145">
            <w:pPr>
              <w:pStyle w:val="Default"/>
            </w:pPr>
            <w:r w:rsidRPr="00630310">
              <w:t>Direction de la pharmacie, du médicament et des laboratoires</w:t>
            </w:r>
          </w:p>
        </w:tc>
      </w:tr>
      <w:tr w:rsidR="001E6397" w:rsidRPr="00630310" w14:paraId="6F37FF43" w14:textId="77777777" w:rsidTr="00DF3145">
        <w:trPr>
          <w:trHeight w:val="110"/>
        </w:trPr>
        <w:tc>
          <w:tcPr>
            <w:tcW w:w="1527" w:type="dxa"/>
            <w:vAlign w:val="center"/>
          </w:tcPr>
          <w:p w14:paraId="17CC747B" w14:textId="77777777" w:rsidR="001E6397" w:rsidRPr="00630310" w:rsidRDefault="001E6397" w:rsidP="00DF3145">
            <w:pPr>
              <w:pStyle w:val="Default"/>
            </w:pPr>
            <w:r w:rsidRPr="00630310">
              <w:t xml:space="preserve">DRS </w:t>
            </w:r>
          </w:p>
        </w:tc>
        <w:tc>
          <w:tcPr>
            <w:tcW w:w="277" w:type="dxa"/>
            <w:vAlign w:val="center"/>
          </w:tcPr>
          <w:p w14:paraId="199D5CA4" w14:textId="77777777" w:rsidR="001E6397" w:rsidRPr="00630310" w:rsidRDefault="001E6397" w:rsidP="00DF3145">
            <w:pPr>
              <w:pStyle w:val="Default"/>
            </w:pPr>
            <w:r w:rsidRPr="00630310">
              <w:t xml:space="preserve">: </w:t>
            </w:r>
          </w:p>
        </w:tc>
        <w:tc>
          <w:tcPr>
            <w:tcW w:w="7783" w:type="dxa"/>
            <w:vAlign w:val="center"/>
          </w:tcPr>
          <w:p w14:paraId="44F7BDC5" w14:textId="77777777" w:rsidR="001E6397" w:rsidRPr="00630310" w:rsidRDefault="001E6397" w:rsidP="00DF3145">
            <w:pPr>
              <w:pStyle w:val="Default"/>
            </w:pPr>
            <w:r w:rsidRPr="00630310">
              <w:t xml:space="preserve">Direction régionale de santé </w:t>
            </w:r>
          </w:p>
        </w:tc>
      </w:tr>
      <w:tr w:rsidR="001E6397" w:rsidRPr="00630310" w14:paraId="50CE6096" w14:textId="77777777" w:rsidTr="00DF3145">
        <w:trPr>
          <w:trHeight w:val="110"/>
        </w:trPr>
        <w:tc>
          <w:tcPr>
            <w:tcW w:w="1527" w:type="dxa"/>
            <w:vAlign w:val="center"/>
          </w:tcPr>
          <w:p w14:paraId="52489F3B" w14:textId="77777777" w:rsidR="001E6397" w:rsidRPr="00630310" w:rsidRDefault="001E6397" w:rsidP="00DF3145">
            <w:pPr>
              <w:pStyle w:val="Default"/>
            </w:pPr>
            <w:r w:rsidRPr="00630310">
              <w:t xml:space="preserve">ECD </w:t>
            </w:r>
          </w:p>
        </w:tc>
        <w:tc>
          <w:tcPr>
            <w:tcW w:w="277" w:type="dxa"/>
            <w:vAlign w:val="center"/>
          </w:tcPr>
          <w:p w14:paraId="471177DE" w14:textId="77777777" w:rsidR="001E6397" w:rsidRPr="00630310" w:rsidRDefault="001E6397" w:rsidP="00DF3145">
            <w:pPr>
              <w:pStyle w:val="Default"/>
            </w:pPr>
            <w:r w:rsidRPr="00630310">
              <w:t xml:space="preserve">: </w:t>
            </w:r>
          </w:p>
        </w:tc>
        <w:tc>
          <w:tcPr>
            <w:tcW w:w="7783" w:type="dxa"/>
            <w:vAlign w:val="center"/>
          </w:tcPr>
          <w:p w14:paraId="04306CE6" w14:textId="77777777" w:rsidR="001E6397" w:rsidRPr="00630310" w:rsidRDefault="001E6397" w:rsidP="00DF3145">
            <w:pPr>
              <w:pStyle w:val="Default"/>
            </w:pPr>
            <w:r w:rsidRPr="00630310">
              <w:t xml:space="preserve">Equipe cadre de district </w:t>
            </w:r>
          </w:p>
        </w:tc>
      </w:tr>
      <w:tr w:rsidR="001E6397" w:rsidRPr="00630310" w14:paraId="0F424A80" w14:textId="77777777" w:rsidTr="00DF3145">
        <w:trPr>
          <w:trHeight w:val="110"/>
        </w:trPr>
        <w:tc>
          <w:tcPr>
            <w:tcW w:w="1527" w:type="dxa"/>
            <w:vAlign w:val="center"/>
          </w:tcPr>
          <w:p w14:paraId="185C3AB4" w14:textId="77777777" w:rsidR="001E6397" w:rsidRPr="00630310" w:rsidRDefault="001E6397" w:rsidP="00DF3145">
            <w:pPr>
              <w:pStyle w:val="Default"/>
            </w:pPr>
            <w:r w:rsidRPr="00630310">
              <w:t xml:space="preserve">EDS </w:t>
            </w:r>
          </w:p>
        </w:tc>
        <w:tc>
          <w:tcPr>
            <w:tcW w:w="277" w:type="dxa"/>
            <w:vAlign w:val="center"/>
          </w:tcPr>
          <w:p w14:paraId="2544C78F" w14:textId="77777777" w:rsidR="001E6397" w:rsidRPr="00630310" w:rsidRDefault="001E6397" w:rsidP="00DF3145">
            <w:pPr>
              <w:pStyle w:val="Default"/>
            </w:pPr>
            <w:r w:rsidRPr="00630310">
              <w:t xml:space="preserve">: </w:t>
            </w:r>
          </w:p>
        </w:tc>
        <w:tc>
          <w:tcPr>
            <w:tcW w:w="7783" w:type="dxa"/>
            <w:vAlign w:val="center"/>
          </w:tcPr>
          <w:p w14:paraId="5AA88D51" w14:textId="77777777" w:rsidR="001E6397" w:rsidRPr="00630310" w:rsidRDefault="001E6397" w:rsidP="00DF3145">
            <w:pPr>
              <w:pStyle w:val="Default"/>
            </w:pPr>
            <w:r w:rsidRPr="00630310">
              <w:t xml:space="preserve">Enquête démographique et de santé </w:t>
            </w:r>
          </w:p>
        </w:tc>
      </w:tr>
      <w:tr w:rsidR="001E6397" w:rsidRPr="00630310" w14:paraId="015DFDB8" w14:textId="77777777" w:rsidTr="00DF3145">
        <w:trPr>
          <w:trHeight w:val="110"/>
        </w:trPr>
        <w:tc>
          <w:tcPr>
            <w:tcW w:w="1527" w:type="dxa"/>
            <w:vAlign w:val="center"/>
          </w:tcPr>
          <w:p w14:paraId="7D30BD74" w14:textId="77777777" w:rsidR="001E6397" w:rsidRPr="00630310" w:rsidRDefault="001E6397" w:rsidP="00DF3145">
            <w:pPr>
              <w:pStyle w:val="Default"/>
            </w:pPr>
            <w:r w:rsidRPr="00630310">
              <w:rPr>
                <w:bCs/>
              </w:rPr>
              <w:t>ENAP</w:t>
            </w:r>
          </w:p>
        </w:tc>
        <w:tc>
          <w:tcPr>
            <w:tcW w:w="277" w:type="dxa"/>
            <w:vAlign w:val="center"/>
          </w:tcPr>
          <w:p w14:paraId="51E10ABE" w14:textId="77777777" w:rsidR="001E6397" w:rsidRPr="00630310" w:rsidRDefault="001E6397" w:rsidP="00DF3145">
            <w:pPr>
              <w:pStyle w:val="Default"/>
            </w:pPr>
            <w:r w:rsidRPr="00630310">
              <w:t>:</w:t>
            </w:r>
          </w:p>
        </w:tc>
        <w:tc>
          <w:tcPr>
            <w:tcW w:w="7783" w:type="dxa"/>
            <w:vAlign w:val="center"/>
          </w:tcPr>
          <w:p w14:paraId="416601C0" w14:textId="77777777" w:rsidR="001E6397" w:rsidRPr="00630310" w:rsidRDefault="001E6397" w:rsidP="00DF3145">
            <w:pPr>
              <w:pStyle w:val="Default"/>
            </w:pPr>
          </w:p>
        </w:tc>
      </w:tr>
      <w:tr w:rsidR="001E6397" w:rsidRPr="00630310" w14:paraId="7A3621A8" w14:textId="77777777" w:rsidTr="00DF3145">
        <w:trPr>
          <w:trHeight w:val="110"/>
        </w:trPr>
        <w:tc>
          <w:tcPr>
            <w:tcW w:w="1527" w:type="dxa"/>
            <w:vAlign w:val="center"/>
          </w:tcPr>
          <w:p w14:paraId="0DDB1C97" w14:textId="77777777" w:rsidR="001E6397" w:rsidRPr="00630310" w:rsidRDefault="001E6397" w:rsidP="00DF3145">
            <w:pPr>
              <w:pStyle w:val="Default"/>
            </w:pPr>
            <w:r w:rsidRPr="00630310">
              <w:t>ESEC</w:t>
            </w:r>
          </w:p>
        </w:tc>
        <w:tc>
          <w:tcPr>
            <w:tcW w:w="277" w:type="dxa"/>
            <w:vAlign w:val="center"/>
          </w:tcPr>
          <w:p w14:paraId="29E48ECC" w14:textId="77777777" w:rsidR="001E6397" w:rsidRPr="00630310" w:rsidRDefault="001E6397" w:rsidP="00DF3145">
            <w:pPr>
              <w:pStyle w:val="Default"/>
            </w:pPr>
          </w:p>
        </w:tc>
        <w:tc>
          <w:tcPr>
            <w:tcW w:w="7783" w:type="dxa"/>
            <w:vAlign w:val="center"/>
          </w:tcPr>
          <w:p w14:paraId="4046E118" w14:textId="77777777" w:rsidR="001E6397" w:rsidRPr="00630310" w:rsidRDefault="001E6397" w:rsidP="00DF3145">
            <w:pPr>
              <w:pStyle w:val="Default"/>
            </w:pPr>
            <w:r w:rsidRPr="00630310">
              <w:t>Enregistrement et statistiques d’état civil</w:t>
            </w:r>
          </w:p>
        </w:tc>
      </w:tr>
      <w:tr w:rsidR="001E6397" w:rsidRPr="00630310" w14:paraId="226E482D" w14:textId="77777777" w:rsidTr="00DF3145">
        <w:trPr>
          <w:trHeight w:val="110"/>
        </w:trPr>
        <w:tc>
          <w:tcPr>
            <w:tcW w:w="1527" w:type="dxa"/>
            <w:vAlign w:val="center"/>
          </w:tcPr>
          <w:p w14:paraId="09B61A94" w14:textId="77777777" w:rsidR="001E6397" w:rsidRPr="00630310" w:rsidRDefault="001E6397" w:rsidP="00DF3145">
            <w:pPr>
              <w:pStyle w:val="Default"/>
            </w:pPr>
            <w:r w:rsidRPr="00630310">
              <w:t>ESPC</w:t>
            </w:r>
          </w:p>
        </w:tc>
        <w:tc>
          <w:tcPr>
            <w:tcW w:w="277" w:type="dxa"/>
            <w:vAlign w:val="center"/>
          </w:tcPr>
          <w:p w14:paraId="2A264CA6" w14:textId="77777777" w:rsidR="001E6397" w:rsidRPr="00630310" w:rsidRDefault="001E6397" w:rsidP="00DF3145">
            <w:pPr>
              <w:pStyle w:val="Default"/>
            </w:pPr>
            <w:r w:rsidRPr="00630310">
              <w:t xml:space="preserve">: </w:t>
            </w:r>
          </w:p>
        </w:tc>
        <w:tc>
          <w:tcPr>
            <w:tcW w:w="7783" w:type="dxa"/>
            <w:vAlign w:val="center"/>
          </w:tcPr>
          <w:p w14:paraId="1A574E94" w14:textId="77777777" w:rsidR="001E6397" w:rsidRPr="00630310" w:rsidRDefault="001E6397" w:rsidP="00DF3145">
            <w:pPr>
              <w:pStyle w:val="Default"/>
            </w:pPr>
            <w:r w:rsidRPr="00630310">
              <w:rPr>
                <w:lang w:val="fr-CI"/>
              </w:rPr>
              <w:t>Etablissements Sanitaires de Primaire Contact</w:t>
            </w:r>
          </w:p>
        </w:tc>
      </w:tr>
      <w:tr w:rsidR="001E6397" w:rsidRPr="00630310" w14:paraId="454A5B94" w14:textId="77777777" w:rsidTr="00DF3145">
        <w:trPr>
          <w:trHeight w:val="110"/>
        </w:trPr>
        <w:tc>
          <w:tcPr>
            <w:tcW w:w="1527" w:type="dxa"/>
            <w:vAlign w:val="center"/>
          </w:tcPr>
          <w:p w14:paraId="7BD3B9F7" w14:textId="77777777" w:rsidR="001E6397" w:rsidRPr="00630310" w:rsidRDefault="001E6397" w:rsidP="00DF3145">
            <w:pPr>
              <w:pStyle w:val="Default"/>
            </w:pPr>
            <w:r w:rsidRPr="00630310">
              <w:t>FCFA</w:t>
            </w:r>
          </w:p>
        </w:tc>
        <w:tc>
          <w:tcPr>
            <w:tcW w:w="277" w:type="dxa"/>
            <w:vAlign w:val="center"/>
          </w:tcPr>
          <w:p w14:paraId="04922DD9" w14:textId="77777777" w:rsidR="001E6397" w:rsidRPr="00630310" w:rsidRDefault="001E6397" w:rsidP="00DF3145">
            <w:pPr>
              <w:pStyle w:val="Default"/>
            </w:pPr>
            <w:r w:rsidRPr="00630310">
              <w:t>:</w:t>
            </w:r>
          </w:p>
        </w:tc>
        <w:tc>
          <w:tcPr>
            <w:tcW w:w="7783" w:type="dxa"/>
            <w:vAlign w:val="center"/>
          </w:tcPr>
          <w:p w14:paraId="76F58DB5" w14:textId="77777777" w:rsidR="001E6397" w:rsidRPr="00630310" w:rsidRDefault="001E6397" w:rsidP="00DF3145">
            <w:pPr>
              <w:pStyle w:val="Default"/>
            </w:pPr>
            <w:r w:rsidRPr="00630310">
              <w:t>Franc de la communauté financière africaine</w:t>
            </w:r>
          </w:p>
        </w:tc>
      </w:tr>
      <w:tr w:rsidR="001E6397" w:rsidRPr="00630310" w14:paraId="1B87940A" w14:textId="77777777" w:rsidTr="00DF3145">
        <w:trPr>
          <w:trHeight w:val="110"/>
        </w:trPr>
        <w:tc>
          <w:tcPr>
            <w:tcW w:w="1527" w:type="dxa"/>
            <w:vAlign w:val="center"/>
          </w:tcPr>
          <w:p w14:paraId="50A81C4C" w14:textId="77777777" w:rsidR="001E6397" w:rsidRPr="00630310" w:rsidRDefault="001E6397" w:rsidP="00DF3145">
            <w:pPr>
              <w:pStyle w:val="Default"/>
            </w:pPr>
            <w:r w:rsidRPr="00630310">
              <w:t>FMI</w:t>
            </w:r>
          </w:p>
        </w:tc>
        <w:tc>
          <w:tcPr>
            <w:tcW w:w="277" w:type="dxa"/>
            <w:vAlign w:val="center"/>
          </w:tcPr>
          <w:p w14:paraId="5C528026" w14:textId="77777777" w:rsidR="001E6397" w:rsidRPr="00630310" w:rsidRDefault="001E6397" w:rsidP="00DF3145">
            <w:pPr>
              <w:pStyle w:val="Default"/>
            </w:pPr>
          </w:p>
        </w:tc>
        <w:tc>
          <w:tcPr>
            <w:tcW w:w="7783" w:type="dxa"/>
            <w:vAlign w:val="center"/>
          </w:tcPr>
          <w:p w14:paraId="640B2B43" w14:textId="77777777" w:rsidR="001E6397" w:rsidRPr="00630310" w:rsidRDefault="001E6397" w:rsidP="00DF3145">
            <w:pPr>
              <w:pStyle w:val="Default"/>
            </w:pPr>
            <w:r w:rsidRPr="00630310">
              <w:t xml:space="preserve">Fonds monétaire international </w:t>
            </w:r>
          </w:p>
        </w:tc>
      </w:tr>
      <w:tr w:rsidR="001E6397" w:rsidRPr="00630310" w14:paraId="3FDB3347" w14:textId="77777777" w:rsidTr="00DF3145">
        <w:trPr>
          <w:trHeight w:val="110"/>
        </w:trPr>
        <w:tc>
          <w:tcPr>
            <w:tcW w:w="1527" w:type="dxa"/>
            <w:vAlign w:val="center"/>
          </w:tcPr>
          <w:p w14:paraId="3B471049" w14:textId="77777777" w:rsidR="001E6397" w:rsidRPr="00630310" w:rsidRDefault="001E6397" w:rsidP="00DF3145">
            <w:pPr>
              <w:pStyle w:val="Default"/>
            </w:pPr>
            <w:r w:rsidRPr="00630310">
              <w:t xml:space="preserve">GFF </w:t>
            </w:r>
          </w:p>
        </w:tc>
        <w:tc>
          <w:tcPr>
            <w:tcW w:w="277" w:type="dxa"/>
            <w:vAlign w:val="center"/>
          </w:tcPr>
          <w:p w14:paraId="30489364" w14:textId="77777777" w:rsidR="001E6397" w:rsidRPr="00630310" w:rsidRDefault="001E6397" w:rsidP="00DF3145">
            <w:pPr>
              <w:pStyle w:val="Default"/>
            </w:pPr>
            <w:r w:rsidRPr="00630310">
              <w:t xml:space="preserve">: </w:t>
            </w:r>
          </w:p>
        </w:tc>
        <w:tc>
          <w:tcPr>
            <w:tcW w:w="7783" w:type="dxa"/>
            <w:vAlign w:val="center"/>
          </w:tcPr>
          <w:p w14:paraId="6B4B391E" w14:textId="77777777" w:rsidR="001E6397" w:rsidRPr="00630310" w:rsidRDefault="001E6397" w:rsidP="00DF3145">
            <w:pPr>
              <w:pStyle w:val="Default"/>
            </w:pPr>
            <w:r w:rsidRPr="00630310">
              <w:t xml:space="preserve">Global Financing Facilities </w:t>
            </w:r>
          </w:p>
        </w:tc>
      </w:tr>
      <w:tr w:rsidR="001E6397" w:rsidRPr="00630310" w14:paraId="2B970CF1" w14:textId="77777777" w:rsidTr="00DF3145">
        <w:trPr>
          <w:trHeight w:val="110"/>
        </w:trPr>
        <w:tc>
          <w:tcPr>
            <w:tcW w:w="1527" w:type="dxa"/>
            <w:vAlign w:val="center"/>
          </w:tcPr>
          <w:p w14:paraId="574AFC8A" w14:textId="77777777" w:rsidR="001E6397" w:rsidRPr="00630310" w:rsidRDefault="001E6397" w:rsidP="00DF3145">
            <w:pPr>
              <w:pStyle w:val="Default"/>
            </w:pPr>
            <w:r w:rsidRPr="00630310">
              <w:t>HG</w:t>
            </w:r>
          </w:p>
        </w:tc>
        <w:tc>
          <w:tcPr>
            <w:tcW w:w="277" w:type="dxa"/>
            <w:vAlign w:val="center"/>
          </w:tcPr>
          <w:p w14:paraId="72C71A7D" w14:textId="77777777" w:rsidR="001E6397" w:rsidRPr="00630310" w:rsidRDefault="001E6397" w:rsidP="00DF3145">
            <w:pPr>
              <w:pStyle w:val="Default"/>
            </w:pPr>
            <w:r w:rsidRPr="00630310">
              <w:t>:</w:t>
            </w:r>
          </w:p>
        </w:tc>
        <w:tc>
          <w:tcPr>
            <w:tcW w:w="7783" w:type="dxa"/>
            <w:vAlign w:val="center"/>
          </w:tcPr>
          <w:p w14:paraId="5B501DE0" w14:textId="77777777" w:rsidR="001E6397" w:rsidRPr="00630310" w:rsidRDefault="001E6397" w:rsidP="00DF3145">
            <w:pPr>
              <w:pStyle w:val="Default"/>
            </w:pPr>
            <w:r w:rsidRPr="00630310">
              <w:t>Hôpital Général</w:t>
            </w:r>
          </w:p>
        </w:tc>
      </w:tr>
      <w:tr w:rsidR="001E6397" w:rsidRPr="00630310" w14:paraId="48897085" w14:textId="77777777" w:rsidTr="00DF3145">
        <w:trPr>
          <w:trHeight w:val="110"/>
        </w:trPr>
        <w:tc>
          <w:tcPr>
            <w:tcW w:w="1527" w:type="dxa"/>
            <w:vAlign w:val="center"/>
          </w:tcPr>
          <w:p w14:paraId="5CD848F9" w14:textId="77777777" w:rsidR="001E6397" w:rsidRPr="00630310" w:rsidRDefault="001E6397" w:rsidP="00DF3145">
            <w:pPr>
              <w:pStyle w:val="Default"/>
            </w:pPr>
            <w:r w:rsidRPr="00630310">
              <w:t xml:space="preserve">IDH </w:t>
            </w:r>
          </w:p>
        </w:tc>
        <w:tc>
          <w:tcPr>
            <w:tcW w:w="277" w:type="dxa"/>
            <w:vAlign w:val="center"/>
          </w:tcPr>
          <w:p w14:paraId="707466F9" w14:textId="77777777" w:rsidR="001E6397" w:rsidRPr="00630310" w:rsidRDefault="001E6397" w:rsidP="00DF3145">
            <w:pPr>
              <w:pStyle w:val="Default"/>
            </w:pPr>
            <w:r w:rsidRPr="00630310">
              <w:t xml:space="preserve">: </w:t>
            </w:r>
          </w:p>
        </w:tc>
        <w:tc>
          <w:tcPr>
            <w:tcW w:w="7783" w:type="dxa"/>
            <w:vAlign w:val="center"/>
          </w:tcPr>
          <w:p w14:paraId="3C9F5B96" w14:textId="77777777" w:rsidR="001E6397" w:rsidRPr="00630310" w:rsidRDefault="001E6397" w:rsidP="00DF3145">
            <w:pPr>
              <w:pStyle w:val="Default"/>
            </w:pPr>
            <w:r w:rsidRPr="00630310">
              <w:t xml:space="preserve">Indice de développement humain </w:t>
            </w:r>
          </w:p>
        </w:tc>
      </w:tr>
      <w:tr w:rsidR="001E6397" w:rsidRPr="00630310" w14:paraId="3B29AB09" w14:textId="77777777" w:rsidTr="00DF3145">
        <w:trPr>
          <w:trHeight w:val="110"/>
        </w:trPr>
        <w:tc>
          <w:tcPr>
            <w:tcW w:w="1527" w:type="dxa"/>
            <w:vAlign w:val="center"/>
          </w:tcPr>
          <w:p w14:paraId="5BAE6ECA" w14:textId="77777777" w:rsidR="001E6397" w:rsidRPr="00630310" w:rsidRDefault="001E6397" w:rsidP="00DF3145">
            <w:pPr>
              <w:pStyle w:val="Default"/>
            </w:pPr>
            <w:r w:rsidRPr="00630310">
              <w:t>IMC</w:t>
            </w:r>
          </w:p>
        </w:tc>
        <w:tc>
          <w:tcPr>
            <w:tcW w:w="277" w:type="dxa"/>
            <w:vAlign w:val="center"/>
          </w:tcPr>
          <w:p w14:paraId="4DDD185E" w14:textId="77777777" w:rsidR="001E6397" w:rsidRPr="00630310" w:rsidRDefault="001E6397" w:rsidP="00DF3145">
            <w:pPr>
              <w:pStyle w:val="Default"/>
            </w:pPr>
            <w:r w:rsidRPr="00630310">
              <w:t>:</w:t>
            </w:r>
          </w:p>
        </w:tc>
        <w:tc>
          <w:tcPr>
            <w:tcW w:w="7783" w:type="dxa"/>
            <w:vAlign w:val="center"/>
          </w:tcPr>
          <w:p w14:paraId="35FCB7F3" w14:textId="77777777" w:rsidR="001E6397" w:rsidRPr="00630310" w:rsidRDefault="001E6397" w:rsidP="00DF3145">
            <w:pPr>
              <w:pStyle w:val="Default"/>
            </w:pPr>
            <w:r>
              <w:t>Indice de masse corporelle</w:t>
            </w:r>
          </w:p>
        </w:tc>
      </w:tr>
      <w:tr w:rsidR="001E6397" w:rsidRPr="00630310" w14:paraId="0BACF14D" w14:textId="77777777" w:rsidTr="00DF3145">
        <w:trPr>
          <w:trHeight w:val="110"/>
        </w:trPr>
        <w:tc>
          <w:tcPr>
            <w:tcW w:w="1527" w:type="dxa"/>
            <w:vAlign w:val="center"/>
          </w:tcPr>
          <w:p w14:paraId="4893563B" w14:textId="77777777" w:rsidR="001E6397" w:rsidRPr="00630310" w:rsidRDefault="001E6397" w:rsidP="00DF3145">
            <w:pPr>
              <w:pStyle w:val="Default"/>
            </w:pPr>
            <w:r w:rsidRPr="00630310">
              <w:t>INS</w:t>
            </w:r>
          </w:p>
        </w:tc>
        <w:tc>
          <w:tcPr>
            <w:tcW w:w="277" w:type="dxa"/>
            <w:vAlign w:val="center"/>
          </w:tcPr>
          <w:p w14:paraId="575FE6BB" w14:textId="77777777" w:rsidR="001E6397" w:rsidRPr="00630310" w:rsidRDefault="001E6397" w:rsidP="00DF3145">
            <w:pPr>
              <w:pStyle w:val="Default"/>
            </w:pPr>
          </w:p>
        </w:tc>
        <w:tc>
          <w:tcPr>
            <w:tcW w:w="7783" w:type="dxa"/>
            <w:vAlign w:val="center"/>
          </w:tcPr>
          <w:p w14:paraId="152370D9" w14:textId="77777777" w:rsidR="001E6397" w:rsidRPr="00630310" w:rsidRDefault="001E6397" w:rsidP="00DF3145">
            <w:pPr>
              <w:pStyle w:val="Default"/>
            </w:pPr>
            <w:r w:rsidRPr="00630310">
              <w:t>Institut national de la statistique</w:t>
            </w:r>
          </w:p>
        </w:tc>
      </w:tr>
      <w:tr w:rsidR="001E6397" w:rsidRPr="00630310" w14:paraId="6EBAB479" w14:textId="77777777" w:rsidTr="00DF3145">
        <w:trPr>
          <w:trHeight w:val="110"/>
        </w:trPr>
        <w:tc>
          <w:tcPr>
            <w:tcW w:w="1527" w:type="dxa"/>
            <w:vAlign w:val="center"/>
          </w:tcPr>
          <w:p w14:paraId="04B1E0DB" w14:textId="77777777" w:rsidR="001E6397" w:rsidRPr="00630310" w:rsidRDefault="001E6397" w:rsidP="00DF3145">
            <w:pPr>
              <w:pStyle w:val="Default"/>
              <w:rPr>
                <w:lang w:val="fr-CI"/>
              </w:rPr>
            </w:pPr>
            <w:r w:rsidRPr="00630310">
              <w:rPr>
                <w:lang w:val="fr-CI"/>
              </w:rPr>
              <w:t>IP</w:t>
            </w:r>
          </w:p>
        </w:tc>
        <w:tc>
          <w:tcPr>
            <w:tcW w:w="277" w:type="dxa"/>
            <w:vAlign w:val="center"/>
          </w:tcPr>
          <w:p w14:paraId="370BE8C8" w14:textId="77777777" w:rsidR="001E6397" w:rsidRPr="00630310" w:rsidRDefault="001E6397" w:rsidP="00DF3145">
            <w:pPr>
              <w:pStyle w:val="Default"/>
            </w:pPr>
            <w:r w:rsidRPr="00630310">
              <w:t>:</w:t>
            </w:r>
          </w:p>
        </w:tc>
        <w:tc>
          <w:tcPr>
            <w:tcW w:w="7783" w:type="dxa"/>
            <w:vAlign w:val="center"/>
          </w:tcPr>
          <w:p w14:paraId="5EEE1579" w14:textId="77777777" w:rsidR="001E6397" w:rsidRPr="00630310" w:rsidRDefault="001E6397" w:rsidP="00DF3145">
            <w:pPr>
              <w:pStyle w:val="Default"/>
            </w:pPr>
            <w:r w:rsidRPr="00630310">
              <w:rPr>
                <w:lang w:val="fr-CI"/>
              </w:rPr>
              <w:t>Indice de pauvreté des ménages par régions</w:t>
            </w:r>
          </w:p>
        </w:tc>
      </w:tr>
      <w:tr w:rsidR="001E6397" w:rsidRPr="00630310" w14:paraId="465B11A1" w14:textId="77777777" w:rsidTr="00DF3145">
        <w:trPr>
          <w:trHeight w:val="110"/>
        </w:trPr>
        <w:tc>
          <w:tcPr>
            <w:tcW w:w="1527" w:type="dxa"/>
            <w:vAlign w:val="center"/>
          </w:tcPr>
          <w:p w14:paraId="0BAA66EB" w14:textId="77777777" w:rsidR="001E6397" w:rsidRPr="00630310" w:rsidRDefault="001E6397" w:rsidP="00DF3145">
            <w:pPr>
              <w:pStyle w:val="Default"/>
            </w:pPr>
            <w:r w:rsidRPr="00630310">
              <w:t>IRA</w:t>
            </w:r>
          </w:p>
        </w:tc>
        <w:tc>
          <w:tcPr>
            <w:tcW w:w="277" w:type="dxa"/>
            <w:vAlign w:val="center"/>
          </w:tcPr>
          <w:p w14:paraId="233AFAA6" w14:textId="77777777" w:rsidR="001E6397" w:rsidRPr="00630310" w:rsidRDefault="001E6397" w:rsidP="00DF3145">
            <w:pPr>
              <w:pStyle w:val="Default"/>
            </w:pPr>
            <w:r w:rsidRPr="00630310">
              <w:t>:</w:t>
            </w:r>
          </w:p>
        </w:tc>
        <w:tc>
          <w:tcPr>
            <w:tcW w:w="7783" w:type="dxa"/>
            <w:vAlign w:val="center"/>
          </w:tcPr>
          <w:p w14:paraId="28AE6B67" w14:textId="77777777" w:rsidR="001E6397" w:rsidRPr="00630310" w:rsidRDefault="001E6397" w:rsidP="00DF3145">
            <w:pPr>
              <w:pStyle w:val="Default"/>
            </w:pPr>
            <w:r>
              <w:t xml:space="preserve">Infection respiratoire aigue </w:t>
            </w:r>
          </w:p>
        </w:tc>
      </w:tr>
      <w:tr w:rsidR="001E6397" w:rsidRPr="00630310" w14:paraId="4574A925" w14:textId="77777777" w:rsidTr="00DF3145">
        <w:trPr>
          <w:trHeight w:val="110"/>
        </w:trPr>
        <w:tc>
          <w:tcPr>
            <w:tcW w:w="1527" w:type="dxa"/>
            <w:vAlign w:val="center"/>
          </w:tcPr>
          <w:p w14:paraId="2EC024B5" w14:textId="77777777" w:rsidR="001E6397" w:rsidRPr="00630310" w:rsidRDefault="001E6397" w:rsidP="00DF3145">
            <w:pPr>
              <w:pStyle w:val="Default"/>
              <w:rPr>
                <w:lang w:val="fr-CI"/>
              </w:rPr>
            </w:pPr>
            <w:r w:rsidRPr="00630310">
              <w:rPr>
                <w:lang w:val="fr-CI"/>
              </w:rPr>
              <w:t>MAB</w:t>
            </w:r>
          </w:p>
        </w:tc>
        <w:tc>
          <w:tcPr>
            <w:tcW w:w="277" w:type="dxa"/>
            <w:vAlign w:val="center"/>
          </w:tcPr>
          <w:p w14:paraId="1C4CF7B7" w14:textId="77777777" w:rsidR="001E6397" w:rsidRPr="00630310" w:rsidRDefault="001E6397" w:rsidP="00DF3145">
            <w:pPr>
              <w:pStyle w:val="Default"/>
            </w:pPr>
            <w:r w:rsidRPr="00630310">
              <w:t>:</w:t>
            </w:r>
          </w:p>
        </w:tc>
        <w:tc>
          <w:tcPr>
            <w:tcW w:w="7783" w:type="dxa"/>
            <w:vAlign w:val="center"/>
          </w:tcPr>
          <w:p w14:paraId="4FC7F7A7" w14:textId="77777777" w:rsidR="001E6397" w:rsidRPr="00630310" w:rsidRDefault="001E6397" w:rsidP="00DF3145">
            <w:pPr>
              <w:pStyle w:val="Default"/>
              <w:rPr>
                <w:lang w:val="fr-CI"/>
              </w:rPr>
            </w:pPr>
            <w:r w:rsidRPr="00630310">
              <w:rPr>
                <w:lang w:val="fr-CI"/>
              </w:rPr>
              <w:t>Méthodologie d’allocation budgétaire</w:t>
            </w:r>
          </w:p>
        </w:tc>
      </w:tr>
      <w:tr w:rsidR="001E6397" w:rsidRPr="00630310" w14:paraId="56B1AF23" w14:textId="77777777" w:rsidTr="00DF3145">
        <w:trPr>
          <w:trHeight w:val="110"/>
        </w:trPr>
        <w:tc>
          <w:tcPr>
            <w:tcW w:w="1527" w:type="dxa"/>
            <w:vAlign w:val="center"/>
          </w:tcPr>
          <w:p w14:paraId="2789C45D" w14:textId="77777777" w:rsidR="001E6397" w:rsidRPr="00630310" w:rsidRDefault="001E6397" w:rsidP="00DF3145">
            <w:pPr>
              <w:pStyle w:val="Default"/>
            </w:pPr>
            <w:r w:rsidRPr="00630310">
              <w:t xml:space="preserve">MAS </w:t>
            </w:r>
          </w:p>
        </w:tc>
        <w:tc>
          <w:tcPr>
            <w:tcW w:w="277" w:type="dxa"/>
            <w:vAlign w:val="center"/>
          </w:tcPr>
          <w:p w14:paraId="6B3EE80B" w14:textId="77777777" w:rsidR="001E6397" w:rsidRPr="00630310" w:rsidRDefault="001E6397" w:rsidP="00DF3145">
            <w:pPr>
              <w:pStyle w:val="Default"/>
            </w:pPr>
            <w:r w:rsidRPr="00630310">
              <w:t xml:space="preserve">: </w:t>
            </w:r>
          </w:p>
        </w:tc>
        <w:tc>
          <w:tcPr>
            <w:tcW w:w="7783" w:type="dxa"/>
            <w:vAlign w:val="center"/>
          </w:tcPr>
          <w:p w14:paraId="6758DA0A" w14:textId="77777777" w:rsidR="001E6397" w:rsidRPr="00630310" w:rsidRDefault="001E6397" w:rsidP="00DF3145">
            <w:pPr>
              <w:pStyle w:val="Default"/>
            </w:pPr>
            <w:r w:rsidRPr="00630310">
              <w:t xml:space="preserve">Malnutrition aigüe sévère </w:t>
            </w:r>
          </w:p>
        </w:tc>
      </w:tr>
      <w:tr w:rsidR="001E6397" w:rsidRPr="00630310" w14:paraId="13D2A154" w14:textId="77777777" w:rsidTr="00DF3145">
        <w:trPr>
          <w:trHeight w:val="110"/>
        </w:trPr>
        <w:tc>
          <w:tcPr>
            <w:tcW w:w="1527" w:type="dxa"/>
            <w:vAlign w:val="center"/>
          </w:tcPr>
          <w:p w14:paraId="7998B511" w14:textId="77777777" w:rsidR="001E6397" w:rsidRPr="00630310" w:rsidRDefault="001E6397" w:rsidP="00DF3145">
            <w:pPr>
              <w:pStyle w:val="Default"/>
            </w:pPr>
            <w:r w:rsidRPr="00630310">
              <w:t>MICS</w:t>
            </w:r>
          </w:p>
        </w:tc>
        <w:tc>
          <w:tcPr>
            <w:tcW w:w="277" w:type="dxa"/>
            <w:vAlign w:val="center"/>
          </w:tcPr>
          <w:p w14:paraId="726747D5" w14:textId="77777777" w:rsidR="001E6397" w:rsidRPr="00630310" w:rsidRDefault="001E6397" w:rsidP="00DF3145">
            <w:pPr>
              <w:pStyle w:val="Default"/>
            </w:pPr>
            <w:r w:rsidRPr="00630310">
              <w:t>:</w:t>
            </w:r>
          </w:p>
        </w:tc>
        <w:tc>
          <w:tcPr>
            <w:tcW w:w="7783" w:type="dxa"/>
            <w:vAlign w:val="center"/>
          </w:tcPr>
          <w:p w14:paraId="7F3B9D8D" w14:textId="77777777" w:rsidR="001E6397" w:rsidRPr="00630310" w:rsidRDefault="001E6397" w:rsidP="00DF3145">
            <w:pPr>
              <w:pStyle w:val="Default"/>
            </w:pPr>
            <w:r w:rsidRPr="00630310">
              <w:t xml:space="preserve">Multiple Indicator Cluster Survey </w:t>
            </w:r>
          </w:p>
          <w:p w14:paraId="2D182F12" w14:textId="77777777" w:rsidR="001E6397" w:rsidRPr="00630310" w:rsidRDefault="001E6397" w:rsidP="00DF3145">
            <w:pPr>
              <w:pStyle w:val="Default"/>
            </w:pPr>
            <w:r w:rsidRPr="00630310">
              <w:t>(Enquête par grappe à indicateurs multiples)</w:t>
            </w:r>
          </w:p>
        </w:tc>
      </w:tr>
      <w:tr w:rsidR="001E6397" w:rsidRPr="00630310" w14:paraId="6E5E537B" w14:textId="77777777" w:rsidTr="00DF3145">
        <w:trPr>
          <w:trHeight w:val="110"/>
        </w:trPr>
        <w:tc>
          <w:tcPr>
            <w:tcW w:w="1527" w:type="dxa"/>
            <w:vAlign w:val="center"/>
          </w:tcPr>
          <w:p w14:paraId="1283DA8D" w14:textId="77777777" w:rsidR="001E6397" w:rsidRPr="00630310" w:rsidRDefault="001E6397" w:rsidP="00DF3145">
            <w:pPr>
              <w:pStyle w:val="Default"/>
            </w:pPr>
            <w:r w:rsidRPr="00630310">
              <w:t>MSHP</w:t>
            </w:r>
          </w:p>
        </w:tc>
        <w:tc>
          <w:tcPr>
            <w:tcW w:w="277" w:type="dxa"/>
            <w:vAlign w:val="center"/>
          </w:tcPr>
          <w:p w14:paraId="67640E30" w14:textId="77777777" w:rsidR="001E6397" w:rsidRPr="00630310" w:rsidRDefault="001E6397" w:rsidP="00DF3145">
            <w:pPr>
              <w:pStyle w:val="Default"/>
            </w:pPr>
            <w:r w:rsidRPr="00630310">
              <w:t xml:space="preserve">: </w:t>
            </w:r>
          </w:p>
        </w:tc>
        <w:tc>
          <w:tcPr>
            <w:tcW w:w="7783" w:type="dxa"/>
            <w:vAlign w:val="center"/>
          </w:tcPr>
          <w:p w14:paraId="048145C5" w14:textId="77777777" w:rsidR="001E6397" w:rsidRPr="00630310" w:rsidRDefault="001E6397" w:rsidP="00DF3145">
            <w:pPr>
              <w:pStyle w:val="Default"/>
            </w:pPr>
            <w:r w:rsidRPr="00630310">
              <w:t>Ministère de la Santé et de l’Hygiène Publique</w:t>
            </w:r>
          </w:p>
        </w:tc>
      </w:tr>
      <w:tr w:rsidR="001E6397" w:rsidRPr="00630310" w14:paraId="3D232F2C" w14:textId="77777777" w:rsidTr="00DF3145">
        <w:trPr>
          <w:trHeight w:val="110"/>
        </w:trPr>
        <w:tc>
          <w:tcPr>
            <w:tcW w:w="1527" w:type="dxa"/>
            <w:vAlign w:val="center"/>
          </w:tcPr>
          <w:p w14:paraId="33B58960" w14:textId="77777777" w:rsidR="001E6397" w:rsidRPr="00630310" w:rsidRDefault="001E6397" w:rsidP="00DF3145">
            <w:pPr>
              <w:pStyle w:val="Default"/>
            </w:pPr>
            <w:r w:rsidRPr="00630310">
              <w:t>NPSP</w:t>
            </w:r>
          </w:p>
        </w:tc>
        <w:tc>
          <w:tcPr>
            <w:tcW w:w="277" w:type="dxa"/>
            <w:vAlign w:val="center"/>
          </w:tcPr>
          <w:p w14:paraId="5663ECBC" w14:textId="77777777" w:rsidR="001E6397" w:rsidRPr="00630310" w:rsidRDefault="001E6397" w:rsidP="00DF3145">
            <w:pPr>
              <w:pStyle w:val="Default"/>
            </w:pPr>
            <w:r w:rsidRPr="00630310">
              <w:t>:</w:t>
            </w:r>
          </w:p>
        </w:tc>
        <w:tc>
          <w:tcPr>
            <w:tcW w:w="7783" w:type="dxa"/>
            <w:vAlign w:val="center"/>
          </w:tcPr>
          <w:p w14:paraId="527DBF5D" w14:textId="77777777" w:rsidR="001E6397" w:rsidRPr="00630310" w:rsidRDefault="001E6397" w:rsidP="00DF3145">
            <w:pPr>
              <w:pStyle w:val="Default"/>
            </w:pPr>
            <w:r w:rsidRPr="00630310">
              <w:t>Nouvelle Pharmacie de la Santé Publique</w:t>
            </w:r>
          </w:p>
        </w:tc>
      </w:tr>
      <w:tr w:rsidR="001E6397" w:rsidRPr="00630310" w14:paraId="765CB7DE" w14:textId="77777777" w:rsidTr="00DF3145">
        <w:trPr>
          <w:trHeight w:val="110"/>
        </w:trPr>
        <w:tc>
          <w:tcPr>
            <w:tcW w:w="1527" w:type="dxa"/>
            <w:vAlign w:val="center"/>
          </w:tcPr>
          <w:p w14:paraId="09D58367" w14:textId="77777777" w:rsidR="001E6397" w:rsidRPr="00630310" w:rsidRDefault="001E6397" w:rsidP="00DF3145">
            <w:pPr>
              <w:pStyle w:val="Default"/>
            </w:pPr>
            <w:r w:rsidRPr="00630310">
              <w:t>NV</w:t>
            </w:r>
          </w:p>
        </w:tc>
        <w:tc>
          <w:tcPr>
            <w:tcW w:w="277" w:type="dxa"/>
            <w:vAlign w:val="center"/>
          </w:tcPr>
          <w:p w14:paraId="5F1EC6C8" w14:textId="77777777" w:rsidR="001E6397" w:rsidRPr="00630310" w:rsidRDefault="001E6397" w:rsidP="00DF3145">
            <w:pPr>
              <w:pStyle w:val="Default"/>
            </w:pPr>
            <w:r w:rsidRPr="00630310">
              <w:t>:</w:t>
            </w:r>
          </w:p>
        </w:tc>
        <w:tc>
          <w:tcPr>
            <w:tcW w:w="7783" w:type="dxa"/>
            <w:vAlign w:val="center"/>
          </w:tcPr>
          <w:p w14:paraId="3ABCC19F" w14:textId="77777777" w:rsidR="001E6397" w:rsidRPr="00630310" w:rsidRDefault="001E6397" w:rsidP="00DF3145">
            <w:pPr>
              <w:pStyle w:val="Default"/>
            </w:pPr>
            <w:r w:rsidRPr="00630310">
              <w:t>Naissance vivante</w:t>
            </w:r>
          </w:p>
        </w:tc>
      </w:tr>
      <w:tr w:rsidR="001E6397" w:rsidRPr="00630310" w14:paraId="2EC75A2D" w14:textId="77777777" w:rsidTr="00DF3145">
        <w:trPr>
          <w:trHeight w:val="110"/>
        </w:trPr>
        <w:tc>
          <w:tcPr>
            <w:tcW w:w="1527" w:type="dxa"/>
            <w:vAlign w:val="center"/>
          </w:tcPr>
          <w:p w14:paraId="5E06A7F2" w14:textId="77777777" w:rsidR="001E6397" w:rsidRPr="00630310" w:rsidRDefault="001E6397" w:rsidP="00DF3145">
            <w:pPr>
              <w:pStyle w:val="Default"/>
            </w:pPr>
            <w:r w:rsidRPr="00630310">
              <w:t xml:space="preserve">ODD </w:t>
            </w:r>
          </w:p>
        </w:tc>
        <w:tc>
          <w:tcPr>
            <w:tcW w:w="277" w:type="dxa"/>
            <w:vAlign w:val="center"/>
          </w:tcPr>
          <w:p w14:paraId="4065E91F" w14:textId="77777777" w:rsidR="001E6397" w:rsidRPr="00630310" w:rsidRDefault="001E6397" w:rsidP="00DF3145">
            <w:pPr>
              <w:pStyle w:val="Default"/>
            </w:pPr>
            <w:r w:rsidRPr="00630310">
              <w:t xml:space="preserve">: </w:t>
            </w:r>
          </w:p>
        </w:tc>
        <w:tc>
          <w:tcPr>
            <w:tcW w:w="7783" w:type="dxa"/>
            <w:vAlign w:val="center"/>
          </w:tcPr>
          <w:p w14:paraId="20AD2DEB" w14:textId="77777777" w:rsidR="001E6397" w:rsidRPr="00630310" w:rsidRDefault="001E6397" w:rsidP="00DF3145">
            <w:pPr>
              <w:pStyle w:val="Default"/>
            </w:pPr>
            <w:r w:rsidRPr="00630310">
              <w:t xml:space="preserve">Objectif de développement durable </w:t>
            </w:r>
          </w:p>
        </w:tc>
      </w:tr>
      <w:tr w:rsidR="001E6397" w:rsidRPr="00630310" w14:paraId="7429B5D1" w14:textId="77777777" w:rsidTr="00DF3145">
        <w:trPr>
          <w:trHeight w:val="110"/>
        </w:trPr>
        <w:tc>
          <w:tcPr>
            <w:tcW w:w="1527" w:type="dxa"/>
            <w:vAlign w:val="center"/>
          </w:tcPr>
          <w:p w14:paraId="30DB46F7" w14:textId="77777777" w:rsidR="001E6397" w:rsidRPr="00630310" w:rsidRDefault="001E6397" w:rsidP="00DF3145">
            <w:pPr>
              <w:pStyle w:val="Default"/>
            </w:pPr>
            <w:r w:rsidRPr="00630310">
              <w:lastRenderedPageBreak/>
              <w:t xml:space="preserve">OMD </w:t>
            </w:r>
          </w:p>
        </w:tc>
        <w:tc>
          <w:tcPr>
            <w:tcW w:w="277" w:type="dxa"/>
            <w:vAlign w:val="center"/>
          </w:tcPr>
          <w:p w14:paraId="673E4AAB" w14:textId="77777777" w:rsidR="001E6397" w:rsidRPr="00630310" w:rsidRDefault="001E6397" w:rsidP="00DF3145">
            <w:pPr>
              <w:pStyle w:val="Default"/>
            </w:pPr>
            <w:r w:rsidRPr="00630310">
              <w:t xml:space="preserve">: </w:t>
            </w:r>
          </w:p>
        </w:tc>
        <w:tc>
          <w:tcPr>
            <w:tcW w:w="7783" w:type="dxa"/>
            <w:vAlign w:val="center"/>
          </w:tcPr>
          <w:p w14:paraId="5BC37343" w14:textId="77777777" w:rsidR="001E6397" w:rsidRPr="00630310" w:rsidRDefault="001E6397" w:rsidP="00DF3145">
            <w:pPr>
              <w:pStyle w:val="Default"/>
            </w:pPr>
            <w:r w:rsidRPr="00630310">
              <w:t xml:space="preserve">Objectif du millénaire pour le développement </w:t>
            </w:r>
          </w:p>
        </w:tc>
      </w:tr>
      <w:tr w:rsidR="001E6397" w:rsidRPr="00630310" w14:paraId="3432E786" w14:textId="77777777" w:rsidTr="00DF3145">
        <w:trPr>
          <w:trHeight w:val="110"/>
        </w:trPr>
        <w:tc>
          <w:tcPr>
            <w:tcW w:w="1527" w:type="dxa"/>
            <w:vAlign w:val="center"/>
          </w:tcPr>
          <w:p w14:paraId="7F310304" w14:textId="77777777" w:rsidR="001E6397" w:rsidRPr="00630310" w:rsidRDefault="001E6397" w:rsidP="00DF3145">
            <w:pPr>
              <w:pStyle w:val="Default"/>
            </w:pPr>
            <w:r w:rsidRPr="00630310">
              <w:t xml:space="preserve">OMS </w:t>
            </w:r>
          </w:p>
        </w:tc>
        <w:tc>
          <w:tcPr>
            <w:tcW w:w="277" w:type="dxa"/>
            <w:vAlign w:val="center"/>
          </w:tcPr>
          <w:p w14:paraId="164DA678" w14:textId="77777777" w:rsidR="001E6397" w:rsidRPr="00630310" w:rsidRDefault="001E6397" w:rsidP="00DF3145">
            <w:pPr>
              <w:pStyle w:val="Default"/>
            </w:pPr>
            <w:r w:rsidRPr="00630310">
              <w:t xml:space="preserve">: </w:t>
            </w:r>
          </w:p>
        </w:tc>
        <w:tc>
          <w:tcPr>
            <w:tcW w:w="7783" w:type="dxa"/>
            <w:vAlign w:val="center"/>
          </w:tcPr>
          <w:p w14:paraId="3BF8005E" w14:textId="77777777" w:rsidR="001E6397" w:rsidRPr="00630310" w:rsidRDefault="001E6397" w:rsidP="00DF3145">
            <w:pPr>
              <w:pStyle w:val="Default"/>
            </w:pPr>
            <w:r w:rsidRPr="00630310">
              <w:t xml:space="preserve">Organisation mondiale de la santé </w:t>
            </w:r>
          </w:p>
        </w:tc>
      </w:tr>
      <w:tr w:rsidR="001E6397" w:rsidRPr="00630310" w14:paraId="0599F68E" w14:textId="77777777" w:rsidTr="00DF3145">
        <w:trPr>
          <w:trHeight w:val="110"/>
        </w:trPr>
        <w:tc>
          <w:tcPr>
            <w:tcW w:w="1527" w:type="dxa"/>
            <w:vAlign w:val="center"/>
          </w:tcPr>
          <w:p w14:paraId="1FE8BD33" w14:textId="77777777" w:rsidR="001E6397" w:rsidRPr="00630310" w:rsidRDefault="001E6397" w:rsidP="00DF3145">
            <w:pPr>
              <w:pStyle w:val="Default"/>
            </w:pPr>
            <w:r w:rsidRPr="00630310">
              <w:t xml:space="preserve">ONG </w:t>
            </w:r>
          </w:p>
        </w:tc>
        <w:tc>
          <w:tcPr>
            <w:tcW w:w="277" w:type="dxa"/>
            <w:vAlign w:val="center"/>
          </w:tcPr>
          <w:p w14:paraId="3EAF05E0" w14:textId="77777777" w:rsidR="001E6397" w:rsidRPr="00630310" w:rsidRDefault="001E6397" w:rsidP="00DF3145">
            <w:pPr>
              <w:pStyle w:val="Default"/>
            </w:pPr>
            <w:r w:rsidRPr="00630310">
              <w:t xml:space="preserve">: </w:t>
            </w:r>
          </w:p>
        </w:tc>
        <w:tc>
          <w:tcPr>
            <w:tcW w:w="7783" w:type="dxa"/>
            <w:vAlign w:val="center"/>
          </w:tcPr>
          <w:p w14:paraId="5B812CA1" w14:textId="77777777" w:rsidR="001E6397" w:rsidRPr="00630310" w:rsidRDefault="001E6397" w:rsidP="00DF3145">
            <w:pPr>
              <w:pStyle w:val="Default"/>
            </w:pPr>
            <w:r w:rsidRPr="00630310">
              <w:t xml:space="preserve">Organisation non gouvernementale </w:t>
            </w:r>
          </w:p>
        </w:tc>
      </w:tr>
      <w:tr w:rsidR="001E6397" w:rsidRPr="00630310" w14:paraId="0D84BB63" w14:textId="77777777" w:rsidTr="00DF3145">
        <w:trPr>
          <w:trHeight w:val="110"/>
        </w:trPr>
        <w:tc>
          <w:tcPr>
            <w:tcW w:w="1527" w:type="dxa"/>
            <w:vAlign w:val="center"/>
          </w:tcPr>
          <w:p w14:paraId="7E9465CC" w14:textId="77777777" w:rsidR="001E6397" w:rsidRPr="00630310" w:rsidRDefault="001E6397" w:rsidP="00DF3145">
            <w:pPr>
              <w:pStyle w:val="Default"/>
              <w:rPr>
                <w:lang w:val="fr-CI"/>
              </w:rPr>
            </w:pPr>
            <w:r w:rsidRPr="00630310">
              <w:rPr>
                <w:lang w:val="fr-CI"/>
              </w:rPr>
              <w:t>PAA</w:t>
            </w:r>
          </w:p>
        </w:tc>
        <w:tc>
          <w:tcPr>
            <w:tcW w:w="277" w:type="dxa"/>
            <w:vAlign w:val="center"/>
          </w:tcPr>
          <w:p w14:paraId="1E123680" w14:textId="77777777" w:rsidR="001E6397" w:rsidRPr="00630310" w:rsidRDefault="001E6397" w:rsidP="00DF3145">
            <w:pPr>
              <w:pStyle w:val="Default"/>
            </w:pPr>
            <w:r w:rsidRPr="00630310">
              <w:t>:</w:t>
            </w:r>
          </w:p>
        </w:tc>
        <w:tc>
          <w:tcPr>
            <w:tcW w:w="7783" w:type="dxa"/>
            <w:vAlign w:val="center"/>
          </w:tcPr>
          <w:p w14:paraId="3BC19BDA" w14:textId="77777777" w:rsidR="001E6397" w:rsidRPr="00630310" w:rsidRDefault="001E6397" w:rsidP="00DF3145">
            <w:pPr>
              <w:pStyle w:val="Default"/>
            </w:pPr>
            <w:r w:rsidRPr="00630310">
              <w:rPr>
                <w:lang w:val="fr-CI"/>
              </w:rPr>
              <w:t>Proportion d'accouchements assistés par personnel qualifié</w:t>
            </w:r>
          </w:p>
        </w:tc>
      </w:tr>
      <w:tr w:rsidR="001E6397" w:rsidRPr="00630310" w14:paraId="740040A5" w14:textId="77777777" w:rsidTr="00DF3145">
        <w:trPr>
          <w:trHeight w:val="110"/>
        </w:trPr>
        <w:tc>
          <w:tcPr>
            <w:tcW w:w="1527" w:type="dxa"/>
            <w:vAlign w:val="center"/>
          </w:tcPr>
          <w:p w14:paraId="3815797E" w14:textId="77777777" w:rsidR="001E6397" w:rsidRPr="00630310" w:rsidRDefault="001E6397" w:rsidP="00DF3145">
            <w:pPr>
              <w:pStyle w:val="Default"/>
            </w:pPr>
            <w:r w:rsidRPr="00630310">
              <w:t xml:space="preserve">PCA </w:t>
            </w:r>
          </w:p>
        </w:tc>
        <w:tc>
          <w:tcPr>
            <w:tcW w:w="277" w:type="dxa"/>
            <w:vAlign w:val="center"/>
          </w:tcPr>
          <w:p w14:paraId="2AE296EA" w14:textId="77777777" w:rsidR="001E6397" w:rsidRPr="00630310" w:rsidRDefault="001E6397" w:rsidP="00DF3145">
            <w:pPr>
              <w:pStyle w:val="Default"/>
            </w:pPr>
            <w:r w:rsidRPr="00630310">
              <w:t xml:space="preserve">: </w:t>
            </w:r>
          </w:p>
        </w:tc>
        <w:tc>
          <w:tcPr>
            <w:tcW w:w="7783" w:type="dxa"/>
            <w:vAlign w:val="center"/>
          </w:tcPr>
          <w:p w14:paraId="51C45511" w14:textId="77777777" w:rsidR="001E6397" w:rsidRPr="00630310" w:rsidRDefault="001E6397" w:rsidP="00DF3145">
            <w:pPr>
              <w:pStyle w:val="Default"/>
            </w:pPr>
            <w:r w:rsidRPr="00630310">
              <w:t xml:space="preserve">Paquet complémentaire d’activités </w:t>
            </w:r>
          </w:p>
        </w:tc>
      </w:tr>
      <w:tr w:rsidR="001E6397" w:rsidRPr="00630310" w14:paraId="6E7FCC7D" w14:textId="77777777" w:rsidTr="00DF3145">
        <w:trPr>
          <w:trHeight w:val="110"/>
        </w:trPr>
        <w:tc>
          <w:tcPr>
            <w:tcW w:w="1527" w:type="dxa"/>
            <w:vAlign w:val="center"/>
          </w:tcPr>
          <w:p w14:paraId="48BCE11E" w14:textId="77777777" w:rsidR="001E6397" w:rsidRPr="00630310" w:rsidRDefault="001E6397" w:rsidP="00DF3145">
            <w:pPr>
              <w:pStyle w:val="Default"/>
            </w:pPr>
            <w:r w:rsidRPr="00630310">
              <w:t xml:space="preserve">PCIMNE </w:t>
            </w:r>
          </w:p>
        </w:tc>
        <w:tc>
          <w:tcPr>
            <w:tcW w:w="277" w:type="dxa"/>
            <w:vAlign w:val="center"/>
          </w:tcPr>
          <w:p w14:paraId="11151A63" w14:textId="77777777" w:rsidR="001E6397" w:rsidRPr="00630310" w:rsidRDefault="001E6397" w:rsidP="00DF3145">
            <w:pPr>
              <w:pStyle w:val="Default"/>
            </w:pPr>
            <w:r w:rsidRPr="00630310">
              <w:t xml:space="preserve">: </w:t>
            </w:r>
          </w:p>
        </w:tc>
        <w:tc>
          <w:tcPr>
            <w:tcW w:w="7783" w:type="dxa"/>
            <w:vAlign w:val="center"/>
          </w:tcPr>
          <w:p w14:paraId="71A1FD50" w14:textId="77777777" w:rsidR="001E6397" w:rsidRPr="00630310" w:rsidRDefault="001E6397" w:rsidP="00DF3145">
            <w:pPr>
              <w:pStyle w:val="Default"/>
            </w:pPr>
            <w:r w:rsidRPr="00630310">
              <w:t xml:space="preserve">Prise en charge intégrée de la mère du nouveau-né et de l’enfant </w:t>
            </w:r>
          </w:p>
        </w:tc>
      </w:tr>
      <w:tr w:rsidR="001E6397" w:rsidRPr="00630310" w14:paraId="2055FB86" w14:textId="77777777" w:rsidTr="00DF3145">
        <w:trPr>
          <w:trHeight w:val="110"/>
        </w:trPr>
        <w:tc>
          <w:tcPr>
            <w:tcW w:w="1527" w:type="dxa"/>
            <w:vAlign w:val="center"/>
          </w:tcPr>
          <w:p w14:paraId="37D4BCF0" w14:textId="77777777" w:rsidR="001E6397" w:rsidRPr="00630310" w:rsidRDefault="001E6397" w:rsidP="00DF3145">
            <w:pPr>
              <w:pStyle w:val="Default"/>
            </w:pPr>
            <w:r w:rsidRPr="00630310">
              <w:t>PF</w:t>
            </w:r>
          </w:p>
        </w:tc>
        <w:tc>
          <w:tcPr>
            <w:tcW w:w="277" w:type="dxa"/>
            <w:vAlign w:val="center"/>
          </w:tcPr>
          <w:p w14:paraId="776121D2" w14:textId="77777777" w:rsidR="001E6397" w:rsidRPr="00630310" w:rsidRDefault="001E6397" w:rsidP="00DF3145">
            <w:pPr>
              <w:pStyle w:val="Default"/>
            </w:pPr>
            <w:r w:rsidRPr="00630310">
              <w:t>:</w:t>
            </w:r>
          </w:p>
        </w:tc>
        <w:tc>
          <w:tcPr>
            <w:tcW w:w="7783" w:type="dxa"/>
            <w:vAlign w:val="center"/>
          </w:tcPr>
          <w:p w14:paraId="645B5EF0" w14:textId="77777777" w:rsidR="001E6397" w:rsidRPr="00630310" w:rsidRDefault="001E6397" w:rsidP="00DF3145">
            <w:pPr>
              <w:pStyle w:val="Default"/>
            </w:pPr>
            <w:r>
              <w:t>Planification familiale</w:t>
            </w:r>
          </w:p>
        </w:tc>
      </w:tr>
      <w:tr w:rsidR="001E6397" w:rsidRPr="00630310" w14:paraId="36F9468E" w14:textId="77777777" w:rsidTr="00DF3145">
        <w:trPr>
          <w:trHeight w:val="110"/>
        </w:trPr>
        <w:tc>
          <w:tcPr>
            <w:tcW w:w="1527" w:type="dxa"/>
            <w:vAlign w:val="center"/>
          </w:tcPr>
          <w:p w14:paraId="1D9F1175" w14:textId="77777777" w:rsidR="001E6397" w:rsidRPr="00630310" w:rsidRDefault="001E6397" w:rsidP="00DF3145">
            <w:pPr>
              <w:pStyle w:val="Default"/>
            </w:pPr>
            <w:r w:rsidRPr="00630310">
              <w:t>PIB</w:t>
            </w:r>
          </w:p>
        </w:tc>
        <w:tc>
          <w:tcPr>
            <w:tcW w:w="277" w:type="dxa"/>
            <w:vAlign w:val="center"/>
          </w:tcPr>
          <w:p w14:paraId="7A6D7DCE" w14:textId="77777777" w:rsidR="001E6397" w:rsidRPr="00630310" w:rsidRDefault="001E6397" w:rsidP="00DF3145">
            <w:pPr>
              <w:pStyle w:val="Default"/>
            </w:pPr>
          </w:p>
        </w:tc>
        <w:tc>
          <w:tcPr>
            <w:tcW w:w="7783" w:type="dxa"/>
            <w:vAlign w:val="center"/>
          </w:tcPr>
          <w:p w14:paraId="558052E7" w14:textId="77777777" w:rsidR="001E6397" w:rsidRPr="00630310" w:rsidRDefault="001E6397" w:rsidP="00DF3145">
            <w:pPr>
              <w:pStyle w:val="Default"/>
            </w:pPr>
            <w:r w:rsidRPr="00630310">
              <w:t>Produit intérieur brut.</w:t>
            </w:r>
          </w:p>
        </w:tc>
      </w:tr>
      <w:tr w:rsidR="001E6397" w:rsidRPr="00630310" w14:paraId="3CBDE3B2" w14:textId="77777777" w:rsidTr="00DF3145">
        <w:trPr>
          <w:trHeight w:val="110"/>
        </w:trPr>
        <w:tc>
          <w:tcPr>
            <w:tcW w:w="1527" w:type="dxa"/>
            <w:vAlign w:val="center"/>
          </w:tcPr>
          <w:p w14:paraId="141478E0" w14:textId="77777777" w:rsidR="001E6397" w:rsidRPr="00630310" w:rsidRDefault="001E6397" w:rsidP="00DF3145">
            <w:pPr>
              <w:pStyle w:val="Default"/>
            </w:pPr>
            <w:r w:rsidRPr="00630310">
              <w:t xml:space="preserve">PMA </w:t>
            </w:r>
          </w:p>
        </w:tc>
        <w:tc>
          <w:tcPr>
            <w:tcW w:w="277" w:type="dxa"/>
            <w:vAlign w:val="center"/>
          </w:tcPr>
          <w:p w14:paraId="706DE132" w14:textId="77777777" w:rsidR="001E6397" w:rsidRPr="00630310" w:rsidRDefault="001E6397" w:rsidP="00DF3145">
            <w:pPr>
              <w:pStyle w:val="Default"/>
            </w:pPr>
            <w:r w:rsidRPr="00630310">
              <w:t xml:space="preserve">: </w:t>
            </w:r>
          </w:p>
        </w:tc>
        <w:tc>
          <w:tcPr>
            <w:tcW w:w="7783" w:type="dxa"/>
            <w:vAlign w:val="center"/>
          </w:tcPr>
          <w:p w14:paraId="4265215E" w14:textId="77777777" w:rsidR="001E6397" w:rsidRPr="00630310" w:rsidRDefault="001E6397" w:rsidP="00DF3145">
            <w:pPr>
              <w:pStyle w:val="Default"/>
            </w:pPr>
            <w:r w:rsidRPr="00630310">
              <w:t xml:space="preserve">Paquet minimum d’activités </w:t>
            </w:r>
          </w:p>
        </w:tc>
      </w:tr>
      <w:tr w:rsidR="001E6397" w:rsidRPr="00630310" w14:paraId="41F4427E" w14:textId="77777777" w:rsidTr="00DF3145">
        <w:trPr>
          <w:trHeight w:val="110"/>
        </w:trPr>
        <w:tc>
          <w:tcPr>
            <w:tcW w:w="1527" w:type="dxa"/>
            <w:vAlign w:val="center"/>
          </w:tcPr>
          <w:p w14:paraId="5BD5079E" w14:textId="77777777" w:rsidR="001E6397" w:rsidRPr="00630310" w:rsidRDefault="001E6397" w:rsidP="00DF3145">
            <w:pPr>
              <w:pStyle w:val="Default"/>
            </w:pPr>
            <w:r w:rsidRPr="00630310">
              <w:t xml:space="preserve">PND </w:t>
            </w:r>
          </w:p>
        </w:tc>
        <w:tc>
          <w:tcPr>
            <w:tcW w:w="277" w:type="dxa"/>
            <w:vAlign w:val="center"/>
          </w:tcPr>
          <w:p w14:paraId="16921E14" w14:textId="77777777" w:rsidR="001E6397" w:rsidRPr="00630310" w:rsidRDefault="001E6397" w:rsidP="00DF3145">
            <w:pPr>
              <w:pStyle w:val="Default"/>
            </w:pPr>
            <w:r w:rsidRPr="00630310">
              <w:t xml:space="preserve">: </w:t>
            </w:r>
          </w:p>
        </w:tc>
        <w:tc>
          <w:tcPr>
            <w:tcW w:w="7783" w:type="dxa"/>
            <w:vAlign w:val="center"/>
          </w:tcPr>
          <w:p w14:paraId="7E98AB65" w14:textId="77777777" w:rsidR="001E6397" w:rsidRPr="00630310" w:rsidRDefault="001E6397" w:rsidP="00DF3145">
            <w:pPr>
              <w:pStyle w:val="Default"/>
            </w:pPr>
            <w:r w:rsidRPr="00630310">
              <w:t xml:space="preserve">Plan national de développement </w:t>
            </w:r>
          </w:p>
        </w:tc>
      </w:tr>
      <w:tr w:rsidR="001E6397" w:rsidRPr="00630310" w14:paraId="1EB448D0" w14:textId="77777777" w:rsidTr="00DF3145">
        <w:trPr>
          <w:trHeight w:val="110"/>
        </w:trPr>
        <w:tc>
          <w:tcPr>
            <w:tcW w:w="1527" w:type="dxa"/>
            <w:vAlign w:val="center"/>
          </w:tcPr>
          <w:p w14:paraId="52A7BEE7" w14:textId="77777777" w:rsidR="001E6397" w:rsidRPr="00630310" w:rsidRDefault="001E6397" w:rsidP="00DF3145">
            <w:pPr>
              <w:pStyle w:val="Default"/>
            </w:pPr>
            <w:r w:rsidRPr="00630310">
              <w:t xml:space="preserve">PNDS </w:t>
            </w:r>
          </w:p>
        </w:tc>
        <w:tc>
          <w:tcPr>
            <w:tcW w:w="277" w:type="dxa"/>
            <w:vAlign w:val="center"/>
          </w:tcPr>
          <w:p w14:paraId="085389AD" w14:textId="77777777" w:rsidR="001E6397" w:rsidRPr="00630310" w:rsidRDefault="001E6397" w:rsidP="00DF3145">
            <w:pPr>
              <w:pStyle w:val="Default"/>
            </w:pPr>
            <w:r w:rsidRPr="00630310">
              <w:t xml:space="preserve">: </w:t>
            </w:r>
          </w:p>
        </w:tc>
        <w:tc>
          <w:tcPr>
            <w:tcW w:w="7783" w:type="dxa"/>
            <w:vAlign w:val="center"/>
          </w:tcPr>
          <w:p w14:paraId="07D55897" w14:textId="77777777" w:rsidR="001E6397" w:rsidRPr="00630310" w:rsidRDefault="001E6397" w:rsidP="00DF3145">
            <w:pPr>
              <w:pStyle w:val="Default"/>
            </w:pPr>
            <w:r w:rsidRPr="00630310">
              <w:t xml:space="preserve">Plan national de développement sanitaire </w:t>
            </w:r>
          </w:p>
        </w:tc>
      </w:tr>
      <w:tr w:rsidR="001E6397" w:rsidRPr="00630310" w14:paraId="31D548D3" w14:textId="77777777" w:rsidTr="00DF3145">
        <w:trPr>
          <w:trHeight w:val="110"/>
        </w:trPr>
        <w:tc>
          <w:tcPr>
            <w:tcW w:w="1527" w:type="dxa"/>
            <w:vAlign w:val="center"/>
          </w:tcPr>
          <w:p w14:paraId="055A10A2" w14:textId="77777777" w:rsidR="001E6397" w:rsidRPr="00630310" w:rsidRDefault="001E6397" w:rsidP="00DF3145">
            <w:pPr>
              <w:pStyle w:val="Default"/>
            </w:pPr>
            <w:r w:rsidRPr="00630310">
              <w:t>PPP</w:t>
            </w:r>
          </w:p>
        </w:tc>
        <w:tc>
          <w:tcPr>
            <w:tcW w:w="277" w:type="dxa"/>
            <w:vAlign w:val="center"/>
          </w:tcPr>
          <w:p w14:paraId="6B3CCBC0" w14:textId="77777777" w:rsidR="001E6397" w:rsidRPr="00630310" w:rsidRDefault="001E6397" w:rsidP="00DF3145">
            <w:pPr>
              <w:pStyle w:val="Default"/>
            </w:pPr>
            <w:r w:rsidRPr="00630310">
              <w:t>:</w:t>
            </w:r>
          </w:p>
        </w:tc>
        <w:tc>
          <w:tcPr>
            <w:tcW w:w="7783" w:type="dxa"/>
            <w:vAlign w:val="center"/>
          </w:tcPr>
          <w:p w14:paraId="166167BC" w14:textId="77777777" w:rsidR="001E6397" w:rsidRPr="00630310" w:rsidRDefault="001E6397" w:rsidP="00DF3145">
            <w:pPr>
              <w:pStyle w:val="Default"/>
            </w:pPr>
            <w:r w:rsidRPr="00630310">
              <w:t>Partenariat public privé</w:t>
            </w:r>
          </w:p>
        </w:tc>
      </w:tr>
      <w:tr w:rsidR="001E6397" w:rsidRPr="00630310" w14:paraId="3FF624C1" w14:textId="77777777" w:rsidTr="00DF3145">
        <w:trPr>
          <w:trHeight w:val="110"/>
        </w:trPr>
        <w:tc>
          <w:tcPr>
            <w:tcW w:w="1527" w:type="dxa"/>
            <w:vAlign w:val="center"/>
          </w:tcPr>
          <w:p w14:paraId="5E57A2F6" w14:textId="77777777" w:rsidR="001E6397" w:rsidRPr="00630310" w:rsidRDefault="001E6397" w:rsidP="00DF3145">
            <w:pPr>
              <w:pStyle w:val="Default"/>
            </w:pPr>
            <w:r w:rsidRPr="00630310">
              <w:t xml:space="preserve">PTF </w:t>
            </w:r>
          </w:p>
        </w:tc>
        <w:tc>
          <w:tcPr>
            <w:tcW w:w="277" w:type="dxa"/>
            <w:vAlign w:val="center"/>
          </w:tcPr>
          <w:p w14:paraId="6313AF2D" w14:textId="77777777" w:rsidR="001E6397" w:rsidRPr="00630310" w:rsidRDefault="001E6397" w:rsidP="00DF3145">
            <w:pPr>
              <w:pStyle w:val="Default"/>
            </w:pPr>
            <w:r w:rsidRPr="00630310">
              <w:t xml:space="preserve">: </w:t>
            </w:r>
          </w:p>
        </w:tc>
        <w:tc>
          <w:tcPr>
            <w:tcW w:w="7783" w:type="dxa"/>
            <w:vAlign w:val="center"/>
          </w:tcPr>
          <w:p w14:paraId="05343C33" w14:textId="77777777" w:rsidR="001E6397" w:rsidRPr="00630310" w:rsidRDefault="001E6397" w:rsidP="00DF3145">
            <w:pPr>
              <w:pStyle w:val="Default"/>
            </w:pPr>
            <w:r w:rsidRPr="00630310">
              <w:t xml:space="preserve">Partenaire technique et financier </w:t>
            </w:r>
          </w:p>
        </w:tc>
      </w:tr>
      <w:tr w:rsidR="001E6397" w:rsidRPr="00630310" w14:paraId="3BAC845B" w14:textId="77777777" w:rsidTr="00DF3145">
        <w:trPr>
          <w:trHeight w:val="110"/>
        </w:trPr>
        <w:tc>
          <w:tcPr>
            <w:tcW w:w="1527" w:type="dxa"/>
            <w:vAlign w:val="center"/>
          </w:tcPr>
          <w:p w14:paraId="60ECCABD" w14:textId="77777777" w:rsidR="001E6397" w:rsidRPr="00630310" w:rsidRDefault="001E6397" w:rsidP="00DF3145">
            <w:pPr>
              <w:pStyle w:val="Default"/>
            </w:pPr>
            <w:r w:rsidRPr="00630310">
              <w:t xml:space="preserve">PTME </w:t>
            </w:r>
          </w:p>
        </w:tc>
        <w:tc>
          <w:tcPr>
            <w:tcW w:w="277" w:type="dxa"/>
            <w:vAlign w:val="center"/>
          </w:tcPr>
          <w:p w14:paraId="772AB190" w14:textId="77777777" w:rsidR="001E6397" w:rsidRPr="00630310" w:rsidRDefault="001E6397" w:rsidP="00DF3145">
            <w:pPr>
              <w:pStyle w:val="Default"/>
            </w:pPr>
            <w:r w:rsidRPr="00630310">
              <w:t xml:space="preserve">: </w:t>
            </w:r>
          </w:p>
        </w:tc>
        <w:tc>
          <w:tcPr>
            <w:tcW w:w="7783" w:type="dxa"/>
            <w:vAlign w:val="center"/>
          </w:tcPr>
          <w:p w14:paraId="3BEAD9A6" w14:textId="77777777" w:rsidR="001E6397" w:rsidRPr="00630310" w:rsidRDefault="001E6397" w:rsidP="00DF3145">
            <w:pPr>
              <w:pStyle w:val="Default"/>
            </w:pPr>
            <w:r w:rsidRPr="00630310">
              <w:t xml:space="preserve">Prévention de la transmission mère-enfant </w:t>
            </w:r>
          </w:p>
        </w:tc>
      </w:tr>
      <w:tr w:rsidR="001E6397" w:rsidRPr="00630310" w14:paraId="7A73E9C4" w14:textId="77777777" w:rsidTr="00DF3145">
        <w:trPr>
          <w:trHeight w:val="110"/>
        </w:trPr>
        <w:tc>
          <w:tcPr>
            <w:tcW w:w="1527" w:type="dxa"/>
            <w:vAlign w:val="center"/>
          </w:tcPr>
          <w:p w14:paraId="645E62BC" w14:textId="77777777" w:rsidR="001E6397" w:rsidRPr="00630310" w:rsidRDefault="001E6397" w:rsidP="00DF3145">
            <w:pPr>
              <w:pStyle w:val="Default"/>
            </w:pPr>
            <w:r w:rsidRPr="00630310">
              <w:t xml:space="preserve">PVVIH </w:t>
            </w:r>
          </w:p>
        </w:tc>
        <w:tc>
          <w:tcPr>
            <w:tcW w:w="277" w:type="dxa"/>
            <w:vAlign w:val="center"/>
          </w:tcPr>
          <w:p w14:paraId="13FEB1AC" w14:textId="77777777" w:rsidR="001E6397" w:rsidRPr="00630310" w:rsidRDefault="001E6397" w:rsidP="00DF3145">
            <w:pPr>
              <w:pStyle w:val="Default"/>
            </w:pPr>
            <w:r w:rsidRPr="00630310">
              <w:t xml:space="preserve">: </w:t>
            </w:r>
          </w:p>
        </w:tc>
        <w:tc>
          <w:tcPr>
            <w:tcW w:w="7783" w:type="dxa"/>
            <w:vAlign w:val="center"/>
          </w:tcPr>
          <w:p w14:paraId="2CF2D220" w14:textId="77777777" w:rsidR="001E6397" w:rsidRPr="00630310" w:rsidRDefault="001E6397" w:rsidP="00DF3145">
            <w:pPr>
              <w:pStyle w:val="Default"/>
            </w:pPr>
            <w:r w:rsidRPr="00630310">
              <w:t xml:space="preserve">Personne vivant avec le VIH </w:t>
            </w:r>
          </w:p>
        </w:tc>
      </w:tr>
      <w:tr w:rsidR="001E6397" w:rsidRPr="00630310" w14:paraId="75809396" w14:textId="77777777" w:rsidTr="00DF3145">
        <w:trPr>
          <w:trHeight w:val="110"/>
        </w:trPr>
        <w:tc>
          <w:tcPr>
            <w:tcW w:w="1527" w:type="dxa"/>
            <w:vAlign w:val="center"/>
          </w:tcPr>
          <w:p w14:paraId="4BDC03BB" w14:textId="77777777" w:rsidR="001E6397" w:rsidRPr="00630310" w:rsidRDefault="001E6397" w:rsidP="00DF3145">
            <w:pPr>
              <w:pStyle w:val="Default"/>
            </w:pPr>
            <w:r w:rsidRPr="00630310">
              <w:t>RASS</w:t>
            </w:r>
          </w:p>
        </w:tc>
        <w:tc>
          <w:tcPr>
            <w:tcW w:w="277" w:type="dxa"/>
            <w:vAlign w:val="center"/>
          </w:tcPr>
          <w:p w14:paraId="5287FCC4" w14:textId="77777777" w:rsidR="001E6397" w:rsidRPr="00630310" w:rsidRDefault="001E6397" w:rsidP="00DF3145">
            <w:pPr>
              <w:pStyle w:val="Default"/>
            </w:pPr>
          </w:p>
        </w:tc>
        <w:tc>
          <w:tcPr>
            <w:tcW w:w="7783" w:type="dxa"/>
            <w:vAlign w:val="center"/>
          </w:tcPr>
          <w:p w14:paraId="45F8D141" w14:textId="77777777" w:rsidR="001E6397" w:rsidRPr="00630310" w:rsidRDefault="001E6397" w:rsidP="00DF3145">
            <w:pPr>
              <w:pStyle w:val="Default"/>
            </w:pPr>
          </w:p>
        </w:tc>
      </w:tr>
      <w:tr w:rsidR="001E6397" w:rsidRPr="00630310" w14:paraId="26F50DF1" w14:textId="77777777" w:rsidTr="00DF3145">
        <w:trPr>
          <w:trHeight w:val="110"/>
        </w:trPr>
        <w:tc>
          <w:tcPr>
            <w:tcW w:w="1527" w:type="dxa"/>
            <w:vAlign w:val="center"/>
          </w:tcPr>
          <w:p w14:paraId="60AACDB0" w14:textId="77777777" w:rsidR="001E6397" w:rsidRPr="00630310" w:rsidRDefault="001E6397" w:rsidP="00DF3145">
            <w:pPr>
              <w:pStyle w:val="Default"/>
              <w:rPr>
                <w:lang w:val="fr-CI"/>
              </w:rPr>
            </w:pPr>
            <w:r w:rsidRPr="00630310">
              <w:rPr>
                <w:lang w:val="fr-CI"/>
              </w:rPr>
              <w:t>RCMS</w:t>
            </w:r>
          </w:p>
        </w:tc>
        <w:tc>
          <w:tcPr>
            <w:tcW w:w="277" w:type="dxa"/>
            <w:vAlign w:val="center"/>
          </w:tcPr>
          <w:p w14:paraId="13A1BDDE" w14:textId="77777777" w:rsidR="001E6397" w:rsidRPr="00630310" w:rsidRDefault="001E6397" w:rsidP="00DF3145">
            <w:pPr>
              <w:pStyle w:val="Default"/>
            </w:pPr>
            <w:r w:rsidRPr="00630310">
              <w:t>:</w:t>
            </w:r>
          </w:p>
        </w:tc>
        <w:tc>
          <w:tcPr>
            <w:tcW w:w="7783" w:type="dxa"/>
            <w:vAlign w:val="center"/>
          </w:tcPr>
          <w:p w14:paraId="3EFDBAD3" w14:textId="77777777" w:rsidR="001E6397" w:rsidRPr="00630310" w:rsidRDefault="001E6397" w:rsidP="00DF3145">
            <w:pPr>
              <w:pStyle w:val="Default"/>
            </w:pPr>
            <w:r w:rsidRPr="00630310">
              <w:rPr>
                <w:lang w:val="fr-CI"/>
              </w:rPr>
              <w:t>Retard de croissance modéré et sévère</w:t>
            </w:r>
          </w:p>
        </w:tc>
      </w:tr>
      <w:tr w:rsidR="001E6397" w:rsidRPr="00630310" w14:paraId="154144B1" w14:textId="77777777" w:rsidTr="00DF3145">
        <w:trPr>
          <w:trHeight w:val="110"/>
        </w:trPr>
        <w:tc>
          <w:tcPr>
            <w:tcW w:w="1527" w:type="dxa"/>
            <w:vAlign w:val="center"/>
          </w:tcPr>
          <w:p w14:paraId="22248F80" w14:textId="77777777" w:rsidR="001E6397" w:rsidRPr="00630310" w:rsidRDefault="001E6397" w:rsidP="00DF3145">
            <w:pPr>
              <w:pStyle w:val="Default"/>
            </w:pPr>
            <w:r w:rsidRPr="00630310">
              <w:t xml:space="preserve">RGPH </w:t>
            </w:r>
          </w:p>
        </w:tc>
        <w:tc>
          <w:tcPr>
            <w:tcW w:w="277" w:type="dxa"/>
            <w:vAlign w:val="center"/>
          </w:tcPr>
          <w:p w14:paraId="6FA1D6C5" w14:textId="77777777" w:rsidR="001E6397" w:rsidRPr="00630310" w:rsidRDefault="001E6397" w:rsidP="00DF3145">
            <w:pPr>
              <w:pStyle w:val="Default"/>
            </w:pPr>
            <w:r w:rsidRPr="00630310">
              <w:t xml:space="preserve">: </w:t>
            </w:r>
          </w:p>
        </w:tc>
        <w:tc>
          <w:tcPr>
            <w:tcW w:w="7783" w:type="dxa"/>
            <w:vAlign w:val="center"/>
          </w:tcPr>
          <w:p w14:paraId="2EB94964" w14:textId="77777777" w:rsidR="001E6397" w:rsidRPr="00630310" w:rsidRDefault="001E6397" w:rsidP="00DF3145">
            <w:pPr>
              <w:pStyle w:val="Default"/>
            </w:pPr>
            <w:r w:rsidRPr="00630310">
              <w:t xml:space="preserve">Recensement général de la population et de l’habitat </w:t>
            </w:r>
          </w:p>
        </w:tc>
      </w:tr>
      <w:tr w:rsidR="001E6397" w:rsidRPr="00630310" w14:paraId="04C1A71C" w14:textId="77777777" w:rsidTr="00DF3145">
        <w:trPr>
          <w:trHeight w:val="110"/>
        </w:trPr>
        <w:tc>
          <w:tcPr>
            <w:tcW w:w="1527" w:type="dxa"/>
            <w:vAlign w:val="center"/>
          </w:tcPr>
          <w:p w14:paraId="03F4F918" w14:textId="77777777" w:rsidR="001E6397" w:rsidRPr="00630310" w:rsidRDefault="001E6397" w:rsidP="00DF3145">
            <w:pPr>
              <w:pStyle w:val="Default"/>
            </w:pPr>
            <w:r w:rsidRPr="00630310">
              <w:t xml:space="preserve">RHS </w:t>
            </w:r>
          </w:p>
        </w:tc>
        <w:tc>
          <w:tcPr>
            <w:tcW w:w="277" w:type="dxa"/>
            <w:vAlign w:val="center"/>
          </w:tcPr>
          <w:p w14:paraId="6804C96F" w14:textId="77777777" w:rsidR="001E6397" w:rsidRPr="00630310" w:rsidRDefault="001E6397" w:rsidP="00DF3145">
            <w:pPr>
              <w:pStyle w:val="Default"/>
            </w:pPr>
            <w:r w:rsidRPr="00630310">
              <w:t xml:space="preserve">: </w:t>
            </w:r>
          </w:p>
        </w:tc>
        <w:tc>
          <w:tcPr>
            <w:tcW w:w="7783" w:type="dxa"/>
            <w:vAlign w:val="center"/>
          </w:tcPr>
          <w:p w14:paraId="1AB09E9D" w14:textId="77777777" w:rsidR="001E6397" w:rsidRPr="00630310" w:rsidRDefault="001E6397" w:rsidP="00DF3145">
            <w:pPr>
              <w:pStyle w:val="Default"/>
            </w:pPr>
            <w:r w:rsidRPr="00630310">
              <w:t xml:space="preserve">Ressources humaines en santé </w:t>
            </w:r>
          </w:p>
        </w:tc>
      </w:tr>
      <w:tr w:rsidR="001E6397" w:rsidRPr="00630310" w14:paraId="4B27171E" w14:textId="77777777" w:rsidTr="00DF3145">
        <w:trPr>
          <w:trHeight w:val="110"/>
        </w:trPr>
        <w:tc>
          <w:tcPr>
            <w:tcW w:w="1527" w:type="dxa"/>
            <w:vAlign w:val="center"/>
          </w:tcPr>
          <w:p w14:paraId="143487E2" w14:textId="77777777" w:rsidR="001E6397" w:rsidRPr="00630310" w:rsidRDefault="001E6397" w:rsidP="00DF3145">
            <w:pPr>
              <w:pStyle w:val="Default"/>
            </w:pPr>
            <w:r w:rsidRPr="00630310">
              <w:t xml:space="preserve">SNIS </w:t>
            </w:r>
          </w:p>
        </w:tc>
        <w:tc>
          <w:tcPr>
            <w:tcW w:w="277" w:type="dxa"/>
            <w:vAlign w:val="center"/>
          </w:tcPr>
          <w:p w14:paraId="3E4DB11C" w14:textId="77777777" w:rsidR="001E6397" w:rsidRPr="00630310" w:rsidRDefault="001E6397" w:rsidP="00DF3145">
            <w:pPr>
              <w:pStyle w:val="Default"/>
            </w:pPr>
            <w:r w:rsidRPr="00630310">
              <w:t xml:space="preserve">: </w:t>
            </w:r>
          </w:p>
        </w:tc>
        <w:tc>
          <w:tcPr>
            <w:tcW w:w="7783" w:type="dxa"/>
            <w:vAlign w:val="center"/>
          </w:tcPr>
          <w:p w14:paraId="45904801" w14:textId="77777777" w:rsidR="001E6397" w:rsidRPr="00630310" w:rsidRDefault="001E6397" w:rsidP="00DF3145">
            <w:pPr>
              <w:pStyle w:val="Default"/>
            </w:pPr>
            <w:r w:rsidRPr="00630310">
              <w:t xml:space="preserve">Système national d’information sanitaire </w:t>
            </w:r>
          </w:p>
        </w:tc>
      </w:tr>
      <w:tr w:rsidR="001E6397" w:rsidRPr="00630310" w14:paraId="55B93D05" w14:textId="77777777" w:rsidTr="00DF3145">
        <w:trPr>
          <w:trHeight w:val="110"/>
        </w:trPr>
        <w:tc>
          <w:tcPr>
            <w:tcW w:w="1527" w:type="dxa"/>
            <w:vAlign w:val="center"/>
          </w:tcPr>
          <w:p w14:paraId="35AEC20D" w14:textId="77777777" w:rsidR="001E6397" w:rsidRPr="00630310" w:rsidRDefault="001E6397" w:rsidP="00DF3145">
            <w:pPr>
              <w:pStyle w:val="Default"/>
            </w:pPr>
            <w:r w:rsidRPr="00630310">
              <w:t xml:space="preserve">SONU </w:t>
            </w:r>
          </w:p>
        </w:tc>
        <w:tc>
          <w:tcPr>
            <w:tcW w:w="277" w:type="dxa"/>
            <w:vAlign w:val="center"/>
          </w:tcPr>
          <w:p w14:paraId="0C5732A2" w14:textId="77777777" w:rsidR="001E6397" w:rsidRPr="00630310" w:rsidRDefault="001E6397" w:rsidP="00DF3145">
            <w:pPr>
              <w:pStyle w:val="Default"/>
            </w:pPr>
            <w:r w:rsidRPr="00630310">
              <w:t xml:space="preserve">: </w:t>
            </w:r>
          </w:p>
        </w:tc>
        <w:tc>
          <w:tcPr>
            <w:tcW w:w="7783" w:type="dxa"/>
            <w:vAlign w:val="center"/>
          </w:tcPr>
          <w:p w14:paraId="083E3664" w14:textId="77777777" w:rsidR="001E6397" w:rsidRPr="00630310" w:rsidRDefault="001E6397" w:rsidP="00DF3145">
            <w:pPr>
              <w:pStyle w:val="Default"/>
            </w:pPr>
            <w:r w:rsidRPr="00630310">
              <w:t xml:space="preserve">Soins obstétricaux et néonatals d’urgence </w:t>
            </w:r>
          </w:p>
        </w:tc>
      </w:tr>
      <w:tr w:rsidR="001E6397" w:rsidRPr="00630310" w14:paraId="4EEE4339" w14:textId="77777777" w:rsidTr="00DF3145">
        <w:trPr>
          <w:trHeight w:val="110"/>
        </w:trPr>
        <w:tc>
          <w:tcPr>
            <w:tcW w:w="1527" w:type="dxa"/>
            <w:vAlign w:val="center"/>
          </w:tcPr>
          <w:p w14:paraId="3E66C67A" w14:textId="77777777" w:rsidR="001E6397" w:rsidRPr="00630310" w:rsidRDefault="001E6397" w:rsidP="00DF3145">
            <w:pPr>
              <w:pStyle w:val="Default"/>
            </w:pPr>
            <w:r w:rsidRPr="00630310">
              <w:t xml:space="preserve">SONUB </w:t>
            </w:r>
          </w:p>
        </w:tc>
        <w:tc>
          <w:tcPr>
            <w:tcW w:w="277" w:type="dxa"/>
            <w:vAlign w:val="center"/>
          </w:tcPr>
          <w:p w14:paraId="07D9121C" w14:textId="77777777" w:rsidR="001E6397" w:rsidRPr="00630310" w:rsidRDefault="001E6397" w:rsidP="00DF3145">
            <w:pPr>
              <w:pStyle w:val="Default"/>
            </w:pPr>
            <w:r w:rsidRPr="00630310">
              <w:t xml:space="preserve">: </w:t>
            </w:r>
          </w:p>
        </w:tc>
        <w:tc>
          <w:tcPr>
            <w:tcW w:w="7783" w:type="dxa"/>
            <w:vAlign w:val="center"/>
          </w:tcPr>
          <w:p w14:paraId="2D988335" w14:textId="77777777" w:rsidR="001E6397" w:rsidRPr="00630310" w:rsidRDefault="001E6397" w:rsidP="00DF3145">
            <w:pPr>
              <w:pStyle w:val="Default"/>
            </w:pPr>
            <w:r w:rsidRPr="00630310">
              <w:t xml:space="preserve">Soins obstétricaux et néonatals d’urgence de base </w:t>
            </w:r>
          </w:p>
        </w:tc>
      </w:tr>
      <w:tr w:rsidR="001E6397" w:rsidRPr="00630310" w14:paraId="5E8F7044" w14:textId="77777777" w:rsidTr="00DF3145">
        <w:trPr>
          <w:trHeight w:val="110"/>
        </w:trPr>
        <w:tc>
          <w:tcPr>
            <w:tcW w:w="1527" w:type="dxa"/>
            <w:vAlign w:val="center"/>
          </w:tcPr>
          <w:p w14:paraId="2595B9AD" w14:textId="77777777" w:rsidR="001E6397" w:rsidRPr="00630310" w:rsidRDefault="001E6397" w:rsidP="00DF3145">
            <w:pPr>
              <w:pStyle w:val="Default"/>
            </w:pPr>
            <w:r w:rsidRPr="00630310">
              <w:t xml:space="preserve">SONUC </w:t>
            </w:r>
          </w:p>
        </w:tc>
        <w:tc>
          <w:tcPr>
            <w:tcW w:w="277" w:type="dxa"/>
            <w:vAlign w:val="center"/>
          </w:tcPr>
          <w:p w14:paraId="7C00DEC3" w14:textId="77777777" w:rsidR="001E6397" w:rsidRPr="00630310" w:rsidRDefault="001E6397" w:rsidP="00DF3145">
            <w:pPr>
              <w:pStyle w:val="Default"/>
            </w:pPr>
            <w:r w:rsidRPr="00630310">
              <w:t xml:space="preserve">: </w:t>
            </w:r>
          </w:p>
        </w:tc>
        <w:tc>
          <w:tcPr>
            <w:tcW w:w="7783" w:type="dxa"/>
            <w:vAlign w:val="center"/>
          </w:tcPr>
          <w:p w14:paraId="486ED287" w14:textId="77777777" w:rsidR="001E6397" w:rsidRPr="00630310" w:rsidRDefault="001E6397" w:rsidP="00DF3145">
            <w:pPr>
              <w:pStyle w:val="Default"/>
            </w:pPr>
            <w:r w:rsidRPr="00630310">
              <w:t xml:space="preserve">Soins obstétricaux et néonatals d’urgence complet </w:t>
            </w:r>
          </w:p>
        </w:tc>
      </w:tr>
      <w:tr w:rsidR="001E6397" w:rsidRPr="00630310" w14:paraId="0190E0D1" w14:textId="77777777" w:rsidTr="00DF3145">
        <w:trPr>
          <w:trHeight w:val="110"/>
        </w:trPr>
        <w:tc>
          <w:tcPr>
            <w:tcW w:w="1527" w:type="dxa"/>
            <w:vAlign w:val="center"/>
          </w:tcPr>
          <w:p w14:paraId="3FD2B7C5" w14:textId="77777777" w:rsidR="001E6397" w:rsidRPr="00630310" w:rsidRDefault="001E6397" w:rsidP="00DF3145">
            <w:pPr>
              <w:pStyle w:val="Default"/>
            </w:pPr>
            <w:r w:rsidRPr="00630310">
              <w:t>SRMNEA</w:t>
            </w:r>
          </w:p>
        </w:tc>
        <w:tc>
          <w:tcPr>
            <w:tcW w:w="277" w:type="dxa"/>
            <w:vAlign w:val="center"/>
          </w:tcPr>
          <w:p w14:paraId="11E0DCF5" w14:textId="77777777" w:rsidR="001E6397" w:rsidRPr="00630310" w:rsidRDefault="001E6397" w:rsidP="00DF3145">
            <w:pPr>
              <w:pStyle w:val="Default"/>
            </w:pPr>
            <w:r w:rsidRPr="00630310">
              <w:t>:</w:t>
            </w:r>
          </w:p>
        </w:tc>
        <w:tc>
          <w:tcPr>
            <w:tcW w:w="7783" w:type="dxa"/>
            <w:vAlign w:val="center"/>
          </w:tcPr>
          <w:p w14:paraId="7A89550E" w14:textId="77777777" w:rsidR="001E6397" w:rsidRPr="00630310" w:rsidRDefault="001E6397" w:rsidP="00DF3145">
            <w:pPr>
              <w:pStyle w:val="Default"/>
            </w:pPr>
            <w:r w:rsidRPr="00630310">
              <w:t>Santé reproductive, de la mère, du nouveau-né, de l’enfant et de l’adolescent</w:t>
            </w:r>
          </w:p>
        </w:tc>
      </w:tr>
      <w:tr w:rsidR="001E6397" w:rsidRPr="00630310" w14:paraId="520BEE0B" w14:textId="77777777" w:rsidTr="00DF3145">
        <w:trPr>
          <w:trHeight w:val="110"/>
        </w:trPr>
        <w:tc>
          <w:tcPr>
            <w:tcW w:w="1527" w:type="dxa"/>
            <w:vAlign w:val="center"/>
          </w:tcPr>
          <w:p w14:paraId="2E0D669A" w14:textId="77777777" w:rsidR="001E6397" w:rsidRPr="00630310" w:rsidRDefault="001E6397" w:rsidP="00DF3145">
            <w:pPr>
              <w:pStyle w:val="Default"/>
            </w:pPr>
            <w:r w:rsidRPr="00630310">
              <w:t>SSP</w:t>
            </w:r>
          </w:p>
        </w:tc>
        <w:tc>
          <w:tcPr>
            <w:tcW w:w="277" w:type="dxa"/>
            <w:vAlign w:val="center"/>
          </w:tcPr>
          <w:p w14:paraId="5325F005" w14:textId="77777777" w:rsidR="001E6397" w:rsidRPr="00630310" w:rsidRDefault="001E6397" w:rsidP="00DF3145">
            <w:pPr>
              <w:pStyle w:val="Default"/>
            </w:pPr>
            <w:r w:rsidRPr="00630310">
              <w:t>:</w:t>
            </w:r>
          </w:p>
        </w:tc>
        <w:tc>
          <w:tcPr>
            <w:tcW w:w="7783" w:type="dxa"/>
            <w:vAlign w:val="center"/>
          </w:tcPr>
          <w:p w14:paraId="7175DF7F" w14:textId="77777777" w:rsidR="001E6397" w:rsidRPr="00630310" w:rsidRDefault="001E6397" w:rsidP="00DF3145">
            <w:pPr>
              <w:pStyle w:val="Default"/>
            </w:pPr>
            <w:r w:rsidRPr="00630310">
              <w:rPr>
                <w:lang w:val="fr-CI"/>
              </w:rPr>
              <w:t>Soins de santé primaires</w:t>
            </w:r>
          </w:p>
        </w:tc>
      </w:tr>
      <w:tr w:rsidR="001E6397" w:rsidRPr="00630310" w14:paraId="1370A073" w14:textId="77777777" w:rsidTr="00DF3145">
        <w:trPr>
          <w:trHeight w:val="110"/>
        </w:trPr>
        <w:tc>
          <w:tcPr>
            <w:tcW w:w="1527" w:type="dxa"/>
            <w:vAlign w:val="center"/>
          </w:tcPr>
          <w:p w14:paraId="2EB7ECD8" w14:textId="77777777" w:rsidR="001E6397" w:rsidRPr="00630310" w:rsidRDefault="001E6397" w:rsidP="00DF3145">
            <w:pPr>
              <w:pStyle w:val="Default"/>
            </w:pPr>
            <w:r w:rsidRPr="00630310">
              <w:t xml:space="preserve">TDR </w:t>
            </w:r>
          </w:p>
        </w:tc>
        <w:tc>
          <w:tcPr>
            <w:tcW w:w="277" w:type="dxa"/>
            <w:vAlign w:val="center"/>
          </w:tcPr>
          <w:p w14:paraId="6105F3EE" w14:textId="77777777" w:rsidR="001E6397" w:rsidRPr="00630310" w:rsidRDefault="001E6397" w:rsidP="00DF3145">
            <w:pPr>
              <w:pStyle w:val="Default"/>
            </w:pPr>
            <w:r w:rsidRPr="00630310">
              <w:t xml:space="preserve">: </w:t>
            </w:r>
          </w:p>
        </w:tc>
        <w:tc>
          <w:tcPr>
            <w:tcW w:w="7783" w:type="dxa"/>
            <w:vAlign w:val="center"/>
          </w:tcPr>
          <w:p w14:paraId="3C6BED05" w14:textId="77777777" w:rsidR="001E6397" w:rsidRPr="00630310" w:rsidRDefault="001E6397" w:rsidP="00DF3145">
            <w:pPr>
              <w:pStyle w:val="Default"/>
            </w:pPr>
            <w:r w:rsidRPr="00630310">
              <w:t xml:space="preserve">Test de diagnostic rapide </w:t>
            </w:r>
          </w:p>
        </w:tc>
      </w:tr>
      <w:tr w:rsidR="001E6397" w:rsidRPr="00630310" w14:paraId="758B532F" w14:textId="77777777" w:rsidTr="00DF3145">
        <w:trPr>
          <w:trHeight w:val="110"/>
        </w:trPr>
        <w:tc>
          <w:tcPr>
            <w:tcW w:w="1527" w:type="dxa"/>
            <w:vAlign w:val="center"/>
          </w:tcPr>
          <w:p w14:paraId="62C82821" w14:textId="77777777" w:rsidR="001E6397" w:rsidRPr="00630310" w:rsidRDefault="001E6397" w:rsidP="00DF3145">
            <w:pPr>
              <w:pStyle w:val="Default"/>
            </w:pPr>
            <w:r w:rsidRPr="00630310">
              <w:rPr>
                <w:lang w:val="fr-CI"/>
              </w:rPr>
              <w:t>TMIJ</w:t>
            </w:r>
          </w:p>
        </w:tc>
        <w:tc>
          <w:tcPr>
            <w:tcW w:w="277" w:type="dxa"/>
            <w:vAlign w:val="center"/>
          </w:tcPr>
          <w:p w14:paraId="33B8575A" w14:textId="77777777" w:rsidR="001E6397" w:rsidRPr="00630310" w:rsidRDefault="001E6397" w:rsidP="00DF3145">
            <w:pPr>
              <w:pStyle w:val="Default"/>
            </w:pPr>
            <w:r w:rsidRPr="00630310">
              <w:t>:</w:t>
            </w:r>
          </w:p>
        </w:tc>
        <w:tc>
          <w:tcPr>
            <w:tcW w:w="7783" w:type="dxa"/>
            <w:vAlign w:val="center"/>
          </w:tcPr>
          <w:p w14:paraId="41FBD79C" w14:textId="77777777" w:rsidR="001E6397" w:rsidRPr="00630310" w:rsidRDefault="001E6397" w:rsidP="00DF3145">
            <w:pPr>
              <w:pStyle w:val="Default"/>
            </w:pPr>
            <w:r w:rsidRPr="00630310">
              <w:t>Taux de mortalité infanto-juvénile</w:t>
            </w:r>
          </w:p>
        </w:tc>
      </w:tr>
      <w:tr w:rsidR="001E6397" w:rsidRPr="00630310" w14:paraId="012C090C" w14:textId="77777777" w:rsidTr="00DF3145">
        <w:trPr>
          <w:trHeight w:val="110"/>
        </w:trPr>
        <w:tc>
          <w:tcPr>
            <w:tcW w:w="1527" w:type="dxa"/>
            <w:vAlign w:val="center"/>
          </w:tcPr>
          <w:p w14:paraId="7D033844" w14:textId="77777777" w:rsidR="001E6397" w:rsidRPr="00630310" w:rsidRDefault="001E6397" w:rsidP="00DF3145">
            <w:pPr>
              <w:pStyle w:val="Default"/>
              <w:rPr>
                <w:lang w:val="fr-CI"/>
              </w:rPr>
            </w:pPr>
            <w:r w:rsidRPr="00630310">
              <w:rPr>
                <w:lang w:val="fr-CI"/>
              </w:rPr>
              <w:t>TMM</w:t>
            </w:r>
          </w:p>
        </w:tc>
        <w:tc>
          <w:tcPr>
            <w:tcW w:w="277" w:type="dxa"/>
            <w:vAlign w:val="center"/>
          </w:tcPr>
          <w:p w14:paraId="7F929531" w14:textId="77777777" w:rsidR="001E6397" w:rsidRPr="00630310" w:rsidRDefault="001E6397" w:rsidP="00DF3145">
            <w:pPr>
              <w:pStyle w:val="Default"/>
            </w:pPr>
            <w:r w:rsidRPr="00630310">
              <w:t>:</w:t>
            </w:r>
          </w:p>
        </w:tc>
        <w:tc>
          <w:tcPr>
            <w:tcW w:w="7783" w:type="dxa"/>
            <w:vAlign w:val="center"/>
          </w:tcPr>
          <w:p w14:paraId="357268D2" w14:textId="77777777" w:rsidR="001E6397" w:rsidRPr="00630310" w:rsidRDefault="001E6397" w:rsidP="00DF3145">
            <w:pPr>
              <w:pStyle w:val="Default"/>
              <w:rPr>
                <w:lang w:val="fr-CI"/>
              </w:rPr>
            </w:pPr>
            <w:r w:rsidRPr="00630310">
              <w:t>Taux de mortalité maternel</w:t>
            </w:r>
          </w:p>
        </w:tc>
      </w:tr>
      <w:tr w:rsidR="001E6397" w:rsidRPr="00630310" w14:paraId="5AF2569E" w14:textId="77777777" w:rsidTr="00DF3145">
        <w:trPr>
          <w:trHeight w:val="110"/>
        </w:trPr>
        <w:tc>
          <w:tcPr>
            <w:tcW w:w="1527" w:type="dxa"/>
            <w:vAlign w:val="center"/>
          </w:tcPr>
          <w:p w14:paraId="1163D326" w14:textId="77777777" w:rsidR="001E6397" w:rsidRPr="00630310" w:rsidRDefault="001E6397" w:rsidP="00DF3145">
            <w:pPr>
              <w:pStyle w:val="Default"/>
            </w:pPr>
            <w:r w:rsidRPr="00630310">
              <w:t xml:space="preserve">UE </w:t>
            </w:r>
          </w:p>
        </w:tc>
        <w:tc>
          <w:tcPr>
            <w:tcW w:w="277" w:type="dxa"/>
            <w:vAlign w:val="center"/>
          </w:tcPr>
          <w:p w14:paraId="3DA81EB7" w14:textId="77777777" w:rsidR="001E6397" w:rsidRPr="00630310" w:rsidRDefault="001E6397" w:rsidP="00DF3145">
            <w:pPr>
              <w:pStyle w:val="Default"/>
            </w:pPr>
            <w:r w:rsidRPr="00630310">
              <w:t xml:space="preserve">: </w:t>
            </w:r>
          </w:p>
        </w:tc>
        <w:tc>
          <w:tcPr>
            <w:tcW w:w="7783" w:type="dxa"/>
            <w:vAlign w:val="center"/>
          </w:tcPr>
          <w:p w14:paraId="75AF2383" w14:textId="77777777" w:rsidR="001E6397" w:rsidRPr="00630310" w:rsidRDefault="001E6397" w:rsidP="00DF3145">
            <w:pPr>
              <w:pStyle w:val="Default"/>
            </w:pPr>
            <w:r w:rsidRPr="00630310">
              <w:t xml:space="preserve">Union Européenne </w:t>
            </w:r>
          </w:p>
        </w:tc>
      </w:tr>
      <w:tr w:rsidR="001E6397" w:rsidRPr="00630310" w14:paraId="2F28B422" w14:textId="77777777" w:rsidTr="00DF3145">
        <w:trPr>
          <w:trHeight w:val="110"/>
        </w:trPr>
        <w:tc>
          <w:tcPr>
            <w:tcW w:w="1527" w:type="dxa"/>
            <w:vAlign w:val="center"/>
          </w:tcPr>
          <w:p w14:paraId="1DF1D952" w14:textId="77777777" w:rsidR="001E6397" w:rsidRPr="00630310" w:rsidRDefault="001E6397" w:rsidP="00DF3145">
            <w:pPr>
              <w:pStyle w:val="Default"/>
            </w:pPr>
            <w:r w:rsidRPr="00630310">
              <w:t>UEMOA</w:t>
            </w:r>
          </w:p>
        </w:tc>
        <w:tc>
          <w:tcPr>
            <w:tcW w:w="277" w:type="dxa"/>
            <w:vAlign w:val="center"/>
          </w:tcPr>
          <w:p w14:paraId="622AE42C" w14:textId="77777777" w:rsidR="001E6397" w:rsidRPr="00630310" w:rsidRDefault="001E6397" w:rsidP="00DF3145">
            <w:pPr>
              <w:pStyle w:val="Default"/>
            </w:pPr>
          </w:p>
        </w:tc>
        <w:tc>
          <w:tcPr>
            <w:tcW w:w="7783" w:type="dxa"/>
            <w:vAlign w:val="center"/>
          </w:tcPr>
          <w:p w14:paraId="22804D78" w14:textId="77777777" w:rsidR="001E6397" w:rsidRPr="00630310" w:rsidRDefault="001E6397" w:rsidP="00DF3145">
            <w:pPr>
              <w:pStyle w:val="Default"/>
            </w:pPr>
            <w:r w:rsidRPr="00630310">
              <w:t>Union Economique et Monétaire Ouest Africaine</w:t>
            </w:r>
          </w:p>
        </w:tc>
      </w:tr>
      <w:tr w:rsidR="001E6397" w:rsidRPr="00630310" w14:paraId="628C35E0" w14:textId="77777777" w:rsidTr="00DF3145">
        <w:trPr>
          <w:trHeight w:val="110"/>
        </w:trPr>
        <w:tc>
          <w:tcPr>
            <w:tcW w:w="1527" w:type="dxa"/>
            <w:vAlign w:val="center"/>
          </w:tcPr>
          <w:p w14:paraId="47935764" w14:textId="77777777" w:rsidR="001E6397" w:rsidRPr="00630310" w:rsidRDefault="001E6397" w:rsidP="00DF3145">
            <w:pPr>
              <w:pStyle w:val="Default"/>
            </w:pPr>
            <w:r w:rsidRPr="00630310">
              <w:t xml:space="preserve">VIH/SIDA </w:t>
            </w:r>
          </w:p>
        </w:tc>
        <w:tc>
          <w:tcPr>
            <w:tcW w:w="277" w:type="dxa"/>
            <w:vAlign w:val="center"/>
          </w:tcPr>
          <w:p w14:paraId="7A8C6566" w14:textId="77777777" w:rsidR="001E6397" w:rsidRPr="00630310" w:rsidRDefault="001E6397" w:rsidP="00DF3145">
            <w:pPr>
              <w:pStyle w:val="Default"/>
            </w:pPr>
            <w:r w:rsidRPr="00630310">
              <w:t xml:space="preserve">: </w:t>
            </w:r>
          </w:p>
        </w:tc>
        <w:tc>
          <w:tcPr>
            <w:tcW w:w="7783" w:type="dxa"/>
            <w:vAlign w:val="center"/>
          </w:tcPr>
          <w:p w14:paraId="771B0498" w14:textId="77777777" w:rsidR="001E6397" w:rsidRPr="00630310" w:rsidRDefault="001E6397" w:rsidP="00DF3145">
            <w:pPr>
              <w:pStyle w:val="Default"/>
            </w:pPr>
            <w:r w:rsidRPr="00630310">
              <w:t xml:space="preserve">Virus de l’immunodéficience humain/Syndrome de l’immunodéficience acquise </w:t>
            </w:r>
          </w:p>
        </w:tc>
      </w:tr>
    </w:tbl>
    <w:p w14:paraId="13186BEE" w14:textId="77777777" w:rsidR="002F23D0" w:rsidRPr="00333A62" w:rsidRDefault="002F23D0" w:rsidP="00333A62">
      <w:pPr>
        <w:spacing w:before="120" w:after="120" w:line="276" w:lineRule="auto"/>
        <w:rPr>
          <w:rFonts w:ascii="Times New Roman" w:hAnsi="Times New Roman" w:cs="Times New Roman"/>
          <w:sz w:val="24"/>
          <w:szCs w:val="24"/>
        </w:rPr>
      </w:pPr>
    </w:p>
    <w:p w14:paraId="752178ED" w14:textId="77777777" w:rsidR="00C85634" w:rsidRDefault="00C85634">
      <w:pPr>
        <w:rPr>
          <w:rFonts w:ascii="Times New Roman" w:hAnsi="Times New Roman" w:cs="Times New Roman"/>
          <w:sz w:val="24"/>
          <w:szCs w:val="24"/>
        </w:rPr>
      </w:pPr>
      <w:r>
        <w:rPr>
          <w:rFonts w:ascii="Times New Roman" w:hAnsi="Times New Roman" w:cs="Times New Roman"/>
          <w:sz w:val="24"/>
          <w:szCs w:val="24"/>
        </w:rPr>
        <w:br w:type="page"/>
      </w:r>
    </w:p>
    <w:p w14:paraId="58F660FA" w14:textId="00E53B52" w:rsidR="0025060B" w:rsidRDefault="0025060B" w:rsidP="00D97CCC">
      <w:pPr>
        <w:pStyle w:val="Titre1"/>
        <w:numPr>
          <w:ilvl w:val="0"/>
          <w:numId w:val="0"/>
        </w:numPr>
        <w:ind w:left="432" w:hanging="432"/>
        <w:rPr>
          <w:rFonts w:ascii="Times New Roman" w:hAnsi="Times New Roman" w:cs="Times New Roman"/>
          <w:sz w:val="24"/>
          <w:szCs w:val="24"/>
        </w:rPr>
      </w:pPr>
      <w:bookmarkStart w:id="5" w:name="_Toc1573785"/>
      <w:r w:rsidRPr="00333A62">
        <w:rPr>
          <w:rFonts w:ascii="Times New Roman" w:hAnsi="Times New Roman" w:cs="Times New Roman"/>
          <w:sz w:val="24"/>
          <w:szCs w:val="24"/>
        </w:rPr>
        <w:lastRenderedPageBreak/>
        <w:t>Avant-propos</w:t>
      </w:r>
      <w:bookmarkEnd w:id="5"/>
      <w:r w:rsidRPr="00333A62">
        <w:rPr>
          <w:rFonts w:ascii="Times New Roman" w:hAnsi="Times New Roman" w:cs="Times New Roman"/>
          <w:sz w:val="24"/>
          <w:szCs w:val="24"/>
        </w:rPr>
        <w:t xml:space="preserve"> </w:t>
      </w:r>
    </w:p>
    <w:p w14:paraId="1631979A" w14:textId="77777777" w:rsidR="00F62E94" w:rsidRPr="00333A62" w:rsidRDefault="00F62E94" w:rsidP="00F62E94">
      <w:pPr>
        <w:rPr>
          <w:rFonts w:ascii="Times New Roman" w:hAnsi="Times New Roman" w:cs="Times New Roman"/>
          <w:sz w:val="24"/>
          <w:szCs w:val="24"/>
        </w:rPr>
      </w:pPr>
    </w:p>
    <w:p w14:paraId="6138B566" w14:textId="4F0A34A2" w:rsidR="00C85634" w:rsidRDefault="00C85634">
      <w:pPr>
        <w:rPr>
          <w:rFonts w:ascii="Times New Roman" w:hAnsi="Times New Roman" w:cs="Times New Roman"/>
          <w:sz w:val="24"/>
          <w:szCs w:val="24"/>
        </w:rPr>
      </w:pPr>
    </w:p>
    <w:p w14:paraId="7EF32F15" w14:textId="20290886" w:rsidR="0025060B" w:rsidRDefault="0025060B" w:rsidP="00D97CCC">
      <w:pPr>
        <w:pStyle w:val="Titre1"/>
        <w:numPr>
          <w:ilvl w:val="0"/>
          <w:numId w:val="0"/>
        </w:numPr>
        <w:ind w:left="432" w:hanging="432"/>
        <w:rPr>
          <w:rFonts w:ascii="Times New Roman" w:hAnsi="Times New Roman" w:cs="Times New Roman"/>
          <w:sz w:val="24"/>
          <w:szCs w:val="24"/>
        </w:rPr>
      </w:pPr>
      <w:bookmarkStart w:id="6" w:name="_Toc1573786"/>
      <w:r w:rsidRPr="00333A62">
        <w:rPr>
          <w:rFonts w:ascii="Times New Roman" w:hAnsi="Times New Roman" w:cs="Times New Roman"/>
          <w:sz w:val="24"/>
          <w:szCs w:val="24"/>
        </w:rPr>
        <w:t>Remerciements</w:t>
      </w:r>
      <w:bookmarkEnd w:id="6"/>
    </w:p>
    <w:p w14:paraId="07919C21" w14:textId="77777777" w:rsidR="00F62E94" w:rsidRPr="00333A62" w:rsidRDefault="00F62E94" w:rsidP="00F62E94">
      <w:pPr>
        <w:rPr>
          <w:rFonts w:ascii="Times New Roman" w:hAnsi="Times New Roman" w:cs="Times New Roman"/>
          <w:sz w:val="24"/>
          <w:szCs w:val="24"/>
        </w:rPr>
      </w:pPr>
    </w:p>
    <w:p w14:paraId="627D58A0" w14:textId="5591FF98" w:rsidR="00C85634" w:rsidRDefault="00C85634">
      <w:pPr>
        <w:rPr>
          <w:rFonts w:ascii="Times New Roman" w:hAnsi="Times New Roman" w:cs="Times New Roman"/>
          <w:sz w:val="24"/>
          <w:szCs w:val="24"/>
        </w:rPr>
      </w:pPr>
    </w:p>
    <w:p w14:paraId="526237C8" w14:textId="5793F726" w:rsidR="0025060B" w:rsidRPr="00333A62" w:rsidRDefault="0025060B" w:rsidP="00D97CCC">
      <w:pPr>
        <w:pStyle w:val="Titre1"/>
        <w:numPr>
          <w:ilvl w:val="0"/>
          <w:numId w:val="0"/>
        </w:numPr>
        <w:ind w:left="432" w:hanging="432"/>
        <w:rPr>
          <w:rFonts w:ascii="Times New Roman" w:hAnsi="Times New Roman" w:cs="Times New Roman"/>
          <w:sz w:val="24"/>
          <w:szCs w:val="24"/>
        </w:rPr>
      </w:pPr>
      <w:bookmarkStart w:id="7" w:name="_Toc1573787"/>
      <w:r w:rsidRPr="00333A62">
        <w:rPr>
          <w:rFonts w:ascii="Times New Roman" w:hAnsi="Times New Roman" w:cs="Times New Roman"/>
          <w:sz w:val="24"/>
          <w:szCs w:val="24"/>
        </w:rPr>
        <w:t>Résumé</w:t>
      </w:r>
      <w:bookmarkEnd w:id="7"/>
      <w:r w:rsidRPr="00333A62">
        <w:rPr>
          <w:rFonts w:ascii="Times New Roman" w:hAnsi="Times New Roman" w:cs="Times New Roman"/>
          <w:sz w:val="24"/>
          <w:szCs w:val="24"/>
        </w:rPr>
        <w:t xml:space="preserve"> </w:t>
      </w:r>
    </w:p>
    <w:p w14:paraId="1D02D6F0" w14:textId="77777777" w:rsidR="0025060B" w:rsidRPr="00333A62" w:rsidRDefault="0025060B" w:rsidP="00333A62">
      <w:pPr>
        <w:spacing w:before="120" w:after="120" w:line="276" w:lineRule="auto"/>
        <w:rPr>
          <w:rFonts w:ascii="Times New Roman" w:hAnsi="Times New Roman" w:cs="Times New Roman"/>
          <w:sz w:val="24"/>
          <w:szCs w:val="24"/>
          <w:lang w:val="fr-FR"/>
        </w:rPr>
      </w:pPr>
    </w:p>
    <w:p w14:paraId="10FC8284" w14:textId="77777777" w:rsidR="0025060B" w:rsidRPr="00333A62" w:rsidRDefault="0025060B" w:rsidP="00333A62">
      <w:pPr>
        <w:spacing w:before="120" w:after="120" w:line="276" w:lineRule="auto"/>
        <w:rPr>
          <w:rFonts w:ascii="Times New Roman" w:eastAsiaTheme="majorEastAsia" w:hAnsi="Times New Roman" w:cs="Times New Roman"/>
          <w:b/>
          <w:sz w:val="24"/>
          <w:szCs w:val="24"/>
        </w:rPr>
      </w:pPr>
      <w:r w:rsidRPr="00333A62">
        <w:rPr>
          <w:rFonts w:ascii="Times New Roman" w:hAnsi="Times New Roman" w:cs="Times New Roman"/>
          <w:b/>
          <w:sz w:val="24"/>
          <w:szCs w:val="24"/>
        </w:rPr>
        <w:br w:type="page"/>
      </w:r>
    </w:p>
    <w:p w14:paraId="4227C6D0" w14:textId="11606149" w:rsidR="0025060B" w:rsidRPr="002A3FB8" w:rsidRDefault="00662497" w:rsidP="00333A62">
      <w:pPr>
        <w:pStyle w:val="Titre1"/>
        <w:spacing w:before="120" w:after="120" w:line="276" w:lineRule="auto"/>
        <w:rPr>
          <w:rFonts w:ascii="Times New Roman" w:hAnsi="Times New Roman" w:cs="Times New Roman"/>
          <w:b/>
          <w:color w:val="0070C0"/>
          <w:sz w:val="24"/>
          <w:szCs w:val="24"/>
        </w:rPr>
      </w:pPr>
      <w:bookmarkStart w:id="8" w:name="_Toc1573788"/>
      <w:r w:rsidRPr="002A3FB8">
        <w:rPr>
          <w:rFonts w:ascii="Times New Roman" w:hAnsi="Times New Roman" w:cs="Times New Roman"/>
          <w:b/>
          <w:color w:val="0070C0"/>
          <w:sz w:val="24"/>
          <w:szCs w:val="24"/>
        </w:rPr>
        <w:lastRenderedPageBreak/>
        <w:t>INTRODUCTION</w:t>
      </w:r>
      <w:bookmarkEnd w:id="8"/>
    </w:p>
    <w:p w14:paraId="0B02F0A2" w14:textId="56D294A9" w:rsidR="0025060B" w:rsidRPr="00333A62" w:rsidRDefault="0025060B" w:rsidP="00333A62">
      <w:pPr>
        <w:spacing w:before="120" w:after="120" w:line="276" w:lineRule="auto"/>
        <w:jc w:val="both"/>
        <w:rPr>
          <w:rFonts w:ascii="Times New Roman" w:eastAsia="Times New Roman" w:hAnsi="Times New Roman" w:cs="Times New Roman"/>
          <w:sz w:val="24"/>
          <w:szCs w:val="24"/>
          <w:lang w:val="fr-FR" w:eastAsia="fr-FR"/>
        </w:rPr>
      </w:pPr>
      <w:r w:rsidRPr="00333A62">
        <w:rPr>
          <w:rFonts w:ascii="Times New Roman" w:eastAsia="Times New Roman" w:hAnsi="Times New Roman" w:cs="Times New Roman"/>
          <w:sz w:val="24"/>
          <w:szCs w:val="24"/>
          <w:lang w:val="fr-FR" w:eastAsia="fr-FR"/>
        </w:rPr>
        <w:t>Après une décennie de conflit et d’incertitudes</w:t>
      </w:r>
      <w:r w:rsidR="00B527C1">
        <w:rPr>
          <w:rFonts w:ascii="Times New Roman" w:eastAsia="Times New Roman" w:hAnsi="Times New Roman" w:cs="Times New Roman"/>
          <w:sz w:val="24"/>
          <w:szCs w:val="24"/>
          <w:lang w:val="fr-FR" w:eastAsia="fr-FR"/>
        </w:rPr>
        <w:t>,</w:t>
      </w:r>
      <w:r w:rsidRPr="00333A62">
        <w:rPr>
          <w:rFonts w:ascii="Times New Roman" w:eastAsia="Times New Roman" w:hAnsi="Times New Roman" w:cs="Times New Roman"/>
          <w:sz w:val="24"/>
          <w:szCs w:val="24"/>
          <w:lang w:val="fr-FR" w:eastAsia="fr-FR"/>
        </w:rPr>
        <w:t xml:space="preserve"> la Côte d’Ivoire a renoué avec la stabilité depuis 2012. Un examen des performances de l’économie ivoirienne montre que depuis 2012, le pays connaît une croissance soutenue avec une moyenne supérieure à 8%. Ce dynamisme de l’activité économique s’explique notamment par les efforts d’impulsion des investissements publics qui représentent le tiers du budget de l’Etat depuis quelques années.</w:t>
      </w:r>
    </w:p>
    <w:p w14:paraId="0AD62CE1" w14:textId="77777777" w:rsidR="0025060B" w:rsidRPr="00333A62" w:rsidRDefault="0025060B" w:rsidP="00333A62">
      <w:pPr>
        <w:spacing w:before="120" w:after="120" w:line="276" w:lineRule="auto"/>
        <w:jc w:val="both"/>
        <w:rPr>
          <w:rFonts w:ascii="Times New Roman" w:eastAsia="Times New Roman" w:hAnsi="Times New Roman" w:cs="Times New Roman"/>
          <w:sz w:val="24"/>
          <w:szCs w:val="24"/>
          <w:lang w:val="fr-FR" w:eastAsia="fr-FR"/>
        </w:rPr>
      </w:pPr>
      <w:r w:rsidRPr="00333A62">
        <w:rPr>
          <w:rFonts w:ascii="Times New Roman" w:eastAsia="Times New Roman" w:hAnsi="Times New Roman" w:cs="Times New Roman"/>
          <w:sz w:val="24"/>
          <w:szCs w:val="24"/>
          <w:lang w:val="fr-FR" w:eastAsia="fr-FR"/>
        </w:rPr>
        <w:t>Avec cette croissance économique, la priorité du gouvernement est d’assurer que la prospérité soit partagée à travers le financement des dépenses dites « pro-pauvres » incluant les dépenses de santé qui sont passées de 1 080,3 milliards en 2012 à 1 998,5 milliards en 2016.</w:t>
      </w:r>
    </w:p>
    <w:p w14:paraId="558465CA" w14:textId="3C3B5CE5" w:rsidR="0025060B" w:rsidRPr="00333A62" w:rsidRDefault="0025060B" w:rsidP="00333A62">
      <w:pPr>
        <w:spacing w:before="120" w:after="120" w:line="276" w:lineRule="auto"/>
        <w:jc w:val="both"/>
        <w:rPr>
          <w:rFonts w:ascii="Times New Roman" w:eastAsia="Times New Roman" w:hAnsi="Times New Roman" w:cs="Times New Roman"/>
          <w:sz w:val="24"/>
          <w:szCs w:val="24"/>
          <w:lang w:val="fr-FR" w:eastAsia="fr-FR"/>
        </w:rPr>
      </w:pPr>
      <w:r w:rsidRPr="00333A62">
        <w:rPr>
          <w:rFonts w:ascii="Times New Roman" w:eastAsia="Times New Roman" w:hAnsi="Times New Roman" w:cs="Times New Roman"/>
          <w:sz w:val="24"/>
          <w:szCs w:val="24"/>
          <w:lang w:val="fr-FR" w:eastAsia="fr-FR"/>
        </w:rPr>
        <w:t xml:space="preserve">Malgré cet important effort des autorités nationales, la part des ressources de l’Etat allouée à la santé reste limitée. Elle est en moyenne </w:t>
      </w:r>
      <w:r w:rsidR="000D59DC">
        <w:rPr>
          <w:rFonts w:ascii="Times New Roman" w:eastAsia="Times New Roman" w:hAnsi="Times New Roman" w:cs="Times New Roman"/>
          <w:sz w:val="24"/>
          <w:szCs w:val="24"/>
          <w:lang w:val="fr-FR" w:eastAsia="fr-FR"/>
        </w:rPr>
        <w:t xml:space="preserve">de 5,93% </w:t>
      </w:r>
      <w:r w:rsidR="009054EF" w:rsidRPr="00333A62">
        <w:rPr>
          <w:rFonts w:ascii="Times New Roman" w:eastAsia="Times New Roman" w:hAnsi="Times New Roman" w:cs="Times New Roman"/>
          <w:sz w:val="24"/>
          <w:szCs w:val="24"/>
          <w:lang w:val="fr-FR" w:eastAsia="fr-FR"/>
        </w:rPr>
        <w:t>sur la période 2012-2</w:t>
      </w:r>
      <w:r w:rsidRPr="00333A62">
        <w:rPr>
          <w:rFonts w:ascii="Times New Roman" w:eastAsia="Times New Roman" w:hAnsi="Times New Roman" w:cs="Times New Roman"/>
          <w:sz w:val="24"/>
          <w:szCs w:val="24"/>
          <w:lang w:val="fr-FR" w:eastAsia="fr-FR"/>
        </w:rPr>
        <w:t xml:space="preserve">016, loin des 15% d’Abuja. Pour la même période, la structure du financement de la santé montre que les paiements directs des ménages restent très importants, soit en moyenne </w:t>
      </w:r>
      <w:r w:rsidR="000D59DC">
        <w:rPr>
          <w:rFonts w:ascii="Times New Roman" w:eastAsia="Times New Roman" w:hAnsi="Times New Roman" w:cs="Times New Roman"/>
          <w:sz w:val="24"/>
          <w:szCs w:val="24"/>
          <w:lang w:val="fr-FR" w:eastAsia="fr-FR"/>
        </w:rPr>
        <w:t>43,58</w:t>
      </w:r>
      <w:r w:rsidRPr="00333A62">
        <w:rPr>
          <w:rFonts w:ascii="Times New Roman" w:eastAsia="Times New Roman" w:hAnsi="Times New Roman" w:cs="Times New Roman"/>
          <w:sz w:val="24"/>
          <w:szCs w:val="24"/>
          <w:lang w:val="fr-FR" w:eastAsia="fr-FR"/>
        </w:rPr>
        <w:t>% des dépenses totales de santé ; ce qui a un grand impact à la fois sur l’appauvrissement et sur l’accès aux soins. De plus, l’on n’est pas sûr que l’allocation des ressources publiques soit efficiente et équitable, bénéficiant également aux populations pauvres comme aux populations riches, aux zones rurales comme aux zones urbaines. De surcroît, l’on relève une grande inefficience dans l’utilisation des fonds publics pour la santé. Les études indiquent que jusqu’à 50% des ressources sont gaspillées. Quand on ajoute à ce tableau, que les grands investissements des bailleurs de fonds connaisse</w:t>
      </w:r>
      <w:r w:rsidR="009054EF" w:rsidRPr="00333A62">
        <w:rPr>
          <w:rFonts w:ascii="Times New Roman" w:eastAsia="Times New Roman" w:hAnsi="Times New Roman" w:cs="Times New Roman"/>
          <w:sz w:val="24"/>
          <w:szCs w:val="24"/>
          <w:lang w:val="fr-FR" w:eastAsia="fr-FR"/>
        </w:rPr>
        <w:t>nt aussi de grande inefficience</w:t>
      </w:r>
      <w:r w:rsidRPr="00333A62">
        <w:rPr>
          <w:rFonts w:ascii="Times New Roman" w:eastAsia="Times New Roman" w:hAnsi="Times New Roman" w:cs="Times New Roman"/>
          <w:sz w:val="24"/>
          <w:szCs w:val="24"/>
          <w:lang w:val="fr-FR" w:eastAsia="fr-FR"/>
        </w:rPr>
        <w:t xml:space="preserve"> car ils sont mal coordonnés, connaissant des duplications, des lourdeurs administratives, et une mauvaise harmonisation avec les stratégies nationales, alors, l’on peut comprendre que les résultats sanitaires soient très insatisfaisants en particulier le ratio de mortalité maternelle estimé à 614 décès p 100 000 naissances vivantes (EDS 2012) et qui fait partie des ratios les plus élevés dans la région africaine.</w:t>
      </w:r>
    </w:p>
    <w:p w14:paraId="5341DD1C" w14:textId="384187BB" w:rsidR="0025060B" w:rsidRPr="00333A62" w:rsidRDefault="0025060B" w:rsidP="00333A62">
      <w:pPr>
        <w:spacing w:before="120" w:after="120" w:line="276" w:lineRule="auto"/>
        <w:jc w:val="both"/>
        <w:rPr>
          <w:rFonts w:ascii="Times New Roman" w:eastAsia="Times New Roman" w:hAnsi="Times New Roman" w:cs="Times New Roman"/>
          <w:sz w:val="24"/>
          <w:szCs w:val="24"/>
          <w:lang w:val="fr-FR" w:eastAsia="fr-FR"/>
        </w:rPr>
      </w:pPr>
      <w:r w:rsidRPr="00333A62">
        <w:rPr>
          <w:rFonts w:ascii="Times New Roman" w:eastAsia="Times New Roman" w:hAnsi="Times New Roman" w:cs="Times New Roman"/>
          <w:sz w:val="24"/>
          <w:szCs w:val="24"/>
          <w:lang w:val="fr-FR" w:eastAsia="fr-FR"/>
        </w:rPr>
        <w:t xml:space="preserve">Dans ce contexte de difficulté de mobilisation et de gestion de ressources financières adéquates, l’initiative du mécanisme de financement mondial en soutien à la stratégie « chaque femme chaque enfant » s’offre comme une opportunité d’accélérer l’évolution du système </w:t>
      </w:r>
      <w:r w:rsidR="00F34DBE">
        <w:rPr>
          <w:rFonts w:ascii="Times New Roman" w:eastAsia="Times New Roman" w:hAnsi="Times New Roman" w:cs="Times New Roman"/>
          <w:sz w:val="24"/>
          <w:szCs w:val="24"/>
          <w:lang w:val="fr-FR" w:eastAsia="fr-FR"/>
        </w:rPr>
        <w:t xml:space="preserve">de santé </w:t>
      </w:r>
      <w:r w:rsidRPr="00333A62">
        <w:rPr>
          <w:rFonts w:ascii="Times New Roman" w:eastAsia="Times New Roman" w:hAnsi="Times New Roman" w:cs="Times New Roman"/>
          <w:sz w:val="24"/>
          <w:szCs w:val="24"/>
          <w:lang w:val="fr-FR" w:eastAsia="fr-FR"/>
        </w:rPr>
        <w:t>national vers plus d’efficacité et d’efficience.</w:t>
      </w:r>
    </w:p>
    <w:p w14:paraId="20CC5623" w14:textId="77777777" w:rsidR="0025060B" w:rsidRPr="00333A62" w:rsidRDefault="0025060B" w:rsidP="00333A62">
      <w:pPr>
        <w:spacing w:before="120" w:after="120" w:line="276" w:lineRule="auto"/>
        <w:jc w:val="both"/>
        <w:rPr>
          <w:rFonts w:ascii="Times New Roman" w:eastAsia="Times New Roman" w:hAnsi="Times New Roman" w:cs="Times New Roman"/>
          <w:sz w:val="24"/>
          <w:szCs w:val="24"/>
          <w:lang w:val="fr-FR" w:eastAsia="fr-FR"/>
        </w:rPr>
      </w:pPr>
      <w:r w:rsidRPr="00333A62">
        <w:rPr>
          <w:rFonts w:ascii="Times New Roman" w:eastAsia="Times New Roman" w:hAnsi="Times New Roman" w:cs="Times New Roman"/>
          <w:sz w:val="24"/>
          <w:szCs w:val="24"/>
          <w:lang w:val="fr-FR" w:eastAsia="fr-FR"/>
        </w:rPr>
        <w:t>En effet, le Mécanisme de Financement Mondial (Global Financing Facility-GFF) en soutien à « Chaque Femme Chaque Enfant » vise à accélérer la mise en œuvre de la Stratégie Mondiale Pour la Santé de la Femme</w:t>
      </w:r>
      <w:r w:rsidRPr="00333A62">
        <w:rPr>
          <w:rFonts w:ascii="Times New Roman" w:eastAsia="Times New Roman" w:hAnsi="Times New Roman" w:cs="Times New Roman"/>
          <w:sz w:val="24"/>
          <w:szCs w:val="24"/>
          <w:vertAlign w:val="superscript"/>
          <w:lang w:eastAsia="fr-FR"/>
        </w:rPr>
        <w:footnoteReference w:id="1"/>
      </w:r>
      <w:r w:rsidRPr="00333A62">
        <w:rPr>
          <w:rFonts w:ascii="Times New Roman" w:eastAsia="Times New Roman" w:hAnsi="Times New Roman" w:cs="Times New Roman"/>
          <w:sz w:val="24"/>
          <w:szCs w:val="24"/>
          <w:lang w:val="fr-FR" w:eastAsia="fr-FR"/>
        </w:rPr>
        <w:t xml:space="preserve"> en (1) coordonnant et en harmonisant les flux externes de financement pour soutenir les plans nationaux; (2) aidant les gouvernements à identifier des stratégies capables de progressivement accroitre les ressources nationales pour la santé; et, (3) réduisant graduellement l'inefficacité en matière de dépenses de santé. </w:t>
      </w:r>
    </w:p>
    <w:p w14:paraId="5A1143D2" w14:textId="77777777" w:rsidR="0025060B" w:rsidRPr="00333A62" w:rsidRDefault="0025060B" w:rsidP="00333A62">
      <w:pPr>
        <w:spacing w:before="120" w:after="120" w:line="276" w:lineRule="auto"/>
        <w:jc w:val="both"/>
        <w:rPr>
          <w:rFonts w:ascii="Times New Roman" w:eastAsia="Times New Roman" w:hAnsi="Times New Roman" w:cs="Times New Roman"/>
          <w:sz w:val="24"/>
          <w:szCs w:val="24"/>
          <w:lang w:val="fr-FR" w:eastAsia="fr-FR"/>
        </w:rPr>
      </w:pPr>
      <w:r w:rsidRPr="00333A62">
        <w:rPr>
          <w:rFonts w:ascii="Times New Roman" w:eastAsia="Times New Roman" w:hAnsi="Times New Roman" w:cs="Times New Roman"/>
          <w:sz w:val="24"/>
          <w:szCs w:val="24"/>
          <w:lang w:val="fr-FR" w:eastAsia="fr-FR"/>
        </w:rPr>
        <w:lastRenderedPageBreak/>
        <w:t xml:space="preserve">Dans ce cadre, chaque pays doit développer un dossier d’investissement et une stratégie nationale de financement autour desquels le gouvernement, les bailleurs, la société civile et les acteurs du secteur privé s’engagent à s’aligner pour appuyer les priorités nationales de santé. </w:t>
      </w:r>
    </w:p>
    <w:p w14:paraId="6363B796" w14:textId="3FD939E2" w:rsidR="0025060B" w:rsidRPr="00BC4D4D" w:rsidRDefault="0025060B" w:rsidP="00333A62">
      <w:pPr>
        <w:spacing w:before="120" w:after="120" w:line="276" w:lineRule="auto"/>
        <w:jc w:val="both"/>
        <w:rPr>
          <w:rFonts w:ascii="Times New Roman" w:eastAsia="Times New Roman" w:hAnsi="Times New Roman" w:cs="Times New Roman"/>
          <w:sz w:val="24"/>
          <w:szCs w:val="24"/>
          <w:lang w:val="fr-FR" w:eastAsia="fr-FR"/>
        </w:rPr>
      </w:pPr>
      <w:r w:rsidRPr="00BC4D4D">
        <w:rPr>
          <w:rFonts w:ascii="Times New Roman" w:eastAsia="Times New Roman" w:hAnsi="Times New Roman" w:cs="Times New Roman"/>
          <w:sz w:val="24"/>
          <w:szCs w:val="24"/>
          <w:lang w:val="fr-FR" w:eastAsia="fr-FR"/>
        </w:rPr>
        <w:t>Intégrée au programme GFF depuis novembre 2017, la Côte d’Ivoire a pris part pour la première fois à une réunion du GFF à Accra au Ghana en janvier 2018</w:t>
      </w:r>
      <w:r w:rsidRPr="00BC4D4D">
        <w:rPr>
          <w:rFonts w:ascii="Times New Roman" w:eastAsia="Times New Roman" w:hAnsi="Times New Roman" w:cs="Times New Roman"/>
          <w:sz w:val="24"/>
          <w:szCs w:val="24"/>
          <w:vertAlign w:val="superscript"/>
          <w:lang w:eastAsia="fr-FR"/>
        </w:rPr>
        <w:footnoteReference w:id="2"/>
      </w:r>
      <w:r w:rsidRPr="00BC4D4D">
        <w:rPr>
          <w:rFonts w:ascii="Times New Roman" w:eastAsia="Times New Roman" w:hAnsi="Times New Roman" w:cs="Times New Roman"/>
          <w:sz w:val="24"/>
          <w:szCs w:val="24"/>
          <w:lang w:val="fr-FR" w:eastAsia="fr-FR"/>
        </w:rPr>
        <w:t>. Par la suite, les autorités Ivoiriennes et les parties prenantes ont adopté six (6) priorités d’intervention</w:t>
      </w:r>
      <w:r w:rsidR="006676AE">
        <w:rPr>
          <w:rFonts w:ascii="Times New Roman" w:eastAsia="Times New Roman" w:hAnsi="Times New Roman" w:cs="Times New Roman"/>
          <w:sz w:val="24"/>
          <w:szCs w:val="24"/>
          <w:lang w:val="fr-FR" w:eastAsia="fr-FR"/>
        </w:rPr>
        <w:t>s</w:t>
      </w:r>
      <w:r w:rsidRPr="00BC4D4D">
        <w:rPr>
          <w:rFonts w:ascii="Times New Roman" w:eastAsia="Times New Roman" w:hAnsi="Times New Roman" w:cs="Times New Roman"/>
          <w:sz w:val="24"/>
          <w:szCs w:val="24"/>
          <w:lang w:val="fr-FR" w:eastAsia="fr-FR"/>
        </w:rPr>
        <w:t xml:space="preserve"> pour le pays en matière de santé : (1) Santé communautaire ; (2) Fonctionnalité et qualité des soins de santé primaire ; (3) Chaine d’approvisionnement ; (4) Ressources Humaines ; (5) Information sanitaire ; et (6) Renforcement de l’intégration du Secteur Privé, dans le contexte des réformes structurantes dans le secteur, principalement la mise à l’échelle de l’achat stratégique.</w:t>
      </w:r>
    </w:p>
    <w:p w14:paraId="0386EFB4" w14:textId="77777777" w:rsidR="0025060B" w:rsidRPr="00333A62" w:rsidRDefault="0025060B" w:rsidP="00333A62">
      <w:pPr>
        <w:spacing w:before="120" w:after="120" w:line="276" w:lineRule="auto"/>
        <w:jc w:val="both"/>
        <w:rPr>
          <w:rFonts w:ascii="Times New Roman" w:eastAsia="Times New Roman" w:hAnsi="Times New Roman" w:cs="Times New Roman"/>
          <w:sz w:val="24"/>
          <w:szCs w:val="24"/>
          <w:lang w:val="fr-FR" w:eastAsia="fr-FR"/>
        </w:rPr>
      </w:pPr>
      <w:r w:rsidRPr="00333A62">
        <w:rPr>
          <w:rFonts w:ascii="Times New Roman" w:eastAsia="Times New Roman" w:hAnsi="Times New Roman" w:cs="Times New Roman"/>
          <w:sz w:val="24"/>
          <w:szCs w:val="24"/>
          <w:lang w:val="fr-FR" w:eastAsia="fr-FR"/>
        </w:rPr>
        <w:t>Ces interventions prioritaires se présentent comme une série d’activités à fort impact pour accélérer les actions du gouvernement ivoirien vers l’achèvement de l'objectif 3 de développement durable (« permettre à tous de vivre en bonne santé et à promouvoir le bien-être de tous à tout âge ») et achever la Couverture Sanitaire Universelle. Elles sont également en lien avec les ambitieux objectifs du Plan National de Développement Sanitaire 2016-2020 et du Plan National de Développement 2016-2020.</w:t>
      </w:r>
    </w:p>
    <w:p w14:paraId="5160FFFC" w14:textId="77777777" w:rsidR="000378E0" w:rsidRPr="00333A62" w:rsidRDefault="000378E0" w:rsidP="002E25ED">
      <w:pPr>
        <w:rPr>
          <w:rFonts w:ascii="Times New Roman" w:hAnsi="Times New Roman" w:cs="Times New Roman"/>
          <w:sz w:val="24"/>
          <w:szCs w:val="24"/>
        </w:rPr>
      </w:pPr>
    </w:p>
    <w:p w14:paraId="1149493B" w14:textId="77777777" w:rsidR="000378E0" w:rsidRPr="00333A62" w:rsidRDefault="000378E0" w:rsidP="002E25ED">
      <w:pPr>
        <w:rPr>
          <w:rFonts w:ascii="Times New Roman" w:hAnsi="Times New Roman" w:cs="Times New Roman"/>
          <w:sz w:val="24"/>
          <w:szCs w:val="24"/>
        </w:rPr>
      </w:pPr>
    </w:p>
    <w:p w14:paraId="4A0CFA10" w14:textId="33CADE0D" w:rsidR="00825055" w:rsidRPr="00333A62" w:rsidRDefault="00825055" w:rsidP="00333A62">
      <w:pPr>
        <w:pStyle w:val="Titre1"/>
        <w:spacing w:before="120" w:after="120" w:line="276" w:lineRule="auto"/>
        <w:rPr>
          <w:rFonts w:ascii="Times New Roman" w:hAnsi="Times New Roman" w:cs="Times New Roman"/>
          <w:b/>
          <w:color w:val="auto"/>
          <w:sz w:val="24"/>
          <w:szCs w:val="24"/>
        </w:rPr>
      </w:pPr>
      <w:bookmarkStart w:id="9" w:name="_Toc1573789"/>
      <w:r w:rsidRPr="002A3FB8">
        <w:rPr>
          <w:rFonts w:ascii="Times New Roman" w:hAnsi="Times New Roman" w:cs="Times New Roman"/>
          <w:b/>
          <w:color w:val="0070C0"/>
          <w:sz w:val="24"/>
          <w:szCs w:val="24"/>
        </w:rPr>
        <w:t>CONTEXTE</w:t>
      </w:r>
      <w:bookmarkEnd w:id="9"/>
      <w:r w:rsidRPr="00333A62">
        <w:rPr>
          <w:rFonts w:ascii="Times New Roman" w:hAnsi="Times New Roman" w:cs="Times New Roman"/>
          <w:b/>
          <w:color w:val="auto"/>
          <w:sz w:val="24"/>
          <w:szCs w:val="24"/>
        </w:rPr>
        <w:t xml:space="preserve"> </w:t>
      </w:r>
    </w:p>
    <w:p w14:paraId="27A7BB6A" w14:textId="77777777" w:rsidR="004E0F0E" w:rsidRPr="00333A62" w:rsidRDefault="004E0F0E" w:rsidP="00333A62">
      <w:pPr>
        <w:pStyle w:val="Titre2"/>
        <w:spacing w:before="120" w:after="120" w:line="276" w:lineRule="auto"/>
        <w:rPr>
          <w:rFonts w:ascii="Times New Roman" w:hAnsi="Times New Roman" w:cs="Times New Roman"/>
          <w:b/>
          <w:color w:val="0070C0"/>
          <w:sz w:val="24"/>
          <w:szCs w:val="24"/>
        </w:rPr>
      </w:pPr>
      <w:bookmarkStart w:id="10" w:name="_Toc1573790"/>
      <w:bookmarkStart w:id="11" w:name="_Toc502229571"/>
      <w:r w:rsidRPr="00333A62">
        <w:rPr>
          <w:rFonts w:ascii="Times New Roman" w:hAnsi="Times New Roman" w:cs="Times New Roman"/>
          <w:b/>
          <w:color w:val="0070C0"/>
          <w:sz w:val="24"/>
          <w:szCs w:val="24"/>
        </w:rPr>
        <w:t>Contexte géographique</w:t>
      </w:r>
      <w:bookmarkEnd w:id="10"/>
    </w:p>
    <w:p w14:paraId="68CD934B" w14:textId="77777777" w:rsidR="004E0F0E" w:rsidRPr="00333A62" w:rsidRDefault="004E0F0E"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La Côte d’Ivoire est située en Afrique occidentale. Elle fait frontière avec le Burkina Faso et le Mali au Nord, le Libéria et la Guinée à l’Ouest, le Ghana à l’Est et est limitée au Sud par le Golfe de Guinée. Elle s’étend sur une superficie de 322 462 km², avec un climat de type tropical humide et des températures généralement élevées dont la moyenne est de 30°C.</w:t>
      </w:r>
    </w:p>
    <w:p w14:paraId="31989085" w14:textId="77777777" w:rsidR="004E0F0E" w:rsidRPr="00333A62" w:rsidRDefault="004E0F0E"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La Côte d’Ivoire est couverte par une végétation diversifiée dominée par la forêt guinéenne au Sud et la savane soudano-sahélienne au Nord. Ce profil climatologique et géomorphologique a une forte influence sur le profil épidémiologique de la Côte d’Ivoire.</w:t>
      </w:r>
    </w:p>
    <w:p w14:paraId="44ED03DA" w14:textId="77777777" w:rsidR="004E0F0E" w:rsidRPr="00333A62" w:rsidRDefault="004E0F0E"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Le dernier Recensement Général de la Population et de l’Habitat</w:t>
      </w:r>
      <w:r w:rsidRPr="00333A62">
        <w:rPr>
          <w:rStyle w:val="Appelnotedebasdep"/>
          <w:rFonts w:ascii="Times New Roman" w:hAnsi="Times New Roman" w:cs="Times New Roman"/>
          <w:sz w:val="24"/>
          <w:szCs w:val="24"/>
          <w:lang w:val="fr-FR"/>
        </w:rPr>
        <w:footnoteReference w:id="3"/>
      </w:r>
      <w:r w:rsidRPr="00333A62">
        <w:rPr>
          <w:rFonts w:ascii="Times New Roman" w:hAnsi="Times New Roman" w:cs="Times New Roman"/>
          <w:sz w:val="24"/>
          <w:szCs w:val="24"/>
          <w:lang w:val="fr-FR"/>
        </w:rPr>
        <w:t xml:space="preserve"> (RGPH) de 2014 a dénombré 22 671 331 habitants avec une densité de 70,3 habitants/km</w:t>
      </w:r>
      <w:r w:rsidRPr="00333A62">
        <w:rPr>
          <w:rFonts w:ascii="Times New Roman" w:hAnsi="Times New Roman" w:cs="Times New Roman"/>
          <w:sz w:val="24"/>
          <w:szCs w:val="24"/>
          <w:vertAlign w:val="superscript"/>
          <w:lang w:val="fr-FR"/>
        </w:rPr>
        <w:t>2</w:t>
      </w:r>
      <w:r w:rsidRPr="00333A62">
        <w:rPr>
          <w:rFonts w:ascii="Times New Roman" w:hAnsi="Times New Roman" w:cs="Times New Roman"/>
          <w:sz w:val="24"/>
          <w:szCs w:val="24"/>
          <w:lang w:val="fr-FR"/>
        </w:rPr>
        <w:t xml:space="preserve"> dont 50,2 % vivent en milieu urbain et 49,8 % en milieu rural. Les femmes en âge de procréer et les enfants de moins de 5 ans représentent respectivement 24 % et 16% de la population. La population est très jeune puisqu’un ivoirien sur deux, a moins de 20 ans et près de deux ivoiriens sur trois ont moins de 25 ans.</w:t>
      </w:r>
    </w:p>
    <w:p w14:paraId="53B98B40" w14:textId="77777777" w:rsidR="004E0F0E" w:rsidRPr="00333A62" w:rsidRDefault="004E0F0E" w:rsidP="00333A62">
      <w:pPr>
        <w:spacing w:before="120" w:after="120" w:line="276" w:lineRule="auto"/>
        <w:rPr>
          <w:rFonts w:ascii="Times New Roman" w:hAnsi="Times New Roman" w:cs="Times New Roman"/>
          <w:sz w:val="24"/>
          <w:szCs w:val="24"/>
          <w:lang w:val="fr-FR"/>
        </w:rPr>
      </w:pPr>
    </w:p>
    <w:p w14:paraId="101FF3EA" w14:textId="77777777" w:rsidR="004E0F0E" w:rsidRPr="00333A62" w:rsidRDefault="004E0F0E" w:rsidP="00333A62">
      <w:pPr>
        <w:pStyle w:val="Titre2"/>
        <w:spacing w:before="120" w:after="120" w:line="276" w:lineRule="auto"/>
        <w:rPr>
          <w:rFonts w:ascii="Times New Roman" w:hAnsi="Times New Roman" w:cs="Times New Roman"/>
          <w:b/>
          <w:color w:val="0070C0"/>
          <w:sz w:val="24"/>
          <w:szCs w:val="24"/>
        </w:rPr>
      </w:pPr>
      <w:bookmarkStart w:id="12" w:name="_Toc1573791"/>
      <w:r w:rsidRPr="00333A62">
        <w:rPr>
          <w:rFonts w:ascii="Times New Roman" w:hAnsi="Times New Roman" w:cs="Times New Roman"/>
          <w:b/>
          <w:color w:val="0070C0"/>
          <w:sz w:val="24"/>
          <w:szCs w:val="24"/>
        </w:rPr>
        <w:lastRenderedPageBreak/>
        <w:t>Contexte politico-administratif</w:t>
      </w:r>
      <w:bookmarkEnd w:id="12"/>
    </w:p>
    <w:p w14:paraId="1F59225C" w14:textId="77777777" w:rsidR="004E0F0E" w:rsidRPr="00333A62" w:rsidRDefault="004E0F0E" w:rsidP="00C372A4">
      <w:pPr>
        <w:pStyle w:val="Style"/>
        <w:spacing w:before="120" w:after="120" w:line="276" w:lineRule="auto"/>
        <w:ind w:right="49"/>
        <w:jc w:val="both"/>
        <w:rPr>
          <w:rFonts w:ascii="Times New Roman" w:hAnsi="Times New Roman" w:cs="Times New Roman"/>
          <w:lang w:eastAsia="en-US"/>
        </w:rPr>
      </w:pPr>
      <w:r w:rsidRPr="00333A62">
        <w:rPr>
          <w:rFonts w:ascii="Times New Roman" w:hAnsi="Times New Roman" w:cs="Times New Roman"/>
          <w:b/>
          <w:lang w:eastAsia="en-US"/>
        </w:rPr>
        <w:t>Au plan administratif</w:t>
      </w:r>
      <w:r w:rsidRPr="00333A62">
        <w:rPr>
          <w:rFonts w:ascii="Times New Roman" w:hAnsi="Times New Roman" w:cs="Times New Roman"/>
          <w:lang w:eastAsia="en-US"/>
        </w:rPr>
        <w:t>, la Côte d’Ivoire compte deux types d’administrations territoriales :</w:t>
      </w:r>
    </w:p>
    <w:p w14:paraId="3987DE64" w14:textId="77777777" w:rsidR="004E0F0E" w:rsidRPr="00333A62" w:rsidRDefault="004E0F0E" w:rsidP="00C372A4">
      <w:pPr>
        <w:pStyle w:val="Style"/>
        <w:numPr>
          <w:ilvl w:val="0"/>
          <w:numId w:val="2"/>
        </w:numPr>
        <w:spacing w:before="120" w:after="120" w:line="276" w:lineRule="auto"/>
        <w:ind w:right="49"/>
        <w:jc w:val="both"/>
        <w:rPr>
          <w:rFonts w:ascii="Times New Roman" w:hAnsi="Times New Roman" w:cs="Times New Roman"/>
          <w:lang w:eastAsia="en-US"/>
        </w:rPr>
      </w:pPr>
      <w:r w:rsidRPr="00333A62">
        <w:rPr>
          <w:rFonts w:ascii="Times New Roman" w:hAnsi="Times New Roman" w:cs="Times New Roman"/>
          <w:b/>
          <w:lang w:eastAsia="en-US"/>
        </w:rPr>
        <w:t>l’administration territoriale déconcentrée</w:t>
      </w:r>
      <w:r w:rsidRPr="00333A62">
        <w:rPr>
          <w:rFonts w:ascii="Times New Roman" w:hAnsi="Times New Roman" w:cs="Times New Roman"/>
          <w:vertAlign w:val="superscript"/>
          <w:lang w:eastAsia="en-US"/>
        </w:rPr>
        <w:footnoteReference w:id="4"/>
      </w:r>
      <w:r w:rsidRPr="00333A62">
        <w:rPr>
          <w:rFonts w:ascii="Times New Roman" w:hAnsi="Times New Roman" w:cs="Times New Roman"/>
          <w:lang w:eastAsia="en-US"/>
        </w:rPr>
        <w:t xml:space="preserve"> avec 02 districts autonomes</w:t>
      </w:r>
      <w:r w:rsidRPr="00333A62">
        <w:rPr>
          <w:rFonts w:ascii="Times New Roman" w:hAnsi="Times New Roman" w:cs="Times New Roman"/>
          <w:vertAlign w:val="superscript"/>
          <w:lang w:eastAsia="en-US"/>
        </w:rPr>
        <w:footnoteReference w:id="5"/>
      </w:r>
      <w:r w:rsidRPr="00333A62">
        <w:rPr>
          <w:rFonts w:ascii="Times New Roman" w:hAnsi="Times New Roman" w:cs="Times New Roman"/>
          <w:lang w:eastAsia="en-US"/>
        </w:rPr>
        <w:t xml:space="preserve"> (Abidjan et Yamoussoukro), 31 régions, 108 départements, 410 sous-préfectures et plus de 8 600 villages ; </w:t>
      </w:r>
    </w:p>
    <w:p w14:paraId="2C6B7A4C" w14:textId="77777777" w:rsidR="004E0F0E" w:rsidRPr="00333A62" w:rsidRDefault="004E0F0E" w:rsidP="00C372A4">
      <w:pPr>
        <w:pStyle w:val="Style"/>
        <w:numPr>
          <w:ilvl w:val="0"/>
          <w:numId w:val="2"/>
        </w:numPr>
        <w:spacing w:before="120" w:after="120" w:line="276" w:lineRule="auto"/>
        <w:ind w:right="49"/>
        <w:jc w:val="both"/>
        <w:rPr>
          <w:rFonts w:ascii="Times New Roman" w:hAnsi="Times New Roman" w:cs="Times New Roman"/>
          <w:lang w:eastAsia="en-US"/>
        </w:rPr>
      </w:pPr>
      <w:r w:rsidRPr="00333A62">
        <w:rPr>
          <w:rFonts w:ascii="Times New Roman" w:hAnsi="Times New Roman" w:cs="Times New Roman"/>
          <w:b/>
          <w:lang w:eastAsia="en-US"/>
        </w:rPr>
        <w:t>l’administration territoriale décentralisée</w:t>
      </w:r>
      <w:r w:rsidRPr="00333A62">
        <w:rPr>
          <w:rFonts w:ascii="Times New Roman" w:hAnsi="Times New Roman" w:cs="Times New Roman"/>
          <w:lang w:eastAsia="en-US"/>
        </w:rPr>
        <w:t xml:space="preserve"> avec 31 conseils régionaux et 197 municipalités</w:t>
      </w:r>
      <w:r w:rsidRPr="00333A62">
        <w:rPr>
          <w:rFonts w:ascii="Times New Roman" w:hAnsi="Times New Roman" w:cs="Times New Roman"/>
          <w:vertAlign w:val="superscript"/>
          <w:lang w:eastAsia="en-US"/>
        </w:rPr>
        <w:footnoteReference w:id="6"/>
      </w:r>
      <w:r w:rsidRPr="00333A62">
        <w:rPr>
          <w:rFonts w:ascii="Times New Roman" w:hAnsi="Times New Roman" w:cs="Times New Roman"/>
          <w:lang w:eastAsia="en-US"/>
        </w:rPr>
        <w:t xml:space="preserve">. </w:t>
      </w:r>
    </w:p>
    <w:p w14:paraId="323F7287" w14:textId="77777777" w:rsidR="004E0F0E" w:rsidRPr="00333A62" w:rsidRDefault="004E0F0E" w:rsidP="00C372A4">
      <w:pPr>
        <w:pStyle w:val="Style"/>
        <w:spacing w:before="120" w:after="120" w:line="276" w:lineRule="auto"/>
        <w:ind w:right="49"/>
        <w:jc w:val="both"/>
        <w:rPr>
          <w:rFonts w:ascii="Times New Roman" w:hAnsi="Times New Roman" w:cs="Times New Roman"/>
          <w:lang w:eastAsia="en-US"/>
        </w:rPr>
      </w:pPr>
      <w:r w:rsidRPr="00333A62">
        <w:rPr>
          <w:rFonts w:ascii="Times New Roman" w:hAnsi="Times New Roman" w:cs="Times New Roman"/>
          <w:lang w:eastAsia="en-US"/>
        </w:rPr>
        <w:t>La capitale politique, Yamoussoukro se trouve au centre du pays, à 248 km d’Abidjan, la capitale économique.</w:t>
      </w:r>
    </w:p>
    <w:p w14:paraId="4719725E" w14:textId="1B2D9F13" w:rsidR="004E0F0E" w:rsidRPr="00333A62" w:rsidRDefault="004E0F0E"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b/>
          <w:sz w:val="24"/>
          <w:szCs w:val="24"/>
          <w:lang w:val="fr-FR"/>
        </w:rPr>
        <w:t>Au plan politique</w:t>
      </w:r>
      <w:r w:rsidRPr="00333A62">
        <w:rPr>
          <w:rFonts w:ascii="Times New Roman" w:hAnsi="Times New Roman" w:cs="Times New Roman"/>
          <w:sz w:val="24"/>
          <w:szCs w:val="24"/>
          <w:lang w:val="fr-FR"/>
        </w:rPr>
        <w:t>, indépendante depuis le 07 août 1960, la Côte d’Ivoire est une République démocratique avec un régime de type présidentiel. Le paysage politique ivoirien est constitué de plus de 130 partis politiques. La vitalité démocratique est marquée par l’organisation des élections générales (</w:t>
      </w:r>
      <w:r w:rsidR="0025060B" w:rsidRPr="00333A62">
        <w:rPr>
          <w:rFonts w:ascii="Times New Roman" w:hAnsi="Times New Roman" w:cs="Times New Roman"/>
          <w:sz w:val="24"/>
          <w:szCs w:val="24"/>
          <w:lang w:val="fr-FR"/>
        </w:rPr>
        <w:t>présidentielle,</w:t>
      </w:r>
      <w:r w:rsidRPr="00333A62">
        <w:rPr>
          <w:rFonts w:ascii="Times New Roman" w:hAnsi="Times New Roman" w:cs="Times New Roman"/>
          <w:sz w:val="24"/>
          <w:szCs w:val="24"/>
          <w:lang w:val="fr-FR"/>
        </w:rPr>
        <w:t xml:space="preserve"> </w:t>
      </w:r>
      <w:r w:rsidR="00152F88" w:rsidRPr="00333A62">
        <w:rPr>
          <w:rFonts w:ascii="Times New Roman" w:hAnsi="Times New Roman" w:cs="Times New Roman"/>
          <w:sz w:val="24"/>
          <w:szCs w:val="24"/>
          <w:lang w:val="fr-FR"/>
        </w:rPr>
        <w:t>référendaire, législative, régionale, communale</w:t>
      </w:r>
      <w:r w:rsidRPr="00333A62">
        <w:rPr>
          <w:rFonts w:ascii="Times New Roman" w:hAnsi="Times New Roman" w:cs="Times New Roman"/>
          <w:sz w:val="24"/>
          <w:szCs w:val="24"/>
          <w:lang w:val="fr-FR"/>
        </w:rPr>
        <w:t>).</w:t>
      </w:r>
    </w:p>
    <w:p w14:paraId="36456B5F" w14:textId="77777777" w:rsidR="004E0F0E" w:rsidRPr="00333A62" w:rsidRDefault="004E0F0E"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La Côte d’Ivoire a traversé une série de crises socio-politiques de 1999 à 2011. Depuis 2012, le pays connait une relative stabilité sociopolitique et s’est lancé le défi d’atteindre l’émergence à l’horizon 2020. </w:t>
      </w:r>
    </w:p>
    <w:p w14:paraId="2034F295" w14:textId="77777777" w:rsidR="004E0F0E" w:rsidRPr="00333A62" w:rsidRDefault="004E0F0E" w:rsidP="00333A62">
      <w:pPr>
        <w:spacing w:before="120" w:after="120" w:line="276" w:lineRule="auto"/>
        <w:rPr>
          <w:rFonts w:ascii="Times New Roman" w:hAnsi="Times New Roman" w:cs="Times New Roman"/>
          <w:sz w:val="24"/>
          <w:szCs w:val="24"/>
          <w:lang w:val="fr-FR"/>
        </w:rPr>
      </w:pPr>
    </w:p>
    <w:p w14:paraId="2A4AF427" w14:textId="77777777" w:rsidR="004E0F0E" w:rsidRPr="00333A62" w:rsidRDefault="004E0F0E" w:rsidP="00333A62">
      <w:pPr>
        <w:pStyle w:val="Titre2"/>
        <w:spacing w:before="120" w:after="120" w:line="276" w:lineRule="auto"/>
        <w:rPr>
          <w:rFonts w:ascii="Times New Roman" w:hAnsi="Times New Roman" w:cs="Times New Roman"/>
          <w:b/>
          <w:color w:val="0070C0"/>
          <w:sz w:val="24"/>
          <w:szCs w:val="24"/>
        </w:rPr>
      </w:pPr>
      <w:bookmarkStart w:id="13" w:name="_Toc1573792"/>
      <w:r w:rsidRPr="00333A62">
        <w:rPr>
          <w:rFonts w:ascii="Times New Roman" w:hAnsi="Times New Roman" w:cs="Times New Roman"/>
          <w:b/>
          <w:color w:val="0070C0"/>
          <w:sz w:val="24"/>
          <w:szCs w:val="24"/>
        </w:rPr>
        <w:t>Contexte macro-économique, humain de la Côte d’Ivoire</w:t>
      </w:r>
      <w:bookmarkStart w:id="14" w:name="_Toc506286299"/>
      <w:bookmarkStart w:id="15" w:name="_Toc525214335"/>
      <w:bookmarkEnd w:id="13"/>
    </w:p>
    <w:p w14:paraId="4E0ABEDB" w14:textId="77777777" w:rsidR="004E0F0E" w:rsidRPr="002A3FB8" w:rsidRDefault="004E0F0E" w:rsidP="00333A62">
      <w:pPr>
        <w:pStyle w:val="Titre3"/>
        <w:spacing w:before="120" w:after="120" w:line="276" w:lineRule="auto"/>
        <w:rPr>
          <w:rStyle w:val="normal0"/>
          <w:rFonts w:ascii="Times New Roman" w:hAnsi="Times New Roman" w:cs="Times New Roman"/>
          <w:b/>
          <w:color w:val="0070C0"/>
        </w:rPr>
      </w:pPr>
      <w:bookmarkStart w:id="16" w:name="_Toc1573793"/>
      <w:r w:rsidRPr="002A3FB8">
        <w:rPr>
          <w:rStyle w:val="normal0"/>
          <w:rFonts w:ascii="Times New Roman" w:hAnsi="Times New Roman" w:cs="Times New Roman"/>
          <w:b/>
          <w:color w:val="0070C0"/>
        </w:rPr>
        <w:t>Situation macro-économique</w:t>
      </w:r>
      <w:bookmarkEnd w:id="14"/>
      <w:bookmarkEnd w:id="15"/>
      <w:bookmarkEnd w:id="16"/>
    </w:p>
    <w:p w14:paraId="38F585CA" w14:textId="7B9BAC86" w:rsidR="004E0F0E" w:rsidRPr="00333A62" w:rsidRDefault="004E0F0E" w:rsidP="00333A62">
      <w:pPr>
        <w:pStyle w:val="Corps"/>
        <w:spacing w:before="120" w:after="120"/>
        <w:jc w:val="both"/>
        <w:rPr>
          <w:rFonts w:ascii="Times New Roman" w:eastAsiaTheme="minorHAnsi" w:hAnsi="Times New Roman" w:cs="Times New Roman"/>
          <w:color w:val="auto"/>
          <w:sz w:val="24"/>
          <w:szCs w:val="24"/>
          <w:bdr w:val="none" w:sz="0" w:space="0" w:color="auto"/>
        </w:rPr>
      </w:pPr>
      <w:r w:rsidRPr="00333A62">
        <w:rPr>
          <w:rFonts w:ascii="Times New Roman" w:eastAsiaTheme="minorHAnsi" w:hAnsi="Times New Roman" w:cs="Times New Roman"/>
          <w:color w:val="auto"/>
          <w:sz w:val="24"/>
          <w:szCs w:val="24"/>
          <w:bdr w:val="none" w:sz="0" w:space="0" w:color="auto"/>
        </w:rPr>
        <w:t xml:space="preserve">La situation macroéconomique de la Côte d’Ivoire est favorable puisque le pays se redresse graduellement après une longue période de stagnation économique et de troubles politiques. Au cours des dernières années, les autorités ont réalisé d’importants progrès pour stimuler la croissance à moyen terme, et ainsi améliorer le niveau de vie des populations et faire de la Côte d’Ivoire un pays émergent à l’horizon 2020 (FMI, 2014). </w:t>
      </w:r>
    </w:p>
    <w:p w14:paraId="006CDFB9" w14:textId="73D75526" w:rsidR="00333A62" w:rsidRPr="00333A62" w:rsidRDefault="004E0F0E" w:rsidP="00333A62">
      <w:pPr>
        <w:pStyle w:val="Corps"/>
        <w:spacing w:before="120" w:after="120"/>
        <w:jc w:val="both"/>
        <w:rPr>
          <w:rFonts w:ascii="Times New Roman" w:eastAsiaTheme="minorHAnsi" w:hAnsi="Times New Roman" w:cs="Times New Roman"/>
          <w:color w:val="auto"/>
          <w:sz w:val="24"/>
          <w:szCs w:val="24"/>
          <w:bdr w:val="none" w:sz="0" w:space="0" w:color="auto"/>
        </w:rPr>
      </w:pPr>
      <w:r w:rsidRPr="00333A62">
        <w:rPr>
          <w:rFonts w:ascii="Times New Roman" w:eastAsiaTheme="minorHAnsi" w:hAnsi="Times New Roman" w:cs="Times New Roman"/>
          <w:color w:val="auto"/>
          <w:sz w:val="24"/>
          <w:szCs w:val="24"/>
          <w:bdr w:val="none" w:sz="0" w:space="0" w:color="auto"/>
        </w:rPr>
        <w:t xml:space="preserve">Cette croissance forte s’évalue à près de 2 points supérieures à la moyenne de </w:t>
      </w:r>
      <w:r w:rsidR="00BC4D4D" w:rsidRPr="00333A62">
        <w:rPr>
          <w:rFonts w:ascii="Times New Roman" w:eastAsiaTheme="minorHAnsi" w:hAnsi="Times New Roman" w:cs="Times New Roman"/>
          <w:color w:val="auto"/>
          <w:sz w:val="24"/>
          <w:szCs w:val="24"/>
          <w:bdr w:val="none" w:sz="0" w:space="0" w:color="auto"/>
        </w:rPr>
        <w:t>l’</w:t>
      </w:r>
      <w:r w:rsidR="00BC4D4D" w:rsidRPr="00BC4D4D">
        <w:rPr>
          <w:rFonts w:ascii="Times New Roman" w:hAnsi="Times New Roman" w:cs="Times New Roman"/>
        </w:rPr>
        <w:t>Union</w:t>
      </w:r>
      <w:r w:rsidR="00BC4D4D" w:rsidRPr="008B0363">
        <w:rPr>
          <w:rFonts w:ascii="Times New Roman" w:hAnsi="Times New Roman" w:cs="Times New Roman"/>
        </w:rPr>
        <w:t xml:space="preserve"> Economique et Monétaire Ouest Africaine</w:t>
      </w:r>
      <w:r w:rsidR="00BC4D4D" w:rsidRPr="00333A62">
        <w:rPr>
          <w:rFonts w:ascii="Times New Roman" w:eastAsiaTheme="minorHAnsi" w:hAnsi="Times New Roman" w:cs="Times New Roman"/>
          <w:color w:val="auto"/>
          <w:sz w:val="24"/>
          <w:szCs w:val="24"/>
          <w:bdr w:val="none" w:sz="0" w:space="0" w:color="auto"/>
        </w:rPr>
        <w:t xml:space="preserve"> </w:t>
      </w:r>
      <w:r w:rsidR="00BC4D4D">
        <w:rPr>
          <w:rFonts w:ascii="Times New Roman" w:eastAsiaTheme="minorHAnsi" w:hAnsi="Times New Roman" w:cs="Times New Roman"/>
          <w:color w:val="auto"/>
          <w:sz w:val="24"/>
          <w:szCs w:val="24"/>
          <w:bdr w:val="none" w:sz="0" w:space="0" w:color="auto"/>
        </w:rPr>
        <w:t>(</w:t>
      </w:r>
      <w:r w:rsidRPr="00333A62">
        <w:rPr>
          <w:rFonts w:ascii="Times New Roman" w:eastAsiaTheme="minorHAnsi" w:hAnsi="Times New Roman" w:cs="Times New Roman"/>
          <w:color w:val="auto"/>
          <w:sz w:val="24"/>
          <w:szCs w:val="24"/>
          <w:bdr w:val="none" w:sz="0" w:space="0" w:color="auto"/>
        </w:rPr>
        <w:t>UEMOA</w:t>
      </w:r>
      <w:r w:rsidR="00BC4D4D">
        <w:rPr>
          <w:rFonts w:ascii="Times New Roman" w:eastAsiaTheme="minorHAnsi" w:hAnsi="Times New Roman" w:cs="Times New Roman"/>
          <w:color w:val="auto"/>
          <w:sz w:val="24"/>
          <w:szCs w:val="24"/>
          <w:bdr w:val="none" w:sz="0" w:space="0" w:color="auto"/>
        </w:rPr>
        <w:t>)</w:t>
      </w:r>
      <w:r w:rsidRPr="00333A62">
        <w:rPr>
          <w:rFonts w:ascii="Times New Roman" w:eastAsiaTheme="minorHAnsi" w:hAnsi="Times New Roman" w:cs="Times New Roman"/>
          <w:color w:val="auto"/>
          <w:sz w:val="24"/>
          <w:szCs w:val="24"/>
          <w:bdr w:val="none" w:sz="0" w:space="0" w:color="auto"/>
        </w:rPr>
        <w:t>, et devrait se maintenir à des niveaux élevés. L’inflation est contenue et les secteurs exportateurs assurent l’équilibre de la balance des paiements courants. Les fondamentaux budgétaires sont également satisfaisants dans le contexte d’une stratégie d’expansion budgétaire et d’investissement maîtrisée</w:t>
      </w:r>
      <w:r w:rsidR="00333A62" w:rsidRPr="00333A62">
        <w:rPr>
          <w:rFonts w:ascii="Times New Roman" w:eastAsiaTheme="minorHAnsi" w:hAnsi="Times New Roman" w:cs="Times New Roman"/>
          <w:color w:val="auto"/>
          <w:sz w:val="24"/>
          <w:szCs w:val="24"/>
          <w:bdr w:val="none" w:sz="0" w:space="0" w:color="auto"/>
        </w:rPr>
        <w:t>.</w:t>
      </w:r>
    </w:p>
    <w:p w14:paraId="13BB15A3" w14:textId="6BCF5D8C" w:rsidR="004E0F0E" w:rsidRPr="00333A62" w:rsidRDefault="00333A62" w:rsidP="00333A62">
      <w:pPr>
        <w:pStyle w:val="Corps"/>
        <w:spacing w:before="120" w:after="120"/>
        <w:jc w:val="both"/>
        <w:rPr>
          <w:rFonts w:ascii="Times New Roman" w:eastAsiaTheme="minorHAnsi" w:hAnsi="Times New Roman" w:cs="Times New Roman"/>
          <w:color w:val="auto"/>
          <w:sz w:val="24"/>
          <w:szCs w:val="24"/>
          <w:bdr w:val="none" w:sz="0" w:space="0" w:color="auto"/>
        </w:rPr>
      </w:pPr>
      <w:r w:rsidRPr="00333A62">
        <w:rPr>
          <w:rFonts w:ascii="Times New Roman" w:eastAsiaTheme="minorHAnsi" w:hAnsi="Times New Roman" w:cs="Times New Roman"/>
          <w:color w:val="auto"/>
          <w:sz w:val="24"/>
          <w:szCs w:val="24"/>
          <w:bdr w:val="none" w:sz="0" w:space="0" w:color="auto"/>
        </w:rPr>
        <w:t xml:space="preserve"> </w:t>
      </w:r>
    </w:p>
    <w:p w14:paraId="0B39CB82" w14:textId="77777777" w:rsidR="004E0F0E" w:rsidRPr="002A3FB8" w:rsidRDefault="004E0F0E" w:rsidP="00333A62">
      <w:pPr>
        <w:pStyle w:val="Titre3"/>
        <w:spacing w:before="120" w:after="120" w:line="276" w:lineRule="auto"/>
        <w:rPr>
          <w:rStyle w:val="normal0"/>
          <w:rFonts w:ascii="Times New Roman" w:hAnsi="Times New Roman" w:cs="Times New Roman"/>
          <w:b/>
          <w:color w:val="0070C0"/>
        </w:rPr>
      </w:pPr>
      <w:bookmarkStart w:id="17" w:name="_Toc486348512"/>
      <w:bookmarkStart w:id="18" w:name="_Toc506286300"/>
      <w:bookmarkStart w:id="19" w:name="_Toc525214336"/>
      <w:bookmarkStart w:id="20" w:name="_Toc1573794"/>
      <w:r w:rsidRPr="002A3FB8">
        <w:rPr>
          <w:rStyle w:val="normal0"/>
          <w:rFonts w:ascii="Times New Roman" w:hAnsi="Times New Roman" w:cs="Times New Roman"/>
          <w:b/>
          <w:color w:val="0070C0"/>
        </w:rPr>
        <w:lastRenderedPageBreak/>
        <w:t>Indicateurs généraux</w:t>
      </w:r>
      <w:bookmarkEnd w:id="17"/>
      <w:bookmarkEnd w:id="18"/>
      <w:bookmarkEnd w:id="19"/>
      <w:bookmarkEnd w:id="20"/>
    </w:p>
    <w:p w14:paraId="43410408" w14:textId="624E016F" w:rsidR="004E0F0E" w:rsidRPr="00333A62" w:rsidRDefault="004E0F0E" w:rsidP="00333A62">
      <w:pPr>
        <w:pStyle w:val="BodyText"/>
        <w:spacing w:before="120" w:after="120" w:line="276" w:lineRule="auto"/>
        <w:jc w:val="both"/>
        <w:rPr>
          <w:rFonts w:eastAsiaTheme="minorHAnsi" w:cs="Times New Roman"/>
          <w:color w:val="auto"/>
          <w:bdr w:val="none" w:sz="0" w:space="0" w:color="auto"/>
          <w:lang w:val="fr-CI"/>
        </w:rPr>
      </w:pPr>
      <w:r w:rsidRPr="00333A62">
        <w:rPr>
          <w:rFonts w:eastAsiaTheme="minorHAnsi" w:cs="Times New Roman"/>
          <w:color w:val="auto"/>
          <w:bdr w:val="none" w:sz="0" w:space="0" w:color="auto"/>
          <w:lang w:val="fr-CI"/>
        </w:rPr>
        <w:t>La Côte d’Ivoire est un pays à revenu intermédiaire de la tranche inférieure, avec une population d’environ 24 millions d’habitants et un PIB par habitant de 1 553 dollars EU en 2016 (en dollars constants de 2010). Le PIB par habitant affiche une parité du pouvoir d’achat de 3 425 dollars EU, comme l’illustre le Tableau 1. En 2015, 28 % de la population vivait au-dessous du seuil de pauvreté ($1,90/jour, 2011 PPP). Environ la moitié de la population vit dans les zones urbaines (</w:t>
      </w:r>
      <w:r w:rsidR="00333A62" w:rsidRPr="00333A62">
        <w:rPr>
          <w:rFonts w:eastAsiaTheme="minorHAnsi" w:cs="Times New Roman"/>
          <w:color w:val="auto"/>
          <w:bdr w:val="none" w:sz="0" w:space="0" w:color="auto"/>
          <w:lang w:val="fr-CI"/>
        </w:rPr>
        <w:t xml:space="preserve">Tableau </w:t>
      </w:r>
      <w:r w:rsidRPr="00333A62">
        <w:rPr>
          <w:rFonts w:eastAsiaTheme="minorHAnsi" w:cs="Times New Roman"/>
          <w:color w:val="auto"/>
          <w:bdr w:val="none" w:sz="0" w:space="0" w:color="auto"/>
          <w:lang w:val="fr-CI"/>
        </w:rPr>
        <w:t>1) :</w:t>
      </w:r>
    </w:p>
    <w:p w14:paraId="30447D86" w14:textId="77777777" w:rsidR="004E0F0E" w:rsidRPr="00333A62" w:rsidRDefault="004E0F0E" w:rsidP="00333A62">
      <w:pPr>
        <w:pStyle w:val="BodyText"/>
        <w:spacing w:before="120" w:after="120" w:line="276" w:lineRule="auto"/>
        <w:jc w:val="both"/>
        <w:rPr>
          <w:rStyle w:val="normal0"/>
          <w:rFonts w:cs="Times New Roman"/>
        </w:rPr>
      </w:pPr>
    </w:p>
    <w:p w14:paraId="4E90569E" w14:textId="306F96A1" w:rsidR="004E0F0E" w:rsidRDefault="00F45D6A" w:rsidP="00F45D6A">
      <w:pPr>
        <w:pStyle w:val="Lgende"/>
        <w:rPr>
          <w:rStyle w:val="normal0"/>
          <w:sz w:val="24"/>
          <w:szCs w:val="24"/>
        </w:rPr>
      </w:pPr>
      <w:bookmarkStart w:id="21" w:name="_Toc486386704"/>
      <w:bookmarkStart w:id="22" w:name="_Toc1588375"/>
      <w:r w:rsidRPr="00F45D6A">
        <w:rPr>
          <w:sz w:val="24"/>
          <w:szCs w:val="24"/>
        </w:rPr>
        <w:t xml:space="preserve">Tableau </w:t>
      </w:r>
      <w:r w:rsidRPr="00F45D6A">
        <w:rPr>
          <w:sz w:val="24"/>
          <w:szCs w:val="24"/>
        </w:rPr>
        <w:fldChar w:fldCharType="begin"/>
      </w:r>
      <w:r w:rsidRPr="00F45D6A">
        <w:rPr>
          <w:sz w:val="24"/>
          <w:szCs w:val="24"/>
        </w:rPr>
        <w:instrText xml:space="preserve"> SEQ Tableau \* ARABIC </w:instrText>
      </w:r>
      <w:r w:rsidRPr="00F45D6A">
        <w:rPr>
          <w:sz w:val="24"/>
          <w:szCs w:val="24"/>
        </w:rPr>
        <w:fldChar w:fldCharType="separate"/>
      </w:r>
      <w:r w:rsidR="00400C22">
        <w:rPr>
          <w:noProof/>
          <w:sz w:val="24"/>
          <w:szCs w:val="24"/>
        </w:rPr>
        <w:t>1</w:t>
      </w:r>
      <w:r w:rsidRPr="00F45D6A">
        <w:rPr>
          <w:sz w:val="24"/>
          <w:szCs w:val="24"/>
        </w:rPr>
        <w:fldChar w:fldCharType="end"/>
      </w:r>
      <w:r w:rsidR="004E0F0E" w:rsidRPr="00F45D6A">
        <w:rPr>
          <w:sz w:val="24"/>
          <w:szCs w:val="24"/>
        </w:rPr>
        <w:t xml:space="preserve"> : </w:t>
      </w:r>
      <w:r w:rsidR="004E0F0E" w:rsidRPr="00F45D6A">
        <w:rPr>
          <w:rStyle w:val="normal0"/>
          <w:sz w:val="24"/>
          <w:szCs w:val="24"/>
        </w:rPr>
        <w:t xml:space="preserve">Caractéristiques démographiques et socio-économiques de la Côte-d’Ivoire en </w:t>
      </w:r>
      <w:bookmarkEnd w:id="21"/>
      <w:r w:rsidR="004E0F0E" w:rsidRPr="00F45D6A">
        <w:rPr>
          <w:rStyle w:val="normal0"/>
          <w:sz w:val="24"/>
          <w:szCs w:val="24"/>
        </w:rPr>
        <w:t>2016</w:t>
      </w:r>
      <w:bookmarkEnd w:id="22"/>
    </w:p>
    <w:p w14:paraId="43F27D93" w14:textId="77777777" w:rsidR="00F45D6A" w:rsidRPr="00F45D6A" w:rsidRDefault="00F45D6A" w:rsidP="00F45D6A">
      <w:pPr>
        <w:rPr>
          <w:sz w:val="10"/>
          <w:lang w:val="fr-FR" w:eastAsia="en-GB"/>
        </w:rPr>
      </w:pPr>
    </w:p>
    <w:tbl>
      <w:tblPr>
        <w:tblStyle w:val="TableauGrille4-Accentuation11"/>
        <w:tblW w:w="9472" w:type="dxa"/>
        <w:tblBorders>
          <w:top w:val="single" w:sz="12" w:space="0" w:color="4472C4" w:themeColor="accent1"/>
          <w:left w:val="single" w:sz="12" w:space="0" w:color="4472C4" w:themeColor="accent1"/>
          <w:bottom w:val="single" w:sz="12" w:space="0" w:color="4472C4" w:themeColor="accent1"/>
          <w:right w:val="single" w:sz="12" w:space="0" w:color="4472C4" w:themeColor="accent1"/>
          <w:insideH w:val="single" w:sz="12" w:space="0" w:color="4472C4" w:themeColor="accent1"/>
          <w:insideV w:val="single" w:sz="12" w:space="0" w:color="4472C4" w:themeColor="accent1"/>
        </w:tblBorders>
        <w:tblLayout w:type="fixed"/>
        <w:tblLook w:val="04A0" w:firstRow="1" w:lastRow="0" w:firstColumn="1" w:lastColumn="0" w:noHBand="0" w:noVBand="1"/>
      </w:tblPr>
      <w:tblGrid>
        <w:gridCol w:w="5759"/>
        <w:gridCol w:w="1633"/>
        <w:gridCol w:w="2080"/>
      </w:tblGrid>
      <w:tr w:rsidR="004E0F0E" w:rsidRPr="00333A62" w14:paraId="75DD8441" w14:textId="77777777" w:rsidTr="005D75A6">
        <w:trPr>
          <w:cnfStyle w:val="100000000000" w:firstRow="1" w:lastRow="0" w:firstColumn="0" w:lastColumn="0" w:oddVBand="0" w:evenVBand="0" w:oddHBand="0"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5759" w:type="dxa"/>
            <w:tcBorders>
              <w:top w:val="none" w:sz="0" w:space="0" w:color="auto"/>
              <w:left w:val="none" w:sz="0" w:space="0" w:color="auto"/>
              <w:bottom w:val="none" w:sz="0" w:space="0" w:color="auto"/>
              <w:right w:val="none" w:sz="0" w:space="0" w:color="auto"/>
            </w:tcBorders>
            <w:vAlign w:val="center"/>
          </w:tcPr>
          <w:p w14:paraId="4FB47E9C" w14:textId="77777777" w:rsidR="004E0F0E" w:rsidRPr="00333A62" w:rsidRDefault="004E0F0E" w:rsidP="001543CF">
            <w:pPr>
              <w:pStyle w:val="Corps"/>
              <w:spacing w:after="0" w:line="240" w:lineRule="auto"/>
              <w:jc w:val="center"/>
              <w:rPr>
                <w:rFonts w:ascii="Times New Roman" w:hAnsi="Times New Roman" w:cs="Times New Roman"/>
                <w:bCs w:val="0"/>
                <w:color w:val="FFFFFF" w:themeColor="background1"/>
                <w:sz w:val="24"/>
                <w:szCs w:val="24"/>
                <w:lang w:val="fr-FR"/>
              </w:rPr>
            </w:pPr>
            <w:r w:rsidRPr="00333A62">
              <w:rPr>
                <w:rStyle w:val="normal0"/>
                <w:rFonts w:ascii="Times New Roman" w:hAnsi="Times New Roman" w:cs="Times New Roman"/>
                <w:bCs w:val="0"/>
                <w:color w:val="FFFFFF" w:themeColor="background1"/>
                <w:sz w:val="24"/>
                <w:szCs w:val="24"/>
                <w:lang w:val="fr-FR"/>
              </w:rPr>
              <w:t>Paramètres</w:t>
            </w:r>
          </w:p>
        </w:tc>
        <w:tc>
          <w:tcPr>
            <w:tcW w:w="1633" w:type="dxa"/>
            <w:tcBorders>
              <w:top w:val="none" w:sz="0" w:space="0" w:color="auto"/>
              <w:left w:val="none" w:sz="0" w:space="0" w:color="auto"/>
              <w:bottom w:val="none" w:sz="0" w:space="0" w:color="auto"/>
              <w:right w:val="none" w:sz="0" w:space="0" w:color="auto"/>
            </w:tcBorders>
            <w:vAlign w:val="center"/>
          </w:tcPr>
          <w:p w14:paraId="5A6A16C3" w14:textId="087DF664" w:rsidR="004E0F0E" w:rsidRPr="00333A62" w:rsidRDefault="001543CF" w:rsidP="001543CF">
            <w:pPr>
              <w:pStyle w:val="Corp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FFFFFF" w:themeColor="background1"/>
                <w:sz w:val="24"/>
                <w:szCs w:val="24"/>
                <w:lang w:val="fr-FR"/>
              </w:rPr>
            </w:pPr>
            <w:r>
              <w:rPr>
                <w:rStyle w:val="normal0"/>
                <w:rFonts w:ascii="Times New Roman" w:hAnsi="Times New Roman" w:cs="Times New Roman"/>
                <w:bCs w:val="0"/>
                <w:color w:val="FFFFFF" w:themeColor="background1"/>
                <w:sz w:val="24"/>
                <w:szCs w:val="24"/>
                <w:lang w:val="fr-FR"/>
              </w:rPr>
              <w:t xml:space="preserve">Côte </w:t>
            </w:r>
            <w:r w:rsidR="004E0F0E" w:rsidRPr="00333A62">
              <w:rPr>
                <w:rStyle w:val="normal0"/>
                <w:rFonts w:ascii="Times New Roman" w:hAnsi="Times New Roman" w:cs="Times New Roman"/>
                <w:bCs w:val="0"/>
                <w:color w:val="FFFFFF" w:themeColor="background1"/>
                <w:sz w:val="24"/>
                <w:szCs w:val="24"/>
                <w:lang w:val="fr-FR"/>
              </w:rPr>
              <w:t>d’Ivoire</w:t>
            </w:r>
          </w:p>
        </w:tc>
        <w:tc>
          <w:tcPr>
            <w:tcW w:w="2080" w:type="dxa"/>
            <w:tcBorders>
              <w:top w:val="none" w:sz="0" w:space="0" w:color="auto"/>
              <w:left w:val="none" w:sz="0" w:space="0" w:color="auto"/>
              <w:bottom w:val="none" w:sz="0" w:space="0" w:color="auto"/>
              <w:right w:val="none" w:sz="0" w:space="0" w:color="auto"/>
            </w:tcBorders>
            <w:vAlign w:val="center"/>
          </w:tcPr>
          <w:p w14:paraId="32F82CDA" w14:textId="77777777" w:rsidR="004E0F0E" w:rsidRPr="00333A62" w:rsidRDefault="004E0F0E" w:rsidP="001543CF">
            <w:pPr>
              <w:pStyle w:val="Corps"/>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FFFFFF" w:themeColor="background1"/>
                <w:sz w:val="24"/>
                <w:szCs w:val="24"/>
                <w:lang w:val="fr-FR"/>
              </w:rPr>
            </w:pPr>
            <w:r w:rsidRPr="00333A62">
              <w:rPr>
                <w:rStyle w:val="normal0"/>
                <w:rFonts w:ascii="Times New Roman" w:hAnsi="Times New Roman" w:cs="Times New Roman"/>
                <w:bCs w:val="0"/>
                <w:color w:val="FFFFFF" w:themeColor="background1"/>
                <w:sz w:val="24"/>
                <w:szCs w:val="24"/>
                <w:lang w:val="fr-FR"/>
              </w:rPr>
              <w:t>Afrique subsaharienne</w:t>
            </w:r>
          </w:p>
        </w:tc>
      </w:tr>
      <w:tr w:rsidR="004E0F0E" w:rsidRPr="00333A62" w14:paraId="01FFDCCF" w14:textId="77777777" w:rsidTr="005D75A6">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5759" w:type="dxa"/>
          </w:tcPr>
          <w:p w14:paraId="4E27A261" w14:textId="77777777" w:rsidR="004E0F0E" w:rsidRPr="00333A62" w:rsidRDefault="004E0F0E" w:rsidP="001543CF">
            <w:pPr>
              <w:pStyle w:val="Corps"/>
              <w:spacing w:after="0" w:line="240" w:lineRule="auto"/>
              <w:rPr>
                <w:rFonts w:ascii="Times New Roman" w:hAnsi="Times New Roman" w:cs="Times New Roman"/>
                <w:b w:val="0"/>
                <w:bCs w:val="0"/>
                <w:sz w:val="24"/>
                <w:szCs w:val="24"/>
                <w:lang w:val="fr-FR"/>
              </w:rPr>
            </w:pPr>
            <w:r w:rsidRPr="00333A62">
              <w:rPr>
                <w:rStyle w:val="normal0"/>
                <w:rFonts w:ascii="Times New Roman" w:hAnsi="Times New Roman" w:cs="Times New Roman"/>
                <w:b w:val="0"/>
                <w:bCs w:val="0"/>
                <w:sz w:val="24"/>
                <w:szCs w:val="24"/>
                <w:lang w:val="fr-FR"/>
              </w:rPr>
              <w:t>Population, total (en millions)</w:t>
            </w:r>
          </w:p>
        </w:tc>
        <w:tc>
          <w:tcPr>
            <w:tcW w:w="1633" w:type="dxa"/>
            <w:vAlign w:val="center"/>
          </w:tcPr>
          <w:p w14:paraId="618D4B50" w14:textId="77777777" w:rsidR="004E0F0E" w:rsidRPr="00333A62" w:rsidRDefault="004E0F0E" w:rsidP="001543CF">
            <w:pPr>
              <w:pStyle w:val="Corp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23.7</w:t>
            </w:r>
          </w:p>
        </w:tc>
        <w:tc>
          <w:tcPr>
            <w:tcW w:w="2080" w:type="dxa"/>
            <w:vAlign w:val="center"/>
          </w:tcPr>
          <w:p w14:paraId="048F215F" w14:textId="77777777" w:rsidR="004E0F0E" w:rsidRPr="00333A62" w:rsidRDefault="004E0F0E" w:rsidP="001543CF">
            <w:pPr>
              <w:pStyle w:val="Corp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1 033.1</w:t>
            </w:r>
          </w:p>
        </w:tc>
      </w:tr>
      <w:tr w:rsidR="004E0F0E" w:rsidRPr="00333A62" w14:paraId="7C7B54D7" w14:textId="77777777" w:rsidTr="005D75A6">
        <w:trPr>
          <w:trHeight w:val="307"/>
        </w:trPr>
        <w:tc>
          <w:tcPr>
            <w:cnfStyle w:val="001000000000" w:firstRow="0" w:lastRow="0" w:firstColumn="1" w:lastColumn="0" w:oddVBand="0" w:evenVBand="0" w:oddHBand="0" w:evenHBand="0" w:firstRowFirstColumn="0" w:firstRowLastColumn="0" w:lastRowFirstColumn="0" w:lastRowLastColumn="0"/>
            <w:tcW w:w="5759" w:type="dxa"/>
          </w:tcPr>
          <w:p w14:paraId="4FC69384" w14:textId="77777777" w:rsidR="004E0F0E" w:rsidRPr="00333A62" w:rsidRDefault="004E0F0E" w:rsidP="001543CF">
            <w:pPr>
              <w:pStyle w:val="Corps"/>
              <w:spacing w:after="0" w:line="240" w:lineRule="auto"/>
              <w:rPr>
                <w:rFonts w:ascii="Times New Roman" w:hAnsi="Times New Roman" w:cs="Times New Roman"/>
                <w:b w:val="0"/>
                <w:bCs w:val="0"/>
                <w:sz w:val="24"/>
                <w:szCs w:val="24"/>
                <w:lang w:val="fr-FR"/>
              </w:rPr>
            </w:pPr>
            <w:r w:rsidRPr="00333A62">
              <w:rPr>
                <w:rStyle w:val="normal0"/>
                <w:rFonts w:ascii="Times New Roman" w:hAnsi="Times New Roman" w:cs="Times New Roman"/>
                <w:b w:val="0"/>
                <w:bCs w:val="0"/>
                <w:sz w:val="24"/>
                <w:szCs w:val="24"/>
                <w:lang w:val="fr-FR"/>
              </w:rPr>
              <w:t>Croissance démographique (en % annuel)</w:t>
            </w:r>
          </w:p>
        </w:tc>
        <w:tc>
          <w:tcPr>
            <w:tcW w:w="1633" w:type="dxa"/>
            <w:vAlign w:val="center"/>
          </w:tcPr>
          <w:p w14:paraId="10161024" w14:textId="77777777" w:rsidR="004E0F0E" w:rsidRPr="00333A62" w:rsidRDefault="004E0F0E" w:rsidP="001543CF">
            <w:pPr>
              <w:pStyle w:val="Corp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2,5</w:t>
            </w:r>
          </w:p>
        </w:tc>
        <w:tc>
          <w:tcPr>
            <w:tcW w:w="2080" w:type="dxa"/>
            <w:vAlign w:val="center"/>
          </w:tcPr>
          <w:p w14:paraId="3975EFBF" w14:textId="77777777" w:rsidR="004E0F0E" w:rsidRPr="00333A62" w:rsidRDefault="004E0F0E" w:rsidP="001543CF">
            <w:pPr>
              <w:pStyle w:val="Corp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2,7</w:t>
            </w:r>
          </w:p>
        </w:tc>
      </w:tr>
      <w:tr w:rsidR="004E0F0E" w:rsidRPr="00333A62" w14:paraId="59700960" w14:textId="77777777" w:rsidTr="005D75A6">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5759" w:type="dxa"/>
          </w:tcPr>
          <w:p w14:paraId="2272AFDF" w14:textId="77777777" w:rsidR="004E0F0E" w:rsidRPr="00333A62" w:rsidRDefault="004E0F0E" w:rsidP="001543CF">
            <w:pPr>
              <w:pStyle w:val="Corps"/>
              <w:spacing w:after="0" w:line="240" w:lineRule="auto"/>
              <w:rPr>
                <w:rFonts w:ascii="Times New Roman" w:hAnsi="Times New Roman" w:cs="Times New Roman"/>
                <w:b w:val="0"/>
                <w:bCs w:val="0"/>
                <w:sz w:val="24"/>
                <w:szCs w:val="24"/>
                <w:lang w:val="fr-FR"/>
              </w:rPr>
            </w:pPr>
            <w:r w:rsidRPr="00333A62">
              <w:rPr>
                <w:rStyle w:val="normal0"/>
                <w:rFonts w:ascii="Times New Roman" w:hAnsi="Times New Roman" w:cs="Times New Roman"/>
                <w:b w:val="0"/>
                <w:bCs w:val="0"/>
                <w:sz w:val="24"/>
                <w:szCs w:val="24"/>
                <w:lang w:val="fr-FR"/>
              </w:rPr>
              <w:t>Surface émergée (en km2)</w:t>
            </w:r>
          </w:p>
        </w:tc>
        <w:tc>
          <w:tcPr>
            <w:tcW w:w="1633" w:type="dxa"/>
            <w:vAlign w:val="center"/>
          </w:tcPr>
          <w:p w14:paraId="24D1C9EB" w14:textId="77777777" w:rsidR="004E0F0E" w:rsidRPr="00333A62" w:rsidRDefault="004E0F0E" w:rsidP="001543CF">
            <w:pPr>
              <w:pStyle w:val="Corp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322 463</w:t>
            </w:r>
          </w:p>
        </w:tc>
        <w:tc>
          <w:tcPr>
            <w:tcW w:w="2080" w:type="dxa"/>
            <w:vAlign w:val="center"/>
          </w:tcPr>
          <w:p w14:paraId="1F3BEFED" w14:textId="77777777" w:rsidR="004E0F0E" w:rsidRPr="00333A62" w:rsidRDefault="004E0F0E" w:rsidP="001543CF">
            <w:pPr>
              <w:pStyle w:val="Corp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23 587 900</w:t>
            </w:r>
          </w:p>
        </w:tc>
      </w:tr>
      <w:tr w:rsidR="004E0F0E" w:rsidRPr="00333A62" w14:paraId="32E09FCF" w14:textId="77777777" w:rsidTr="005D75A6">
        <w:trPr>
          <w:trHeight w:val="307"/>
        </w:trPr>
        <w:tc>
          <w:tcPr>
            <w:cnfStyle w:val="001000000000" w:firstRow="0" w:lastRow="0" w:firstColumn="1" w:lastColumn="0" w:oddVBand="0" w:evenVBand="0" w:oddHBand="0" w:evenHBand="0" w:firstRowFirstColumn="0" w:firstRowLastColumn="0" w:lastRowFirstColumn="0" w:lastRowLastColumn="0"/>
            <w:tcW w:w="5759" w:type="dxa"/>
          </w:tcPr>
          <w:p w14:paraId="3A247D25" w14:textId="77777777" w:rsidR="004E0F0E" w:rsidRPr="00333A62" w:rsidRDefault="004E0F0E" w:rsidP="001543CF">
            <w:pPr>
              <w:pStyle w:val="Corps"/>
              <w:spacing w:after="0" w:line="240" w:lineRule="auto"/>
              <w:rPr>
                <w:rFonts w:ascii="Times New Roman" w:hAnsi="Times New Roman" w:cs="Times New Roman"/>
                <w:b w:val="0"/>
                <w:bCs w:val="0"/>
                <w:sz w:val="24"/>
                <w:szCs w:val="24"/>
                <w:lang w:val="fr-FR"/>
              </w:rPr>
            </w:pPr>
            <w:r w:rsidRPr="00333A62">
              <w:rPr>
                <w:rStyle w:val="normal0"/>
                <w:rFonts w:ascii="Times New Roman" w:hAnsi="Times New Roman" w:cs="Times New Roman"/>
                <w:b w:val="0"/>
                <w:bCs w:val="0"/>
                <w:sz w:val="24"/>
                <w:szCs w:val="24"/>
                <w:lang w:val="fr-FR"/>
              </w:rPr>
              <w:t>Population urbaine (en % du total)</w:t>
            </w:r>
          </w:p>
        </w:tc>
        <w:tc>
          <w:tcPr>
            <w:tcW w:w="1633" w:type="dxa"/>
            <w:vAlign w:val="center"/>
          </w:tcPr>
          <w:p w14:paraId="24E1C30B" w14:textId="77777777" w:rsidR="004E0F0E" w:rsidRPr="00333A62" w:rsidRDefault="004E0F0E" w:rsidP="001543CF">
            <w:pPr>
              <w:pStyle w:val="Corp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55</w:t>
            </w:r>
          </w:p>
        </w:tc>
        <w:tc>
          <w:tcPr>
            <w:tcW w:w="2080" w:type="dxa"/>
            <w:vAlign w:val="center"/>
          </w:tcPr>
          <w:p w14:paraId="0404453B" w14:textId="77777777" w:rsidR="004E0F0E" w:rsidRPr="00333A62" w:rsidRDefault="004E0F0E" w:rsidP="001543CF">
            <w:pPr>
              <w:pStyle w:val="Corp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38</w:t>
            </w:r>
          </w:p>
        </w:tc>
      </w:tr>
      <w:tr w:rsidR="004E0F0E" w:rsidRPr="00333A62" w14:paraId="2ABCF5FB" w14:textId="77777777" w:rsidTr="005D75A6">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5759" w:type="dxa"/>
          </w:tcPr>
          <w:p w14:paraId="6E5F8497" w14:textId="77777777" w:rsidR="004E0F0E" w:rsidRPr="00333A62" w:rsidRDefault="004E0F0E" w:rsidP="001543CF">
            <w:pPr>
              <w:pStyle w:val="Corps"/>
              <w:spacing w:after="0" w:line="240" w:lineRule="auto"/>
              <w:rPr>
                <w:rFonts w:ascii="Times New Roman" w:hAnsi="Times New Roman" w:cs="Times New Roman"/>
                <w:b w:val="0"/>
                <w:bCs w:val="0"/>
                <w:sz w:val="24"/>
                <w:szCs w:val="24"/>
                <w:lang w:val="fr-FR"/>
              </w:rPr>
            </w:pPr>
            <w:r w:rsidRPr="00333A62">
              <w:rPr>
                <w:rStyle w:val="normal0"/>
                <w:rFonts w:ascii="Times New Roman" w:hAnsi="Times New Roman" w:cs="Times New Roman"/>
                <w:b w:val="0"/>
                <w:bCs w:val="0"/>
                <w:sz w:val="24"/>
                <w:szCs w:val="24"/>
                <w:lang w:val="fr-FR"/>
              </w:rPr>
              <w:t>Densité de la population (habitants/Km</w:t>
            </w:r>
            <w:r w:rsidRPr="00333A62">
              <w:rPr>
                <w:rStyle w:val="normal0"/>
                <w:rFonts w:ascii="Times New Roman" w:hAnsi="Times New Roman" w:cs="Times New Roman"/>
                <w:b w:val="0"/>
                <w:bCs w:val="0"/>
                <w:sz w:val="24"/>
                <w:szCs w:val="24"/>
                <w:vertAlign w:val="superscript"/>
                <w:lang w:val="fr-FR"/>
              </w:rPr>
              <w:t>2</w:t>
            </w:r>
            <w:r w:rsidRPr="00333A62">
              <w:rPr>
                <w:rStyle w:val="normal0"/>
                <w:rFonts w:ascii="Times New Roman" w:hAnsi="Times New Roman" w:cs="Times New Roman"/>
                <w:b w:val="0"/>
                <w:bCs w:val="0"/>
                <w:sz w:val="24"/>
                <w:szCs w:val="24"/>
                <w:lang w:val="fr-FR"/>
              </w:rPr>
              <w:t>)</w:t>
            </w:r>
          </w:p>
        </w:tc>
        <w:tc>
          <w:tcPr>
            <w:tcW w:w="1633" w:type="dxa"/>
            <w:vAlign w:val="center"/>
          </w:tcPr>
          <w:p w14:paraId="616E7E21" w14:textId="77777777" w:rsidR="004E0F0E" w:rsidRPr="00333A62" w:rsidRDefault="004E0F0E" w:rsidP="001543CF">
            <w:pPr>
              <w:pStyle w:val="Corp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75</w:t>
            </w:r>
          </w:p>
        </w:tc>
        <w:tc>
          <w:tcPr>
            <w:tcW w:w="2080" w:type="dxa"/>
            <w:vAlign w:val="center"/>
          </w:tcPr>
          <w:p w14:paraId="66E999C5" w14:textId="77777777" w:rsidR="004E0F0E" w:rsidRPr="00333A62" w:rsidRDefault="004E0F0E" w:rsidP="001543CF">
            <w:pPr>
              <w:pStyle w:val="Corp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44</w:t>
            </w:r>
          </w:p>
        </w:tc>
      </w:tr>
      <w:tr w:rsidR="004E0F0E" w:rsidRPr="00333A62" w14:paraId="171F5A5B" w14:textId="77777777" w:rsidTr="005D75A6">
        <w:trPr>
          <w:trHeight w:val="307"/>
        </w:trPr>
        <w:tc>
          <w:tcPr>
            <w:cnfStyle w:val="001000000000" w:firstRow="0" w:lastRow="0" w:firstColumn="1" w:lastColumn="0" w:oddVBand="0" w:evenVBand="0" w:oddHBand="0" w:evenHBand="0" w:firstRowFirstColumn="0" w:firstRowLastColumn="0" w:lastRowFirstColumn="0" w:lastRowLastColumn="0"/>
            <w:tcW w:w="5759" w:type="dxa"/>
          </w:tcPr>
          <w:p w14:paraId="2E3568BD" w14:textId="77777777" w:rsidR="004E0F0E" w:rsidRPr="00333A62" w:rsidRDefault="004E0F0E" w:rsidP="001543CF">
            <w:pPr>
              <w:pStyle w:val="Corps"/>
              <w:spacing w:after="0" w:line="240" w:lineRule="auto"/>
              <w:rPr>
                <w:rFonts w:ascii="Times New Roman" w:hAnsi="Times New Roman" w:cs="Times New Roman"/>
                <w:b w:val="0"/>
                <w:bCs w:val="0"/>
                <w:sz w:val="24"/>
                <w:szCs w:val="24"/>
                <w:lang w:val="fr-FR"/>
              </w:rPr>
            </w:pPr>
            <w:r w:rsidRPr="00333A62">
              <w:rPr>
                <w:rStyle w:val="normal0"/>
                <w:rFonts w:ascii="Times New Roman" w:hAnsi="Times New Roman" w:cs="Times New Roman"/>
                <w:b w:val="0"/>
                <w:bCs w:val="0"/>
                <w:sz w:val="24"/>
                <w:szCs w:val="24"/>
                <w:lang w:val="fr-FR"/>
              </w:rPr>
              <w:t>Financement total de la santé (en % du PIB)</w:t>
            </w:r>
          </w:p>
        </w:tc>
        <w:tc>
          <w:tcPr>
            <w:tcW w:w="1633" w:type="dxa"/>
            <w:vAlign w:val="center"/>
          </w:tcPr>
          <w:p w14:paraId="51FFEA3C" w14:textId="77777777" w:rsidR="004E0F0E" w:rsidRPr="00333A62" w:rsidRDefault="004E0F0E" w:rsidP="001543CF">
            <w:pPr>
              <w:jc w:val="center"/>
              <w:cnfStyle w:val="000000000000" w:firstRow="0" w:lastRow="0" w:firstColumn="0" w:lastColumn="0" w:oddVBand="0" w:evenVBand="0" w:oddHBand="0" w:evenHBand="0" w:firstRowFirstColumn="0" w:firstRowLastColumn="0" w:lastRowFirstColumn="0" w:lastRowLastColumn="0"/>
              <w:rPr>
                <w:sz w:val="24"/>
                <w:szCs w:val="24"/>
                <w:lang w:val="fr-FR"/>
              </w:rPr>
            </w:pPr>
            <w:r w:rsidRPr="00333A62">
              <w:rPr>
                <w:sz w:val="24"/>
                <w:szCs w:val="24"/>
                <w:lang w:val="fr-FR"/>
              </w:rPr>
              <w:t>5,7</w:t>
            </w:r>
          </w:p>
        </w:tc>
        <w:tc>
          <w:tcPr>
            <w:tcW w:w="2080" w:type="dxa"/>
            <w:vAlign w:val="center"/>
          </w:tcPr>
          <w:p w14:paraId="61C9D5E3" w14:textId="77777777" w:rsidR="004E0F0E" w:rsidRPr="00333A62" w:rsidRDefault="004E0F0E" w:rsidP="001543CF">
            <w:pPr>
              <w:jc w:val="center"/>
              <w:cnfStyle w:val="000000000000" w:firstRow="0" w:lastRow="0" w:firstColumn="0" w:lastColumn="0" w:oddVBand="0" w:evenVBand="0" w:oddHBand="0" w:evenHBand="0" w:firstRowFirstColumn="0" w:firstRowLastColumn="0" w:lastRowFirstColumn="0" w:lastRowLastColumn="0"/>
              <w:rPr>
                <w:sz w:val="24"/>
                <w:szCs w:val="24"/>
                <w:lang w:val="fr-FR"/>
              </w:rPr>
            </w:pPr>
            <w:r w:rsidRPr="00333A62">
              <w:rPr>
                <w:sz w:val="24"/>
                <w:szCs w:val="24"/>
                <w:lang w:val="fr-FR"/>
              </w:rPr>
              <w:t>5,5</w:t>
            </w:r>
          </w:p>
        </w:tc>
      </w:tr>
      <w:tr w:rsidR="004E0F0E" w:rsidRPr="00333A62" w14:paraId="4CDF1396" w14:textId="77777777" w:rsidTr="005D75A6">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5759" w:type="dxa"/>
          </w:tcPr>
          <w:p w14:paraId="28DA1653" w14:textId="77777777" w:rsidR="004E0F0E" w:rsidRPr="00333A62" w:rsidRDefault="004E0F0E" w:rsidP="001543CF">
            <w:pPr>
              <w:pStyle w:val="Corps"/>
              <w:spacing w:after="0" w:line="240" w:lineRule="auto"/>
              <w:rPr>
                <w:rStyle w:val="normal0"/>
                <w:rFonts w:ascii="Times New Roman" w:hAnsi="Times New Roman" w:cs="Times New Roman"/>
                <w:b w:val="0"/>
                <w:bCs w:val="0"/>
                <w:sz w:val="24"/>
                <w:szCs w:val="24"/>
                <w:lang w:val="fr-FR"/>
              </w:rPr>
            </w:pPr>
            <w:r w:rsidRPr="00333A62">
              <w:rPr>
                <w:rStyle w:val="normal0"/>
                <w:rFonts w:ascii="Times New Roman" w:hAnsi="Times New Roman" w:cs="Times New Roman"/>
                <w:b w:val="0"/>
                <w:bCs w:val="0"/>
                <w:sz w:val="24"/>
                <w:szCs w:val="24"/>
                <w:lang w:val="fr-FR"/>
              </w:rPr>
              <w:t>Financement publique de la santé (en % du PIB)</w:t>
            </w:r>
          </w:p>
        </w:tc>
        <w:tc>
          <w:tcPr>
            <w:tcW w:w="1633" w:type="dxa"/>
            <w:vAlign w:val="center"/>
          </w:tcPr>
          <w:p w14:paraId="519729A5" w14:textId="77777777" w:rsidR="004E0F0E" w:rsidRPr="00333A62" w:rsidRDefault="004E0F0E" w:rsidP="001543CF">
            <w:pPr>
              <w:jc w:val="center"/>
              <w:cnfStyle w:val="000000100000" w:firstRow="0" w:lastRow="0" w:firstColumn="0" w:lastColumn="0" w:oddVBand="0" w:evenVBand="0" w:oddHBand="1" w:evenHBand="0" w:firstRowFirstColumn="0" w:firstRowLastColumn="0" w:lastRowFirstColumn="0" w:lastRowLastColumn="0"/>
              <w:rPr>
                <w:sz w:val="24"/>
                <w:szCs w:val="24"/>
                <w:lang w:val="fr-FR"/>
              </w:rPr>
            </w:pPr>
            <w:r w:rsidRPr="00333A62">
              <w:rPr>
                <w:sz w:val="24"/>
                <w:szCs w:val="24"/>
                <w:lang w:val="fr-FR"/>
              </w:rPr>
              <w:t>1,7</w:t>
            </w:r>
          </w:p>
        </w:tc>
        <w:tc>
          <w:tcPr>
            <w:tcW w:w="2080" w:type="dxa"/>
            <w:vAlign w:val="center"/>
          </w:tcPr>
          <w:p w14:paraId="2F258153" w14:textId="77777777" w:rsidR="004E0F0E" w:rsidRPr="00333A62" w:rsidRDefault="004E0F0E" w:rsidP="001543CF">
            <w:pPr>
              <w:jc w:val="center"/>
              <w:cnfStyle w:val="000000100000" w:firstRow="0" w:lastRow="0" w:firstColumn="0" w:lastColumn="0" w:oddVBand="0" w:evenVBand="0" w:oddHBand="1" w:evenHBand="0" w:firstRowFirstColumn="0" w:firstRowLastColumn="0" w:lastRowFirstColumn="0" w:lastRowLastColumn="0"/>
              <w:rPr>
                <w:sz w:val="24"/>
                <w:szCs w:val="24"/>
                <w:lang w:val="fr-FR"/>
              </w:rPr>
            </w:pPr>
            <w:r w:rsidRPr="00333A62">
              <w:rPr>
                <w:sz w:val="24"/>
                <w:szCs w:val="24"/>
                <w:lang w:val="fr-FR"/>
              </w:rPr>
              <w:t>2,3</w:t>
            </w:r>
          </w:p>
        </w:tc>
      </w:tr>
      <w:tr w:rsidR="004E0F0E" w:rsidRPr="00333A62" w14:paraId="25397192" w14:textId="77777777" w:rsidTr="005D75A6">
        <w:trPr>
          <w:trHeight w:val="329"/>
        </w:trPr>
        <w:tc>
          <w:tcPr>
            <w:cnfStyle w:val="001000000000" w:firstRow="0" w:lastRow="0" w:firstColumn="1" w:lastColumn="0" w:oddVBand="0" w:evenVBand="0" w:oddHBand="0" w:evenHBand="0" w:firstRowFirstColumn="0" w:firstRowLastColumn="0" w:lastRowFirstColumn="0" w:lastRowLastColumn="0"/>
            <w:tcW w:w="5759" w:type="dxa"/>
          </w:tcPr>
          <w:p w14:paraId="24FF3171" w14:textId="77777777" w:rsidR="004E0F0E" w:rsidRPr="00333A62" w:rsidRDefault="004E0F0E" w:rsidP="001543CF">
            <w:pPr>
              <w:pStyle w:val="Corps"/>
              <w:spacing w:after="0" w:line="240" w:lineRule="auto"/>
              <w:rPr>
                <w:rFonts w:ascii="Times New Roman" w:hAnsi="Times New Roman" w:cs="Times New Roman"/>
                <w:b w:val="0"/>
                <w:bCs w:val="0"/>
                <w:sz w:val="24"/>
                <w:szCs w:val="24"/>
                <w:lang w:val="fr-FR"/>
              </w:rPr>
            </w:pPr>
            <w:r w:rsidRPr="00333A62">
              <w:rPr>
                <w:rStyle w:val="normal0"/>
                <w:rFonts w:ascii="Times New Roman" w:hAnsi="Times New Roman" w:cs="Times New Roman"/>
                <w:b w:val="0"/>
                <w:bCs w:val="0"/>
                <w:sz w:val="24"/>
                <w:szCs w:val="24"/>
                <w:lang w:val="fr-FR"/>
              </w:rPr>
              <w:t>PIB par habitant en 2016, PPP ($ int. const. 2011)</w:t>
            </w:r>
          </w:p>
        </w:tc>
        <w:tc>
          <w:tcPr>
            <w:tcW w:w="1633" w:type="dxa"/>
            <w:vAlign w:val="center"/>
          </w:tcPr>
          <w:p w14:paraId="6D188E9F" w14:textId="77777777" w:rsidR="004E0F0E" w:rsidRPr="00333A62" w:rsidRDefault="004E0F0E" w:rsidP="001543CF">
            <w:pPr>
              <w:pStyle w:val="Corp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3 425</w:t>
            </w:r>
          </w:p>
        </w:tc>
        <w:tc>
          <w:tcPr>
            <w:tcW w:w="2080" w:type="dxa"/>
            <w:vAlign w:val="center"/>
          </w:tcPr>
          <w:p w14:paraId="62244A0B" w14:textId="77777777" w:rsidR="004E0F0E" w:rsidRPr="00333A62" w:rsidRDefault="004E0F0E" w:rsidP="001543CF">
            <w:pPr>
              <w:pStyle w:val="Corps"/>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3 453</w:t>
            </w:r>
          </w:p>
        </w:tc>
      </w:tr>
      <w:tr w:rsidR="004E0F0E" w:rsidRPr="00333A62" w14:paraId="403AF3E6" w14:textId="77777777" w:rsidTr="005D75A6">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5759" w:type="dxa"/>
          </w:tcPr>
          <w:p w14:paraId="27C6C542" w14:textId="77777777" w:rsidR="004E0F0E" w:rsidRPr="00333A62" w:rsidRDefault="004E0F0E" w:rsidP="001543CF">
            <w:pPr>
              <w:pStyle w:val="Corps"/>
              <w:spacing w:after="0" w:line="240" w:lineRule="auto"/>
              <w:rPr>
                <w:rFonts w:ascii="Times New Roman" w:hAnsi="Times New Roman" w:cs="Times New Roman"/>
                <w:b w:val="0"/>
                <w:bCs w:val="0"/>
                <w:sz w:val="24"/>
                <w:szCs w:val="24"/>
                <w:lang w:val="fr-FR"/>
              </w:rPr>
            </w:pPr>
            <w:r w:rsidRPr="00333A62">
              <w:rPr>
                <w:rStyle w:val="normal0"/>
                <w:rFonts w:ascii="Times New Roman" w:hAnsi="Times New Roman" w:cs="Times New Roman"/>
                <w:b w:val="0"/>
                <w:bCs w:val="0"/>
                <w:sz w:val="24"/>
                <w:szCs w:val="24"/>
                <w:lang w:val="fr-FR"/>
              </w:rPr>
              <w:t>PIB par habitant 2016 en USD ($ int. const. 2010)</w:t>
            </w:r>
          </w:p>
        </w:tc>
        <w:tc>
          <w:tcPr>
            <w:tcW w:w="1633" w:type="dxa"/>
            <w:vAlign w:val="center"/>
          </w:tcPr>
          <w:p w14:paraId="0F8A38F1" w14:textId="77777777" w:rsidR="004E0F0E" w:rsidRPr="00333A62" w:rsidRDefault="004E0F0E" w:rsidP="001543CF">
            <w:pPr>
              <w:pStyle w:val="Corp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1 553</w:t>
            </w:r>
          </w:p>
        </w:tc>
        <w:tc>
          <w:tcPr>
            <w:tcW w:w="2080" w:type="dxa"/>
            <w:vAlign w:val="center"/>
          </w:tcPr>
          <w:p w14:paraId="44B71F5C" w14:textId="77777777" w:rsidR="004E0F0E" w:rsidRPr="00333A62" w:rsidRDefault="004E0F0E" w:rsidP="001543CF">
            <w:pPr>
              <w:pStyle w:val="Corps"/>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1 639</w:t>
            </w:r>
          </w:p>
        </w:tc>
      </w:tr>
      <w:tr w:rsidR="004E0F0E" w:rsidRPr="00333A62" w14:paraId="2B485D8E" w14:textId="77777777" w:rsidTr="005D75A6">
        <w:trPr>
          <w:trHeight w:val="290"/>
        </w:trPr>
        <w:tc>
          <w:tcPr>
            <w:cnfStyle w:val="001000000000" w:firstRow="0" w:lastRow="0" w:firstColumn="1" w:lastColumn="0" w:oddVBand="0" w:evenVBand="0" w:oddHBand="0" w:evenHBand="0" w:firstRowFirstColumn="0" w:firstRowLastColumn="0" w:lastRowFirstColumn="0" w:lastRowLastColumn="0"/>
            <w:tcW w:w="5759" w:type="dxa"/>
            <w:shd w:val="clear" w:color="auto" w:fill="auto"/>
          </w:tcPr>
          <w:p w14:paraId="0D44BD8C" w14:textId="77777777" w:rsidR="00333A62" w:rsidRPr="00333A62" w:rsidRDefault="004E0F0E" w:rsidP="001543CF">
            <w:pPr>
              <w:pStyle w:val="Corps"/>
              <w:spacing w:after="0" w:line="240" w:lineRule="auto"/>
              <w:rPr>
                <w:rStyle w:val="normal0"/>
                <w:rFonts w:ascii="Times New Roman" w:hAnsi="Times New Roman" w:cs="Times New Roman"/>
                <w:b w:val="0"/>
                <w:bCs w:val="0"/>
                <w:sz w:val="24"/>
                <w:szCs w:val="24"/>
                <w:lang w:val="fr-FR"/>
              </w:rPr>
            </w:pPr>
            <w:r w:rsidRPr="00333A62">
              <w:rPr>
                <w:rStyle w:val="normal0"/>
                <w:rFonts w:ascii="Times New Roman" w:hAnsi="Times New Roman" w:cs="Times New Roman"/>
                <w:b w:val="0"/>
                <w:bCs w:val="0"/>
                <w:sz w:val="24"/>
                <w:szCs w:val="24"/>
                <w:lang w:val="fr-FR"/>
              </w:rPr>
              <w:t xml:space="preserve">Population au-dessous du seuil de pauvreté </w:t>
            </w:r>
          </w:p>
          <w:p w14:paraId="30AB927A" w14:textId="21286247" w:rsidR="004E0F0E" w:rsidRPr="00333A62" w:rsidRDefault="004E0F0E" w:rsidP="001543CF">
            <w:pPr>
              <w:pStyle w:val="Corps"/>
              <w:spacing w:after="0" w:line="240" w:lineRule="auto"/>
              <w:rPr>
                <w:rStyle w:val="normal0"/>
                <w:rFonts w:ascii="Times New Roman" w:hAnsi="Times New Roman" w:cs="Times New Roman"/>
                <w:b w:val="0"/>
                <w:bCs w:val="0"/>
                <w:sz w:val="24"/>
                <w:szCs w:val="24"/>
                <w:lang w:val="fr-FR"/>
              </w:rPr>
            </w:pPr>
            <w:r w:rsidRPr="00333A62">
              <w:rPr>
                <w:rStyle w:val="normal0"/>
                <w:rFonts w:ascii="Times New Roman" w:hAnsi="Times New Roman" w:cs="Times New Roman"/>
                <w:b w:val="0"/>
                <w:bCs w:val="0"/>
                <w:sz w:val="24"/>
                <w:szCs w:val="24"/>
                <w:lang w:val="fr-FR"/>
              </w:rPr>
              <w:t>($1,90 / jour, 2011 PPP)</w:t>
            </w:r>
          </w:p>
        </w:tc>
        <w:tc>
          <w:tcPr>
            <w:tcW w:w="1633" w:type="dxa"/>
            <w:shd w:val="clear" w:color="auto" w:fill="auto"/>
            <w:vAlign w:val="center"/>
          </w:tcPr>
          <w:p w14:paraId="411F1695" w14:textId="77777777" w:rsidR="004E0F0E" w:rsidRPr="00333A62" w:rsidRDefault="004E0F0E" w:rsidP="001543CF">
            <w:pPr>
              <w:pStyle w:val="Corps"/>
              <w:spacing w:after="0" w:line="240" w:lineRule="auto"/>
              <w:jc w:val="center"/>
              <w:cnfStyle w:val="000000000000" w:firstRow="0" w:lastRow="0" w:firstColumn="0" w:lastColumn="0" w:oddVBand="0" w:evenVBand="0" w:oddHBand="0" w:evenHBand="0" w:firstRowFirstColumn="0" w:firstRowLastColumn="0" w:lastRowFirstColumn="0" w:lastRowLastColumn="0"/>
              <w:rPr>
                <w:rStyle w:val="normal0"/>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28 %</w:t>
            </w:r>
          </w:p>
        </w:tc>
        <w:tc>
          <w:tcPr>
            <w:tcW w:w="2080" w:type="dxa"/>
            <w:shd w:val="clear" w:color="auto" w:fill="auto"/>
            <w:vAlign w:val="center"/>
          </w:tcPr>
          <w:p w14:paraId="60B217D0" w14:textId="77777777" w:rsidR="004E0F0E" w:rsidRPr="00333A62" w:rsidRDefault="004E0F0E" w:rsidP="001543CF">
            <w:pPr>
              <w:pStyle w:val="Corps"/>
              <w:spacing w:after="0" w:line="240" w:lineRule="auto"/>
              <w:jc w:val="center"/>
              <w:cnfStyle w:val="000000000000" w:firstRow="0" w:lastRow="0" w:firstColumn="0" w:lastColumn="0" w:oddVBand="0" w:evenVBand="0" w:oddHBand="0" w:evenHBand="0" w:firstRowFirstColumn="0" w:firstRowLastColumn="0" w:lastRowFirstColumn="0" w:lastRowLastColumn="0"/>
              <w:rPr>
                <w:rStyle w:val="normal0"/>
                <w:rFonts w:ascii="Times New Roman" w:hAnsi="Times New Roman" w:cs="Times New Roman"/>
                <w:sz w:val="24"/>
                <w:szCs w:val="24"/>
                <w:lang w:val="fr-FR"/>
              </w:rPr>
            </w:pPr>
            <w:r w:rsidRPr="00333A62">
              <w:rPr>
                <w:rStyle w:val="normal0"/>
                <w:rFonts w:ascii="Times New Roman" w:hAnsi="Times New Roman" w:cs="Times New Roman"/>
                <w:sz w:val="24"/>
                <w:szCs w:val="24"/>
                <w:lang w:val="fr-FR"/>
              </w:rPr>
              <w:t>44 %</w:t>
            </w:r>
          </w:p>
        </w:tc>
      </w:tr>
    </w:tbl>
    <w:p w14:paraId="1239E602" w14:textId="77777777" w:rsidR="004E0F0E" w:rsidRPr="00333A62" w:rsidRDefault="004E0F0E" w:rsidP="00333A62">
      <w:pPr>
        <w:pStyle w:val="Corps"/>
        <w:spacing w:before="120" w:after="120"/>
        <w:rPr>
          <w:rStyle w:val="normal0"/>
          <w:rFonts w:ascii="Times New Roman" w:hAnsi="Times New Roman" w:cs="Times New Roman"/>
          <w:i/>
          <w:sz w:val="24"/>
          <w:szCs w:val="24"/>
          <w:lang w:val="fr-FR"/>
        </w:rPr>
      </w:pPr>
      <w:r w:rsidRPr="00333A62">
        <w:rPr>
          <w:rStyle w:val="normal0"/>
          <w:rFonts w:ascii="Times New Roman" w:hAnsi="Times New Roman" w:cs="Times New Roman"/>
          <w:sz w:val="24"/>
          <w:szCs w:val="24"/>
          <w:u w:val="single"/>
          <w:lang w:val="fr-FR"/>
        </w:rPr>
        <w:t>Source</w:t>
      </w:r>
      <w:r w:rsidRPr="00333A62">
        <w:rPr>
          <w:rStyle w:val="normal0"/>
          <w:rFonts w:ascii="Times New Roman" w:hAnsi="Times New Roman" w:cs="Times New Roman"/>
          <w:sz w:val="24"/>
          <w:szCs w:val="24"/>
          <w:lang w:val="fr-FR"/>
        </w:rPr>
        <w:t xml:space="preserve"> : WDI, 2017</w:t>
      </w:r>
    </w:p>
    <w:p w14:paraId="523990E6" w14:textId="77777777" w:rsidR="004E0F0E" w:rsidRDefault="004E0F0E" w:rsidP="00333A62">
      <w:pPr>
        <w:pStyle w:val="Corps"/>
        <w:spacing w:before="120" w:after="120"/>
        <w:jc w:val="both"/>
        <w:rPr>
          <w:rFonts w:ascii="Times New Roman" w:eastAsia="Times New Roman" w:hAnsi="Times New Roman" w:cs="Times New Roman"/>
          <w:sz w:val="24"/>
          <w:szCs w:val="24"/>
          <w:lang w:val="fr-FR"/>
        </w:rPr>
      </w:pPr>
    </w:p>
    <w:p w14:paraId="0578ADE9" w14:textId="77777777" w:rsidR="004E0F0E" w:rsidRPr="00333A62" w:rsidRDefault="004E0F0E" w:rsidP="00333A62">
      <w:pPr>
        <w:pStyle w:val="Corps"/>
        <w:spacing w:before="120" w:after="120"/>
        <w:jc w:val="both"/>
        <w:rPr>
          <w:rFonts w:ascii="Times New Roman" w:eastAsiaTheme="minorHAnsi" w:hAnsi="Times New Roman" w:cs="Times New Roman"/>
          <w:color w:val="auto"/>
          <w:sz w:val="24"/>
          <w:szCs w:val="24"/>
          <w:bdr w:val="none" w:sz="0" w:space="0" w:color="auto"/>
        </w:rPr>
      </w:pPr>
      <w:r w:rsidRPr="00333A62">
        <w:rPr>
          <w:rFonts w:ascii="Times New Roman" w:eastAsiaTheme="minorHAnsi" w:hAnsi="Times New Roman" w:cs="Times New Roman"/>
          <w:color w:val="auto"/>
          <w:sz w:val="24"/>
          <w:szCs w:val="24"/>
          <w:bdr w:val="none" w:sz="0" w:space="0" w:color="auto"/>
        </w:rPr>
        <w:t xml:space="preserve">L’analyse du taux de croissance montre que le pays a connu une période de tendance baissière. Le PIB s’est contracté entre 2000 et 2003 ; ensuite, il a connu une hausse certes légère, mais constante de 2004 à 2010 avant de se contracter à 4,4 % en 2011 (Figure 1). Entamée en 2012, avec une croissance du PIB de 10,7 %, cette tendance est confirmée en 2013 à un taux de 9,2 % et en 2014 et 2015 à 8 %. </w:t>
      </w:r>
    </w:p>
    <w:p w14:paraId="03FCE9EB" w14:textId="77777777" w:rsidR="004E0F0E" w:rsidRPr="00333A62" w:rsidRDefault="004E0F0E" w:rsidP="00333A62">
      <w:pPr>
        <w:pStyle w:val="Default"/>
        <w:spacing w:before="120" w:after="120" w:line="276" w:lineRule="auto"/>
        <w:jc w:val="both"/>
        <w:rPr>
          <w:color w:val="auto"/>
          <w:lang w:val="fr-CI"/>
        </w:rPr>
      </w:pPr>
      <w:r w:rsidRPr="00333A62">
        <w:rPr>
          <w:color w:val="auto"/>
          <w:lang w:val="fr-CI"/>
        </w:rPr>
        <w:t>Plusieurs éléments pourraient expliquer cette reprise économique après la crise post-électorale. Notamment, la normalisation de la situation sociopolitique et sécuritaire combinée aux efforts déployés dans le cadre du PND 2012-2015. Ces actions ont abouti à une nette amélioration de l’environnement des affaires, de la gouvernance et à une accélération des réformes structurelles, toute chose qui a inscrit la Côte d’Ivoire parmi les 10 pays les plus réformateurs en 2014 et en 2015, selon le classement du rapport Doing Business de la Banque mondiale.</w:t>
      </w:r>
    </w:p>
    <w:p w14:paraId="18A69C71" w14:textId="77777777" w:rsidR="004E0F0E" w:rsidRPr="00333A62" w:rsidRDefault="004E0F0E" w:rsidP="00333A62">
      <w:pPr>
        <w:pStyle w:val="Default"/>
        <w:spacing w:before="120" w:after="120" w:line="276" w:lineRule="auto"/>
        <w:jc w:val="both"/>
        <w:rPr>
          <w:rStyle w:val="normal0"/>
          <w:rFonts w:eastAsia="Times New Roman"/>
        </w:rPr>
      </w:pPr>
    </w:p>
    <w:p w14:paraId="1A5D4D36" w14:textId="77777777" w:rsidR="004E0F0E" w:rsidRDefault="004E0F0E" w:rsidP="00333A62">
      <w:pPr>
        <w:pStyle w:val="Corps"/>
        <w:keepNext/>
        <w:spacing w:before="120" w:after="120"/>
        <w:jc w:val="both"/>
        <w:rPr>
          <w:rFonts w:ascii="Times New Roman" w:hAnsi="Times New Roman" w:cs="Times New Roman"/>
          <w:sz w:val="24"/>
          <w:szCs w:val="24"/>
          <w:lang w:val="fr-FR"/>
        </w:rPr>
      </w:pPr>
      <w:r w:rsidRPr="00333A62">
        <w:rPr>
          <w:rFonts w:ascii="Times New Roman" w:hAnsi="Times New Roman" w:cs="Times New Roman"/>
          <w:noProof/>
          <w:sz w:val="24"/>
          <w:szCs w:val="24"/>
          <w:lang w:val="fr-FR" w:eastAsia="fr-FR"/>
        </w:rPr>
        <w:lastRenderedPageBreak/>
        <w:drawing>
          <wp:inline distT="0" distB="0" distL="0" distR="0" wp14:anchorId="3B7DC62E" wp14:editId="4A20FDF8">
            <wp:extent cx="5211445" cy="2042808"/>
            <wp:effectExtent l="0" t="0" r="8255" b="14605"/>
            <wp:docPr id="28" name="officeArt object"/>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E415639" w14:textId="4FB77A24" w:rsidR="00F45D6A" w:rsidRPr="00275C05" w:rsidRDefault="00275C05" w:rsidP="00275C05">
      <w:pPr>
        <w:pStyle w:val="Lgende"/>
        <w:rPr>
          <w:sz w:val="24"/>
          <w:szCs w:val="24"/>
        </w:rPr>
      </w:pPr>
      <w:bookmarkStart w:id="23" w:name="_Toc319081874"/>
      <w:bookmarkStart w:id="24" w:name="_Toc319961068"/>
      <w:bookmarkStart w:id="25" w:name="_Toc319967261"/>
      <w:bookmarkStart w:id="26" w:name="_Toc486388701"/>
      <w:bookmarkStart w:id="27" w:name="_Toc506286487"/>
      <w:bookmarkStart w:id="28" w:name="_Toc1588477"/>
      <w:r w:rsidRPr="00275C05">
        <w:rPr>
          <w:sz w:val="24"/>
          <w:szCs w:val="24"/>
        </w:rPr>
        <w:t xml:space="preserve">Graphique </w:t>
      </w:r>
      <w:r w:rsidRPr="00275C05">
        <w:rPr>
          <w:sz w:val="24"/>
          <w:szCs w:val="24"/>
        </w:rPr>
        <w:fldChar w:fldCharType="begin"/>
      </w:r>
      <w:r w:rsidRPr="00275C05">
        <w:rPr>
          <w:sz w:val="24"/>
          <w:szCs w:val="24"/>
        </w:rPr>
        <w:instrText xml:space="preserve"> SEQ Graphique \* ARABIC </w:instrText>
      </w:r>
      <w:r w:rsidRPr="00275C05">
        <w:rPr>
          <w:sz w:val="24"/>
          <w:szCs w:val="24"/>
        </w:rPr>
        <w:fldChar w:fldCharType="separate"/>
      </w:r>
      <w:r w:rsidR="009A04F0">
        <w:rPr>
          <w:noProof/>
          <w:sz w:val="24"/>
          <w:szCs w:val="24"/>
        </w:rPr>
        <w:t>1</w:t>
      </w:r>
      <w:r w:rsidRPr="00275C05">
        <w:rPr>
          <w:sz w:val="24"/>
          <w:szCs w:val="24"/>
        </w:rPr>
        <w:fldChar w:fldCharType="end"/>
      </w:r>
      <w:r w:rsidR="00F45D6A" w:rsidRPr="00275C05">
        <w:rPr>
          <w:sz w:val="24"/>
          <w:szCs w:val="24"/>
        </w:rPr>
        <w:t> : Évolution du PIB ivoirien (en %)</w:t>
      </w:r>
      <w:bookmarkEnd w:id="23"/>
      <w:bookmarkEnd w:id="24"/>
      <w:bookmarkEnd w:id="25"/>
      <w:bookmarkEnd w:id="26"/>
      <w:bookmarkEnd w:id="27"/>
      <w:bookmarkEnd w:id="28"/>
    </w:p>
    <w:p w14:paraId="0F424540" w14:textId="77777777" w:rsidR="004E0F0E" w:rsidRPr="00333A62" w:rsidRDefault="004E0F0E" w:rsidP="00333A62">
      <w:pPr>
        <w:pStyle w:val="Corps"/>
        <w:spacing w:before="120" w:after="120"/>
        <w:jc w:val="both"/>
        <w:rPr>
          <w:rStyle w:val="normal0"/>
          <w:rFonts w:ascii="Times New Roman" w:eastAsia="Times New Roman" w:hAnsi="Times New Roman" w:cs="Times New Roman"/>
          <w:i/>
          <w:sz w:val="24"/>
          <w:szCs w:val="24"/>
          <w:lang w:val="fr-FR"/>
        </w:rPr>
      </w:pPr>
      <w:r w:rsidRPr="00333A62">
        <w:rPr>
          <w:rStyle w:val="normal0"/>
          <w:rFonts w:ascii="Times New Roman" w:hAnsi="Times New Roman" w:cs="Times New Roman"/>
          <w:sz w:val="24"/>
          <w:szCs w:val="24"/>
          <w:u w:val="single"/>
          <w:lang w:val="fr-FR"/>
        </w:rPr>
        <w:t>Source</w:t>
      </w:r>
      <w:r w:rsidRPr="00333A62">
        <w:rPr>
          <w:rStyle w:val="normal0"/>
          <w:rFonts w:ascii="Times New Roman" w:hAnsi="Times New Roman" w:cs="Times New Roman"/>
          <w:sz w:val="24"/>
          <w:szCs w:val="24"/>
          <w:lang w:val="fr-FR"/>
        </w:rPr>
        <w:t> : WDI, 2017</w:t>
      </w:r>
    </w:p>
    <w:p w14:paraId="48E3C1CF" w14:textId="77777777" w:rsidR="001543CF" w:rsidRDefault="001543CF" w:rsidP="00333A62">
      <w:pPr>
        <w:pStyle w:val="Default"/>
        <w:spacing w:before="120" w:after="120" w:line="276" w:lineRule="auto"/>
        <w:jc w:val="both"/>
        <w:rPr>
          <w:color w:val="auto"/>
          <w:lang w:val="fr-CI"/>
        </w:rPr>
      </w:pPr>
    </w:p>
    <w:p w14:paraId="22623553" w14:textId="082A3296" w:rsidR="004E0F0E" w:rsidRPr="00333A62" w:rsidRDefault="004E0F0E" w:rsidP="00333A62">
      <w:pPr>
        <w:pStyle w:val="Default"/>
        <w:spacing w:before="120" w:after="120" w:line="276" w:lineRule="auto"/>
        <w:jc w:val="both"/>
        <w:rPr>
          <w:color w:val="auto"/>
          <w:lang w:val="fr-CI"/>
        </w:rPr>
      </w:pPr>
      <w:r w:rsidRPr="00333A62">
        <w:rPr>
          <w:color w:val="auto"/>
          <w:lang w:val="fr-CI"/>
        </w:rPr>
        <w:t xml:space="preserve">Cependant, si </w:t>
      </w:r>
      <w:r w:rsidR="00333A62" w:rsidRPr="00333A62">
        <w:rPr>
          <w:color w:val="auto"/>
          <w:lang w:val="fr-CI"/>
        </w:rPr>
        <w:t>l’on la ramène à la population</w:t>
      </w:r>
      <w:r w:rsidRPr="00333A62">
        <w:rPr>
          <w:color w:val="auto"/>
          <w:lang w:val="fr-CI"/>
        </w:rPr>
        <w:t xml:space="preserve"> </w:t>
      </w:r>
      <w:r w:rsidR="00333A62" w:rsidRPr="00333A62">
        <w:rPr>
          <w:color w:val="auto"/>
          <w:lang w:val="fr-CI"/>
        </w:rPr>
        <w:t>(</w:t>
      </w:r>
      <w:r w:rsidRPr="00333A62">
        <w:rPr>
          <w:color w:val="auto"/>
          <w:lang w:val="fr-CI"/>
        </w:rPr>
        <w:t xml:space="preserve">en termes </w:t>
      </w:r>
      <w:r w:rsidR="00333A62" w:rsidRPr="00333A62">
        <w:rPr>
          <w:color w:val="auto"/>
          <w:lang w:val="fr-CI"/>
        </w:rPr>
        <w:t xml:space="preserve">de croissance du PIB/habitant </w:t>
      </w:r>
      <w:r w:rsidRPr="00333A62">
        <w:rPr>
          <w:color w:val="auto"/>
          <w:lang w:val="fr-CI"/>
        </w:rPr>
        <w:t>ou mieux</w:t>
      </w:r>
      <w:r w:rsidR="00333A62" w:rsidRPr="00333A62">
        <w:rPr>
          <w:color w:val="auto"/>
          <w:lang w:val="fr-CI"/>
        </w:rPr>
        <w:t xml:space="preserve"> aux ressortissants nationaux en termes de RNB/habitant)</w:t>
      </w:r>
      <w:r w:rsidRPr="00333A62">
        <w:rPr>
          <w:color w:val="auto"/>
          <w:lang w:val="fr-CI"/>
        </w:rPr>
        <w:t>, cette évolution présente les mêmes tendances, mais de façon plus modérée. En effet, la croissance du PIB/habitant est de 8,2% en 2012 et de 6,4% en 2014, contre une croissance du PIB respectivement de 10,7% et 9%. Cela pourrait s’expliquer par un taux de croissance moyen de la population plus élevé que le taux de croissance du PIB.</w:t>
      </w:r>
    </w:p>
    <w:p w14:paraId="3C95250E" w14:textId="77777777" w:rsidR="004E0F0E" w:rsidRPr="001543CF" w:rsidRDefault="004E0F0E" w:rsidP="00333A62">
      <w:pPr>
        <w:pStyle w:val="Corps"/>
        <w:spacing w:before="120" w:after="120"/>
        <w:jc w:val="both"/>
        <w:rPr>
          <w:rStyle w:val="normal0"/>
          <w:rFonts w:ascii="Times New Roman" w:hAnsi="Times New Roman" w:cs="Times New Roman"/>
          <w:sz w:val="24"/>
          <w:szCs w:val="24"/>
          <w:lang w:val="fr-FR"/>
        </w:rPr>
      </w:pPr>
    </w:p>
    <w:p w14:paraId="40BB504B" w14:textId="77777777" w:rsidR="004E0F0E" w:rsidRPr="002A3FB8" w:rsidRDefault="004E0F0E" w:rsidP="00333A62">
      <w:pPr>
        <w:pStyle w:val="Titre3"/>
        <w:spacing w:before="120" w:after="120" w:line="276" w:lineRule="auto"/>
        <w:rPr>
          <w:rStyle w:val="normal0"/>
          <w:rFonts w:ascii="Times New Roman" w:hAnsi="Times New Roman" w:cs="Times New Roman"/>
          <w:b/>
          <w:color w:val="0070C0"/>
        </w:rPr>
      </w:pPr>
      <w:bookmarkStart w:id="29" w:name="_Toc506286303"/>
      <w:bookmarkStart w:id="30" w:name="_Toc525214339"/>
      <w:bookmarkStart w:id="31" w:name="_Toc1573795"/>
      <w:r w:rsidRPr="002A3FB8">
        <w:rPr>
          <w:rStyle w:val="normal0"/>
          <w:rFonts w:ascii="Times New Roman" w:hAnsi="Times New Roman" w:cs="Times New Roman"/>
          <w:b/>
          <w:color w:val="0070C0"/>
        </w:rPr>
        <w:t>Développement humain</w:t>
      </w:r>
      <w:bookmarkEnd w:id="29"/>
      <w:bookmarkEnd w:id="30"/>
      <w:bookmarkEnd w:id="31"/>
      <w:r w:rsidRPr="002A3FB8">
        <w:rPr>
          <w:rStyle w:val="normal0"/>
          <w:rFonts w:ascii="Times New Roman" w:hAnsi="Times New Roman" w:cs="Times New Roman"/>
          <w:b/>
          <w:color w:val="0070C0"/>
        </w:rPr>
        <w:t xml:space="preserve"> </w:t>
      </w:r>
    </w:p>
    <w:p w14:paraId="6D042EA7" w14:textId="77777777" w:rsidR="004E0F0E" w:rsidRPr="00333A62" w:rsidRDefault="004E0F0E" w:rsidP="002E25ED">
      <w:pPr>
        <w:rPr>
          <w:rStyle w:val="normal0"/>
          <w:rFonts w:ascii="Times New Roman" w:hAnsi="Times New Roman" w:cs="Times New Roman"/>
          <w:sz w:val="24"/>
          <w:szCs w:val="24"/>
          <w:u w:val="single"/>
        </w:rPr>
      </w:pPr>
      <w:bookmarkStart w:id="32" w:name="_Toc486348516"/>
      <w:bookmarkStart w:id="33" w:name="_Toc506286304"/>
      <w:bookmarkStart w:id="34" w:name="_Toc525214340"/>
      <w:r w:rsidRPr="00333A62">
        <w:rPr>
          <w:rStyle w:val="normal0"/>
          <w:rFonts w:ascii="Times New Roman" w:hAnsi="Times New Roman" w:cs="Times New Roman"/>
          <w:sz w:val="24"/>
          <w:szCs w:val="24"/>
          <w:u w:val="single"/>
        </w:rPr>
        <w:t>Indice de développement humain (IDH)</w:t>
      </w:r>
      <w:bookmarkEnd w:id="32"/>
      <w:bookmarkEnd w:id="33"/>
      <w:bookmarkEnd w:id="34"/>
    </w:p>
    <w:p w14:paraId="547E9B9A" w14:textId="68F38FD2" w:rsidR="004E0F0E" w:rsidRPr="00333A62" w:rsidRDefault="001543CF" w:rsidP="006414D0">
      <w:pPr>
        <w:jc w:val="both"/>
        <w:rPr>
          <w:rFonts w:ascii="Times New Roman" w:hAnsi="Times New Roman" w:cs="Times New Roman"/>
          <w:sz w:val="24"/>
          <w:szCs w:val="24"/>
        </w:rPr>
      </w:pPr>
      <w:r>
        <w:rPr>
          <w:rFonts w:ascii="Times New Roman" w:hAnsi="Times New Roman" w:cs="Times New Roman"/>
          <w:sz w:val="24"/>
          <w:szCs w:val="24"/>
        </w:rPr>
        <w:t>Classée 171</w:t>
      </w:r>
      <w:r w:rsidRPr="001543CF">
        <w:rPr>
          <w:rFonts w:ascii="Times New Roman" w:hAnsi="Times New Roman" w:cs="Times New Roman"/>
          <w:sz w:val="24"/>
          <w:szCs w:val="24"/>
          <w:vertAlign w:val="superscript"/>
        </w:rPr>
        <w:t>ème</w:t>
      </w:r>
      <w:r>
        <w:rPr>
          <w:rFonts w:ascii="Times New Roman" w:hAnsi="Times New Roman" w:cs="Times New Roman"/>
          <w:sz w:val="24"/>
          <w:szCs w:val="24"/>
        </w:rPr>
        <w:t xml:space="preserve"> </w:t>
      </w:r>
      <w:r w:rsidR="004E0F0E" w:rsidRPr="00333A62">
        <w:rPr>
          <w:rFonts w:ascii="Times New Roman" w:hAnsi="Times New Roman" w:cs="Times New Roman"/>
          <w:sz w:val="24"/>
          <w:szCs w:val="24"/>
        </w:rPr>
        <w:t xml:space="preserve">sur 187 pays en termes d’Indice de </w:t>
      </w:r>
      <w:r w:rsidRPr="00333A62">
        <w:rPr>
          <w:rFonts w:ascii="Times New Roman" w:hAnsi="Times New Roman" w:cs="Times New Roman"/>
          <w:sz w:val="24"/>
          <w:szCs w:val="24"/>
        </w:rPr>
        <w:t xml:space="preserve">Développement Humain </w:t>
      </w:r>
      <w:r w:rsidR="004E0F0E" w:rsidRPr="00333A62">
        <w:rPr>
          <w:rFonts w:ascii="Times New Roman" w:hAnsi="Times New Roman" w:cs="Times New Roman"/>
          <w:sz w:val="24"/>
          <w:szCs w:val="24"/>
        </w:rPr>
        <w:t xml:space="preserve">(IDH) en 2014, la Côte d’Ivoire a entrepris d’importants efforts ciblant l’accès aux services sociaux de base et la création d’emplois et, ce, par la mise en œuvre de la politique de décentralisation entre 2000 et 2010. L’évolution de l’IDH affiche une faible amélioration graduelle, quoique le pays reste en deçà de l’IDH moyen (Figure 3). Ainsi, l’IDH passe de 0,390 en 2002 à 0,400 en 2008 puis à 0,404 en 2011. Il est estimé à 0,452 en 2013 (Rapport sur le PND, 2015). De plus, l’analyse de cet IDH indique une inégalité entre les régions (Figure 4). En effet, les dix pôles de développement de la Côte d’Ivoire présentent des niveaux inégaux en termes d’indicateurs de développement humain (IDH) en 2002, 2008 et 2011. À titre d’illustration, en 2011 les régions du Nord et du Nord-Ouest ont la moyenne d’IDH la plus faible, soit environ 0,31 contre une moyenne de 0,52 dans la région d’Abidjan. </w:t>
      </w:r>
    </w:p>
    <w:p w14:paraId="1824422F" w14:textId="77777777" w:rsidR="004E0F0E" w:rsidRPr="00333A62" w:rsidRDefault="004E0F0E" w:rsidP="002E25ED">
      <w:pPr>
        <w:rPr>
          <w:rFonts w:ascii="Times New Roman" w:hAnsi="Times New Roman" w:cs="Times New Roman"/>
          <w:color w:val="000000"/>
          <w:sz w:val="24"/>
          <w:szCs w:val="24"/>
          <w:u w:color="000000"/>
          <w:lang w:val="fr-FR"/>
        </w:rPr>
      </w:pPr>
    </w:p>
    <w:p w14:paraId="55ED73D1" w14:textId="013906A5" w:rsidR="004E0F0E" w:rsidRPr="00333A62" w:rsidRDefault="006414D0" w:rsidP="002E25ED">
      <w:pPr>
        <w:rPr>
          <w:rFonts w:ascii="Times New Roman" w:eastAsia="Times New Roman" w:hAnsi="Times New Roman" w:cs="Times New Roman"/>
          <w:sz w:val="24"/>
          <w:szCs w:val="24"/>
          <w:lang w:val="fr-FR"/>
        </w:rPr>
      </w:pPr>
      <w:r>
        <w:rPr>
          <w:noProof/>
          <w:lang w:val="fr-FR" w:eastAsia="fr-FR"/>
        </w:rPr>
        <w:lastRenderedPageBreak/>
        <w:drawing>
          <wp:inline distT="0" distB="0" distL="0" distR="0" wp14:anchorId="03C09457" wp14:editId="7F45F38E">
            <wp:extent cx="5553075" cy="2305455"/>
            <wp:effectExtent l="0" t="0" r="9525" b="0"/>
            <wp:docPr id="22" name="Graphique 22">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5DBB0EA-DACB-4429-8513-6A6AD592730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FB09EB6" w14:textId="1C7D5606" w:rsidR="00F45D6A" w:rsidRPr="006414D0" w:rsidRDefault="00275C05" w:rsidP="002E25ED">
      <w:pPr>
        <w:rPr>
          <w:rFonts w:ascii="Times New Roman" w:hAnsi="Times New Roman" w:cs="Times New Roman"/>
          <w:sz w:val="24"/>
          <w:szCs w:val="24"/>
          <w:u w:color="000000"/>
        </w:rPr>
      </w:pPr>
      <w:bookmarkStart w:id="35" w:name="_Toc319961070"/>
      <w:bookmarkStart w:id="36" w:name="_Toc319967263"/>
      <w:bookmarkStart w:id="37" w:name="_Toc486388703"/>
      <w:bookmarkStart w:id="38" w:name="_Toc506286489"/>
      <w:bookmarkStart w:id="39" w:name="_Toc1588478"/>
      <w:r w:rsidRPr="006414D0">
        <w:rPr>
          <w:rFonts w:ascii="Times New Roman" w:hAnsi="Times New Roman" w:cs="Times New Roman"/>
          <w:sz w:val="24"/>
          <w:szCs w:val="24"/>
        </w:rPr>
        <w:t xml:space="preserve">Graphique </w:t>
      </w:r>
      <w:r w:rsidRPr="006414D0">
        <w:rPr>
          <w:rFonts w:ascii="Times New Roman" w:hAnsi="Times New Roman" w:cs="Times New Roman"/>
          <w:sz w:val="24"/>
          <w:szCs w:val="24"/>
        </w:rPr>
        <w:fldChar w:fldCharType="begin"/>
      </w:r>
      <w:r w:rsidRPr="006414D0">
        <w:rPr>
          <w:rFonts w:ascii="Times New Roman" w:hAnsi="Times New Roman" w:cs="Times New Roman"/>
          <w:sz w:val="24"/>
          <w:szCs w:val="24"/>
        </w:rPr>
        <w:instrText xml:space="preserve"> SEQ Graphique \* ARABIC </w:instrText>
      </w:r>
      <w:r w:rsidRPr="006414D0">
        <w:rPr>
          <w:rFonts w:ascii="Times New Roman" w:hAnsi="Times New Roman" w:cs="Times New Roman"/>
          <w:sz w:val="24"/>
          <w:szCs w:val="24"/>
        </w:rPr>
        <w:fldChar w:fldCharType="separate"/>
      </w:r>
      <w:r w:rsidR="009A04F0" w:rsidRPr="006414D0">
        <w:rPr>
          <w:rFonts w:ascii="Times New Roman" w:hAnsi="Times New Roman" w:cs="Times New Roman"/>
          <w:noProof/>
          <w:sz w:val="24"/>
          <w:szCs w:val="24"/>
        </w:rPr>
        <w:t>2</w:t>
      </w:r>
      <w:r w:rsidRPr="006414D0">
        <w:rPr>
          <w:rFonts w:ascii="Times New Roman" w:hAnsi="Times New Roman" w:cs="Times New Roman"/>
          <w:sz w:val="24"/>
          <w:szCs w:val="24"/>
        </w:rPr>
        <w:fldChar w:fldCharType="end"/>
      </w:r>
      <w:r w:rsidR="00F45D6A" w:rsidRPr="006414D0">
        <w:rPr>
          <w:rFonts w:ascii="Times New Roman" w:hAnsi="Times New Roman" w:cs="Times New Roman"/>
          <w:sz w:val="24"/>
          <w:szCs w:val="24"/>
        </w:rPr>
        <w:t>: Évolution de l’IDH en Côte d’Ivoire sur la période des OMD</w:t>
      </w:r>
      <w:bookmarkEnd w:id="35"/>
      <w:bookmarkEnd w:id="36"/>
      <w:bookmarkEnd w:id="37"/>
      <w:bookmarkEnd w:id="38"/>
      <w:bookmarkEnd w:id="39"/>
    </w:p>
    <w:p w14:paraId="11810221" w14:textId="74772063" w:rsidR="004E0F0E" w:rsidRPr="009F3A47" w:rsidRDefault="004E0F0E" w:rsidP="002E25ED">
      <w:pPr>
        <w:rPr>
          <w:rFonts w:ascii="Times New Roman" w:eastAsia="Times New Roman" w:hAnsi="Times New Roman" w:cs="Times New Roman"/>
          <w:sz w:val="24"/>
          <w:szCs w:val="24"/>
          <w:lang w:val="fr-FR"/>
        </w:rPr>
      </w:pPr>
      <w:r w:rsidRPr="006414D0">
        <w:rPr>
          <w:rFonts w:ascii="Times New Roman" w:eastAsia="Times New Roman" w:hAnsi="Times New Roman" w:cs="Times New Roman"/>
          <w:sz w:val="24"/>
          <w:szCs w:val="24"/>
          <w:u w:val="single"/>
          <w:lang w:val="fr-FR"/>
        </w:rPr>
        <w:t>Sources</w:t>
      </w:r>
      <w:r w:rsidRPr="006414D0">
        <w:rPr>
          <w:rFonts w:ascii="Times New Roman" w:eastAsia="Times New Roman" w:hAnsi="Times New Roman" w:cs="Times New Roman"/>
          <w:sz w:val="24"/>
          <w:szCs w:val="24"/>
          <w:lang w:val="fr-FR"/>
        </w:rPr>
        <w:t xml:space="preserve"> : L’auteur, à partir de données du PNUD, </w:t>
      </w:r>
      <w:r w:rsidR="006414D0" w:rsidRPr="006414D0">
        <w:rPr>
          <w:rFonts w:ascii="Times New Roman" w:eastAsia="Times New Roman" w:hAnsi="Times New Roman" w:cs="Times New Roman"/>
          <w:sz w:val="24"/>
          <w:szCs w:val="24"/>
          <w:lang w:val="fr-FR"/>
        </w:rPr>
        <w:t>2018</w:t>
      </w:r>
      <w:r w:rsidRPr="006414D0">
        <w:rPr>
          <w:rFonts w:ascii="Times New Roman" w:eastAsia="Times New Roman" w:hAnsi="Times New Roman" w:cs="Times New Roman"/>
          <w:sz w:val="24"/>
          <w:szCs w:val="24"/>
          <w:lang w:val="fr-FR"/>
        </w:rPr>
        <w:t>.</w:t>
      </w:r>
      <w:r w:rsidRPr="009F3A47">
        <w:rPr>
          <w:rFonts w:ascii="Times New Roman" w:eastAsia="Times New Roman" w:hAnsi="Times New Roman" w:cs="Times New Roman"/>
          <w:sz w:val="24"/>
          <w:szCs w:val="24"/>
          <w:lang w:val="fr-FR"/>
        </w:rPr>
        <w:t xml:space="preserve"> </w:t>
      </w:r>
    </w:p>
    <w:p w14:paraId="36D6AF15" w14:textId="77777777" w:rsidR="00C26D45" w:rsidRDefault="00C26D45" w:rsidP="002E25ED">
      <w:pPr>
        <w:rPr>
          <w:rStyle w:val="normal0"/>
          <w:rFonts w:ascii="Times New Roman" w:hAnsi="Times New Roman" w:cs="Times New Roman"/>
          <w:sz w:val="24"/>
          <w:szCs w:val="24"/>
          <w:u w:val="single"/>
        </w:rPr>
      </w:pPr>
      <w:bookmarkStart w:id="40" w:name="_Toc486348517"/>
    </w:p>
    <w:p w14:paraId="09ECA85B" w14:textId="77777777" w:rsidR="004E0F0E" w:rsidRPr="00333A62" w:rsidRDefault="004E0F0E" w:rsidP="002E25ED">
      <w:pPr>
        <w:rPr>
          <w:rStyle w:val="normal0"/>
          <w:rFonts w:ascii="Times New Roman" w:hAnsi="Times New Roman" w:cs="Times New Roman"/>
          <w:sz w:val="24"/>
          <w:szCs w:val="24"/>
          <w:u w:val="single"/>
        </w:rPr>
      </w:pPr>
      <w:r w:rsidRPr="00333A62">
        <w:rPr>
          <w:rStyle w:val="normal0"/>
          <w:rFonts w:ascii="Times New Roman" w:hAnsi="Times New Roman" w:cs="Times New Roman"/>
          <w:sz w:val="24"/>
          <w:szCs w:val="24"/>
          <w:u w:val="single"/>
        </w:rPr>
        <w:t xml:space="preserve"> </w:t>
      </w:r>
      <w:bookmarkStart w:id="41" w:name="_Toc525214341"/>
      <w:r w:rsidRPr="00333A62">
        <w:rPr>
          <w:rStyle w:val="normal0"/>
          <w:rFonts w:ascii="Times New Roman" w:hAnsi="Times New Roman" w:cs="Times New Roman"/>
          <w:sz w:val="24"/>
          <w:szCs w:val="24"/>
          <w:u w:val="single"/>
        </w:rPr>
        <w:t>Pauvreté</w:t>
      </w:r>
      <w:bookmarkEnd w:id="40"/>
      <w:bookmarkEnd w:id="41"/>
    </w:p>
    <w:p w14:paraId="570352FF" w14:textId="13D3F11D" w:rsidR="004E0F0E" w:rsidRPr="00333A62" w:rsidRDefault="004E0F0E" w:rsidP="00333A62">
      <w:pPr>
        <w:pStyle w:val="Corps"/>
        <w:spacing w:before="120" w:after="120"/>
        <w:jc w:val="both"/>
        <w:rPr>
          <w:rFonts w:ascii="Times New Roman" w:eastAsiaTheme="minorHAnsi" w:hAnsi="Times New Roman" w:cs="Times New Roman"/>
          <w:sz w:val="24"/>
          <w:szCs w:val="24"/>
          <w:bdr w:val="none" w:sz="0" w:space="0" w:color="auto"/>
        </w:rPr>
      </w:pPr>
      <w:r w:rsidRPr="00333A62">
        <w:rPr>
          <w:rFonts w:ascii="Times New Roman" w:eastAsiaTheme="minorHAnsi" w:hAnsi="Times New Roman" w:cs="Times New Roman"/>
          <w:color w:val="auto"/>
          <w:sz w:val="24"/>
          <w:szCs w:val="24"/>
          <w:bdr w:val="none" w:sz="0" w:space="0" w:color="auto"/>
        </w:rPr>
        <w:t xml:space="preserve">Estimée à 48,9% (ENV, 2008), les autorités évaluent le taux de pauvreté à 46,3% en 2015 avec un plancher de 737 FCFA/jour (ENV, 2015), avec 28% au-dessous du seuil de pauvreté de $ 1,90 / jour (2011 PPP, WDI). Ainsi, l’analyse des populations vivant sous le seuil de pauvreté indique une forte hausse des personnes pauvres de 1985 à 2015, passant de 10 à 36,4% (Figure 5). Cette hausse serait liée au ralentissement de l’activité économique (PIB = - 0,4% en 2011) et a engendré un recul de la production et des investissements ainsi que la destruction des emplois, suite à l’échec de la relance économique entamée. Elle est combinée aux effets négatifs des </w:t>
      </w:r>
      <w:r w:rsidR="009F3A47" w:rsidRPr="00333A62">
        <w:rPr>
          <w:rFonts w:ascii="Times New Roman" w:eastAsiaTheme="minorHAnsi" w:hAnsi="Times New Roman" w:cs="Times New Roman"/>
          <w:color w:val="auto"/>
          <w:sz w:val="24"/>
          <w:szCs w:val="24"/>
          <w:bdr w:val="none" w:sz="0" w:space="0" w:color="auto"/>
        </w:rPr>
        <w:t xml:space="preserve">programmes </w:t>
      </w:r>
      <w:r w:rsidRPr="00333A62">
        <w:rPr>
          <w:rFonts w:ascii="Times New Roman" w:eastAsiaTheme="minorHAnsi" w:hAnsi="Times New Roman" w:cs="Times New Roman"/>
          <w:color w:val="auto"/>
          <w:sz w:val="24"/>
          <w:szCs w:val="24"/>
          <w:bdr w:val="none" w:sz="0" w:space="0" w:color="auto"/>
        </w:rPr>
        <w:t xml:space="preserve">d’ajustement structurels (PAS). </w:t>
      </w:r>
    </w:p>
    <w:p w14:paraId="03203848" w14:textId="77777777" w:rsidR="004E0F0E" w:rsidRPr="00333A62" w:rsidRDefault="004E0F0E" w:rsidP="00333A62">
      <w:pPr>
        <w:pStyle w:val="Lgende"/>
        <w:spacing w:before="120" w:after="120" w:line="276" w:lineRule="auto"/>
        <w:rPr>
          <w:sz w:val="24"/>
          <w:szCs w:val="24"/>
        </w:rPr>
      </w:pPr>
      <w:r w:rsidRPr="00333A62">
        <w:rPr>
          <w:noProof/>
          <w:sz w:val="24"/>
          <w:szCs w:val="24"/>
          <w:lang w:eastAsia="fr-FR"/>
        </w:rPr>
        <w:drawing>
          <wp:inline distT="0" distB="0" distL="0" distR="0" wp14:anchorId="172E6E15" wp14:editId="79BC379B">
            <wp:extent cx="5583677" cy="2538730"/>
            <wp:effectExtent l="0" t="0" r="17145" b="13970"/>
            <wp:docPr id="29" name="Char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61BDD0E" w14:textId="036A0BAA" w:rsidR="004E0F0E" w:rsidRPr="00275C05" w:rsidRDefault="00275C05" w:rsidP="00275C05">
      <w:pPr>
        <w:pStyle w:val="Lgende"/>
        <w:rPr>
          <w:rStyle w:val="normal0"/>
          <w:sz w:val="24"/>
          <w:szCs w:val="24"/>
          <w:u w:color="000000"/>
        </w:rPr>
      </w:pPr>
      <w:bookmarkStart w:id="42" w:name="_Toc1588479"/>
      <w:r w:rsidRPr="00275C05">
        <w:rPr>
          <w:sz w:val="24"/>
          <w:szCs w:val="24"/>
        </w:rPr>
        <w:t xml:space="preserve">Graphique </w:t>
      </w:r>
      <w:r w:rsidRPr="00275C05">
        <w:rPr>
          <w:sz w:val="24"/>
          <w:szCs w:val="24"/>
        </w:rPr>
        <w:fldChar w:fldCharType="begin"/>
      </w:r>
      <w:r w:rsidRPr="00275C05">
        <w:rPr>
          <w:sz w:val="24"/>
          <w:szCs w:val="24"/>
        </w:rPr>
        <w:instrText xml:space="preserve"> SEQ Graphique \* ARABIC </w:instrText>
      </w:r>
      <w:r w:rsidRPr="00275C05">
        <w:rPr>
          <w:sz w:val="24"/>
          <w:szCs w:val="24"/>
        </w:rPr>
        <w:fldChar w:fldCharType="separate"/>
      </w:r>
      <w:r w:rsidR="009A04F0">
        <w:rPr>
          <w:noProof/>
          <w:sz w:val="24"/>
          <w:szCs w:val="24"/>
        </w:rPr>
        <w:t>3</w:t>
      </w:r>
      <w:r w:rsidRPr="00275C05">
        <w:rPr>
          <w:sz w:val="24"/>
          <w:szCs w:val="24"/>
        </w:rPr>
        <w:fldChar w:fldCharType="end"/>
      </w:r>
      <w:r w:rsidR="004E0F0E" w:rsidRPr="00275C05">
        <w:rPr>
          <w:sz w:val="24"/>
          <w:szCs w:val="24"/>
        </w:rPr>
        <w:t> :</w:t>
      </w:r>
      <w:r w:rsidR="004E0F0E" w:rsidRPr="00275C05">
        <w:rPr>
          <w:rStyle w:val="normal0"/>
          <w:sz w:val="24"/>
          <w:szCs w:val="24"/>
          <w:u w:color="000000"/>
        </w:rPr>
        <w:t xml:space="preserve"> Proportion de pauvres vivant sous le seuil national de pauvreté de 1985 à 2015</w:t>
      </w:r>
      <w:bookmarkEnd w:id="42"/>
    </w:p>
    <w:p w14:paraId="6180ED3D" w14:textId="77777777" w:rsidR="004E0F0E" w:rsidRPr="00333A62" w:rsidRDefault="004E0F0E" w:rsidP="00333A62">
      <w:pPr>
        <w:pStyle w:val="Corps"/>
        <w:spacing w:before="120" w:after="120"/>
        <w:jc w:val="both"/>
        <w:rPr>
          <w:rStyle w:val="normal0"/>
          <w:rFonts w:ascii="Times New Roman" w:eastAsia="Times New Roman" w:hAnsi="Times New Roman" w:cs="Times New Roman"/>
          <w:i/>
          <w:sz w:val="24"/>
          <w:szCs w:val="24"/>
          <w:lang w:val="fr-FR"/>
        </w:rPr>
      </w:pPr>
      <w:r w:rsidRPr="00333A62">
        <w:rPr>
          <w:rStyle w:val="normal0"/>
          <w:rFonts w:ascii="Times New Roman" w:hAnsi="Times New Roman" w:cs="Times New Roman"/>
          <w:sz w:val="24"/>
          <w:szCs w:val="24"/>
          <w:u w:val="single"/>
          <w:lang w:val="fr-FR"/>
        </w:rPr>
        <w:t>Source</w:t>
      </w:r>
      <w:r w:rsidRPr="00333A62">
        <w:rPr>
          <w:rStyle w:val="normal0"/>
          <w:rFonts w:ascii="Times New Roman" w:hAnsi="Times New Roman" w:cs="Times New Roman"/>
          <w:sz w:val="24"/>
          <w:szCs w:val="24"/>
          <w:lang w:val="fr-FR"/>
        </w:rPr>
        <w:t> : WDI, 2010, 2015</w:t>
      </w:r>
    </w:p>
    <w:p w14:paraId="461F2A9A" w14:textId="77777777" w:rsidR="004E0F0E" w:rsidRPr="00333A62" w:rsidRDefault="004E0F0E" w:rsidP="00333A62">
      <w:pPr>
        <w:pStyle w:val="Corps"/>
        <w:spacing w:before="120" w:after="120"/>
        <w:jc w:val="both"/>
        <w:rPr>
          <w:rFonts w:ascii="Times New Roman" w:eastAsiaTheme="minorHAnsi" w:hAnsi="Times New Roman" w:cs="Times New Roman"/>
          <w:color w:val="auto"/>
          <w:sz w:val="24"/>
          <w:szCs w:val="24"/>
          <w:bdr w:val="none" w:sz="0" w:space="0" w:color="auto"/>
        </w:rPr>
      </w:pPr>
      <w:r w:rsidRPr="00333A62">
        <w:rPr>
          <w:rFonts w:ascii="Times New Roman" w:eastAsiaTheme="minorHAnsi" w:hAnsi="Times New Roman" w:cs="Times New Roman"/>
          <w:color w:val="auto"/>
          <w:sz w:val="24"/>
          <w:szCs w:val="24"/>
          <w:bdr w:val="none" w:sz="0" w:space="0" w:color="auto"/>
        </w:rPr>
        <w:lastRenderedPageBreak/>
        <w:t>L’analyse du nombre d’individus ayant moins de 1,25 dollars par jour indique les mêmes tendances, confortant ainsi l’évolution de la pauvreté selon les indices nationaux de l’INS.</w:t>
      </w:r>
    </w:p>
    <w:p w14:paraId="34B23A20" w14:textId="77777777" w:rsidR="004E0F0E" w:rsidRPr="00333A62" w:rsidRDefault="004E0F0E" w:rsidP="00333A62">
      <w:pPr>
        <w:spacing w:before="120" w:after="120" w:line="276" w:lineRule="auto"/>
        <w:rPr>
          <w:rFonts w:ascii="Times New Roman" w:hAnsi="Times New Roman" w:cs="Times New Roman"/>
          <w:sz w:val="24"/>
          <w:szCs w:val="24"/>
        </w:rPr>
      </w:pPr>
    </w:p>
    <w:p w14:paraId="48EF8B9A" w14:textId="77777777" w:rsidR="004E0F0E" w:rsidRPr="00333A62" w:rsidRDefault="004E0F0E" w:rsidP="00333A62">
      <w:pPr>
        <w:pStyle w:val="Titre2"/>
        <w:spacing w:before="120" w:after="120" w:line="276" w:lineRule="auto"/>
        <w:rPr>
          <w:rFonts w:ascii="Times New Roman" w:hAnsi="Times New Roman" w:cs="Times New Roman"/>
          <w:b/>
          <w:color w:val="0070C0"/>
          <w:sz w:val="24"/>
          <w:szCs w:val="24"/>
        </w:rPr>
      </w:pPr>
      <w:bookmarkStart w:id="43" w:name="_Toc1573796"/>
      <w:r w:rsidRPr="00333A62">
        <w:rPr>
          <w:rFonts w:ascii="Times New Roman" w:hAnsi="Times New Roman" w:cs="Times New Roman"/>
          <w:b/>
          <w:color w:val="0070C0"/>
          <w:sz w:val="24"/>
          <w:szCs w:val="24"/>
        </w:rPr>
        <w:t>Contexte sanitaire</w:t>
      </w:r>
      <w:bookmarkEnd w:id="43"/>
    </w:p>
    <w:p w14:paraId="1F5B49B8" w14:textId="77777777" w:rsidR="004E0F0E" w:rsidRPr="00333A62" w:rsidRDefault="004E0F0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L’organisation du système de santé en Côte d’Ivoire est sous forme pyramidale à deux versants : administratif et offre de soins </w:t>
      </w:r>
    </w:p>
    <w:p w14:paraId="70A99830" w14:textId="77777777" w:rsidR="004E0F0E" w:rsidRPr="00333A62" w:rsidRDefault="004E0F0E" w:rsidP="00333A62">
      <w:pPr>
        <w:spacing w:before="120" w:after="120" w:line="276" w:lineRule="auto"/>
        <w:jc w:val="both"/>
        <w:rPr>
          <w:rFonts w:ascii="Times New Roman" w:eastAsia="Calibri" w:hAnsi="Times New Roman" w:cs="Times New Roman"/>
          <w:sz w:val="24"/>
          <w:szCs w:val="24"/>
        </w:rPr>
      </w:pPr>
      <w:r w:rsidRPr="00333A62">
        <w:rPr>
          <w:rFonts w:ascii="Times New Roman" w:hAnsi="Times New Roman" w:cs="Times New Roman"/>
          <w:noProof/>
          <w:sz w:val="24"/>
          <w:szCs w:val="24"/>
          <w:lang w:val="fr-FR" w:eastAsia="fr-FR"/>
        </w:rPr>
        <w:drawing>
          <wp:inline distT="0" distB="0" distL="0" distR="0" wp14:anchorId="559F1CE5" wp14:editId="08E77C36">
            <wp:extent cx="4162469" cy="2339340"/>
            <wp:effectExtent l="38100" t="38100" r="47625" b="41910"/>
            <wp:docPr id="193" name="Imag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636" t="1710" r="3389" b="5486"/>
                    <a:stretch/>
                  </pic:blipFill>
                  <pic:spPr bwMode="auto">
                    <a:xfrm>
                      <a:off x="0" y="0"/>
                      <a:ext cx="4244285" cy="2385321"/>
                    </a:xfrm>
                    <a:prstGeom prst="rect">
                      <a:avLst/>
                    </a:prstGeom>
                    <a:ln w="28575" cap="sq" cmpd="thickThin" algn="ctr">
                      <a:solidFill>
                        <a:srgbClr val="0070C0"/>
                      </a:solidFill>
                      <a:prstDash val="solid"/>
                      <a:miter lim="800000"/>
                      <a:headEnd type="none" w="med" len="med"/>
                      <a:tailEnd type="none" w="med" len="med"/>
                    </a:ln>
                    <a:effectLst>
                      <a:innerShdw blurRad="76200">
                        <a:srgbClr val="000000"/>
                      </a:innerShdw>
                    </a:effectLst>
                    <a:extLst>
                      <a:ext uri="{53640926-AAD7-44D8-BBD7-CCE9431645EC}">
                        <a14:shadowObscured xmlns:a14="http://schemas.microsoft.com/office/drawing/2010/main"/>
                      </a:ext>
                    </a:extLst>
                  </pic:spPr>
                </pic:pic>
              </a:graphicData>
            </a:graphic>
          </wp:inline>
        </w:drawing>
      </w:r>
    </w:p>
    <w:p w14:paraId="35405749" w14:textId="14434943" w:rsidR="004E0F0E" w:rsidRPr="00275C05" w:rsidRDefault="00275C05" w:rsidP="00275C05">
      <w:pPr>
        <w:pStyle w:val="Lgende"/>
        <w:rPr>
          <w:b w:val="0"/>
          <w:iCs/>
          <w:sz w:val="24"/>
          <w:szCs w:val="28"/>
        </w:rPr>
      </w:pPr>
      <w:bookmarkStart w:id="44" w:name="_Toc489975248"/>
      <w:bookmarkStart w:id="45" w:name="_Toc1588388"/>
      <w:r w:rsidRPr="00275C05">
        <w:rPr>
          <w:sz w:val="24"/>
          <w:szCs w:val="28"/>
        </w:rPr>
        <w:t xml:space="preserve">Figure </w:t>
      </w:r>
      <w:r w:rsidRPr="00275C05">
        <w:rPr>
          <w:sz w:val="24"/>
          <w:szCs w:val="28"/>
        </w:rPr>
        <w:fldChar w:fldCharType="begin"/>
      </w:r>
      <w:r w:rsidRPr="00275C05">
        <w:rPr>
          <w:sz w:val="24"/>
          <w:szCs w:val="28"/>
        </w:rPr>
        <w:instrText xml:space="preserve"> SEQ Figure \* ARABIC </w:instrText>
      </w:r>
      <w:r w:rsidRPr="00275C05">
        <w:rPr>
          <w:sz w:val="24"/>
          <w:szCs w:val="28"/>
        </w:rPr>
        <w:fldChar w:fldCharType="separate"/>
      </w:r>
      <w:r w:rsidR="008F4009">
        <w:rPr>
          <w:noProof/>
          <w:sz w:val="24"/>
          <w:szCs w:val="28"/>
        </w:rPr>
        <w:t>1</w:t>
      </w:r>
      <w:r w:rsidRPr="00275C05">
        <w:rPr>
          <w:sz w:val="24"/>
          <w:szCs w:val="28"/>
        </w:rPr>
        <w:fldChar w:fldCharType="end"/>
      </w:r>
      <w:r w:rsidR="00F45D6A" w:rsidRPr="00275C05">
        <w:rPr>
          <w:b w:val="0"/>
          <w:sz w:val="24"/>
          <w:szCs w:val="28"/>
        </w:rPr>
        <w:t>:</w:t>
      </w:r>
      <w:r w:rsidR="004E0F0E" w:rsidRPr="00275C05">
        <w:rPr>
          <w:b w:val="0"/>
          <w:iCs/>
          <w:sz w:val="24"/>
          <w:szCs w:val="28"/>
        </w:rPr>
        <w:t>Pyramide sanitaire de Côte d’Ivoire</w:t>
      </w:r>
      <w:bookmarkEnd w:id="44"/>
      <w:bookmarkEnd w:id="45"/>
    </w:p>
    <w:p w14:paraId="7E58751F" w14:textId="77777777" w:rsidR="00C372A4" w:rsidRDefault="00C372A4" w:rsidP="00333A62">
      <w:pPr>
        <w:spacing w:before="120" w:after="120" w:line="276" w:lineRule="auto"/>
        <w:jc w:val="both"/>
        <w:rPr>
          <w:rFonts w:ascii="Times New Roman" w:hAnsi="Times New Roman" w:cs="Times New Roman"/>
          <w:sz w:val="24"/>
          <w:szCs w:val="24"/>
          <w:lang w:val="fr-CI"/>
        </w:rPr>
      </w:pPr>
    </w:p>
    <w:p w14:paraId="2F63FB2B" w14:textId="4DCA0544" w:rsidR="004E0F0E" w:rsidRPr="00333A62" w:rsidRDefault="004E0F0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Le versant administratif est constitué par le Cabinet du Ministre, les </w:t>
      </w:r>
      <w:r w:rsidR="00E53D85" w:rsidRPr="00333A62">
        <w:rPr>
          <w:rFonts w:ascii="Times New Roman" w:hAnsi="Times New Roman" w:cs="Times New Roman"/>
          <w:sz w:val="24"/>
          <w:szCs w:val="24"/>
          <w:lang w:val="fr-CI"/>
        </w:rPr>
        <w:t xml:space="preserve">directions </w:t>
      </w:r>
      <w:r w:rsidRPr="00333A62">
        <w:rPr>
          <w:rFonts w:ascii="Times New Roman" w:hAnsi="Times New Roman" w:cs="Times New Roman"/>
          <w:sz w:val="24"/>
          <w:szCs w:val="24"/>
          <w:lang w:val="fr-CI"/>
        </w:rPr>
        <w:t>centrales, les directions régionales et districts de santé.</w:t>
      </w:r>
    </w:p>
    <w:p w14:paraId="29A77DE9" w14:textId="57AE1021" w:rsidR="004E0F0E" w:rsidRDefault="004E0F0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L’offre de soins de santé est </w:t>
      </w:r>
      <w:r w:rsidR="009C20FA" w:rsidRPr="00333A62">
        <w:rPr>
          <w:rFonts w:ascii="Times New Roman" w:hAnsi="Times New Roman" w:cs="Times New Roman"/>
          <w:sz w:val="24"/>
          <w:szCs w:val="24"/>
          <w:lang w:val="fr-CI"/>
        </w:rPr>
        <w:t>organisée</w:t>
      </w:r>
      <w:r w:rsidRPr="00333A62">
        <w:rPr>
          <w:rFonts w:ascii="Times New Roman" w:hAnsi="Times New Roman" w:cs="Times New Roman"/>
          <w:sz w:val="24"/>
          <w:szCs w:val="24"/>
          <w:lang w:val="fr-CI"/>
        </w:rPr>
        <w:t xml:space="preserve"> autour d’un réseau de structures sanitaires réparties aux trois niveaux de la pyramide sanitaire. Elle est composée de </w:t>
      </w:r>
      <w:r w:rsidR="009C20FA" w:rsidRPr="00333A62">
        <w:rPr>
          <w:rFonts w:ascii="Times New Roman" w:hAnsi="Times New Roman" w:cs="Times New Roman"/>
          <w:sz w:val="24"/>
          <w:szCs w:val="24"/>
          <w:lang w:val="fr-CI"/>
        </w:rPr>
        <w:t>: i</w:t>
      </w:r>
      <w:r w:rsidRPr="00333A62">
        <w:rPr>
          <w:rFonts w:ascii="Times New Roman" w:hAnsi="Times New Roman" w:cs="Times New Roman"/>
          <w:sz w:val="24"/>
          <w:szCs w:val="24"/>
          <w:lang w:val="fr-CI"/>
        </w:rPr>
        <w:t xml:space="preserve">) des structures sanitaires de premier niveau (centres de santé urbain et rural), ii) les structures dites de référence (hôpital général, centre hospitalier régional), iii) les structures spécialisées (dédiées à un handicap ou une maladie) et iv) les centres hospitalo-universitaires. </w:t>
      </w:r>
    </w:p>
    <w:p w14:paraId="5A38DC5D" w14:textId="77777777" w:rsidR="00E53D85" w:rsidRPr="00333A62" w:rsidRDefault="00E53D85" w:rsidP="00333A62">
      <w:pPr>
        <w:spacing w:before="120" w:after="120" w:line="276" w:lineRule="auto"/>
        <w:jc w:val="both"/>
        <w:rPr>
          <w:rFonts w:ascii="Times New Roman" w:hAnsi="Times New Roman" w:cs="Times New Roman"/>
          <w:sz w:val="24"/>
          <w:szCs w:val="24"/>
          <w:lang w:val="fr-CI"/>
        </w:rPr>
      </w:pPr>
    </w:p>
    <w:p w14:paraId="19961AFB" w14:textId="77777777" w:rsidR="004E0F0E" w:rsidRPr="002A3FB8" w:rsidRDefault="004E0F0E" w:rsidP="00333A62">
      <w:pPr>
        <w:pStyle w:val="Titre3"/>
        <w:spacing w:before="120" w:after="120" w:line="276" w:lineRule="auto"/>
        <w:rPr>
          <w:rStyle w:val="normal0"/>
          <w:rFonts w:ascii="Times New Roman" w:hAnsi="Times New Roman" w:cs="Times New Roman"/>
          <w:b/>
          <w:color w:val="0070C0"/>
        </w:rPr>
      </w:pPr>
      <w:bookmarkStart w:id="46" w:name="_Toc502229570"/>
      <w:bookmarkStart w:id="47" w:name="_Toc1573797"/>
      <w:r w:rsidRPr="002A3FB8">
        <w:rPr>
          <w:rStyle w:val="normal0"/>
          <w:rFonts w:ascii="Times New Roman" w:hAnsi="Times New Roman" w:cs="Times New Roman"/>
          <w:b/>
          <w:color w:val="0070C0"/>
        </w:rPr>
        <w:t>Ressources humaines en santé</w:t>
      </w:r>
      <w:bookmarkEnd w:id="46"/>
      <w:bookmarkEnd w:id="47"/>
      <w:r w:rsidRPr="002A3FB8">
        <w:rPr>
          <w:rStyle w:val="normal0"/>
          <w:rFonts w:ascii="Times New Roman" w:hAnsi="Times New Roman" w:cs="Times New Roman"/>
          <w:b/>
          <w:color w:val="0070C0"/>
        </w:rPr>
        <w:t xml:space="preserve"> </w:t>
      </w:r>
    </w:p>
    <w:p w14:paraId="2E95BFAA" w14:textId="72546E28" w:rsidR="004E0F0E" w:rsidRPr="00333A62" w:rsidRDefault="004E0F0E" w:rsidP="00333A62">
      <w:pPr>
        <w:spacing w:before="120" w:after="120" w:line="276" w:lineRule="auto"/>
        <w:jc w:val="both"/>
        <w:rPr>
          <w:rFonts w:ascii="Times New Roman" w:eastAsia="Times New Roman" w:hAnsi="Times New Roman" w:cs="Times New Roman"/>
          <w:sz w:val="24"/>
          <w:szCs w:val="24"/>
          <w:bdr w:val="none" w:sz="0" w:space="0" w:color="auto" w:frame="1"/>
          <w:lang w:val="fr-FR" w:eastAsia="fr-FR"/>
        </w:rPr>
      </w:pPr>
      <w:bookmarkStart w:id="48" w:name="_Toc390001260"/>
      <w:bookmarkStart w:id="49" w:name="_Toc390012843"/>
      <w:bookmarkStart w:id="50" w:name="_Toc390425697"/>
      <w:r w:rsidRPr="00333A62">
        <w:rPr>
          <w:rFonts w:ascii="Times New Roman" w:eastAsia="Times New Roman" w:hAnsi="Times New Roman" w:cs="Times New Roman"/>
          <w:sz w:val="24"/>
          <w:szCs w:val="24"/>
          <w:bdr w:val="none" w:sz="0" w:space="0" w:color="auto" w:frame="1"/>
          <w:lang w:val="fr-FR" w:eastAsia="fr-FR"/>
        </w:rPr>
        <w:t xml:space="preserve">La disponibilité de ressources humaines de qualité et en nombre suffisant contribue à garantir le droit à la santé pour tous. Dans l’optique de garantir davantage ce droit, le </w:t>
      </w:r>
      <w:r w:rsidR="00E53D85" w:rsidRPr="00333A62">
        <w:rPr>
          <w:rFonts w:ascii="Times New Roman" w:eastAsia="Times New Roman" w:hAnsi="Times New Roman" w:cs="Times New Roman"/>
          <w:sz w:val="24"/>
          <w:szCs w:val="24"/>
          <w:bdr w:val="none" w:sz="0" w:space="0" w:color="auto" w:frame="1"/>
          <w:lang w:val="fr-FR" w:eastAsia="fr-FR"/>
        </w:rPr>
        <w:t xml:space="preserve">gouvernement ivoirien </w:t>
      </w:r>
      <w:r w:rsidRPr="00333A62">
        <w:rPr>
          <w:rFonts w:ascii="Times New Roman" w:eastAsia="Times New Roman" w:hAnsi="Times New Roman" w:cs="Times New Roman"/>
          <w:sz w:val="24"/>
          <w:szCs w:val="24"/>
          <w:bdr w:val="none" w:sz="0" w:space="0" w:color="auto" w:frame="1"/>
          <w:lang w:val="fr-FR" w:eastAsia="fr-FR"/>
        </w:rPr>
        <w:t xml:space="preserve">a défini dans le cadre du Plan National de Développement Sanitaire 2016-2020, des stratégies pour assurer un maillage plus efficient des personnels de santé sur l’ensemble du territoire national. Au niveau sectoriel, la problématique des </w:t>
      </w:r>
      <w:r w:rsidR="00E53D85" w:rsidRPr="00333A62">
        <w:rPr>
          <w:rFonts w:ascii="Times New Roman" w:eastAsia="Times New Roman" w:hAnsi="Times New Roman" w:cs="Times New Roman"/>
          <w:sz w:val="24"/>
          <w:szCs w:val="24"/>
          <w:bdr w:val="none" w:sz="0" w:space="0" w:color="auto" w:frame="1"/>
          <w:lang w:val="fr-FR" w:eastAsia="fr-FR"/>
        </w:rPr>
        <w:t xml:space="preserve">ressources humaines </w:t>
      </w:r>
      <w:r w:rsidRPr="00333A62">
        <w:rPr>
          <w:rFonts w:ascii="Times New Roman" w:eastAsia="Times New Roman" w:hAnsi="Times New Roman" w:cs="Times New Roman"/>
          <w:sz w:val="24"/>
          <w:szCs w:val="24"/>
          <w:bdr w:val="none" w:sz="0" w:space="0" w:color="auto" w:frame="1"/>
          <w:lang w:val="fr-FR" w:eastAsia="fr-FR"/>
        </w:rPr>
        <w:t xml:space="preserve">a fait l’objet de profondes réformes ces dernières années. </w:t>
      </w:r>
      <w:bookmarkEnd w:id="48"/>
      <w:bookmarkEnd w:id="49"/>
      <w:bookmarkEnd w:id="50"/>
    </w:p>
    <w:p w14:paraId="48379CF0" w14:textId="7CC36AFE" w:rsidR="004E0F0E" w:rsidRPr="00333A62" w:rsidRDefault="004E0F0E" w:rsidP="00333A62">
      <w:pPr>
        <w:spacing w:before="120" w:after="120" w:line="276" w:lineRule="auto"/>
        <w:jc w:val="both"/>
        <w:rPr>
          <w:rFonts w:ascii="Times New Roman" w:eastAsia="Times New Roman" w:hAnsi="Times New Roman" w:cs="Times New Roman"/>
          <w:sz w:val="24"/>
          <w:szCs w:val="24"/>
          <w:bdr w:val="none" w:sz="0" w:space="0" w:color="auto" w:frame="1"/>
          <w:lang w:val="fr-FR" w:eastAsia="fr-FR"/>
        </w:rPr>
      </w:pPr>
      <w:r w:rsidRPr="00333A62">
        <w:rPr>
          <w:rFonts w:ascii="Times New Roman" w:eastAsia="Times New Roman" w:hAnsi="Times New Roman" w:cs="Times New Roman"/>
          <w:sz w:val="24"/>
          <w:szCs w:val="24"/>
          <w:bdr w:val="none" w:sz="0" w:space="0" w:color="auto" w:frame="1"/>
          <w:lang w:val="fr-FR" w:eastAsia="fr-FR"/>
        </w:rPr>
        <w:t>Grâce aux recrutements enregistrés dans le secteur de la santé depuis 2012, les indicateurs de disponibilité des R</w:t>
      </w:r>
      <w:r w:rsidR="00E53D85">
        <w:rPr>
          <w:rFonts w:ascii="Times New Roman" w:eastAsia="Times New Roman" w:hAnsi="Times New Roman" w:cs="Times New Roman"/>
          <w:sz w:val="24"/>
          <w:szCs w:val="24"/>
          <w:bdr w:val="none" w:sz="0" w:space="0" w:color="auto" w:frame="1"/>
          <w:lang w:val="fr-FR" w:eastAsia="fr-FR"/>
        </w:rPr>
        <w:t xml:space="preserve">essources </w:t>
      </w:r>
      <w:r w:rsidRPr="00333A62">
        <w:rPr>
          <w:rFonts w:ascii="Times New Roman" w:eastAsia="Times New Roman" w:hAnsi="Times New Roman" w:cs="Times New Roman"/>
          <w:sz w:val="24"/>
          <w:szCs w:val="24"/>
          <w:bdr w:val="none" w:sz="0" w:space="0" w:color="auto" w:frame="1"/>
          <w:lang w:val="fr-FR" w:eastAsia="fr-FR"/>
        </w:rPr>
        <w:t>H</w:t>
      </w:r>
      <w:r w:rsidR="00E53D85">
        <w:rPr>
          <w:rFonts w:ascii="Times New Roman" w:eastAsia="Times New Roman" w:hAnsi="Times New Roman" w:cs="Times New Roman"/>
          <w:sz w:val="24"/>
          <w:szCs w:val="24"/>
          <w:bdr w:val="none" w:sz="0" w:space="0" w:color="auto" w:frame="1"/>
          <w:lang w:val="fr-FR" w:eastAsia="fr-FR"/>
        </w:rPr>
        <w:t xml:space="preserve">umaines de </w:t>
      </w:r>
      <w:r w:rsidRPr="00333A62">
        <w:rPr>
          <w:rFonts w:ascii="Times New Roman" w:eastAsia="Times New Roman" w:hAnsi="Times New Roman" w:cs="Times New Roman"/>
          <w:sz w:val="24"/>
          <w:szCs w:val="24"/>
          <w:bdr w:val="none" w:sz="0" w:space="0" w:color="auto" w:frame="1"/>
          <w:lang w:val="fr-FR" w:eastAsia="fr-FR"/>
        </w:rPr>
        <w:t>S</w:t>
      </w:r>
      <w:r w:rsidR="00E53D85">
        <w:rPr>
          <w:rFonts w:ascii="Times New Roman" w:eastAsia="Times New Roman" w:hAnsi="Times New Roman" w:cs="Times New Roman"/>
          <w:sz w:val="24"/>
          <w:szCs w:val="24"/>
          <w:bdr w:val="none" w:sz="0" w:space="0" w:color="auto" w:frame="1"/>
          <w:lang w:val="fr-FR" w:eastAsia="fr-FR"/>
        </w:rPr>
        <w:t>anté (RHS)</w:t>
      </w:r>
      <w:r w:rsidRPr="00333A62">
        <w:rPr>
          <w:rFonts w:ascii="Times New Roman" w:eastAsia="Times New Roman" w:hAnsi="Times New Roman" w:cs="Times New Roman"/>
          <w:sz w:val="24"/>
          <w:szCs w:val="24"/>
          <w:bdr w:val="none" w:sz="0" w:space="0" w:color="auto" w:frame="1"/>
          <w:lang w:val="fr-FR" w:eastAsia="fr-FR"/>
        </w:rPr>
        <w:t xml:space="preserve"> au plan national ont connu une nette </w:t>
      </w:r>
      <w:r w:rsidRPr="00333A62">
        <w:rPr>
          <w:rFonts w:ascii="Times New Roman" w:eastAsia="Times New Roman" w:hAnsi="Times New Roman" w:cs="Times New Roman"/>
          <w:sz w:val="24"/>
          <w:szCs w:val="24"/>
          <w:bdr w:val="none" w:sz="0" w:space="0" w:color="auto" w:frame="1"/>
          <w:lang w:val="fr-FR" w:eastAsia="fr-FR"/>
        </w:rPr>
        <w:lastRenderedPageBreak/>
        <w:t>amélioration, avec un méd</w:t>
      </w:r>
      <w:r w:rsidR="00E53D85">
        <w:rPr>
          <w:rFonts w:ascii="Times New Roman" w:eastAsia="Times New Roman" w:hAnsi="Times New Roman" w:cs="Times New Roman"/>
          <w:sz w:val="24"/>
          <w:szCs w:val="24"/>
          <w:bdr w:val="none" w:sz="0" w:space="0" w:color="auto" w:frame="1"/>
          <w:lang w:val="fr-FR" w:eastAsia="fr-FR"/>
        </w:rPr>
        <w:t>ecin pour 7</w:t>
      </w:r>
      <w:r w:rsidRPr="00333A62">
        <w:rPr>
          <w:rFonts w:ascii="Times New Roman" w:eastAsia="Times New Roman" w:hAnsi="Times New Roman" w:cs="Times New Roman"/>
          <w:sz w:val="24"/>
          <w:szCs w:val="24"/>
          <w:bdr w:val="none" w:sz="0" w:space="0" w:color="auto" w:frame="1"/>
          <w:lang w:val="fr-FR" w:eastAsia="fr-FR"/>
        </w:rPr>
        <w:t>390 habitants, un infirmier pour 2335 habi</w:t>
      </w:r>
      <w:r w:rsidR="00E53D85">
        <w:rPr>
          <w:rFonts w:ascii="Times New Roman" w:eastAsia="Times New Roman" w:hAnsi="Times New Roman" w:cs="Times New Roman"/>
          <w:sz w:val="24"/>
          <w:szCs w:val="24"/>
          <w:bdr w:val="none" w:sz="0" w:space="0" w:color="auto" w:frame="1"/>
          <w:lang w:val="fr-FR" w:eastAsia="fr-FR"/>
        </w:rPr>
        <w:t>tants, et une sage-femme pour 1</w:t>
      </w:r>
      <w:r w:rsidRPr="00333A62">
        <w:rPr>
          <w:rFonts w:ascii="Times New Roman" w:eastAsia="Times New Roman" w:hAnsi="Times New Roman" w:cs="Times New Roman"/>
          <w:sz w:val="24"/>
          <w:szCs w:val="24"/>
          <w:bdr w:val="none" w:sz="0" w:space="0" w:color="auto" w:frame="1"/>
          <w:lang w:val="fr-FR" w:eastAsia="fr-FR"/>
        </w:rPr>
        <w:t>333 femmes en âge de procréer en 2017</w:t>
      </w:r>
      <w:r w:rsidRPr="00333A62">
        <w:rPr>
          <w:rStyle w:val="Appelnotedebasdep"/>
          <w:rFonts w:ascii="Times New Roman" w:eastAsia="Times New Roman" w:hAnsi="Times New Roman" w:cs="Times New Roman"/>
          <w:sz w:val="24"/>
          <w:szCs w:val="24"/>
          <w:bdr w:val="none" w:sz="0" w:space="0" w:color="auto" w:frame="1"/>
          <w:lang w:val="fr-FR" w:eastAsia="fr-FR"/>
        </w:rPr>
        <w:footnoteReference w:id="7"/>
      </w:r>
      <w:r w:rsidRPr="00333A62">
        <w:rPr>
          <w:rFonts w:ascii="Times New Roman" w:eastAsia="Times New Roman" w:hAnsi="Times New Roman" w:cs="Times New Roman"/>
          <w:sz w:val="24"/>
          <w:szCs w:val="24"/>
          <w:bdr w:val="none" w:sz="0" w:space="0" w:color="auto" w:frame="1"/>
          <w:lang w:val="fr-FR" w:eastAsia="fr-FR"/>
        </w:rPr>
        <w:t>.</w:t>
      </w:r>
    </w:p>
    <w:p w14:paraId="626892E9" w14:textId="435F00A9" w:rsidR="004E0F0E" w:rsidRPr="00E53D85" w:rsidRDefault="004E0F0E"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L’effectif global des </w:t>
      </w:r>
      <w:r w:rsidR="00E53D85">
        <w:rPr>
          <w:rFonts w:ascii="Times New Roman" w:hAnsi="Times New Roman" w:cs="Times New Roman"/>
          <w:sz w:val="24"/>
          <w:szCs w:val="24"/>
          <w:lang w:val="fr-FR"/>
        </w:rPr>
        <w:t>RHS</w:t>
      </w:r>
      <w:r w:rsidRPr="00333A62">
        <w:rPr>
          <w:rFonts w:ascii="Times New Roman" w:hAnsi="Times New Roman" w:cs="Times New Roman"/>
          <w:sz w:val="24"/>
          <w:szCs w:val="24"/>
          <w:lang w:val="fr-FR"/>
        </w:rPr>
        <w:t xml:space="preserve"> en Côte d’I</w:t>
      </w:r>
      <w:r w:rsidR="00E53D85">
        <w:rPr>
          <w:rFonts w:ascii="Times New Roman" w:hAnsi="Times New Roman" w:cs="Times New Roman"/>
          <w:sz w:val="24"/>
          <w:szCs w:val="24"/>
          <w:lang w:val="fr-FR"/>
        </w:rPr>
        <w:t xml:space="preserve">voire était estimé en 2017 à 31392 agents dont 30308 </w:t>
      </w:r>
      <w:r w:rsidRPr="00333A62">
        <w:rPr>
          <w:rFonts w:ascii="Times New Roman" w:hAnsi="Times New Roman" w:cs="Times New Roman"/>
          <w:sz w:val="24"/>
          <w:szCs w:val="24"/>
          <w:lang w:val="fr-FR"/>
        </w:rPr>
        <w:t>en fonction au Ministère de la Sant</w:t>
      </w:r>
      <w:r w:rsidR="00E53D85">
        <w:rPr>
          <w:rFonts w:ascii="Times New Roman" w:hAnsi="Times New Roman" w:cs="Times New Roman"/>
          <w:sz w:val="24"/>
          <w:szCs w:val="24"/>
          <w:lang w:val="fr-FR"/>
        </w:rPr>
        <w:t>é et de l’Hygiène Publique et 1</w:t>
      </w:r>
      <w:r w:rsidRPr="00333A62">
        <w:rPr>
          <w:rFonts w:ascii="Times New Roman" w:hAnsi="Times New Roman" w:cs="Times New Roman"/>
          <w:sz w:val="24"/>
          <w:szCs w:val="24"/>
          <w:lang w:val="fr-FR"/>
        </w:rPr>
        <w:t>084 professionnels de santé en activité dans des structures sanitaires appartenant à d’autres départements ministériels (Hôpital Militaire d’Abidjan, Centres de santé des universités, autres ministères).</w:t>
      </w:r>
    </w:p>
    <w:p w14:paraId="60D8D334" w14:textId="4607B266" w:rsidR="004E0F0E" w:rsidRPr="00333A62" w:rsidRDefault="004E0F0E" w:rsidP="00333A62">
      <w:pPr>
        <w:widowControl w:val="0"/>
        <w:autoSpaceDE w:val="0"/>
        <w:autoSpaceDN w:val="0"/>
        <w:adjustRightInd w:val="0"/>
        <w:spacing w:before="120" w:after="120" w:line="276" w:lineRule="auto"/>
        <w:jc w:val="both"/>
        <w:rPr>
          <w:rFonts w:ascii="Times New Roman" w:hAnsi="Times New Roman" w:cs="Times New Roman"/>
          <w:sz w:val="24"/>
          <w:szCs w:val="24"/>
          <w:lang w:val="fr-FR"/>
        </w:rPr>
      </w:pPr>
      <w:r w:rsidRPr="00333A62">
        <w:rPr>
          <w:rFonts w:ascii="Times New Roman" w:eastAsia="Times New Roman" w:hAnsi="Times New Roman" w:cs="Times New Roman"/>
          <w:sz w:val="24"/>
          <w:szCs w:val="24"/>
          <w:bdr w:val="none" w:sz="0" w:space="0" w:color="auto" w:frame="1"/>
          <w:lang w:val="fr-FR" w:eastAsia="fr-FR"/>
        </w:rPr>
        <w:t xml:space="preserve">En dépit des efforts du </w:t>
      </w:r>
      <w:r w:rsidR="00E53D85" w:rsidRPr="00333A62">
        <w:rPr>
          <w:rFonts w:ascii="Times New Roman" w:eastAsia="Times New Roman" w:hAnsi="Times New Roman" w:cs="Times New Roman"/>
          <w:sz w:val="24"/>
          <w:szCs w:val="24"/>
          <w:bdr w:val="none" w:sz="0" w:space="0" w:color="auto" w:frame="1"/>
          <w:lang w:val="fr-FR" w:eastAsia="fr-FR"/>
        </w:rPr>
        <w:t xml:space="preserve">gouvernement </w:t>
      </w:r>
      <w:r w:rsidRPr="00333A62">
        <w:rPr>
          <w:rFonts w:ascii="Times New Roman" w:eastAsia="Times New Roman" w:hAnsi="Times New Roman" w:cs="Times New Roman"/>
          <w:sz w:val="24"/>
          <w:szCs w:val="24"/>
          <w:bdr w:val="none" w:sz="0" w:space="0" w:color="auto" w:frame="1"/>
          <w:lang w:val="fr-FR" w:eastAsia="fr-FR"/>
        </w:rPr>
        <w:t xml:space="preserve">en matière de recrutement et de déploiement du personnel de santé, des disparités demeurent en raison de la forte concentration des </w:t>
      </w:r>
      <w:r w:rsidR="00E53D85">
        <w:rPr>
          <w:rFonts w:ascii="Times New Roman" w:eastAsia="Times New Roman" w:hAnsi="Times New Roman" w:cs="Times New Roman"/>
          <w:sz w:val="24"/>
          <w:szCs w:val="24"/>
          <w:bdr w:val="none" w:sz="0" w:space="0" w:color="auto" w:frame="1"/>
          <w:lang w:val="fr-FR" w:eastAsia="fr-FR"/>
        </w:rPr>
        <w:t>RHS</w:t>
      </w:r>
      <w:r w:rsidRPr="00333A62">
        <w:rPr>
          <w:rFonts w:ascii="Times New Roman" w:eastAsia="Times New Roman" w:hAnsi="Times New Roman" w:cs="Times New Roman"/>
          <w:sz w:val="24"/>
          <w:szCs w:val="24"/>
          <w:bdr w:val="none" w:sz="0" w:space="0" w:color="auto" w:frame="1"/>
          <w:lang w:val="fr-FR" w:eastAsia="fr-FR"/>
        </w:rPr>
        <w:t xml:space="preserve"> dans les zones urbaines. </w:t>
      </w:r>
      <w:r w:rsidRPr="00333A62">
        <w:rPr>
          <w:rFonts w:ascii="Times New Roman" w:hAnsi="Times New Roman" w:cs="Times New Roman"/>
          <w:sz w:val="24"/>
          <w:szCs w:val="24"/>
          <w:lang w:val="fr-FR"/>
        </w:rPr>
        <w:t xml:space="preserve">Le pays enregistrait, en 2017, une densité de </w:t>
      </w:r>
      <w:r w:rsidRPr="00333A62">
        <w:rPr>
          <w:rFonts w:ascii="Times New Roman" w:eastAsia="Times New Roman" w:hAnsi="Times New Roman" w:cs="Times New Roman"/>
          <w:b/>
          <w:bCs/>
          <w:color w:val="000000"/>
          <w:sz w:val="24"/>
          <w:szCs w:val="24"/>
          <w:lang w:val="fr-FR" w:eastAsia="fr-FR"/>
        </w:rPr>
        <w:t>0,78</w:t>
      </w:r>
      <w:r w:rsidRPr="00333A62">
        <w:rPr>
          <w:rFonts w:ascii="Times New Roman" w:hAnsi="Times New Roman" w:cs="Times New Roman"/>
          <w:sz w:val="24"/>
          <w:szCs w:val="24"/>
          <w:lang w:val="fr-FR"/>
        </w:rPr>
        <w:t xml:space="preserve"> prestataires de soins pour 1000 habitants. Cette densité, en dessous de la norme admise de 2,3 pour 1000 habitants, indique l’ampleur de la crise des </w:t>
      </w:r>
      <w:r w:rsidR="00E53D85">
        <w:rPr>
          <w:rFonts w:ascii="Times New Roman" w:hAnsi="Times New Roman" w:cs="Times New Roman"/>
          <w:sz w:val="24"/>
          <w:szCs w:val="24"/>
          <w:lang w:val="fr-FR"/>
        </w:rPr>
        <w:t>RHS</w:t>
      </w:r>
      <w:r w:rsidRPr="00333A62">
        <w:rPr>
          <w:rFonts w:ascii="Times New Roman" w:hAnsi="Times New Roman" w:cs="Times New Roman"/>
          <w:sz w:val="24"/>
          <w:szCs w:val="24"/>
          <w:lang w:val="fr-FR"/>
        </w:rPr>
        <w:t xml:space="preserve"> en Côte d’Ivoire. Les régions sanitaires de Cavally-Guemon (</w:t>
      </w:r>
      <w:r w:rsidRPr="00333A62">
        <w:rPr>
          <w:rFonts w:ascii="Times New Roman" w:eastAsia="Times New Roman" w:hAnsi="Times New Roman" w:cs="Times New Roman"/>
          <w:color w:val="000000"/>
          <w:sz w:val="24"/>
          <w:szCs w:val="24"/>
          <w:lang w:val="fr-FR" w:eastAsia="fr-FR"/>
        </w:rPr>
        <w:t>0,39)</w:t>
      </w:r>
      <w:r w:rsidRPr="00333A62">
        <w:rPr>
          <w:rFonts w:ascii="Times New Roman" w:hAnsi="Times New Roman" w:cs="Times New Roman"/>
          <w:sz w:val="24"/>
          <w:szCs w:val="24"/>
          <w:lang w:val="fr-FR"/>
        </w:rPr>
        <w:t>, Gbokle-Nawa-San-Pedro (</w:t>
      </w:r>
      <w:r w:rsidRPr="00333A62">
        <w:rPr>
          <w:rFonts w:ascii="Times New Roman" w:eastAsia="Times New Roman" w:hAnsi="Times New Roman" w:cs="Times New Roman"/>
          <w:color w:val="000000"/>
          <w:sz w:val="24"/>
          <w:szCs w:val="24"/>
          <w:lang w:val="fr-FR" w:eastAsia="fr-FR"/>
        </w:rPr>
        <w:t>0,40)</w:t>
      </w:r>
      <w:r w:rsidRPr="00333A62">
        <w:rPr>
          <w:rFonts w:ascii="Times New Roman" w:hAnsi="Times New Roman" w:cs="Times New Roman"/>
          <w:sz w:val="24"/>
          <w:szCs w:val="24"/>
          <w:lang w:val="fr-FR"/>
        </w:rPr>
        <w:t>, Poro-Tchologo-Bagoué(</w:t>
      </w:r>
      <w:r w:rsidRPr="00333A62">
        <w:rPr>
          <w:rFonts w:ascii="Times New Roman" w:eastAsia="Times New Roman" w:hAnsi="Times New Roman" w:cs="Times New Roman"/>
          <w:color w:val="000000"/>
          <w:sz w:val="24"/>
          <w:szCs w:val="24"/>
          <w:lang w:val="fr-FR" w:eastAsia="fr-FR"/>
        </w:rPr>
        <w:t>0,40)</w:t>
      </w:r>
      <w:r w:rsidRPr="00333A62">
        <w:rPr>
          <w:rFonts w:ascii="Times New Roman" w:hAnsi="Times New Roman" w:cs="Times New Roman"/>
          <w:sz w:val="24"/>
          <w:szCs w:val="24"/>
          <w:lang w:val="fr-FR"/>
        </w:rPr>
        <w:t xml:space="preserve">, et le Worodougou-Béré (0,44) </w:t>
      </w:r>
      <w:r w:rsidRPr="00333A62">
        <w:rPr>
          <w:rFonts w:ascii="Times New Roman" w:eastAsia="Times New Roman" w:hAnsi="Times New Roman" w:cs="Times New Roman"/>
          <w:color w:val="000000"/>
          <w:sz w:val="24"/>
          <w:szCs w:val="24"/>
          <w:lang w:val="fr-FR" w:eastAsia="fr-FR"/>
        </w:rPr>
        <w:t xml:space="preserve">ont des déficits de personnels les plus prononcés. </w:t>
      </w:r>
    </w:p>
    <w:p w14:paraId="792B5491" w14:textId="77777777" w:rsidR="004E0F0E" w:rsidRPr="00333A62" w:rsidRDefault="004E0F0E" w:rsidP="00333A62">
      <w:pPr>
        <w:spacing w:before="120" w:after="120" w:line="276" w:lineRule="auto"/>
        <w:jc w:val="both"/>
        <w:textAlignment w:val="baseline"/>
        <w:rPr>
          <w:rFonts w:ascii="Times New Roman" w:hAnsi="Times New Roman" w:cs="Times New Roman"/>
          <w:sz w:val="24"/>
          <w:szCs w:val="24"/>
          <w:lang w:val="fr-FR"/>
        </w:rPr>
      </w:pPr>
      <w:r w:rsidRPr="00333A62">
        <w:rPr>
          <w:rFonts w:ascii="Times New Roman" w:hAnsi="Times New Roman" w:cs="Times New Roman"/>
          <w:sz w:val="24"/>
          <w:szCs w:val="24"/>
          <w:lang w:val="fr-FR"/>
        </w:rPr>
        <w:t>Les résultats de l’étude de la charge de travail des personnels de santé</w:t>
      </w:r>
      <w:r w:rsidRPr="00333A62">
        <w:rPr>
          <w:rStyle w:val="Appelnotedebasdep"/>
          <w:rFonts w:ascii="Times New Roman" w:hAnsi="Times New Roman" w:cs="Times New Roman"/>
          <w:sz w:val="24"/>
          <w:szCs w:val="24"/>
          <w:lang w:val="fr-FR"/>
        </w:rPr>
        <w:footnoteReference w:id="8"/>
      </w:r>
      <w:r w:rsidRPr="00333A62">
        <w:rPr>
          <w:rFonts w:ascii="Times New Roman" w:hAnsi="Times New Roman" w:cs="Times New Roman"/>
          <w:sz w:val="24"/>
          <w:szCs w:val="24"/>
          <w:lang w:val="fr-FR"/>
        </w:rPr>
        <w:t xml:space="preserve"> indiquent que les déficits de personnels infirmier et sage-femme en milieu rural entrainent une forte pression de travail sur ces catégories. Les surcharges de travail relevées sont respectivement de 24% et de 19%.   </w:t>
      </w:r>
    </w:p>
    <w:p w14:paraId="6BB5E0CB" w14:textId="1A0D9D2F" w:rsidR="004E0F0E" w:rsidRDefault="004E0F0E"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Depuis quelques années, la problématique de la fidélisation des </w:t>
      </w:r>
      <w:r w:rsidR="00E53D85">
        <w:rPr>
          <w:rFonts w:ascii="Times New Roman" w:hAnsi="Times New Roman" w:cs="Times New Roman"/>
          <w:sz w:val="24"/>
          <w:szCs w:val="24"/>
          <w:lang w:val="fr-FR"/>
        </w:rPr>
        <w:t>RHS</w:t>
      </w:r>
      <w:r w:rsidRPr="00333A62">
        <w:rPr>
          <w:rFonts w:ascii="Times New Roman" w:hAnsi="Times New Roman" w:cs="Times New Roman"/>
          <w:sz w:val="24"/>
          <w:szCs w:val="24"/>
          <w:lang w:val="fr-FR"/>
        </w:rPr>
        <w:t xml:space="preserve"> se pose avec acuité, en raison du peu d’engouement que le personnel de santé éprouve à exercer dans certaines régions sanitaires du pays. Cette situation justifie en partie les disparités observées dans les régions sanitaires.</w:t>
      </w:r>
    </w:p>
    <w:p w14:paraId="1753DE42" w14:textId="77777777" w:rsidR="00E53D85" w:rsidRPr="00333A62" w:rsidRDefault="00E53D85" w:rsidP="00333A62">
      <w:pPr>
        <w:spacing w:before="120" w:after="120" w:line="276" w:lineRule="auto"/>
        <w:jc w:val="both"/>
        <w:rPr>
          <w:rFonts w:ascii="Times New Roman" w:hAnsi="Times New Roman" w:cs="Times New Roman"/>
          <w:sz w:val="24"/>
          <w:szCs w:val="24"/>
          <w:lang w:val="fr-FR"/>
        </w:rPr>
      </w:pPr>
    </w:p>
    <w:p w14:paraId="771BF9B3" w14:textId="77777777" w:rsidR="00E628FE" w:rsidRPr="002A3FB8" w:rsidRDefault="00E628FE" w:rsidP="00333A62">
      <w:pPr>
        <w:pStyle w:val="Titre3"/>
        <w:spacing w:before="120" w:after="120" w:line="276" w:lineRule="auto"/>
        <w:rPr>
          <w:rStyle w:val="normal0"/>
          <w:rFonts w:ascii="Times New Roman" w:hAnsi="Times New Roman" w:cs="Times New Roman"/>
          <w:b/>
          <w:color w:val="0070C0"/>
        </w:rPr>
      </w:pPr>
      <w:bookmarkStart w:id="51" w:name="_Toc1573798"/>
      <w:r w:rsidRPr="002A3FB8">
        <w:rPr>
          <w:rStyle w:val="normal0"/>
          <w:rFonts w:ascii="Times New Roman" w:hAnsi="Times New Roman" w:cs="Times New Roman"/>
          <w:b/>
          <w:color w:val="0070C0"/>
        </w:rPr>
        <w:t xml:space="preserve">Infrastructures et </w:t>
      </w:r>
      <w:bookmarkEnd w:id="11"/>
      <w:r w:rsidRPr="002A3FB8">
        <w:rPr>
          <w:rStyle w:val="normal0"/>
          <w:rFonts w:ascii="Times New Roman" w:hAnsi="Times New Roman" w:cs="Times New Roman"/>
          <w:b/>
          <w:color w:val="0070C0"/>
        </w:rPr>
        <w:t>équipements sanitaires</w:t>
      </w:r>
      <w:bookmarkEnd w:id="51"/>
    </w:p>
    <w:p w14:paraId="07473966" w14:textId="77777777" w:rsidR="00E628FE" w:rsidRPr="00333A62" w:rsidRDefault="00E628FE" w:rsidP="00D418FF">
      <w:pPr>
        <w:pStyle w:val="Paragraphedeliste"/>
        <w:numPr>
          <w:ilvl w:val="0"/>
          <w:numId w:val="5"/>
        </w:numPr>
        <w:spacing w:before="120" w:after="120" w:line="276" w:lineRule="auto"/>
        <w:jc w:val="both"/>
        <w:rPr>
          <w:rFonts w:ascii="Times New Roman" w:hAnsi="Times New Roman" w:cs="Times New Roman"/>
          <w:b/>
          <w:sz w:val="24"/>
          <w:szCs w:val="24"/>
        </w:rPr>
      </w:pPr>
      <w:r w:rsidRPr="00333A62">
        <w:rPr>
          <w:rFonts w:ascii="Times New Roman" w:hAnsi="Times New Roman" w:cs="Times New Roman"/>
          <w:b/>
          <w:sz w:val="24"/>
          <w:szCs w:val="24"/>
        </w:rPr>
        <w:t>Disponibilité des infrastructures sanitaires</w:t>
      </w:r>
    </w:p>
    <w:p w14:paraId="5271AAC9" w14:textId="5ED4C252" w:rsidR="00E628FE" w:rsidRPr="00333A62"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En 2015, le Rapport Annuel de la Situation Sanitaire 2015 révèl</w:t>
      </w:r>
      <w:r w:rsidR="00E53D85">
        <w:rPr>
          <w:rFonts w:ascii="Times New Roman" w:hAnsi="Times New Roman" w:cs="Times New Roman"/>
          <w:sz w:val="24"/>
          <w:szCs w:val="24"/>
          <w:lang w:val="fr-CI"/>
        </w:rPr>
        <w:t>e que la Côte d’Ivoire compte 1</w:t>
      </w:r>
      <w:r w:rsidRPr="00333A62">
        <w:rPr>
          <w:rFonts w:ascii="Times New Roman" w:hAnsi="Times New Roman" w:cs="Times New Roman"/>
          <w:sz w:val="24"/>
          <w:szCs w:val="24"/>
          <w:lang w:val="fr-CI"/>
        </w:rPr>
        <w:t>964 E</w:t>
      </w:r>
      <w:r w:rsidR="00E53D85">
        <w:rPr>
          <w:rFonts w:ascii="Times New Roman" w:hAnsi="Times New Roman" w:cs="Times New Roman"/>
          <w:sz w:val="24"/>
          <w:szCs w:val="24"/>
          <w:lang w:val="fr-CI"/>
        </w:rPr>
        <w:t xml:space="preserve">tablissements </w:t>
      </w:r>
      <w:r w:rsidRPr="00333A62">
        <w:rPr>
          <w:rFonts w:ascii="Times New Roman" w:hAnsi="Times New Roman" w:cs="Times New Roman"/>
          <w:sz w:val="24"/>
          <w:szCs w:val="24"/>
          <w:lang w:val="fr-CI"/>
        </w:rPr>
        <w:t>S</w:t>
      </w:r>
      <w:r w:rsidR="00E53D85">
        <w:rPr>
          <w:rFonts w:ascii="Times New Roman" w:hAnsi="Times New Roman" w:cs="Times New Roman"/>
          <w:sz w:val="24"/>
          <w:szCs w:val="24"/>
          <w:lang w:val="fr-CI"/>
        </w:rPr>
        <w:t xml:space="preserve">anitaires de </w:t>
      </w:r>
      <w:r w:rsidRPr="00333A62">
        <w:rPr>
          <w:rFonts w:ascii="Times New Roman" w:hAnsi="Times New Roman" w:cs="Times New Roman"/>
          <w:sz w:val="24"/>
          <w:szCs w:val="24"/>
          <w:lang w:val="fr-CI"/>
        </w:rPr>
        <w:t>P</w:t>
      </w:r>
      <w:r w:rsidR="00E53D85">
        <w:rPr>
          <w:rFonts w:ascii="Times New Roman" w:hAnsi="Times New Roman" w:cs="Times New Roman"/>
          <w:sz w:val="24"/>
          <w:szCs w:val="24"/>
          <w:lang w:val="fr-CI"/>
        </w:rPr>
        <w:t xml:space="preserve">rimaire </w:t>
      </w:r>
      <w:r w:rsidRPr="00333A62">
        <w:rPr>
          <w:rFonts w:ascii="Times New Roman" w:hAnsi="Times New Roman" w:cs="Times New Roman"/>
          <w:sz w:val="24"/>
          <w:szCs w:val="24"/>
          <w:lang w:val="fr-CI"/>
        </w:rPr>
        <w:t>C</w:t>
      </w:r>
      <w:r w:rsidR="00E53D85">
        <w:rPr>
          <w:rFonts w:ascii="Times New Roman" w:hAnsi="Times New Roman" w:cs="Times New Roman"/>
          <w:sz w:val="24"/>
          <w:szCs w:val="24"/>
          <w:lang w:val="fr-CI"/>
        </w:rPr>
        <w:t>ontact (ESPC)</w:t>
      </w:r>
      <w:r w:rsidRPr="00333A62">
        <w:rPr>
          <w:rFonts w:ascii="Times New Roman" w:hAnsi="Times New Roman" w:cs="Times New Roman"/>
          <w:sz w:val="24"/>
          <w:szCs w:val="24"/>
          <w:lang w:val="fr-CI"/>
        </w:rPr>
        <w:t xml:space="preserve"> fonctionnels c</w:t>
      </w:r>
      <w:r w:rsidR="00E53D85">
        <w:rPr>
          <w:rFonts w:ascii="Times New Roman" w:hAnsi="Times New Roman" w:cs="Times New Roman"/>
          <w:sz w:val="24"/>
          <w:szCs w:val="24"/>
          <w:lang w:val="fr-CI"/>
        </w:rPr>
        <w:t>ontre un besoin estimé à 2</w:t>
      </w:r>
      <w:r w:rsidRPr="00333A62">
        <w:rPr>
          <w:rFonts w:ascii="Times New Roman" w:hAnsi="Times New Roman" w:cs="Times New Roman"/>
          <w:sz w:val="24"/>
          <w:szCs w:val="24"/>
          <w:lang w:val="fr-CI"/>
        </w:rPr>
        <w:t xml:space="preserve">415 (Carte Sanitaire primaire 2015) pour assurer une offre optimale de soins à la population. </w:t>
      </w:r>
      <w:r w:rsidR="00F96D4E">
        <w:rPr>
          <w:rFonts w:ascii="Times New Roman" w:hAnsi="Times New Roman" w:cs="Times New Roman"/>
          <w:sz w:val="24"/>
          <w:szCs w:val="24"/>
          <w:lang w:val="fr-CI"/>
        </w:rPr>
        <w:t>Vingt pour cent (1/5)</w:t>
      </w:r>
      <w:r w:rsidRPr="00333A62">
        <w:rPr>
          <w:rFonts w:ascii="Times New Roman" w:hAnsi="Times New Roman" w:cs="Times New Roman"/>
          <w:sz w:val="24"/>
          <w:szCs w:val="24"/>
          <w:lang w:val="fr-CI"/>
        </w:rPr>
        <w:t xml:space="preserve"> des besoins ne sont pas couverts en ESPC, soit 451 ESPC. En raison de ce déficit, le ratio national de 1 ESPC</w:t>
      </w:r>
      <w:r w:rsidR="00F96D4E">
        <w:rPr>
          <w:rFonts w:ascii="Times New Roman" w:hAnsi="Times New Roman" w:cs="Times New Roman"/>
          <w:sz w:val="24"/>
          <w:szCs w:val="24"/>
          <w:lang w:val="fr-CI"/>
        </w:rPr>
        <w:t xml:space="preserve"> pour 11</w:t>
      </w:r>
      <w:r w:rsidRPr="00333A62">
        <w:rPr>
          <w:rFonts w:ascii="Times New Roman" w:hAnsi="Times New Roman" w:cs="Times New Roman"/>
          <w:sz w:val="24"/>
          <w:szCs w:val="24"/>
          <w:lang w:val="fr-CI"/>
        </w:rPr>
        <w:t>838 habitants en 2015, reste en deçà de la norme OMS</w:t>
      </w:r>
      <w:r w:rsidRPr="00333A62">
        <w:rPr>
          <w:rFonts w:ascii="Times New Roman" w:hAnsi="Times New Roman" w:cs="Times New Roman"/>
          <w:sz w:val="24"/>
          <w:szCs w:val="24"/>
          <w:vertAlign w:val="superscript"/>
          <w:lang w:val="fr-CI"/>
        </w:rPr>
        <w:footnoteReference w:id="9"/>
      </w:r>
      <w:r w:rsidRPr="00333A62">
        <w:rPr>
          <w:rFonts w:ascii="Times New Roman" w:hAnsi="Times New Roman" w:cs="Times New Roman"/>
          <w:sz w:val="24"/>
          <w:szCs w:val="24"/>
          <w:lang w:val="fr-CI"/>
        </w:rPr>
        <w:t>, qui est de 1 E</w:t>
      </w:r>
      <w:r w:rsidR="00F96D4E">
        <w:rPr>
          <w:rFonts w:ascii="Times New Roman" w:hAnsi="Times New Roman" w:cs="Times New Roman"/>
          <w:sz w:val="24"/>
          <w:szCs w:val="24"/>
          <w:lang w:val="fr-CI"/>
        </w:rPr>
        <w:t>SPC pour 10</w:t>
      </w:r>
      <w:r w:rsidRPr="00333A62">
        <w:rPr>
          <w:rFonts w:ascii="Times New Roman" w:hAnsi="Times New Roman" w:cs="Times New Roman"/>
          <w:sz w:val="24"/>
          <w:szCs w:val="24"/>
          <w:lang w:val="fr-CI"/>
        </w:rPr>
        <w:t xml:space="preserve">000 habitants. </w:t>
      </w:r>
    </w:p>
    <w:p w14:paraId="6A7E4235" w14:textId="77777777" w:rsidR="00F96D4E"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Ce déficit en </w:t>
      </w:r>
      <w:r w:rsidR="00F96D4E">
        <w:rPr>
          <w:rFonts w:ascii="Times New Roman" w:hAnsi="Times New Roman" w:cs="Times New Roman"/>
          <w:sz w:val="24"/>
          <w:szCs w:val="24"/>
          <w:lang w:val="fr-CI"/>
        </w:rPr>
        <w:t>ESPC</w:t>
      </w:r>
      <w:r w:rsidRPr="00333A62">
        <w:rPr>
          <w:rFonts w:ascii="Times New Roman" w:hAnsi="Times New Roman" w:cs="Times New Roman"/>
          <w:sz w:val="24"/>
          <w:szCs w:val="24"/>
          <w:lang w:val="fr-CI"/>
        </w:rPr>
        <w:t xml:space="preserve"> de 451</w:t>
      </w:r>
      <w:r w:rsidRPr="00333A62">
        <w:rPr>
          <w:rFonts w:ascii="Times New Roman" w:hAnsi="Times New Roman" w:cs="Times New Roman"/>
          <w:sz w:val="24"/>
          <w:szCs w:val="24"/>
          <w:vertAlign w:val="superscript"/>
          <w:lang w:val="fr-CI"/>
        </w:rPr>
        <w:footnoteReference w:id="10"/>
      </w:r>
      <w:r w:rsidRPr="00333A62">
        <w:rPr>
          <w:rFonts w:ascii="Times New Roman" w:hAnsi="Times New Roman" w:cs="Times New Roman"/>
          <w:sz w:val="24"/>
          <w:szCs w:val="24"/>
          <w:vertAlign w:val="superscript"/>
          <w:lang w:val="fr-CI"/>
        </w:rPr>
        <w:t xml:space="preserve"> </w:t>
      </w:r>
      <w:r w:rsidRPr="00333A62">
        <w:rPr>
          <w:rFonts w:ascii="Times New Roman" w:hAnsi="Times New Roman" w:cs="Times New Roman"/>
          <w:sz w:val="24"/>
          <w:szCs w:val="24"/>
          <w:lang w:val="fr-CI"/>
        </w:rPr>
        <w:t xml:space="preserve">est la résultante de plusieurs facteurs. L’un de ces facteurs est en lien avec le processus de transformation administrative de certains Centres de Santé Urbain </w:t>
      </w:r>
      <w:r w:rsidR="00F96D4E">
        <w:rPr>
          <w:rFonts w:ascii="Times New Roman" w:hAnsi="Times New Roman" w:cs="Times New Roman"/>
          <w:sz w:val="24"/>
          <w:szCs w:val="24"/>
          <w:lang w:val="fr-CI"/>
        </w:rPr>
        <w:t xml:space="preserve">(CSU) </w:t>
      </w:r>
      <w:r w:rsidRPr="00333A62">
        <w:rPr>
          <w:rFonts w:ascii="Times New Roman" w:hAnsi="Times New Roman" w:cs="Times New Roman"/>
          <w:sz w:val="24"/>
          <w:szCs w:val="24"/>
          <w:lang w:val="fr-CI"/>
        </w:rPr>
        <w:t>en Hôpitaux Généraux</w:t>
      </w:r>
      <w:r w:rsidR="00F96D4E">
        <w:rPr>
          <w:rFonts w:ascii="Times New Roman" w:hAnsi="Times New Roman" w:cs="Times New Roman"/>
          <w:sz w:val="24"/>
          <w:szCs w:val="24"/>
          <w:lang w:val="fr-CI"/>
        </w:rPr>
        <w:t xml:space="preserve"> (HG)</w:t>
      </w:r>
      <w:r w:rsidRPr="00333A62">
        <w:rPr>
          <w:rFonts w:ascii="Times New Roman" w:hAnsi="Times New Roman" w:cs="Times New Roman"/>
          <w:sz w:val="24"/>
          <w:szCs w:val="24"/>
          <w:lang w:val="fr-CI"/>
        </w:rPr>
        <w:t xml:space="preserve">. Ces types d’hôpitaux ne répondent pas aux normes définies dans le document de Paquet Minimum des Activités pour les Hôpitaux en Côte d’Ivoire. Les mesures spécifiques pour mettre en place des nouveaux centres de santé en vue d’assurer la poursuite de l’offre </w:t>
      </w:r>
      <w:r w:rsidRPr="00333A62">
        <w:rPr>
          <w:rFonts w:ascii="Times New Roman" w:hAnsi="Times New Roman" w:cs="Times New Roman"/>
          <w:sz w:val="24"/>
          <w:szCs w:val="24"/>
          <w:lang w:val="fr-CI"/>
        </w:rPr>
        <w:lastRenderedPageBreak/>
        <w:t xml:space="preserve">des soins de santé primaires (SSP) aux populations font souvent défaut. Cette situation accentue la privation des populations d’un accès aux </w:t>
      </w:r>
      <w:r w:rsidR="00F96D4E" w:rsidRPr="00333A62">
        <w:rPr>
          <w:rFonts w:ascii="Times New Roman" w:hAnsi="Times New Roman" w:cs="Times New Roman"/>
          <w:sz w:val="24"/>
          <w:szCs w:val="24"/>
          <w:lang w:val="fr-CI"/>
        </w:rPr>
        <w:t xml:space="preserve">soins </w:t>
      </w:r>
      <w:r w:rsidRPr="00333A62">
        <w:rPr>
          <w:rFonts w:ascii="Times New Roman" w:hAnsi="Times New Roman" w:cs="Times New Roman"/>
          <w:sz w:val="24"/>
          <w:szCs w:val="24"/>
          <w:lang w:val="fr-CI"/>
        </w:rPr>
        <w:t xml:space="preserve">de </w:t>
      </w:r>
      <w:r w:rsidR="00F96D4E" w:rsidRPr="00333A62">
        <w:rPr>
          <w:rFonts w:ascii="Times New Roman" w:hAnsi="Times New Roman" w:cs="Times New Roman"/>
          <w:sz w:val="24"/>
          <w:szCs w:val="24"/>
          <w:lang w:val="fr-CI"/>
        </w:rPr>
        <w:t>santé primaires</w:t>
      </w:r>
      <w:r w:rsidRPr="00333A62">
        <w:rPr>
          <w:rFonts w:ascii="Times New Roman" w:hAnsi="Times New Roman" w:cs="Times New Roman"/>
          <w:sz w:val="24"/>
          <w:szCs w:val="24"/>
          <w:lang w:val="fr-CI"/>
        </w:rPr>
        <w:t xml:space="preserve">. </w:t>
      </w:r>
    </w:p>
    <w:p w14:paraId="6DB1CBB7" w14:textId="2126094B" w:rsidR="00E628FE" w:rsidRPr="00333A62"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Dans le même temps, les hôpitaux se retrouvent dès lors dans l’obligation d’assurer le rôle des </w:t>
      </w:r>
      <w:r w:rsidR="00F96D4E">
        <w:rPr>
          <w:rFonts w:ascii="Times New Roman" w:hAnsi="Times New Roman" w:cs="Times New Roman"/>
          <w:sz w:val="24"/>
          <w:szCs w:val="24"/>
          <w:lang w:val="fr-CI"/>
        </w:rPr>
        <w:t>ESPC</w:t>
      </w:r>
      <w:r w:rsidRPr="00333A62">
        <w:rPr>
          <w:rFonts w:ascii="Times New Roman" w:hAnsi="Times New Roman" w:cs="Times New Roman"/>
          <w:sz w:val="24"/>
          <w:szCs w:val="24"/>
          <w:lang w:val="fr-CI"/>
        </w:rPr>
        <w:t xml:space="preserve">; ce qui entraine une désarticulation de la pyramide sanitaire à assurer un continuum de soins fluide depuis le niveau périphérique au niveau tertiaire, créant de ce fait une surcharge relative de travail au niveau des hôpitaux avec d’énormes difficultés de fonctionnement. Ils sont en effet détournés de leur vocation première qui est celle de structures de référence et non de premier contact. </w:t>
      </w:r>
    </w:p>
    <w:p w14:paraId="58E11E7F" w14:textId="77777777" w:rsidR="00E628FE" w:rsidRPr="00333A62" w:rsidRDefault="00E628FE" w:rsidP="00D418FF">
      <w:pPr>
        <w:pStyle w:val="Paragraphedeliste"/>
        <w:numPr>
          <w:ilvl w:val="0"/>
          <w:numId w:val="5"/>
        </w:numPr>
        <w:spacing w:before="120" w:after="120" w:line="276" w:lineRule="auto"/>
        <w:jc w:val="both"/>
        <w:rPr>
          <w:rFonts w:ascii="Times New Roman" w:hAnsi="Times New Roman" w:cs="Times New Roman"/>
          <w:b/>
          <w:sz w:val="24"/>
          <w:szCs w:val="24"/>
        </w:rPr>
      </w:pPr>
      <w:r w:rsidRPr="00333A62">
        <w:rPr>
          <w:rFonts w:ascii="Times New Roman" w:hAnsi="Times New Roman" w:cs="Times New Roman"/>
          <w:b/>
          <w:sz w:val="24"/>
          <w:szCs w:val="24"/>
        </w:rPr>
        <w:t>Entretien des infrastructures et maintenance des équipements</w:t>
      </w:r>
    </w:p>
    <w:p w14:paraId="4F5BC115" w14:textId="77777777" w:rsidR="00E628FE" w:rsidRPr="00333A62"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En dépit de l’existence des normes et directives nationales en matière de maintenance préventive, la maintenance est essentiellement curative. La maintenance préventive est quasi absente à tous les niveaux de la pyramide sanitaire et elle doit être mise en mise en place, avec une allocation appropriée des ressources financières et humaines, pour un fonctionnement optimal du système de santé. Actuellement, c’est lors de la survenue d’une panne en cours d’utilisation des équipements médicotechniques que les services techniques prévus à cet effet sont sollicités pour intervenir avec des délais de réponses variables. Cette situation favorise la détérioration précoce des équipements médicotechniques acquis à grand frais et génère en retour une rupture dans l’offre des services, surtout au niveau hospitalier. Les ménages sont contraints de recourir au secteur privé et, dans ce cas, l’impact financier pour les ménages ne disposant pas d’une assurance médicale est élevé en raison du paiement direct des soins. </w:t>
      </w:r>
    </w:p>
    <w:p w14:paraId="0E0B1F65" w14:textId="77777777" w:rsidR="00E628FE"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La mise en place d’un système de maintenance préventive efficace et fonctionnel permettra d’une part, d’éviter des retards dans le diagnostic et favoriser ainsi une offre appropriée des soins avec parfois des pertes évitables en vie humaine et d’autre part de faire des économies car la maintenance curative coute beaucoup plus chère. </w:t>
      </w:r>
    </w:p>
    <w:p w14:paraId="709548DA" w14:textId="77777777" w:rsidR="00BB7E08" w:rsidRDefault="00BB7E08" w:rsidP="00333A62">
      <w:pPr>
        <w:spacing w:before="120" w:after="120" w:line="276" w:lineRule="auto"/>
        <w:jc w:val="both"/>
        <w:rPr>
          <w:rFonts w:ascii="Times New Roman" w:hAnsi="Times New Roman" w:cs="Times New Roman"/>
          <w:sz w:val="24"/>
          <w:szCs w:val="24"/>
          <w:lang w:val="fr-CI"/>
        </w:rPr>
      </w:pPr>
    </w:p>
    <w:p w14:paraId="5BC01438" w14:textId="77777777" w:rsidR="00E628FE" w:rsidRPr="002A3FB8" w:rsidRDefault="00E628FE" w:rsidP="00333A62">
      <w:pPr>
        <w:pStyle w:val="Titre3"/>
        <w:spacing w:before="120" w:after="120" w:line="276" w:lineRule="auto"/>
        <w:rPr>
          <w:rStyle w:val="normal0"/>
          <w:rFonts w:ascii="Times New Roman" w:hAnsi="Times New Roman" w:cs="Times New Roman"/>
          <w:b/>
          <w:color w:val="0070C0"/>
        </w:rPr>
      </w:pPr>
      <w:bookmarkStart w:id="52" w:name="_Toc1573799"/>
      <w:r w:rsidRPr="002A3FB8">
        <w:rPr>
          <w:rStyle w:val="normal0"/>
          <w:rFonts w:ascii="Times New Roman" w:hAnsi="Times New Roman" w:cs="Times New Roman"/>
          <w:b/>
          <w:color w:val="0070C0"/>
        </w:rPr>
        <w:t>Médicaments et autres intrants stratégiques</w:t>
      </w:r>
      <w:bookmarkEnd w:id="52"/>
    </w:p>
    <w:p w14:paraId="72D4A0D3" w14:textId="77777777" w:rsidR="00E628FE" w:rsidRPr="00333A62" w:rsidRDefault="00E628FE" w:rsidP="00D418FF">
      <w:pPr>
        <w:pStyle w:val="Paragraphedeliste"/>
        <w:numPr>
          <w:ilvl w:val="0"/>
          <w:numId w:val="5"/>
        </w:numPr>
        <w:spacing w:before="120" w:after="120" w:line="276" w:lineRule="auto"/>
        <w:jc w:val="both"/>
        <w:rPr>
          <w:rFonts w:ascii="Times New Roman" w:hAnsi="Times New Roman" w:cs="Times New Roman"/>
          <w:b/>
          <w:sz w:val="24"/>
          <w:szCs w:val="24"/>
        </w:rPr>
      </w:pPr>
      <w:r w:rsidRPr="00333A62">
        <w:rPr>
          <w:rFonts w:ascii="Times New Roman" w:hAnsi="Times New Roman" w:cs="Times New Roman"/>
          <w:b/>
          <w:sz w:val="24"/>
          <w:szCs w:val="24"/>
        </w:rPr>
        <w:t>Cadre règlementaire</w:t>
      </w:r>
    </w:p>
    <w:p w14:paraId="622AC1DA" w14:textId="77777777" w:rsidR="00E628FE" w:rsidRPr="00333A62"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Selon le document de Politique Pharmaceutique Nationale du Ministère de la Santé et de l’Hygiène Publique, la production pharmaceutique locale destinée à la consommation intérieure représente moins de 10% de la consommation nationale. Elle est aujourd’hui préconisée pour améliorer l’accessibilité et la disponibilité de médicaments essentiels de bonne qualité. Le développement de la production locale implique un engagement national capable de créer un environnement administratif favorable, les conditions d’un système d’assurance de qualité effectif et un élargissement au marché niveau régional, en Afrique de l’Ouest.</w:t>
      </w:r>
    </w:p>
    <w:p w14:paraId="1D5BA423" w14:textId="16F5BF5F" w:rsidR="00E628FE" w:rsidRPr="00333A62" w:rsidRDefault="00E628FE" w:rsidP="00333A62">
      <w:pPr>
        <w:pStyle w:val="NormalWeb"/>
        <w:spacing w:before="120" w:beforeAutospacing="0" w:after="120" w:afterAutospacing="0" w:line="276" w:lineRule="auto"/>
        <w:jc w:val="both"/>
        <w:rPr>
          <w:rFonts w:eastAsiaTheme="minorHAnsi"/>
          <w:lang w:val="fr-CI"/>
        </w:rPr>
      </w:pPr>
      <w:r w:rsidRPr="00333A62">
        <w:rPr>
          <w:rFonts w:eastAsiaTheme="minorHAnsi"/>
          <w:lang w:val="fr-CI"/>
        </w:rPr>
        <w:t>En Côte d’Ivoire, la reforme en 2013 de la Pharmacie de la Santé Publique</w:t>
      </w:r>
      <w:r w:rsidR="00C02E2C">
        <w:rPr>
          <w:rFonts w:eastAsiaTheme="minorHAnsi"/>
          <w:lang w:val="fr-CI"/>
        </w:rPr>
        <w:t xml:space="preserve"> </w:t>
      </w:r>
      <w:r w:rsidRPr="00333A62">
        <w:rPr>
          <w:rFonts w:eastAsiaTheme="minorHAnsi"/>
          <w:lang w:val="fr-CI"/>
        </w:rPr>
        <w:t xml:space="preserve">(PSP) a abouti à la création de la Nouvelle Pharmacie de la Santé Publique (NPSP), et par convention en date du 21 novembre 2013 et approuvée par le décret N°2013-792 du 20 novembre 2013. L’Etat de Côte d’Ivoire a confié à la Nouvelle PSP Côte d’Ivoire, une mission de service public à finalité sociale, consistant à i) assurer la disponibilité des médicaments essentiels et intrants stratégiques de santé à destination des établissements sanitaires publics et des autres établissements sanitaires associés au service public </w:t>
      </w:r>
      <w:r w:rsidRPr="00333A62">
        <w:rPr>
          <w:rFonts w:eastAsiaTheme="minorHAnsi"/>
          <w:lang w:val="fr-CI"/>
        </w:rPr>
        <w:lastRenderedPageBreak/>
        <w:t>sanitaire, et ce, sur toute l’étendue du territoire national ; ii) assurer l’accessibilité des médicaments essentiels et intrants stratégiques de santé de bonne qualité aux populations en Côte d’Ivoire.</w:t>
      </w:r>
    </w:p>
    <w:p w14:paraId="5FB48152" w14:textId="77777777" w:rsidR="00E628FE" w:rsidRPr="00333A62" w:rsidRDefault="00E628FE" w:rsidP="00333A62">
      <w:pPr>
        <w:pStyle w:val="NormalWeb"/>
        <w:spacing w:before="120" w:beforeAutospacing="0" w:after="120" w:afterAutospacing="0" w:line="276" w:lineRule="auto"/>
        <w:jc w:val="both"/>
        <w:rPr>
          <w:lang w:val="fr-CI"/>
        </w:rPr>
      </w:pPr>
      <w:r w:rsidRPr="00333A62">
        <w:rPr>
          <w:lang w:val="fr-CI"/>
        </w:rPr>
        <w:t xml:space="preserve">L’Etat assure à la Nouvelle PSP Côte d’Ivoire, le monopole de la distribution des produits pharmaceutiques aux établissements sanitaires publics. Sous réserve des dispositions contractuelles relatives à la continuité du service du médicament, l’Etat s’interdit, pendant toute la durée de la convention, de concéder ou de confier à un tiers tout ou une partie des activités exercées par la Nouvelle PSP Côte d’Ivoire au titre des présentes. </w:t>
      </w:r>
    </w:p>
    <w:p w14:paraId="2AD1FFE1" w14:textId="77777777" w:rsidR="00E628FE"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Dans ce nouveau contexte, des efforts substantiels ont été consentis par la Nouvelle Pharmacie de Sante Publique (NPSP-CI) et les partenaires pour parvenir à un accès optimal en médicaments au niveau du système de santé. Il s’agit notamment de i) l’engagement dans la démarche qualité pour permettre de se hisser aux meilleurs standards des centrales d’achats et de </w:t>
      </w:r>
      <w:r w:rsidRPr="00FB7A93">
        <w:rPr>
          <w:rFonts w:ascii="Times New Roman" w:hAnsi="Times New Roman" w:cs="Times New Roman"/>
          <w:bCs/>
          <w:sz w:val="24"/>
          <w:szCs w:val="24"/>
          <w:lang w:val="fr-CI"/>
        </w:rPr>
        <w:t>faire de la Nouvelle PSP Côte d’Ivoire, un véritable pôle d’excellence, ii) l’a</w:t>
      </w:r>
      <w:r w:rsidRPr="00FB7A93">
        <w:rPr>
          <w:rFonts w:ascii="Times New Roman" w:hAnsi="Times New Roman" w:cs="Times New Roman"/>
          <w:sz w:val="24"/>
          <w:szCs w:val="24"/>
          <w:lang w:val="fr-CI"/>
        </w:rPr>
        <w:t>ugmentation des ca</w:t>
      </w:r>
      <w:r w:rsidRPr="00333A62">
        <w:rPr>
          <w:rFonts w:ascii="Times New Roman" w:hAnsi="Times New Roman" w:cs="Times New Roman"/>
          <w:sz w:val="24"/>
          <w:szCs w:val="24"/>
          <w:lang w:val="fr-CI"/>
        </w:rPr>
        <w:t xml:space="preserve">pacités financières, iii) l’accroissement des capacités de stockage et de distribution des produits. Toutefois, la bonne disponibilité des médicaments et autres produits de santé à des coûts abordables reste encore un défi. </w:t>
      </w:r>
    </w:p>
    <w:p w14:paraId="57F072D8" w14:textId="77777777" w:rsidR="00F96D4E" w:rsidRPr="00333A62" w:rsidRDefault="00F96D4E" w:rsidP="00333A62">
      <w:pPr>
        <w:spacing w:before="120" w:after="120" w:line="276" w:lineRule="auto"/>
        <w:jc w:val="both"/>
        <w:rPr>
          <w:rFonts w:ascii="Times New Roman" w:hAnsi="Times New Roman" w:cs="Times New Roman"/>
          <w:sz w:val="24"/>
          <w:szCs w:val="24"/>
          <w:lang w:val="fr-CI"/>
        </w:rPr>
      </w:pPr>
    </w:p>
    <w:p w14:paraId="55523374" w14:textId="77777777" w:rsidR="00E628FE" w:rsidRPr="00333A62" w:rsidRDefault="00E628FE" w:rsidP="00D418FF">
      <w:pPr>
        <w:pStyle w:val="Paragraphedeliste"/>
        <w:numPr>
          <w:ilvl w:val="0"/>
          <w:numId w:val="5"/>
        </w:numPr>
        <w:spacing w:before="120" w:after="120" w:line="276" w:lineRule="auto"/>
        <w:jc w:val="both"/>
        <w:rPr>
          <w:rFonts w:ascii="Times New Roman" w:hAnsi="Times New Roman" w:cs="Times New Roman"/>
          <w:b/>
          <w:sz w:val="24"/>
          <w:szCs w:val="24"/>
        </w:rPr>
      </w:pPr>
      <w:r w:rsidRPr="00333A62">
        <w:rPr>
          <w:rFonts w:ascii="Times New Roman" w:hAnsi="Times New Roman" w:cs="Times New Roman"/>
          <w:b/>
          <w:sz w:val="24"/>
          <w:szCs w:val="24"/>
        </w:rPr>
        <w:t>Production locale des produits médicaux</w:t>
      </w:r>
    </w:p>
    <w:p w14:paraId="4D8CC560" w14:textId="77777777" w:rsidR="00E628FE" w:rsidRPr="00333A62"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Le problème de l’accès aux médicaments est surtout lié au faible développement de l’industrie pharmaceutique locale. Ces industries au nombre de 8 (CIPHARM, LPCI, OLEA, LIC PHARMA, DERMOPHARM, GALEFOMY, PHARMIVOIRE NOUVELLE, ROUGIER), ont une production annuelle qui couvre environ 10 à 15 % des besoins exprimés de la population, selon le document de Politique Pharmaceutique Nationale du Ministère de la Santé et de l’Hygiène Publique. </w:t>
      </w:r>
    </w:p>
    <w:p w14:paraId="2C7CE4B8" w14:textId="77777777" w:rsidR="00E628FE" w:rsidRPr="00333A62"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Seules Cinq (5) industries locales sur les 8 existantes fabriquent des médicaments génériques sous licence d’exploitation de brevets des industries pharmaceutiques étrangères. </w:t>
      </w:r>
    </w:p>
    <w:p w14:paraId="4E5F2F73" w14:textId="77777777" w:rsidR="00E628FE" w:rsidRPr="00333A62"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Le contexte réglementaire pouvant favoriser le développement de la production locale de médicament n’est pas clairement défini. En effet, la place donnée à la production locale dans les textes régissant l’activité pharmaceutique en Côte d’Ivoire est marginale et les taxes à l’importation sur les matières premières et les équipements destinés à l’industrie pharmaceutique constituent un handicap. De plus, les producteurs locaux ne bénéficient pas de mesures réglementaires relatives aux débouchés sur le marché local pour leur production. </w:t>
      </w:r>
    </w:p>
    <w:p w14:paraId="34AC28FE" w14:textId="77777777" w:rsidR="00E628FE" w:rsidRPr="00333A62"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La Côte d’Ivoire n’a pas intégré les flexibilités de l’Accord sur les Aspects de Droits de Propriété Intellectuelle relatifs au Commerce (ADPIC) dans sa loi nationale. L’industrie locale s’est contentée de limiter sa production aux molécules essentielles reconnues non couvertes par des brevets.</w:t>
      </w:r>
    </w:p>
    <w:p w14:paraId="4BAD666C" w14:textId="77777777" w:rsidR="00E628FE" w:rsidRDefault="00E628FE"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Ce faible niveau de 10% de la production (tant au niveau de la quantité des produits que la diversification des produits pharmaceutiques) au plan national des médicaments ne permettant pas une couverture des besoins nationaux, oblige le pays à un recours à l’importation des médicaments. En effet, le marché pharmaceutique ivoirien est approvisionné par l’importation de médicaments (90%) et la production locale (10%). Le marché pharmaceutique total, public et privé, a représenté en 2007 un montant de 152.2 milliards de FCFA dont 145 milliards pour le secteur privé, soit 91,65%. Deux catégories de structures sont chargées de l’importation des médicaments ; la Nouvelle </w:t>
      </w:r>
      <w:r w:rsidRPr="00333A62">
        <w:rPr>
          <w:rFonts w:ascii="Times New Roman" w:hAnsi="Times New Roman" w:cs="Times New Roman"/>
          <w:sz w:val="24"/>
          <w:szCs w:val="24"/>
          <w:lang w:val="fr-CI"/>
        </w:rPr>
        <w:lastRenderedPageBreak/>
        <w:t>Pharmacie de la Santé Publique (NPSP) pour le public et les grossistes répartiteurs privés : LABOREX-CI, DPCI, COPHARMED et TEDIS PHARMA. L’activité de ces structures ne reflète pas à elle seules les données exhaustives en raison des importations directes par les officines de pharmacie et de l’existence de circuits parallèles, selon le document de Politique Pharmaceutique Nationale du Ministère de la Santé et de l’Hygiène Publique.</w:t>
      </w:r>
    </w:p>
    <w:p w14:paraId="3E72B9E9" w14:textId="77777777" w:rsidR="00F96D4E" w:rsidRPr="00333A62" w:rsidRDefault="00F96D4E" w:rsidP="00333A62">
      <w:pPr>
        <w:spacing w:before="120" w:after="120" w:line="276" w:lineRule="auto"/>
        <w:jc w:val="both"/>
        <w:rPr>
          <w:rFonts w:ascii="Times New Roman" w:hAnsi="Times New Roman" w:cs="Times New Roman"/>
          <w:sz w:val="24"/>
          <w:szCs w:val="24"/>
          <w:lang w:val="fr-CI"/>
        </w:rPr>
      </w:pPr>
    </w:p>
    <w:p w14:paraId="563F2861" w14:textId="77777777" w:rsidR="00E628FE" w:rsidRPr="00333A62" w:rsidRDefault="00E628FE" w:rsidP="00D418FF">
      <w:pPr>
        <w:pStyle w:val="Paragraphedeliste"/>
        <w:numPr>
          <w:ilvl w:val="0"/>
          <w:numId w:val="5"/>
        </w:numPr>
        <w:spacing w:before="120" w:after="120" w:line="276" w:lineRule="auto"/>
        <w:jc w:val="both"/>
        <w:rPr>
          <w:rFonts w:ascii="Times New Roman" w:hAnsi="Times New Roman" w:cs="Times New Roman"/>
          <w:b/>
          <w:sz w:val="24"/>
          <w:szCs w:val="24"/>
        </w:rPr>
      </w:pPr>
      <w:r w:rsidRPr="00333A62">
        <w:rPr>
          <w:rFonts w:ascii="Times New Roman" w:hAnsi="Times New Roman" w:cs="Times New Roman"/>
          <w:b/>
          <w:sz w:val="24"/>
          <w:szCs w:val="24"/>
        </w:rPr>
        <w:t>Produits médicaux illicites ou falsifiés</w:t>
      </w:r>
    </w:p>
    <w:p w14:paraId="4FFD07B3" w14:textId="77777777" w:rsidR="00E628FE" w:rsidRPr="00333A62" w:rsidRDefault="00E628FE" w:rsidP="00333A62">
      <w:pPr>
        <w:autoSpaceDE w:val="0"/>
        <w:autoSpaceDN w:val="0"/>
        <w:adjustRightInd w:val="0"/>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Le marché parallèle du médicament a pris une ampleur inquiétante. Selon le document de Politique Pharmaceutique Nationale du Ministère de la Santé, Il est estimé à environ un tiers du marché du médicament. Le marché pharmaceutique illicite est difficile à évaluer, compte tenu du nombre de transactions clandestines. Les lieux de ventes sont dispersés à travers tout le pays mais le plus grand marché est celui de Roxy, situé à Abidjan (dans la commune d’Adjamé). Le marché illicite a pu se développer pour différentes raisons :</w:t>
      </w:r>
    </w:p>
    <w:p w14:paraId="391D3E89" w14:textId="77777777" w:rsidR="00E628FE" w:rsidRPr="00333A62" w:rsidRDefault="00E628FE" w:rsidP="00F96D4E">
      <w:pPr>
        <w:pStyle w:val="Paragraphedeliste"/>
        <w:numPr>
          <w:ilvl w:val="0"/>
          <w:numId w:val="4"/>
        </w:numPr>
        <w:autoSpaceDE w:val="0"/>
        <w:autoSpaceDN w:val="0"/>
        <w:adjustRightInd w:val="0"/>
        <w:spacing w:before="120" w:after="120" w:line="276" w:lineRule="auto"/>
        <w:ind w:left="709" w:hanging="283"/>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La disponibilité insuffisante des médicaments dans le secteur public ;</w:t>
      </w:r>
    </w:p>
    <w:p w14:paraId="31F4E5D0" w14:textId="77777777" w:rsidR="00E628FE" w:rsidRPr="00333A62" w:rsidRDefault="00E628FE" w:rsidP="00F96D4E">
      <w:pPr>
        <w:pStyle w:val="Paragraphedeliste"/>
        <w:numPr>
          <w:ilvl w:val="0"/>
          <w:numId w:val="4"/>
        </w:numPr>
        <w:autoSpaceDE w:val="0"/>
        <w:autoSpaceDN w:val="0"/>
        <w:adjustRightInd w:val="0"/>
        <w:spacing w:before="120" w:after="120" w:line="276" w:lineRule="auto"/>
        <w:ind w:left="709" w:hanging="283"/>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L’inaccessibilité financière dans le secteur privé ;</w:t>
      </w:r>
    </w:p>
    <w:p w14:paraId="1B212073" w14:textId="77777777" w:rsidR="00E628FE" w:rsidRPr="00333A62" w:rsidRDefault="00E628FE" w:rsidP="00F96D4E">
      <w:pPr>
        <w:pStyle w:val="Paragraphedeliste"/>
        <w:numPr>
          <w:ilvl w:val="0"/>
          <w:numId w:val="4"/>
        </w:numPr>
        <w:autoSpaceDE w:val="0"/>
        <w:autoSpaceDN w:val="0"/>
        <w:adjustRightInd w:val="0"/>
        <w:spacing w:before="120" w:after="120" w:line="276" w:lineRule="auto"/>
        <w:ind w:left="709" w:hanging="283"/>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La facilité d’accès au marché illicite : les médicaments sont jugés moins chers ; l’accès à ces médicaments semble plus facile (proximité du lieu de travail, sans nécessité d’ordonnances, vente à l’unité et vente à crédit);</w:t>
      </w:r>
    </w:p>
    <w:p w14:paraId="60E6A4FB" w14:textId="77777777" w:rsidR="00E628FE" w:rsidRPr="00333A62" w:rsidRDefault="00E628FE" w:rsidP="00F96D4E">
      <w:pPr>
        <w:pStyle w:val="Paragraphedeliste"/>
        <w:numPr>
          <w:ilvl w:val="0"/>
          <w:numId w:val="4"/>
        </w:numPr>
        <w:autoSpaceDE w:val="0"/>
        <w:autoSpaceDN w:val="0"/>
        <w:adjustRightInd w:val="0"/>
        <w:spacing w:before="120" w:after="120" w:line="276" w:lineRule="auto"/>
        <w:ind w:left="709" w:hanging="283"/>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la culture du recours à l’informel ;</w:t>
      </w:r>
    </w:p>
    <w:p w14:paraId="0B541CC9" w14:textId="77777777" w:rsidR="00E628FE" w:rsidRPr="00333A62" w:rsidRDefault="00E628FE" w:rsidP="00F96D4E">
      <w:pPr>
        <w:pStyle w:val="Paragraphedeliste"/>
        <w:numPr>
          <w:ilvl w:val="0"/>
          <w:numId w:val="4"/>
        </w:numPr>
        <w:autoSpaceDE w:val="0"/>
        <w:autoSpaceDN w:val="0"/>
        <w:adjustRightInd w:val="0"/>
        <w:spacing w:before="120" w:after="120" w:line="276" w:lineRule="auto"/>
        <w:ind w:left="709" w:hanging="283"/>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le manque d’information et d’éducation à la santé ;</w:t>
      </w:r>
    </w:p>
    <w:p w14:paraId="34E0F834" w14:textId="77777777" w:rsidR="00E628FE" w:rsidRPr="00333A62" w:rsidRDefault="00E628FE" w:rsidP="00333A62">
      <w:pPr>
        <w:pStyle w:val="Paragraphedeliste"/>
        <w:autoSpaceDE w:val="0"/>
        <w:autoSpaceDN w:val="0"/>
        <w:adjustRightInd w:val="0"/>
        <w:spacing w:before="120" w:after="120" w:line="276" w:lineRule="auto"/>
        <w:ind w:left="0"/>
        <w:jc w:val="both"/>
        <w:rPr>
          <w:rFonts w:ascii="Times New Roman" w:hAnsi="Times New Roman" w:cs="Times New Roman"/>
          <w:sz w:val="24"/>
          <w:szCs w:val="24"/>
          <w:lang w:val="fr-CI"/>
        </w:rPr>
      </w:pPr>
    </w:p>
    <w:p w14:paraId="359EAAAC" w14:textId="77777777" w:rsidR="00E628FE" w:rsidRPr="00333A62" w:rsidRDefault="00E628FE" w:rsidP="00333A62">
      <w:pPr>
        <w:pStyle w:val="Paragraphedeliste"/>
        <w:autoSpaceDE w:val="0"/>
        <w:autoSpaceDN w:val="0"/>
        <w:adjustRightInd w:val="0"/>
        <w:spacing w:before="120" w:after="120" w:line="276" w:lineRule="auto"/>
        <w:ind w:left="0"/>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D’après une étude publiée en 2012 par The Lancet, la détection des médicaments contrefaits est maintenant plus difficile, en raison de «la plus grande habileté des contrefacteurs à reproduire les hologrammes et autres procédés d’impression complexes ». Certains vont même jusqu’à ajouter des ingrédients actifs qui satisfont au contrôle de qualité sans procurer aucun effet bénéfique au consommateur.</w:t>
      </w:r>
    </w:p>
    <w:p w14:paraId="230662C6" w14:textId="745DE7C5" w:rsidR="00E628FE" w:rsidRPr="00333A62" w:rsidRDefault="00E628FE" w:rsidP="00333A62">
      <w:pPr>
        <w:pStyle w:val="Paragraphedeliste"/>
        <w:autoSpaceDE w:val="0"/>
        <w:autoSpaceDN w:val="0"/>
        <w:adjustRightInd w:val="0"/>
        <w:spacing w:before="120" w:after="120" w:line="276" w:lineRule="auto"/>
        <w:ind w:left="0"/>
        <w:jc w:val="both"/>
        <w:rPr>
          <w:rFonts w:ascii="Times New Roman" w:eastAsia="Times New Roman" w:hAnsi="Times New Roman" w:cs="Times New Roman"/>
          <w:b/>
          <w:bCs/>
          <w:sz w:val="24"/>
          <w:szCs w:val="24"/>
          <w:lang w:eastAsia="en-GB"/>
        </w:rPr>
      </w:pPr>
      <w:r w:rsidRPr="00333A62">
        <w:rPr>
          <w:rFonts w:ascii="Times New Roman" w:eastAsia="Times New Roman" w:hAnsi="Times New Roman" w:cs="Times New Roman"/>
          <w:b/>
          <w:bCs/>
          <w:sz w:val="24"/>
          <w:szCs w:val="24"/>
          <w:lang w:eastAsia="en-GB"/>
        </w:rPr>
        <w:br/>
        <w:t>Des con</w:t>
      </w:r>
      <w:r w:rsidR="00F96D4E">
        <w:rPr>
          <w:rFonts w:ascii="Times New Roman" w:eastAsia="Times New Roman" w:hAnsi="Times New Roman" w:cs="Times New Roman"/>
          <w:b/>
          <w:bCs/>
          <w:sz w:val="24"/>
          <w:szCs w:val="24"/>
          <w:lang w:eastAsia="en-GB"/>
        </w:rPr>
        <w:t>séquences sanitaires, sociales</w:t>
      </w:r>
      <w:r w:rsidRPr="00333A62">
        <w:rPr>
          <w:rFonts w:ascii="Times New Roman" w:eastAsia="Times New Roman" w:hAnsi="Times New Roman" w:cs="Times New Roman"/>
          <w:b/>
          <w:bCs/>
          <w:sz w:val="24"/>
          <w:szCs w:val="24"/>
          <w:lang w:eastAsia="en-GB"/>
        </w:rPr>
        <w:t xml:space="preserve"> désastreuses</w:t>
      </w:r>
    </w:p>
    <w:p w14:paraId="47081B0C" w14:textId="5E1AE6BE" w:rsidR="00E628FE" w:rsidRPr="00333A62" w:rsidRDefault="00E628FE" w:rsidP="00333A62">
      <w:pPr>
        <w:pStyle w:val="Paragraphedeliste"/>
        <w:autoSpaceDE w:val="0"/>
        <w:autoSpaceDN w:val="0"/>
        <w:adjustRightInd w:val="0"/>
        <w:spacing w:before="120" w:after="120" w:line="276" w:lineRule="auto"/>
        <w:ind w:left="0"/>
        <w:jc w:val="both"/>
        <w:rPr>
          <w:rFonts w:ascii="Times New Roman" w:hAnsi="Times New Roman" w:cs="Times New Roman"/>
          <w:sz w:val="24"/>
          <w:szCs w:val="24"/>
        </w:rPr>
      </w:pPr>
      <w:r w:rsidRPr="00F96D4E">
        <w:rPr>
          <w:rFonts w:ascii="Times New Roman" w:eastAsia="Times New Roman" w:hAnsi="Times New Roman" w:cs="Times New Roman"/>
          <w:i/>
          <w:sz w:val="24"/>
          <w:szCs w:val="24"/>
          <w:u w:val="single"/>
          <w:lang w:eastAsia="en-GB"/>
        </w:rPr>
        <w:t>Sur le plan sanitaire,</w:t>
      </w:r>
      <w:r w:rsidRPr="00333A62">
        <w:rPr>
          <w:rFonts w:ascii="Times New Roman" w:eastAsia="Times New Roman" w:hAnsi="Times New Roman" w:cs="Times New Roman"/>
          <w:sz w:val="24"/>
          <w:szCs w:val="24"/>
          <w:lang w:eastAsia="en-GB"/>
        </w:rPr>
        <w:t xml:space="preserve"> selon l’Organisation </w:t>
      </w:r>
      <w:r w:rsidR="00F96D4E" w:rsidRPr="00333A62">
        <w:rPr>
          <w:rFonts w:ascii="Times New Roman" w:eastAsia="Times New Roman" w:hAnsi="Times New Roman" w:cs="Times New Roman"/>
          <w:sz w:val="24"/>
          <w:szCs w:val="24"/>
          <w:lang w:eastAsia="en-GB"/>
        </w:rPr>
        <w:t xml:space="preserve">Mondiale </w:t>
      </w:r>
      <w:r w:rsidRPr="00333A62">
        <w:rPr>
          <w:rFonts w:ascii="Times New Roman" w:eastAsia="Times New Roman" w:hAnsi="Times New Roman" w:cs="Times New Roman"/>
          <w:sz w:val="24"/>
          <w:szCs w:val="24"/>
          <w:lang w:eastAsia="en-GB"/>
        </w:rPr>
        <w:t xml:space="preserve">de la </w:t>
      </w:r>
      <w:r w:rsidR="00F96D4E" w:rsidRPr="00333A62">
        <w:rPr>
          <w:rFonts w:ascii="Times New Roman" w:eastAsia="Times New Roman" w:hAnsi="Times New Roman" w:cs="Times New Roman"/>
          <w:sz w:val="24"/>
          <w:szCs w:val="24"/>
          <w:lang w:eastAsia="en-GB"/>
        </w:rPr>
        <w:t xml:space="preserve">Santé </w:t>
      </w:r>
      <w:r w:rsidRPr="00333A62">
        <w:rPr>
          <w:rFonts w:ascii="Times New Roman" w:eastAsia="Times New Roman" w:hAnsi="Times New Roman" w:cs="Times New Roman"/>
          <w:sz w:val="24"/>
          <w:szCs w:val="24"/>
          <w:lang w:eastAsia="en-GB"/>
        </w:rPr>
        <w:t xml:space="preserve">(OMS), près de 100 000 décès par an sont liés au commerce de médicaments contrefaits en Afrique. Le groupe de réflexion britannique International Policy Network estime que les faux antituberculeux et antipaludiques sont </w:t>
      </w:r>
      <w:r w:rsidRPr="00F96D4E">
        <w:rPr>
          <w:rFonts w:ascii="Times New Roman" w:eastAsia="Times New Roman" w:hAnsi="Times New Roman" w:cs="Times New Roman"/>
          <w:sz w:val="24"/>
          <w:szCs w:val="24"/>
          <w:lang w:eastAsia="en-GB"/>
        </w:rPr>
        <w:t>à l’origine de 700 000 décès par an dans le monde, l’équivalent de « quatre avions gros-porteurs remplis de passagers s’écrasant chaque jour ».</w:t>
      </w:r>
      <w:r w:rsidRPr="00333A62">
        <w:rPr>
          <w:rFonts w:ascii="Times New Roman" w:eastAsia="Times New Roman" w:hAnsi="Times New Roman" w:cs="Times New Roman"/>
          <w:sz w:val="24"/>
          <w:szCs w:val="24"/>
          <w:lang w:eastAsia="en-GB"/>
        </w:rPr>
        <w:t xml:space="preserve"> Ces conséquences sanitaires relèvent essentiellement de l’automédication, des indications erronées, des erreurs médicamenteuses, des surdosages, de l’abus, du mésusage, des syndromes de sevrage, de l’inefficacité thérapeutique, des produits défectueux (produits toxiques de dégradation), des produits de mauvaise qualité (impuretés toxiques ou dose supérieur à la Dose Journalière Admissible), de la pharmacodépendance. Avant tout, il s’agit d’intoxications cliniques aigues ou chroniques, d’échecs thérapeutiques, de développement de résistance aux antibiotiques, aux antipaludiques.</w:t>
      </w:r>
    </w:p>
    <w:p w14:paraId="1D028263" w14:textId="77777777" w:rsidR="00E628FE" w:rsidRPr="00333A62" w:rsidRDefault="00E628FE" w:rsidP="00333A62">
      <w:pPr>
        <w:pStyle w:val="Paragraphedeliste"/>
        <w:autoSpaceDE w:val="0"/>
        <w:autoSpaceDN w:val="0"/>
        <w:adjustRightInd w:val="0"/>
        <w:spacing w:before="120" w:after="120" w:line="276" w:lineRule="auto"/>
        <w:ind w:left="0"/>
        <w:jc w:val="both"/>
        <w:rPr>
          <w:rFonts w:ascii="Times New Roman" w:hAnsi="Times New Roman" w:cs="Times New Roman"/>
          <w:sz w:val="24"/>
          <w:szCs w:val="24"/>
        </w:rPr>
      </w:pPr>
    </w:p>
    <w:p w14:paraId="0450E071" w14:textId="77777777" w:rsidR="00E628FE" w:rsidRPr="00333A62" w:rsidRDefault="00E628FE" w:rsidP="00333A62">
      <w:pPr>
        <w:pStyle w:val="Paragraphedeliste"/>
        <w:autoSpaceDE w:val="0"/>
        <w:autoSpaceDN w:val="0"/>
        <w:adjustRightInd w:val="0"/>
        <w:spacing w:before="120" w:after="120" w:line="276" w:lineRule="auto"/>
        <w:ind w:left="0"/>
        <w:jc w:val="both"/>
        <w:rPr>
          <w:rFonts w:ascii="Times New Roman" w:hAnsi="Times New Roman" w:cs="Times New Roman"/>
          <w:sz w:val="24"/>
          <w:szCs w:val="24"/>
        </w:rPr>
      </w:pPr>
      <w:r w:rsidRPr="00333A62">
        <w:rPr>
          <w:rFonts w:ascii="Times New Roman" w:eastAsia="Times New Roman" w:hAnsi="Times New Roman" w:cs="Times New Roman"/>
          <w:i/>
          <w:sz w:val="24"/>
          <w:szCs w:val="24"/>
          <w:u w:val="single"/>
          <w:lang w:eastAsia="en-GB"/>
        </w:rPr>
        <w:lastRenderedPageBreak/>
        <w:t>Au plan social</w:t>
      </w:r>
      <w:r w:rsidRPr="00333A62">
        <w:rPr>
          <w:rFonts w:ascii="Times New Roman" w:hAnsi="Times New Roman" w:cs="Times New Roman"/>
          <w:sz w:val="24"/>
          <w:szCs w:val="24"/>
        </w:rPr>
        <w:t>, le retentissement de ce trafic est une vraie hantise à cause de l’ascension de la délinquance, la criminalité, la toxicomanie, le vagabondage sexuel, la flambée des avortements clandestins, car les adeptes ont à leur disposition toutes les classes pharmacologiques nécessaires.</w:t>
      </w:r>
    </w:p>
    <w:p w14:paraId="2DBF05AD" w14:textId="77777777" w:rsidR="00E628FE" w:rsidRPr="00333A62" w:rsidRDefault="00E628FE" w:rsidP="00333A62">
      <w:pPr>
        <w:pStyle w:val="Paragraphedeliste"/>
        <w:autoSpaceDE w:val="0"/>
        <w:autoSpaceDN w:val="0"/>
        <w:adjustRightInd w:val="0"/>
        <w:spacing w:before="120" w:after="120" w:line="276" w:lineRule="auto"/>
        <w:ind w:left="0"/>
        <w:jc w:val="both"/>
        <w:rPr>
          <w:rFonts w:ascii="Times New Roman" w:hAnsi="Times New Roman" w:cs="Times New Roman"/>
          <w:sz w:val="24"/>
          <w:szCs w:val="24"/>
        </w:rPr>
      </w:pPr>
      <w:r w:rsidRPr="00333A62">
        <w:rPr>
          <w:rFonts w:ascii="Times New Roman" w:hAnsi="Times New Roman" w:cs="Times New Roman"/>
          <w:sz w:val="24"/>
          <w:szCs w:val="24"/>
        </w:rPr>
        <w:br/>
      </w:r>
      <w:r w:rsidRPr="00333A62">
        <w:rPr>
          <w:rFonts w:ascii="Times New Roman" w:eastAsia="Times New Roman" w:hAnsi="Times New Roman" w:cs="Times New Roman"/>
          <w:i/>
          <w:sz w:val="24"/>
          <w:szCs w:val="24"/>
          <w:u w:val="single"/>
          <w:lang w:eastAsia="en-GB"/>
        </w:rPr>
        <w:t>Au plan économique</w:t>
      </w:r>
      <w:r w:rsidRPr="00333A62">
        <w:rPr>
          <w:rFonts w:ascii="Times New Roman" w:hAnsi="Times New Roman" w:cs="Times New Roman"/>
          <w:sz w:val="24"/>
          <w:szCs w:val="24"/>
        </w:rPr>
        <w:t>, c’est une perte importante de la part du marché aux pharmaciens qui n’ont autre source de rémunération que les marges sur la vente des médicaments. Pour l’administration fiscale et la douane ivoirienne, c’est une fuite importante de taxes.</w:t>
      </w:r>
    </w:p>
    <w:p w14:paraId="14498149" w14:textId="77777777" w:rsidR="00E628FE" w:rsidRPr="00333A62" w:rsidRDefault="00E628FE" w:rsidP="00333A62">
      <w:pPr>
        <w:pStyle w:val="Paragraphedeliste"/>
        <w:autoSpaceDE w:val="0"/>
        <w:autoSpaceDN w:val="0"/>
        <w:adjustRightInd w:val="0"/>
        <w:spacing w:before="120" w:after="120" w:line="276" w:lineRule="auto"/>
        <w:ind w:left="0"/>
        <w:jc w:val="both"/>
        <w:rPr>
          <w:rFonts w:ascii="Times New Roman" w:hAnsi="Times New Roman" w:cs="Times New Roman"/>
          <w:sz w:val="24"/>
          <w:szCs w:val="24"/>
        </w:rPr>
      </w:pPr>
    </w:p>
    <w:p w14:paraId="62F19347" w14:textId="77777777" w:rsidR="00E628FE" w:rsidRPr="00333A62" w:rsidRDefault="00E628FE" w:rsidP="00333A62">
      <w:pPr>
        <w:pStyle w:val="Paragraphedeliste"/>
        <w:autoSpaceDE w:val="0"/>
        <w:autoSpaceDN w:val="0"/>
        <w:adjustRightInd w:val="0"/>
        <w:spacing w:before="120" w:after="120" w:line="276" w:lineRule="auto"/>
        <w:ind w:left="0"/>
        <w:jc w:val="both"/>
        <w:rPr>
          <w:rFonts w:ascii="Times New Roman" w:hAnsi="Times New Roman" w:cs="Times New Roman"/>
          <w:sz w:val="24"/>
          <w:szCs w:val="24"/>
        </w:rPr>
      </w:pPr>
      <w:r w:rsidRPr="00333A62">
        <w:rPr>
          <w:rFonts w:ascii="Times New Roman" w:eastAsia="Times New Roman" w:hAnsi="Times New Roman" w:cs="Times New Roman"/>
          <w:i/>
          <w:sz w:val="24"/>
          <w:szCs w:val="24"/>
          <w:u w:val="single"/>
          <w:lang w:eastAsia="en-GB"/>
        </w:rPr>
        <w:t>Au plan juridique</w:t>
      </w:r>
      <w:r w:rsidRPr="00333A62">
        <w:rPr>
          <w:rFonts w:ascii="Times New Roman" w:hAnsi="Times New Roman" w:cs="Times New Roman"/>
          <w:sz w:val="24"/>
          <w:szCs w:val="24"/>
        </w:rPr>
        <w:t>, d’après la convention 182 du bureau international du travail (BIT), il y a violation des droits de l’enfant par leur recrutement aux fins d’activités illicites, ici, le trafic illicite des médicaments et des stupéfiants.</w:t>
      </w:r>
    </w:p>
    <w:p w14:paraId="68ABE8C0" w14:textId="77777777" w:rsidR="00E628FE" w:rsidRPr="00333A62" w:rsidRDefault="00E628FE" w:rsidP="00333A62">
      <w:pPr>
        <w:pStyle w:val="Paragraphedeliste"/>
        <w:autoSpaceDE w:val="0"/>
        <w:autoSpaceDN w:val="0"/>
        <w:adjustRightInd w:val="0"/>
        <w:spacing w:before="120" w:after="120" w:line="276" w:lineRule="auto"/>
        <w:ind w:left="0"/>
        <w:jc w:val="both"/>
        <w:rPr>
          <w:rFonts w:ascii="Times New Roman" w:hAnsi="Times New Roman" w:cs="Times New Roman"/>
          <w:sz w:val="24"/>
          <w:szCs w:val="24"/>
        </w:rPr>
      </w:pPr>
    </w:p>
    <w:p w14:paraId="260D056A" w14:textId="77777777" w:rsidR="00E628FE" w:rsidRPr="00333A62" w:rsidRDefault="00E628FE" w:rsidP="00C26D45">
      <w:pPr>
        <w:spacing w:before="120" w:after="120" w:line="276" w:lineRule="auto"/>
        <w:jc w:val="both"/>
        <w:rPr>
          <w:rStyle w:val="s2"/>
          <w:rFonts w:ascii="Times New Roman" w:hAnsi="Times New Roman" w:cs="Times New Roman"/>
          <w:sz w:val="24"/>
          <w:szCs w:val="24"/>
        </w:rPr>
      </w:pPr>
      <w:r w:rsidRPr="00333A62">
        <w:rPr>
          <w:rStyle w:val="s2"/>
          <w:rFonts w:ascii="Times New Roman" w:hAnsi="Times New Roman" w:cs="Times New Roman"/>
          <w:sz w:val="24"/>
          <w:szCs w:val="24"/>
        </w:rPr>
        <w:t>Ces conséquences néfastes des</w:t>
      </w:r>
      <w:r w:rsidRPr="00333A62">
        <w:rPr>
          <w:rFonts w:ascii="Times New Roman" w:eastAsia="Times New Roman" w:hAnsi="Times New Roman" w:cs="Times New Roman"/>
          <w:sz w:val="24"/>
          <w:szCs w:val="24"/>
          <w:lang w:eastAsia="en-GB"/>
        </w:rPr>
        <w:t xml:space="preserve"> médicaments contrefaits </w:t>
      </w:r>
      <w:r w:rsidRPr="00333A62">
        <w:rPr>
          <w:rStyle w:val="s2"/>
          <w:rFonts w:ascii="Times New Roman" w:hAnsi="Times New Roman" w:cs="Times New Roman"/>
          <w:sz w:val="24"/>
          <w:szCs w:val="24"/>
        </w:rPr>
        <w:t>ci-dessus mentionnées, plaident pour le développement des capacités locales de production des médicaments en vue d’assurer aux populations l’accès à des produits pharmaceutiques de qualité et réduire la dépendance des importations.</w:t>
      </w:r>
    </w:p>
    <w:p w14:paraId="720F5F88" w14:textId="77777777" w:rsidR="00AD6247" w:rsidRPr="00333A62" w:rsidRDefault="00AD6247" w:rsidP="00333A62">
      <w:pPr>
        <w:spacing w:before="120" w:after="120" w:line="276" w:lineRule="auto"/>
        <w:rPr>
          <w:rStyle w:val="s2"/>
          <w:rFonts w:ascii="Times New Roman" w:hAnsi="Times New Roman" w:cs="Times New Roman"/>
          <w:sz w:val="24"/>
          <w:szCs w:val="24"/>
        </w:rPr>
      </w:pPr>
    </w:p>
    <w:p w14:paraId="5C956A0E" w14:textId="77777777" w:rsidR="00E628FE" w:rsidRPr="00333A62" w:rsidRDefault="00E628FE" w:rsidP="00333A62">
      <w:pPr>
        <w:pStyle w:val="Titre2"/>
        <w:spacing w:before="120" w:after="120" w:line="276" w:lineRule="auto"/>
        <w:rPr>
          <w:rFonts w:ascii="Times New Roman" w:hAnsi="Times New Roman" w:cs="Times New Roman"/>
          <w:b/>
          <w:color w:val="0070C0"/>
          <w:sz w:val="24"/>
          <w:szCs w:val="24"/>
        </w:rPr>
      </w:pPr>
      <w:bookmarkStart w:id="53" w:name="_Toc1573800"/>
      <w:r w:rsidRPr="00333A62">
        <w:rPr>
          <w:rFonts w:ascii="Times New Roman" w:hAnsi="Times New Roman" w:cs="Times New Roman"/>
          <w:b/>
          <w:color w:val="0070C0"/>
          <w:sz w:val="24"/>
          <w:szCs w:val="24"/>
        </w:rPr>
        <w:t>Financement de la santé en Côte d’Ivoire</w:t>
      </w:r>
      <w:bookmarkEnd w:id="53"/>
    </w:p>
    <w:p w14:paraId="6B127DEA" w14:textId="1CC7D1FD" w:rsidR="00E628FE" w:rsidRPr="00333A62" w:rsidRDefault="00E628FE" w:rsidP="00333A62">
      <w:pPr>
        <w:spacing w:before="120" w:after="120" w:line="276" w:lineRule="auto"/>
        <w:jc w:val="both"/>
        <w:rPr>
          <w:rFonts w:ascii="Times New Roman" w:eastAsia="Times New Roman" w:hAnsi="Times New Roman" w:cs="Times New Roman"/>
          <w:color w:val="000000"/>
          <w:sz w:val="24"/>
          <w:szCs w:val="24"/>
          <w:lang w:eastAsia="fr-FR"/>
        </w:rPr>
      </w:pPr>
      <w:r w:rsidRPr="00333A62">
        <w:rPr>
          <w:rFonts w:ascii="Times New Roman" w:eastAsia="Times New Roman" w:hAnsi="Times New Roman" w:cs="Times New Roman"/>
          <w:color w:val="000000"/>
          <w:sz w:val="24"/>
          <w:szCs w:val="24"/>
          <w:lang w:eastAsia="fr-FR"/>
        </w:rPr>
        <w:t>Malgré les efforts du gouvernement sur plusieurs années à financer le secteur de la santé, la part des ressources publiques de l’</w:t>
      </w:r>
      <w:r w:rsidR="00F96D4E" w:rsidRPr="00333A62">
        <w:rPr>
          <w:rFonts w:ascii="Times New Roman" w:eastAsia="Times New Roman" w:hAnsi="Times New Roman" w:cs="Times New Roman"/>
          <w:color w:val="000000"/>
          <w:sz w:val="24"/>
          <w:szCs w:val="24"/>
          <w:lang w:eastAsia="fr-FR"/>
        </w:rPr>
        <w:t>État</w:t>
      </w:r>
      <w:r w:rsidRPr="00333A62">
        <w:rPr>
          <w:rFonts w:ascii="Times New Roman" w:eastAsia="Times New Roman" w:hAnsi="Times New Roman" w:cs="Times New Roman"/>
          <w:color w:val="000000"/>
          <w:sz w:val="24"/>
          <w:szCs w:val="24"/>
          <w:lang w:eastAsia="fr-FR"/>
        </w:rPr>
        <w:t xml:space="preserve"> allouée à la santé reste limitée représentant en moyenne 5,93% et le profil du financement de la santé demeure dominé par les paiements directs des ménages qui oscil</w:t>
      </w:r>
      <w:r w:rsidR="006676AE">
        <w:rPr>
          <w:rFonts w:ascii="Times New Roman" w:eastAsia="Times New Roman" w:hAnsi="Times New Roman" w:cs="Times New Roman"/>
          <w:color w:val="000000"/>
          <w:sz w:val="24"/>
          <w:szCs w:val="24"/>
          <w:lang w:eastAsia="fr-FR"/>
        </w:rPr>
        <w:t>lent avec une part moyenne de 43,</w:t>
      </w:r>
      <w:r w:rsidRPr="00333A62">
        <w:rPr>
          <w:rFonts w:ascii="Times New Roman" w:eastAsia="Times New Roman" w:hAnsi="Times New Roman" w:cs="Times New Roman"/>
          <w:color w:val="000000"/>
          <w:sz w:val="24"/>
          <w:szCs w:val="24"/>
          <w:lang w:eastAsia="fr-FR"/>
        </w:rPr>
        <w:t>5</w:t>
      </w:r>
      <w:r w:rsidR="006676AE">
        <w:rPr>
          <w:rFonts w:ascii="Times New Roman" w:eastAsia="Times New Roman" w:hAnsi="Times New Roman" w:cs="Times New Roman"/>
          <w:color w:val="000000"/>
          <w:sz w:val="24"/>
          <w:szCs w:val="24"/>
          <w:lang w:eastAsia="fr-FR"/>
        </w:rPr>
        <w:t>8</w:t>
      </w:r>
      <w:r w:rsidRPr="00333A62">
        <w:rPr>
          <w:rFonts w:ascii="Times New Roman" w:eastAsia="Times New Roman" w:hAnsi="Times New Roman" w:cs="Times New Roman"/>
          <w:color w:val="000000"/>
          <w:sz w:val="24"/>
          <w:szCs w:val="24"/>
          <w:lang w:eastAsia="fr-FR"/>
        </w:rPr>
        <w:t xml:space="preserve">% dans les dépenses totales de santé selon les résultats des comptes de la santé sur la période 2012 - 2016. Ce profil du financement traduit en partie un risque élevé d’exposition des ménages aux dépenses catastrophiques de santé. </w:t>
      </w:r>
    </w:p>
    <w:p w14:paraId="3F756A40" w14:textId="77777777" w:rsidR="00E628FE" w:rsidRPr="00333A62" w:rsidRDefault="00E628FE" w:rsidP="00333A62">
      <w:pPr>
        <w:spacing w:before="120" w:after="120" w:line="276" w:lineRule="auto"/>
        <w:jc w:val="both"/>
        <w:rPr>
          <w:rFonts w:ascii="Times New Roman" w:eastAsia="Times New Roman" w:hAnsi="Times New Roman" w:cs="Times New Roman"/>
          <w:color w:val="000000"/>
          <w:sz w:val="24"/>
          <w:szCs w:val="24"/>
          <w:lang w:eastAsia="fr-FR"/>
        </w:rPr>
      </w:pPr>
      <w:r w:rsidRPr="00333A62">
        <w:rPr>
          <w:rFonts w:ascii="Times New Roman" w:eastAsia="Times New Roman" w:hAnsi="Times New Roman" w:cs="Times New Roman"/>
          <w:color w:val="000000"/>
          <w:sz w:val="24"/>
          <w:szCs w:val="24"/>
          <w:lang w:eastAsia="fr-FR"/>
        </w:rPr>
        <w:t>La disponibilité de ressources publiques suffisantes pour la santé reste donc un défi pour le pays.</w:t>
      </w:r>
    </w:p>
    <w:p w14:paraId="1679F6D7" w14:textId="77777777" w:rsidR="00E628FE" w:rsidRPr="00333A62" w:rsidRDefault="00E628FE" w:rsidP="00333A62">
      <w:pPr>
        <w:spacing w:before="120" w:after="120" w:line="276" w:lineRule="auto"/>
        <w:jc w:val="both"/>
        <w:rPr>
          <w:rFonts w:ascii="Times New Roman" w:eastAsia="Times New Roman" w:hAnsi="Times New Roman" w:cs="Times New Roman"/>
          <w:color w:val="000000"/>
          <w:sz w:val="24"/>
          <w:szCs w:val="24"/>
          <w:lang w:eastAsia="fr-FR"/>
        </w:rPr>
      </w:pPr>
      <w:r w:rsidRPr="00333A62">
        <w:rPr>
          <w:rFonts w:ascii="Times New Roman" w:eastAsia="Times New Roman" w:hAnsi="Times New Roman" w:cs="Times New Roman"/>
          <w:color w:val="000000"/>
          <w:sz w:val="24"/>
          <w:szCs w:val="24"/>
          <w:lang w:eastAsia="fr-FR"/>
        </w:rPr>
        <w:t>Parallèlement à cela, lorsqu’on considère le PIB du pays qui est passé de 2 762 USD PPA en 2012 à 3 953USD PPA en 2017</w:t>
      </w:r>
      <w:r w:rsidRPr="00333A62">
        <w:rPr>
          <w:rStyle w:val="Appelnotedebasdep"/>
          <w:rFonts w:ascii="Times New Roman" w:eastAsia="Times New Roman" w:hAnsi="Times New Roman" w:cs="Times New Roman"/>
          <w:color w:val="000000"/>
          <w:sz w:val="24"/>
          <w:szCs w:val="24"/>
          <w:lang w:eastAsia="fr-FR"/>
        </w:rPr>
        <w:footnoteReference w:id="11"/>
      </w:r>
      <w:r w:rsidRPr="00333A62">
        <w:rPr>
          <w:rFonts w:ascii="Times New Roman" w:eastAsia="Times New Roman" w:hAnsi="Times New Roman" w:cs="Times New Roman"/>
          <w:color w:val="000000"/>
          <w:sz w:val="24"/>
          <w:szCs w:val="24"/>
          <w:lang w:eastAsia="fr-FR"/>
        </w:rPr>
        <w:t xml:space="preserve"> lui permettant d’être classé  parmi les pays à revenu intermédiaire tranche inférieure et le très bon niveau de croissance obtenu ces dernières années estimé en moyenne à 8,89% sur la période de 2012 à 2017</w:t>
      </w:r>
      <w:r w:rsidRPr="00333A62">
        <w:rPr>
          <w:rStyle w:val="Appelnotedebasdep"/>
          <w:rFonts w:ascii="Times New Roman" w:eastAsia="Times New Roman" w:hAnsi="Times New Roman" w:cs="Times New Roman"/>
          <w:color w:val="000000"/>
          <w:sz w:val="24"/>
          <w:szCs w:val="24"/>
          <w:lang w:eastAsia="fr-FR"/>
        </w:rPr>
        <w:footnoteReference w:id="12"/>
      </w:r>
      <w:r w:rsidRPr="00333A62">
        <w:rPr>
          <w:rFonts w:ascii="Times New Roman" w:eastAsia="Times New Roman" w:hAnsi="Times New Roman" w:cs="Times New Roman"/>
          <w:color w:val="000000"/>
          <w:sz w:val="24"/>
          <w:szCs w:val="24"/>
          <w:lang w:eastAsia="fr-FR"/>
        </w:rPr>
        <w:t>, d’une part le niveau des dépenses totales de santé per capita et celui des dépenses publiques de santé per capita estimé respectivement à 187 USD PPA et 55 USD PPA pour l’année 2014</w:t>
      </w:r>
      <w:r w:rsidRPr="00333A62">
        <w:rPr>
          <w:rStyle w:val="Appelnotedebasdep"/>
          <w:rFonts w:ascii="Times New Roman" w:eastAsia="Times New Roman" w:hAnsi="Times New Roman" w:cs="Times New Roman"/>
          <w:color w:val="000000"/>
          <w:sz w:val="24"/>
          <w:szCs w:val="24"/>
          <w:lang w:eastAsia="fr-FR"/>
        </w:rPr>
        <w:footnoteReference w:id="13"/>
      </w:r>
      <w:r w:rsidRPr="00333A62">
        <w:rPr>
          <w:rFonts w:ascii="Times New Roman" w:eastAsia="Times New Roman" w:hAnsi="Times New Roman" w:cs="Times New Roman"/>
          <w:color w:val="000000"/>
          <w:sz w:val="24"/>
          <w:szCs w:val="24"/>
          <w:lang w:eastAsia="fr-FR"/>
        </w:rPr>
        <w:t xml:space="preserve"> sont largement en-deçà de la moyenne observée dans la région africaine de l’OMS pour ces deux indicateurs considérés situés respectivement à 274USD PPA et 164 USD PPA et d’autre part les résultats sanitaires sont cependant très insatisfaisants en particulier le ratio de mortalité maternelle estimé à 614 décès p 100 000 naissances vivantes (EDS 2012) et qui fait partie des ratios les plus élevés dans la région africaine. </w:t>
      </w:r>
    </w:p>
    <w:p w14:paraId="5FFF448F" w14:textId="77777777" w:rsidR="00E628FE" w:rsidRPr="00333A62" w:rsidRDefault="00E628FE" w:rsidP="00333A62">
      <w:pPr>
        <w:spacing w:before="120" w:after="120" w:line="276" w:lineRule="auto"/>
        <w:jc w:val="both"/>
        <w:rPr>
          <w:rFonts w:ascii="Times New Roman" w:eastAsia="Times New Roman" w:hAnsi="Times New Roman" w:cs="Times New Roman"/>
          <w:color w:val="000000"/>
          <w:sz w:val="24"/>
          <w:szCs w:val="24"/>
          <w:lang w:eastAsia="fr-FR"/>
        </w:rPr>
      </w:pPr>
      <w:r w:rsidRPr="00333A62">
        <w:rPr>
          <w:rFonts w:ascii="Times New Roman" w:eastAsia="Times New Roman" w:hAnsi="Times New Roman" w:cs="Times New Roman"/>
          <w:color w:val="000000"/>
          <w:sz w:val="24"/>
          <w:szCs w:val="24"/>
          <w:lang w:eastAsia="fr-FR"/>
        </w:rPr>
        <w:t xml:space="preserve">Ces résultats seraient en lien avec des inefficacités dans la gestion du système de santé et une faiblesse dans la gestion du système des finances publiques alignée à une faible responsabilisation financière </w:t>
      </w:r>
      <w:r w:rsidRPr="00333A62">
        <w:rPr>
          <w:rFonts w:ascii="Times New Roman" w:eastAsia="Times New Roman" w:hAnsi="Times New Roman" w:cs="Times New Roman"/>
          <w:color w:val="000000"/>
          <w:sz w:val="24"/>
          <w:szCs w:val="24"/>
          <w:lang w:eastAsia="fr-FR"/>
        </w:rPr>
        <w:lastRenderedPageBreak/>
        <w:t xml:space="preserve">au niveau des régions et districts sanitaires, limitant ainsi la capacité des dépenses publiques à obtenir des gains d’amélioration au niveau des indicateurs sanitaires. </w:t>
      </w:r>
    </w:p>
    <w:p w14:paraId="5EF61377" w14:textId="6699E10E" w:rsidR="00E628FE" w:rsidRDefault="00E628FE" w:rsidP="00333A62">
      <w:pPr>
        <w:spacing w:before="120" w:after="120" w:line="276" w:lineRule="auto"/>
        <w:jc w:val="both"/>
        <w:rPr>
          <w:rFonts w:ascii="Times New Roman" w:eastAsia="Times New Roman" w:hAnsi="Times New Roman" w:cs="Times New Roman"/>
          <w:color w:val="000000"/>
          <w:sz w:val="24"/>
          <w:szCs w:val="24"/>
          <w:lang w:eastAsia="fr-FR"/>
        </w:rPr>
      </w:pPr>
      <w:r w:rsidRPr="00333A62">
        <w:rPr>
          <w:rFonts w:ascii="Times New Roman" w:eastAsia="Times New Roman" w:hAnsi="Times New Roman" w:cs="Times New Roman"/>
          <w:color w:val="000000"/>
          <w:sz w:val="24"/>
          <w:szCs w:val="24"/>
          <w:lang w:eastAsia="fr-FR"/>
        </w:rPr>
        <w:t>En effet, les résultats de l’étude sur l’Espace budgétaire et l’efficience en santé réalisée en 2017 (MSHP/OMS) ont démontré l’existence d’inefficiences estimées à 51% des dépenses publiques de santé dans un contexte d’effort budgétaire réalisé par l’</w:t>
      </w:r>
      <w:r w:rsidR="00F96D4E" w:rsidRPr="00333A62">
        <w:rPr>
          <w:rFonts w:ascii="Times New Roman" w:eastAsia="Times New Roman" w:hAnsi="Times New Roman" w:cs="Times New Roman"/>
          <w:color w:val="000000"/>
          <w:sz w:val="24"/>
          <w:szCs w:val="24"/>
          <w:lang w:eastAsia="fr-FR"/>
        </w:rPr>
        <w:t>État</w:t>
      </w:r>
      <w:r w:rsidRPr="00333A62">
        <w:rPr>
          <w:rFonts w:ascii="Times New Roman" w:eastAsia="Times New Roman" w:hAnsi="Times New Roman" w:cs="Times New Roman"/>
          <w:color w:val="000000"/>
          <w:sz w:val="24"/>
          <w:szCs w:val="24"/>
          <w:lang w:eastAsia="fr-FR"/>
        </w:rPr>
        <w:t xml:space="preserve"> à 97% de sa capacité maximale, sur la période de 1998 à 2015.</w:t>
      </w:r>
    </w:p>
    <w:p w14:paraId="385BD53D" w14:textId="77777777" w:rsidR="00F96D4E" w:rsidRPr="00333A62" w:rsidRDefault="00F96D4E" w:rsidP="00333A62">
      <w:pPr>
        <w:spacing w:before="120" w:after="120" w:line="276" w:lineRule="auto"/>
        <w:jc w:val="both"/>
        <w:rPr>
          <w:rFonts w:ascii="Times New Roman" w:eastAsia="Times New Roman" w:hAnsi="Times New Roman" w:cs="Times New Roman"/>
          <w:color w:val="000000"/>
          <w:sz w:val="24"/>
          <w:szCs w:val="24"/>
          <w:lang w:eastAsia="fr-FR"/>
        </w:rPr>
      </w:pPr>
    </w:p>
    <w:p w14:paraId="21AB396F" w14:textId="68AB83DD" w:rsidR="00FE5A16" w:rsidRPr="002A3FB8" w:rsidRDefault="00FE5A16" w:rsidP="00333A62">
      <w:pPr>
        <w:pStyle w:val="Titre2"/>
        <w:spacing w:before="120" w:after="120" w:line="276" w:lineRule="auto"/>
        <w:rPr>
          <w:rFonts w:ascii="Times New Roman" w:eastAsia="Times New Roman" w:hAnsi="Times New Roman" w:cs="Times New Roman"/>
          <w:b/>
          <w:color w:val="0070C0"/>
          <w:sz w:val="24"/>
          <w:szCs w:val="24"/>
          <w:lang w:eastAsia="fr-FR"/>
        </w:rPr>
      </w:pPr>
      <w:bookmarkStart w:id="54" w:name="_Toc1573801"/>
      <w:r w:rsidRPr="002A3FB8">
        <w:rPr>
          <w:rFonts w:ascii="Times New Roman" w:hAnsi="Times New Roman" w:cs="Times New Roman"/>
          <w:b/>
          <w:color w:val="0070C0"/>
          <w:sz w:val="24"/>
          <w:szCs w:val="24"/>
        </w:rPr>
        <w:t>Secteur privé de la santé</w:t>
      </w:r>
      <w:r w:rsidRPr="002A3FB8">
        <w:rPr>
          <w:rFonts w:ascii="Times New Roman" w:eastAsia="Times New Roman" w:hAnsi="Times New Roman" w:cs="Times New Roman"/>
          <w:b/>
          <w:color w:val="0070C0"/>
          <w:sz w:val="24"/>
          <w:szCs w:val="24"/>
          <w:lang w:eastAsia="fr-FR"/>
        </w:rPr>
        <w:t> :</w:t>
      </w:r>
      <w:bookmarkEnd w:id="54"/>
    </w:p>
    <w:p w14:paraId="3690D011" w14:textId="6C8AEF1E" w:rsidR="00EF41B8" w:rsidRPr="00333A62" w:rsidRDefault="00EF41B8"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Le rôle du secteur privé est double dans le domaine de la santé ; un rôle de fournisseur de services de santé et un rôle de financement de la santé.</w:t>
      </w:r>
    </w:p>
    <w:p w14:paraId="0B67D136" w14:textId="40891F33" w:rsidR="007C59FB" w:rsidRPr="00333A62" w:rsidRDefault="007C59FB"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Le secteur sanitaire privé s’est développé ces dernières années avec l’émergence d’établissements sanitaires privés de toute</w:t>
      </w:r>
      <w:r w:rsidR="00F96D4E">
        <w:rPr>
          <w:rFonts w:ascii="Times New Roman" w:hAnsi="Times New Roman" w:cs="Times New Roman"/>
          <w:sz w:val="24"/>
          <w:szCs w:val="24"/>
          <w:lang w:val="fr-FR"/>
        </w:rPr>
        <w:t xml:space="preserve">s natures (médicales </w:t>
      </w:r>
      <w:r w:rsidRPr="00333A62">
        <w:rPr>
          <w:rFonts w:ascii="Times New Roman" w:hAnsi="Times New Roman" w:cs="Times New Roman"/>
          <w:sz w:val="24"/>
          <w:szCs w:val="24"/>
          <w:lang w:val="fr-FR"/>
        </w:rPr>
        <w:t>ou paramédicales) et de différents niveaux d’intervention (polycliniques, cliniques, centres et cabinets médicaux, officines de pharmacie, infirmeries privées). Tous ces établissements s’insèrent parfaitement dans les différents niveaux de la pyramide sanitaire. En mars 2018, une enquête menée par le Ministère de la Santé et de l’Hygiène Publique, à travers les Directions régionales a dénombré 3592 établissements sanitaires privés dont 18% seulement sont autorisés</w:t>
      </w:r>
      <w:r w:rsidR="00EF41B8" w:rsidRPr="00333A62">
        <w:rPr>
          <w:rStyle w:val="Appelnotedebasdep"/>
          <w:rFonts w:ascii="Times New Roman" w:hAnsi="Times New Roman" w:cs="Times New Roman"/>
          <w:sz w:val="24"/>
          <w:szCs w:val="24"/>
          <w:lang w:val="fr-FR"/>
        </w:rPr>
        <w:footnoteReference w:id="14"/>
      </w:r>
      <w:r w:rsidRPr="00333A62">
        <w:rPr>
          <w:rFonts w:ascii="Times New Roman" w:hAnsi="Times New Roman" w:cs="Times New Roman"/>
          <w:sz w:val="24"/>
          <w:szCs w:val="24"/>
          <w:lang w:val="fr-FR"/>
        </w:rPr>
        <w:t>.</w:t>
      </w:r>
    </w:p>
    <w:p w14:paraId="28D1CAD4" w14:textId="2AAE6A21" w:rsidR="007C59FB" w:rsidRPr="00333A62" w:rsidRDefault="007C59FB"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Le secteur </w:t>
      </w:r>
      <w:r w:rsidR="00EF41B8" w:rsidRPr="00333A62">
        <w:rPr>
          <w:rFonts w:ascii="Times New Roman" w:hAnsi="Times New Roman" w:cs="Times New Roman"/>
          <w:sz w:val="24"/>
          <w:szCs w:val="24"/>
          <w:lang w:val="fr-FR"/>
        </w:rPr>
        <w:t xml:space="preserve">sanitaire </w:t>
      </w:r>
      <w:r w:rsidRPr="00333A62">
        <w:rPr>
          <w:rFonts w:ascii="Times New Roman" w:hAnsi="Times New Roman" w:cs="Times New Roman"/>
          <w:sz w:val="24"/>
          <w:szCs w:val="24"/>
          <w:lang w:val="fr-FR"/>
        </w:rPr>
        <w:t xml:space="preserve">privé </w:t>
      </w:r>
      <w:r w:rsidR="00EF41B8" w:rsidRPr="00333A62">
        <w:rPr>
          <w:rFonts w:ascii="Times New Roman" w:hAnsi="Times New Roman" w:cs="Times New Roman"/>
          <w:sz w:val="24"/>
          <w:szCs w:val="24"/>
          <w:lang w:val="fr-FR"/>
        </w:rPr>
        <w:t xml:space="preserve">contribue à l’évolution des indicateurs de santé car il </w:t>
      </w:r>
      <w:r w:rsidRPr="00333A62">
        <w:rPr>
          <w:rFonts w:ascii="Times New Roman" w:hAnsi="Times New Roman" w:cs="Times New Roman"/>
          <w:sz w:val="24"/>
          <w:szCs w:val="24"/>
          <w:lang w:val="fr-FR"/>
        </w:rPr>
        <w:t>assure une bonne partie de l’offre de services. Selon l’enquête SARA 2016, la densité d’établissements de santé dans le privé est de 0,171 contre une norme OMS de 2 établissements pour 10 000 habitants. Les établissements sanitaires privés offrent des soins prénatals dans 65% des cas et l’offre des services d’accouchement est de 52%. Les services de vaccination sont offerts dans 44% des établissements privé. Les services de diagnostic de pointes sont plus disponibles dans le secteur privé (41%) que le secteur public (31%).</w:t>
      </w:r>
    </w:p>
    <w:p w14:paraId="135EE210" w14:textId="3324CB52" w:rsidR="007C59FB" w:rsidRPr="00333A62" w:rsidRDefault="007C59FB"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Cette forte participation du secteur privé sanitaire est nuancée par les insuffisances du secteur qui sont</w:t>
      </w:r>
      <w:r w:rsidR="00C372A4">
        <w:rPr>
          <w:rStyle w:val="Appelnotedebasdep"/>
          <w:rFonts w:ascii="Times New Roman" w:hAnsi="Times New Roman" w:cs="Times New Roman"/>
          <w:sz w:val="24"/>
          <w:szCs w:val="24"/>
          <w:lang w:val="fr-FR"/>
        </w:rPr>
        <w:footnoteReference w:id="15"/>
      </w:r>
      <w:r w:rsidRPr="00333A62">
        <w:rPr>
          <w:rFonts w:ascii="Times New Roman" w:hAnsi="Times New Roman" w:cs="Times New Roman"/>
          <w:sz w:val="24"/>
          <w:szCs w:val="24"/>
          <w:lang w:val="fr-FR"/>
        </w:rPr>
        <w:t> :</w:t>
      </w:r>
    </w:p>
    <w:p w14:paraId="3A133862" w14:textId="3EEC50F4" w:rsidR="007C59FB" w:rsidRPr="00333A62" w:rsidRDefault="003670BE" w:rsidP="00D418FF">
      <w:pPr>
        <w:pStyle w:val="Paragraphedeliste"/>
        <w:numPr>
          <w:ilvl w:val="0"/>
          <w:numId w:val="6"/>
        </w:num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l’installation</w:t>
      </w:r>
      <w:r w:rsidR="007C59FB" w:rsidRPr="00333A62">
        <w:rPr>
          <w:rFonts w:ascii="Times New Roman" w:hAnsi="Times New Roman" w:cs="Times New Roman"/>
          <w:sz w:val="24"/>
          <w:szCs w:val="24"/>
          <w:lang w:val="fr-FR"/>
        </w:rPr>
        <w:t xml:space="preserve"> anarchique d’établissements et de personnels dans le secteur ;</w:t>
      </w:r>
    </w:p>
    <w:p w14:paraId="0E66E6C4" w14:textId="77777777" w:rsidR="007C59FB" w:rsidRPr="00333A62" w:rsidRDefault="007C59FB" w:rsidP="00D418FF">
      <w:pPr>
        <w:pStyle w:val="Paragraphedeliste"/>
        <w:numPr>
          <w:ilvl w:val="0"/>
          <w:numId w:val="6"/>
        </w:num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l’absence de données et de statistiques dans le secteur ; </w:t>
      </w:r>
    </w:p>
    <w:p w14:paraId="1CAF948B" w14:textId="5E5C3249" w:rsidR="007C59FB" w:rsidRPr="00333A62" w:rsidRDefault="003670BE" w:rsidP="00D418FF">
      <w:pPr>
        <w:pStyle w:val="Paragraphedeliste"/>
        <w:numPr>
          <w:ilvl w:val="0"/>
          <w:numId w:val="6"/>
        </w:num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la</w:t>
      </w:r>
      <w:r w:rsidR="007C59FB" w:rsidRPr="00333A62">
        <w:rPr>
          <w:rFonts w:ascii="Times New Roman" w:hAnsi="Times New Roman" w:cs="Times New Roman"/>
          <w:sz w:val="24"/>
          <w:szCs w:val="24"/>
          <w:lang w:val="fr-FR"/>
        </w:rPr>
        <w:t xml:space="preserve"> non-conformité du personnel des structures privées par rapport à la réglementation en vigueur ;</w:t>
      </w:r>
    </w:p>
    <w:p w14:paraId="16E259D6" w14:textId="7158F6BC" w:rsidR="007C59FB" w:rsidRPr="00333A62" w:rsidRDefault="003670BE" w:rsidP="00D418FF">
      <w:pPr>
        <w:pStyle w:val="Paragraphedeliste"/>
        <w:numPr>
          <w:ilvl w:val="0"/>
          <w:numId w:val="6"/>
        </w:num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w:t>
      </w:r>
      <w:r w:rsidR="007C59FB" w:rsidRPr="00333A62">
        <w:rPr>
          <w:rFonts w:ascii="Times New Roman" w:hAnsi="Times New Roman" w:cs="Times New Roman"/>
          <w:sz w:val="24"/>
          <w:szCs w:val="24"/>
          <w:lang w:val="fr-FR"/>
        </w:rPr>
        <w:t>inadéquation entre les services et pratiques organisés et le niveau d’intervention accordé pour l’établissement ;</w:t>
      </w:r>
    </w:p>
    <w:p w14:paraId="049D2935" w14:textId="77777777" w:rsidR="007C59FB" w:rsidRPr="00333A62" w:rsidRDefault="007C59FB" w:rsidP="00D418FF">
      <w:pPr>
        <w:pStyle w:val="Paragraphedeliste"/>
        <w:numPr>
          <w:ilvl w:val="0"/>
          <w:numId w:val="6"/>
        </w:num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la mauvaise qualité des soins et le non respects des normes avec un risque infectieux élevé ;</w:t>
      </w:r>
    </w:p>
    <w:p w14:paraId="1C428E27" w14:textId="1379E7B2" w:rsidR="007C59FB" w:rsidRPr="00333A62" w:rsidRDefault="00FD4884" w:rsidP="00D418FF">
      <w:pPr>
        <w:pStyle w:val="Paragraphedeliste"/>
        <w:numPr>
          <w:ilvl w:val="0"/>
          <w:numId w:val="6"/>
        </w:num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les rapports </w:t>
      </w:r>
      <w:r w:rsidR="007C59FB" w:rsidRPr="00333A62">
        <w:rPr>
          <w:rFonts w:ascii="Times New Roman" w:hAnsi="Times New Roman" w:cs="Times New Roman"/>
          <w:sz w:val="24"/>
          <w:szCs w:val="24"/>
          <w:lang w:val="fr-FR"/>
        </w:rPr>
        <w:t>confli</w:t>
      </w:r>
      <w:r w:rsidRPr="00333A62">
        <w:rPr>
          <w:rFonts w:ascii="Times New Roman" w:hAnsi="Times New Roman" w:cs="Times New Roman"/>
          <w:sz w:val="24"/>
          <w:szCs w:val="24"/>
          <w:lang w:val="fr-FR"/>
        </w:rPr>
        <w:t>ctuels</w:t>
      </w:r>
      <w:r w:rsidR="007C59FB" w:rsidRPr="00333A62">
        <w:rPr>
          <w:rFonts w:ascii="Times New Roman" w:hAnsi="Times New Roman" w:cs="Times New Roman"/>
          <w:sz w:val="24"/>
          <w:szCs w:val="24"/>
          <w:lang w:val="fr-FR"/>
        </w:rPr>
        <w:t xml:space="preserve"> entre les prestataires et promoteurs d’établissements sanitaires privés et les organismes de tiers payants.</w:t>
      </w:r>
    </w:p>
    <w:p w14:paraId="405434FA" w14:textId="77777777" w:rsidR="007C59FB" w:rsidRPr="00333A62" w:rsidRDefault="007C59FB" w:rsidP="00D418FF">
      <w:pPr>
        <w:pStyle w:val="Paragraphedeliste"/>
        <w:numPr>
          <w:ilvl w:val="0"/>
          <w:numId w:val="6"/>
        </w:num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Le faible accompagnement des acteurs par les structures bancaires et l’Etat.</w:t>
      </w:r>
    </w:p>
    <w:p w14:paraId="7981273E" w14:textId="318123A7" w:rsidR="007C59FB" w:rsidRPr="00333A62" w:rsidRDefault="007C59FB"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lastRenderedPageBreak/>
        <w:t xml:space="preserve">La régulation du secteur privé sanitaires </w:t>
      </w:r>
      <w:r w:rsidR="00FE0572" w:rsidRPr="00333A62">
        <w:rPr>
          <w:rFonts w:ascii="Times New Roman" w:hAnsi="Times New Roman" w:cs="Times New Roman"/>
          <w:sz w:val="24"/>
          <w:szCs w:val="24"/>
          <w:lang w:val="fr-FR"/>
        </w:rPr>
        <w:t xml:space="preserve">fait intervenir </w:t>
      </w:r>
      <w:r w:rsidRPr="00333A62">
        <w:rPr>
          <w:rFonts w:ascii="Times New Roman" w:hAnsi="Times New Roman" w:cs="Times New Roman"/>
          <w:sz w:val="24"/>
          <w:szCs w:val="24"/>
          <w:lang w:val="fr-FR"/>
        </w:rPr>
        <w:t>des structures du ministère de la santé (DEPS, DPML, Police sanitaire) et des organisations ordinales, associatives et syndicales, qui luttent pour l'assainissement et la viabilité économique de ce secteur tout en veillant à ce qu'il contribue effective</w:t>
      </w:r>
      <w:r w:rsidR="00FD4884" w:rsidRPr="00333A62">
        <w:rPr>
          <w:rFonts w:ascii="Times New Roman" w:hAnsi="Times New Roman" w:cs="Times New Roman"/>
          <w:sz w:val="24"/>
          <w:szCs w:val="24"/>
          <w:lang w:val="fr-FR"/>
        </w:rPr>
        <w:t>ment à la santé des populations</w:t>
      </w:r>
      <w:r w:rsidRPr="00333A62">
        <w:rPr>
          <w:rFonts w:ascii="Times New Roman" w:hAnsi="Times New Roman" w:cs="Times New Roman"/>
          <w:sz w:val="24"/>
          <w:szCs w:val="24"/>
          <w:lang w:val="fr-FR"/>
        </w:rPr>
        <w:t>.</w:t>
      </w:r>
    </w:p>
    <w:p w14:paraId="6ACB8037" w14:textId="42B93879" w:rsidR="007C59FB" w:rsidRPr="00333A62" w:rsidRDefault="007C59FB"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Une comm</w:t>
      </w:r>
      <w:r w:rsidR="00FD4884" w:rsidRPr="00333A62">
        <w:rPr>
          <w:rFonts w:ascii="Times New Roman" w:hAnsi="Times New Roman" w:cs="Times New Roman"/>
          <w:sz w:val="24"/>
          <w:szCs w:val="24"/>
          <w:lang w:val="fr-FR"/>
        </w:rPr>
        <w:t>ission paritaire secteur public</w:t>
      </w:r>
      <w:r w:rsidRPr="00333A62">
        <w:rPr>
          <w:rFonts w:ascii="Times New Roman" w:hAnsi="Times New Roman" w:cs="Times New Roman"/>
          <w:sz w:val="24"/>
          <w:szCs w:val="24"/>
          <w:lang w:val="fr-FR"/>
        </w:rPr>
        <w:t xml:space="preserve"> et secteur privé mis en place depuis 2012 qui rassemble les organisations syndicales, associatives et ordinales du secteur de la santé, aide </w:t>
      </w:r>
      <w:r w:rsidR="00FD4884" w:rsidRPr="00333A62">
        <w:rPr>
          <w:rFonts w:ascii="Times New Roman" w:hAnsi="Times New Roman" w:cs="Times New Roman"/>
          <w:sz w:val="24"/>
          <w:szCs w:val="24"/>
          <w:lang w:val="fr-FR"/>
        </w:rPr>
        <w:t xml:space="preserve">également </w:t>
      </w:r>
      <w:r w:rsidRPr="00333A62">
        <w:rPr>
          <w:rFonts w:ascii="Times New Roman" w:hAnsi="Times New Roman" w:cs="Times New Roman"/>
          <w:sz w:val="24"/>
          <w:szCs w:val="24"/>
          <w:lang w:val="fr-FR"/>
        </w:rPr>
        <w:t>à cette régulation.</w:t>
      </w:r>
    </w:p>
    <w:p w14:paraId="1C02A037" w14:textId="46B16A97" w:rsidR="007C59FB" w:rsidRPr="00333A62" w:rsidRDefault="007C59FB"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De</w:t>
      </w:r>
      <w:r w:rsidR="00FD4884" w:rsidRPr="00333A62">
        <w:rPr>
          <w:rFonts w:ascii="Times New Roman" w:hAnsi="Times New Roman" w:cs="Times New Roman"/>
          <w:sz w:val="24"/>
          <w:szCs w:val="24"/>
          <w:lang w:val="fr-FR"/>
        </w:rPr>
        <w:t>s</w:t>
      </w:r>
      <w:r w:rsidRPr="00333A62">
        <w:rPr>
          <w:rFonts w:ascii="Times New Roman" w:hAnsi="Times New Roman" w:cs="Times New Roman"/>
          <w:sz w:val="24"/>
          <w:szCs w:val="24"/>
          <w:lang w:val="fr-FR"/>
        </w:rPr>
        <w:t xml:space="preserve"> </w:t>
      </w:r>
      <w:r w:rsidR="00FD4884" w:rsidRPr="00333A62">
        <w:rPr>
          <w:rFonts w:ascii="Times New Roman" w:hAnsi="Times New Roman" w:cs="Times New Roman"/>
          <w:sz w:val="24"/>
          <w:szCs w:val="24"/>
          <w:lang w:val="fr-FR"/>
        </w:rPr>
        <w:t xml:space="preserve">études menées sur le secteur privé sanitaire </w:t>
      </w:r>
      <w:r w:rsidRPr="00333A62">
        <w:rPr>
          <w:rFonts w:ascii="Times New Roman" w:hAnsi="Times New Roman" w:cs="Times New Roman"/>
          <w:sz w:val="24"/>
          <w:szCs w:val="24"/>
          <w:lang w:val="fr-FR"/>
        </w:rPr>
        <w:t>recommand</w:t>
      </w:r>
      <w:r w:rsidR="00FD4884" w:rsidRPr="00333A62">
        <w:rPr>
          <w:rFonts w:ascii="Times New Roman" w:hAnsi="Times New Roman" w:cs="Times New Roman"/>
          <w:sz w:val="24"/>
          <w:szCs w:val="24"/>
          <w:lang w:val="fr-FR"/>
        </w:rPr>
        <w:t xml:space="preserve">ent </w:t>
      </w:r>
      <w:r w:rsidRPr="00333A62">
        <w:rPr>
          <w:rFonts w:ascii="Times New Roman" w:hAnsi="Times New Roman" w:cs="Times New Roman"/>
          <w:sz w:val="24"/>
          <w:szCs w:val="24"/>
          <w:lang w:val="fr-FR"/>
        </w:rPr>
        <w:t xml:space="preserve">une meilleure gouvernance du secteur privé de la santé et un leadership plus fort du Ministère de la santé et de l’Hygiène Publique. </w:t>
      </w:r>
    </w:p>
    <w:p w14:paraId="2BC9168E" w14:textId="3FA36EA8" w:rsidR="007C59FB" w:rsidRPr="00333A62" w:rsidRDefault="007C59FB"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Dans le cadre du financement de la santé, l’Etat développe des mécanismes innovants pour mobiliser des ressources additionnelles à l’échelle nationale auprès des partenaires du secteur privé</w:t>
      </w:r>
      <w:r w:rsidR="002B29B2">
        <w:rPr>
          <w:rStyle w:val="Appelnotedebasdep"/>
          <w:rFonts w:ascii="Times New Roman" w:hAnsi="Times New Roman" w:cs="Times New Roman"/>
          <w:sz w:val="24"/>
          <w:szCs w:val="24"/>
          <w:lang w:val="fr-FR"/>
        </w:rPr>
        <w:footnoteReference w:id="16"/>
      </w:r>
      <w:r w:rsidRPr="00333A62">
        <w:rPr>
          <w:rFonts w:ascii="Times New Roman" w:hAnsi="Times New Roman" w:cs="Times New Roman"/>
          <w:sz w:val="24"/>
          <w:szCs w:val="24"/>
          <w:lang w:val="fr-FR"/>
        </w:rPr>
        <w:t>. Le développement du Partenariat Public-Privé a permis la réalisation d’investissement dans le domaine de la santé. Selon le rapport d’activité 2017 du CNP-P</w:t>
      </w:r>
      <w:r w:rsidR="00FD4884" w:rsidRPr="00333A62">
        <w:rPr>
          <w:rFonts w:ascii="Times New Roman" w:hAnsi="Times New Roman" w:cs="Times New Roman"/>
          <w:sz w:val="24"/>
          <w:szCs w:val="24"/>
          <w:lang w:val="fr-FR"/>
        </w:rPr>
        <w:t>P</w:t>
      </w:r>
      <w:r w:rsidRPr="00333A62">
        <w:rPr>
          <w:rFonts w:ascii="Times New Roman" w:hAnsi="Times New Roman" w:cs="Times New Roman"/>
          <w:sz w:val="24"/>
          <w:szCs w:val="24"/>
          <w:lang w:val="fr-FR"/>
        </w:rPr>
        <w:t>P, 4% du portefeuille des projets P</w:t>
      </w:r>
      <w:r w:rsidR="00FD4884" w:rsidRPr="00333A62">
        <w:rPr>
          <w:rFonts w:ascii="Times New Roman" w:hAnsi="Times New Roman" w:cs="Times New Roman"/>
          <w:sz w:val="24"/>
          <w:szCs w:val="24"/>
          <w:lang w:val="fr-FR"/>
        </w:rPr>
        <w:t>P</w:t>
      </w:r>
      <w:r w:rsidRPr="00333A62">
        <w:rPr>
          <w:rFonts w:ascii="Times New Roman" w:hAnsi="Times New Roman" w:cs="Times New Roman"/>
          <w:sz w:val="24"/>
          <w:szCs w:val="24"/>
          <w:lang w:val="fr-FR"/>
        </w:rPr>
        <w:t xml:space="preserve">P sont de la santé. Il s’agit de la réhabilitation de 8 Centres Hospitalier Régionaux (CHR) et Hôpitaux Généraux (HG) dans le cadre de l’opérationnalisation de la CMU et de la réhabilitation, l’équipement et l’entretien du CHU de Treichville. Le renforcement de la mobilisation des ressources auprès du secteur privé est </w:t>
      </w:r>
      <w:r w:rsidR="00963CE4" w:rsidRPr="00333A62">
        <w:rPr>
          <w:rFonts w:ascii="Times New Roman" w:hAnsi="Times New Roman" w:cs="Times New Roman"/>
          <w:sz w:val="24"/>
          <w:szCs w:val="24"/>
          <w:lang w:val="fr-FR"/>
        </w:rPr>
        <w:t>l’</w:t>
      </w:r>
      <w:r w:rsidRPr="00333A62">
        <w:rPr>
          <w:rFonts w:ascii="Times New Roman" w:hAnsi="Times New Roman" w:cs="Times New Roman"/>
          <w:sz w:val="24"/>
          <w:szCs w:val="24"/>
          <w:lang w:val="fr-FR"/>
        </w:rPr>
        <w:t xml:space="preserve">une des stratégies </w:t>
      </w:r>
      <w:r w:rsidR="00963CE4" w:rsidRPr="00333A62">
        <w:rPr>
          <w:rFonts w:ascii="Times New Roman" w:hAnsi="Times New Roman" w:cs="Times New Roman"/>
          <w:sz w:val="24"/>
          <w:szCs w:val="24"/>
          <w:lang w:val="fr-FR"/>
        </w:rPr>
        <w:t xml:space="preserve">de financement </w:t>
      </w:r>
      <w:r w:rsidRPr="00333A62">
        <w:rPr>
          <w:rFonts w:ascii="Times New Roman" w:hAnsi="Times New Roman" w:cs="Times New Roman"/>
          <w:sz w:val="24"/>
          <w:szCs w:val="24"/>
          <w:lang w:val="fr-FR"/>
        </w:rPr>
        <w:t>du PNDS 2016-2020</w:t>
      </w:r>
      <w:r w:rsidR="00FD4884" w:rsidRPr="00333A62">
        <w:rPr>
          <w:rFonts w:ascii="Times New Roman" w:hAnsi="Times New Roman" w:cs="Times New Roman"/>
          <w:sz w:val="24"/>
          <w:szCs w:val="24"/>
          <w:lang w:val="fr-FR"/>
        </w:rPr>
        <w:t>.</w:t>
      </w:r>
    </w:p>
    <w:p w14:paraId="52D0D852" w14:textId="77777777" w:rsidR="00AD6247" w:rsidRPr="00333A62" w:rsidRDefault="00AD6247" w:rsidP="00333A62">
      <w:pPr>
        <w:spacing w:before="120" w:after="120" w:line="276" w:lineRule="auto"/>
        <w:jc w:val="both"/>
        <w:rPr>
          <w:rFonts w:ascii="Times New Roman" w:hAnsi="Times New Roman" w:cs="Times New Roman"/>
          <w:sz w:val="24"/>
          <w:szCs w:val="24"/>
          <w:lang w:val="fr-FR"/>
        </w:rPr>
      </w:pPr>
    </w:p>
    <w:p w14:paraId="77CF86F4" w14:textId="78B01B42" w:rsidR="008233A2" w:rsidRPr="002A3FB8" w:rsidRDefault="008233A2" w:rsidP="00333A62">
      <w:pPr>
        <w:pStyle w:val="Titre1"/>
        <w:spacing w:before="120" w:after="120" w:line="276" w:lineRule="auto"/>
        <w:rPr>
          <w:rFonts w:ascii="Times New Roman" w:hAnsi="Times New Roman" w:cs="Times New Roman"/>
          <w:b/>
          <w:color w:val="0070C0"/>
          <w:sz w:val="24"/>
          <w:szCs w:val="24"/>
        </w:rPr>
      </w:pPr>
      <w:bookmarkStart w:id="55" w:name="_Toc1573802"/>
      <w:r w:rsidRPr="002A3FB8">
        <w:rPr>
          <w:rFonts w:ascii="Times New Roman" w:hAnsi="Times New Roman" w:cs="Times New Roman"/>
          <w:b/>
          <w:color w:val="0070C0"/>
          <w:sz w:val="24"/>
          <w:szCs w:val="24"/>
        </w:rPr>
        <w:t>ANALYSE SITUATIONNELLE</w:t>
      </w:r>
      <w:bookmarkEnd w:id="55"/>
    </w:p>
    <w:p w14:paraId="38EF5BED" w14:textId="07F72495" w:rsidR="00A342A3" w:rsidRPr="00C85634" w:rsidRDefault="00F80B08" w:rsidP="00333A62">
      <w:pPr>
        <w:pStyle w:val="Titre2"/>
        <w:spacing w:before="120" w:after="120" w:line="276" w:lineRule="auto"/>
        <w:rPr>
          <w:rFonts w:ascii="Times New Roman" w:hAnsi="Times New Roman" w:cs="Times New Roman"/>
          <w:b/>
          <w:color w:val="0070C0"/>
          <w:sz w:val="24"/>
          <w:szCs w:val="24"/>
        </w:rPr>
      </w:pPr>
      <w:bookmarkStart w:id="56" w:name="_Toc1573803"/>
      <w:r w:rsidRPr="00C85634">
        <w:rPr>
          <w:rFonts w:ascii="Times New Roman" w:hAnsi="Times New Roman" w:cs="Times New Roman"/>
          <w:b/>
          <w:color w:val="0070C0"/>
          <w:sz w:val="24"/>
          <w:szCs w:val="24"/>
        </w:rPr>
        <w:t>Structure de la mortalité et de la morbidité en CI</w:t>
      </w:r>
      <w:bookmarkEnd w:id="56"/>
    </w:p>
    <w:p w14:paraId="0DF893A2" w14:textId="75685F1E" w:rsidR="00E40B2F" w:rsidRPr="00333A62" w:rsidRDefault="00C16696" w:rsidP="00333A62">
      <w:pPr>
        <w:spacing w:before="120" w:after="120" w:line="276" w:lineRule="auto"/>
        <w:jc w:val="both"/>
        <w:rPr>
          <w:rFonts w:ascii="Times New Roman" w:hAnsi="Times New Roman" w:cs="Times New Roman"/>
          <w:bCs/>
          <w:sz w:val="24"/>
          <w:szCs w:val="24"/>
        </w:rPr>
      </w:pPr>
      <w:r w:rsidRPr="00333A62">
        <w:rPr>
          <w:rFonts w:ascii="Times New Roman" w:hAnsi="Times New Roman" w:cs="Times New Roman"/>
          <w:bCs/>
          <w:sz w:val="24"/>
          <w:szCs w:val="24"/>
        </w:rPr>
        <w:t>L’espérance de vie à la naissance en Côte d’I</w:t>
      </w:r>
      <w:r w:rsidR="00E40B2F" w:rsidRPr="00333A62">
        <w:rPr>
          <w:rFonts w:ascii="Times New Roman" w:hAnsi="Times New Roman" w:cs="Times New Roman"/>
          <w:bCs/>
          <w:sz w:val="24"/>
          <w:szCs w:val="24"/>
        </w:rPr>
        <w:t>voire est estimée à 53,</w:t>
      </w:r>
      <w:r w:rsidRPr="00333A62">
        <w:rPr>
          <w:rFonts w:ascii="Times New Roman" w:hAnsi="Times New Roman" w:cs="Times New Roman"/>
          <w:bCs/>
          <w:sz w:val="24"/>
          <w:szCs w:val="24"/>
        </w:rPr>
        <w:t>58 ans en 2016</w:t>
      </w:r>
      <w:r w:rsidR="00FE5A16" w:rsidRPr="00333A62">
        <w:rPr>
          <w:rStyle w:val="Appelnotedebasdep"/>
          <w:rFonts w:ascii="Times New Roman" w:hAnsi="Times New Roman" w:cs="Times New Roman"/>
          <w:bCs/>
          <w:sz w:val="24"/>
          <w:szCs w:val="24"/>
        </w:rPr>
        <w:footnoteReference w:id="17"/>
      </w:r>
      <w:r w:rsidR="00FE5A16" w:rsidRPr="00333A62">
        <w:rPr>
          <w:rFonts w:ascii="Times New Roman" w:hAnsi="Times New Roman" w:cs="Times New Roman"/>
          <w:bCs/>
          <w:sz w:val="24"/>
          <w:szCs w:val="24"/>
        </w:rPr>
        <w:t xml:space="preserve">. </w:t>
      </w:r>
      <w:r w:rsidR="00E722FF" w:rsidRPr="00333A62">
        <w:rPr>
          <w:rFonts w:ascii="Times New Roman" w:hAnsi="Times New Roman" w:cs="Times New Roman"/>
          <w:bCs/>
          <w:sz w:val="24"/>
          <w:szCs w:val="24"/>
        </w:rPr>
        <w:t>La morbidité et la mortalité sont dominées par les maladies infectieuses dont les principales sont le paludisme, les maladies diarrhéiques, les pneumonies</w:t>
      </w:r>
      <w:r w:rsidR="00E40B2F" w:rsidRPr="00333A62">
        <w:rPr>
          <w:rFonts w:ascii="Times New Roman" w:hAnsi="Times New Roman" w:cs="Times New Roman"/>
          <w:bCs/>
          <w:sz w:val="24"/>
          <w:szCs w:val="24"/>
        </w:rPr>
        <w:t>, le VIH/Sida</w:t>
      </w:r>
      <w:r w:rsidR="00E722FF" w:rsidRPr="00333A62">
        <w:rPr>
          <w:rFonts w:ascii="Times New Roman" w:hAnsi="Times New Roman" w:cs="Times New Roman"/>
          <w:bCs/>
          <w:sz w:val="24"/>
          <w:szCs w:val="24"/>
        </w:rPr>
        <w:t xml:space="preserve">. Les enfants et les femmes enceintes constituent les populations les plus vulnérables et les plus touchées. </w:t>
      </w:r>
    </w:p>
    <w:p w14:paraId="68502EF8" w14:textId="6726BE94" w:rsidR="0040713A" w:rsidRPr="00333A62" w:rsidRDefault="0040713A" w:rsidP="00333A62">
      <w:pPr>
        <w:spacing w:before="120" w:after="120" w:line="276" w:lineRule="auto"/>
        <w:jc w:val="both"/>
        <w:rPr>
          <w:rFonts w:ascii="Times New Roman" w:hAnsi="Times New Roman" w:cs="Times New Roman"/>
          <w:bCs/>
          <w:sz w:val="24"/>
          <w:szCs w:val="24"/>
        </w:rPr>
      </w:pPr>
      <w:r w:rsidRPr="00333A62">
        <w:rPr>
          <w:rFonts w:ascii="Times New Roman" w:hAnsi="Times New Roman" w:cs="Times New Roman"/>
          <w:bCs/>
          <w:sz w:val="24"/>
          <w:szCs w:val="24"/>
          <w:lang w:val="fr-FR"/>
        </w:rPr>
        <w:t xml:space="preserve">En Côte d’Ivoire, 31 % des décès qui surviennent sont imputables aux maladies non transmissibles et sont essentiellement liées à la faiblesse du diagnostic et de la prise en charge thérapeutique. </w:t>
      </w:r>
      <w:r w:rsidRPr="00333A62">
        <w:rPr>
          <w:rFonts w:ascii="Times New Roman" w:hAnsi="Times New Roman" w:cs="Times New Roman"/>
          <w:bCs/>
          <w:sz w:val="24"/>
          <w:szCs w:val="24"/>
        </w:rPr>
        <w:t xml:space="preserve">On note également une réémergence des maladies tropicales négligées. </w:t>
      </w:r>
    </w:p>
    <w:p w14:paraId="71FDBA05" w14:textId="77777777" w:rsidR="00E40B2F" w:rsidRPr="00333A62" w:rsidRDefault="00E40B2F" w:rsidP="00333A62">
      <w:pPr>
        <w:spacing w:before="120" w:after="120" w:line="276" w:lineRule="auto"/>
        <w:jc w:val="both"/>
        <w:rPr>
          <w:rFonts w:ascii="Times New Roman" w:hAnsi="Times New Roman" w:cs="Times New Roman"/>
          <w:bCs/>
          <w:sz w:val="24"/>
          <w:szCs w:val="24"/>
          <w:lang w:val="fr-FR"/>
        </w:rPr>
      </w:pPr>
    </w:p>
    <w:p w14:paraId="47543E05" w14:textId="6720D7A5" w:rsidR="00F1177D" w:rsidRPr="002A3FB8" w:rsidRDefault="00F80B08" w:rsidP="00333A62">
      <w:pPr>
        <w:pStyle w:val="Titre2"/>
        <w:spacing w:before="120" w:after="120" w:line="276" w:lineRule="auto"/>
        <w:rPr>
          <w:rFonts w:ascii="Times New Roman" w:hAnsi="Times New Roman" w:cs="Times New Roman"/>
          <w:b/>
          <w:color w:val="0070C0"/>
          <w:sz w:val="24"/>
          <w:szCs w:val="24"/>
        </w:rPr>
      </w:pPr>
      <w:bookmarkStart w:id="57" w:name="_Toc1573804"/>
      <w:r w:rsidRPr="002A3FB8">
        <w:rPr>
          <w:rFonts w:ascii="Times New Roman" w:hAnsi="Times New Roman" w:cs="Times New Roman"/>
          <w:b/>
          <w:color w:val="0070C0"/>
          <w:sz w:val="24"/>
          <w:szCs w:val="24"/>
        </w:rPr>
        <w:t>Indicateurs</w:t>
      </w:r>
      <w:r w:rsidR="00825055" w:rsidRPr="002A3FB8">
        <w:rPr>
          <w:rFonts w:ascii="Times New Roman" w:hAnsi="Times New Roman" w:cs="Times New Roman"/>
          <w:b/>
          <w:color w:val="0070C0"/>
          <w:sz w:val="24"/>
          <w:szCs w:val="24"/>
        </w:rPr>
        <w:t xml:space="preserve"> clefs de la santé de la reproduction, de la mère, du nouveau-né, de l’enf</w:t>
      </w:r>
      <w:r w:rsidRPr="002A3FB8">
        <w:rPr>
          <w:rFonts w:ascii="Times New Roman" w:hAnsi="Times New Roman" w:cs="Times New Roman"/>
          <w:b/>
          <w:color w:val="0070C0"/>
          <w:sz w:val="24"/>
          <w:szCs w:val="24"/>
        </w:rPr>
        <w:t>ant et des adolescents (SRMNEA)</w:t>
      </w:r>
      <w:bookmarkEnd w:id="57"/>
    </w:p>
    <w:p w14:paraId="327AE569" w14:textId="5D0E2EA4" w:rsidR="000D0291" w:rsidRPr="009A04F0" w:rsidRDefault="00F80B08" w:rsidP="00333A62">
      <w:pPr>
        <w:pStyle w:val="Titre3"/>
        <w:spacing w:before="120" w:after="120" w:line="276" w:lineRule="auto"/>
        <w:ind w:hanging="153"/>
        <w:rPr>
          <w:rFonts w:ascii="Times New Roman" w:hAnsi="Times New Roman" w:cs="Times New Roman"/>
          <w:b/>
          <w:color w:val="0070C0"/>
        </w:rPr>
      </w:pPr>
      <w:bookmarkStart w:id="58" w:name="_Toc1573805"/>
      <w:r w:rsidRPr="009A04F0">
        <w:rPr>
          <w:rFonts w:ascii="Times New Roman" w:hAnsi="Times New Roman" w:cs="Times New Roman"/>
          <w:b/>
          <w:color w:val="0070C0"/>
        </w:rPr>
        <w:t>Mortalité Maternelle</w:t>
      </w:r>
      <w:bookmarkEnd w:id="58"/>
      <w:r w:rsidR="00B22CBE" w:rsidRPr="009A04F0">
        <w:rPr>
          <w:rFonts w:ascii="Times New Roman" w:hAnsi="Times New Roman" w:cs="Times New Roman"/>
          <w:b/>
          <w:color w:val="0070C0"/>
        </w:rPr>
        <w:t xml:space="preserve"> </w:t>
      </w:r>
    </w:p>
    <w:p w14:paraId="2CC4A9F1" w14:textId="15EA4FDD" w:rsidR="00C3641B" w:rsidRPr="00333A62" w:rsidRDefault="00C3641B" w:rsidP="00333A62">
      <w:pPr>
        <w:spacing w:before="120" w:after="120" w:line="276" w:lineRule="auto"/>
        <w:jc w:val="both"/>
        <w:rPr>
          <w:rFonts w:ascii="Times New Roman" w:eastAsiaTheme="majorEastAsia" w:hAnsi="Times New Roman" w:cs="Times New Roman"/>
          <w:sz w:val="24"/>
          <w:szCs w:val="24"/>
        </w:rPr>
      </w:pPr>
      <w:r w:rsidRPr="00333A62">
        <w:rPr>
          <w:rFonts w:ascii="Times New Roman" w:eastAsiaTheme="majorEastAsia" w:hAnsi="Times New Roman" w:cs="Times New Roman"/>
          <w:sz w:val="24"/>
          <w:szCs w:val="24"/>
        </w:rPr>
        <w:t xml:space="preserve">Selon l’EDS-MICS 2012, le taux de mortalité maternelle </w:t>
      </w:r>
      <w:r w:rsidR="008F6C73" w:rsidRPr="00333A62">
        <w:rPr>
          <w:rFonts w:ascii="Times New Roman" w:eastAsiaTheme="majorEastAsia" w:hAnsi="Times New Roman" w:cs="Times New Roman"/>
          <w:sz w:val="24"/>
          <w:szCs w:val="24"/>
        </w:rPr>
        <w:t>était</w:t>
      </w:r>
      <w:r w:rsidRPr="00333A62">
        <w:rPr>
          <w:rFonts w:ascii="Times New Roman" w:eastAsiaTheme="majorEastAsia" w:hAnsi="Times New Roman" w:cs="Times New Roman"/>
          <w:sz w:val="24"/>
          <w:szCs w:val="24"/>
        </w:rPr>
        <w:t xml:space="preserve"> de 614 décès pour 100000 naissances vivantes en Côte d’Ivoire. L’absence de données récentes d’enquête sur la mortalité maternelle ne permet pas d’apprécier l’impact des efforts consentis durant ces dernières années. Cependant, le système de notification de routine </w:t>
      </w:r>
      <w:r w:rsidR="00C27761" w:rsidRPr="00333A62">
        <w:rPr>
          <w:rFonts w:ascii="Times New Roman" w:eastAsiaTheme="majorEastAsia" w:hAnsi="Times New Roman" w:cs="Times New Roman"/>
          <w:sz w:val="24"/>
          <w:szCs w:val="24"/>
        </w:rPr>
        <w:t>de Mid-Atlantic GigaPOP à Philadelphie pour Internet2</w:t>
      </w:r>
      <w:r w:rsidR="008F6C73" w:rsidRPr="00333A62">
        <w:rPr>
          <w:rFonts w:ascii="Times New Roman" w:eastAsiaTheme="majorEastAsia" w:hAnsi="Times New Roman" w:cs="Times New Roman"/>
          <w:color w:val="FF0000"/>
          <w:sz w:val="24"/>
          <w:szCs w:val="24"/>
        </w:rPr>
        <w:t xml:space="preserve"> </w:t>
      </w:r>
      <w:r w:rsidR="008F6C73" w:rsidRPr="00333A62">
        <w:rPr>
          <w:rFonts w:ascii="Times New Roman" w:eastAsiaTheme="majorEastAsia" w:hAnsi="Times New Roman" w:cs="Times New Roman"/>
          <w:sz w:val="24"/>
          <w:szCs w:val="24"/>
        </w:rPr>
        <w:t>(</w:t>
      </w:r>
      <w:r w:rsidRPr="00333A62">
        <w:rPr>
          <w:rFonts w:ascii="Times New Roman" w:eastAsiaTheme="majorEastAsia" w:hAnsi="Times New Roman" w:cs="Times New Roman"/>
          <w:sz w:val="24"/>
          <w:szCs w:val="24"/>
        </w:rPr>
        <w:t>MAGPI</w:t>
      </w:r>
      <w:r w:rsidR="008F6C73" w:rsidRPr="00333A62">
        <w:rPr>
          <w:rFonts w:ascii="Times New Roman" w:eastAsiaTheme="majorEastAsia" w:hAnsi="Times New Roman" w:cs="Times New Roman"/>
          <w:sz w:val="24"/>
          <w:szCs w:val="24"/>
        </w:rPr>
        <w:t>)</w:t>
      </w:r>
      <w:r w:rsidRPr="00333A62">
        <w:rPr>
          <w:rFonts w:ascii="Times New Roman" w:eastAsiaTheme="majorEastAsia" w:hAnsi="Times New Roman" w:cs="Times New Roman"/>
          <w:sz w:val="24"/>
          <w:szCs w:val="24"/>
        </w:rPr>
        <w:t xml:space="preserve">, </w:t>
      </w:r>
      <w:r w:rsidRPr="00333A62">
        <w:rPr>
          <w:rFonts w:ascii="Times New Roman" w:eastAsiaTheme="majorEastAsia" w:hAnsi="Times New Roman" w:cs="Times New Roman"/>
          <w:sz w:val="24"/>
          <w:szCs w:val="24"/>
        </w:rPr>
        <w:lastRenderedPageBreak/>
        <w:t>mis en place depuis 2014, a enregistré successivement en 201</w:t>
      </w:r>
      <w:r w:rsidR="006249C4" w:rsidRPr="00333A62">
        <w:rPr>
          <w:rFonts w:ascii="Times New Roman" w:eastAsiaTheme="majorEastAsia" w:hAnsi="Times New Roman" w:cs="Times New Roman"/>
          <w:sz w:val="24"/>
          <w:szCs w:val="24"/>
        </w:rPr>
        <w:t>5</w:t>
      </w:r>
      <w:r w:rsidRPr="00333A62">
        <w:rPr>
          <w:rFonts w:ascii="Times New Roman" w:eastAsiaTheme="majorEastAsia" w:hAnsi="Times New Roman" w:cs="Times New Roman"/>
          <w:sz w:val="24"/>
          <w:szCs w:val="24"/>
        </w:rPr>
        <w:t xml:space="preserve">, </w:t>
      </w:r>
      <w:r w:rsidR="00B11699" w:rsidRPr="00333A62">
        <w:rPr>
          <w:rFonts w:ascii="Times New Roman" w:eastAsiaTheme="majorEastAsia" w:hAnsi="Times New Roman" w:cs="Times New Roman"/>
          <w:sz w:val="24"/>
          <w:szCs w:val="24"/>
        </w:rPr>
        <w:t>893</w:t>
      </w:r>
      <w:r w:rsidRPr="00333A62">
        <w:rPr>
          <w:rFonts w:ascii="Times New Roman" w:eastAsiaTheme="majorEastAsia" w:hAnsi="Times New Roman" w:cs="Times New Roman"/>
          <w:sz w:val="24"/>
          <w:szCs w:val="24"/>
        </w:rPr>
        <w:t xml:space="preserve"> cas de décès maternels notifié</w:t>
      </w:r>
      <w:r w:rsidR="006249C4" w:rsidRPr="00333A62">
        <w:rPr>
          <w:rFonts w:ascii="Times New Roman" w:eastAsiaTheme="majorEastAsia" w:hAnsi="Times New Roman" w:cs="Times New Roman"/>
          <w:sz w:val="24"/>
          <w:szCs w:val="24"/>
        </w:rPr>
        <w:t>s</w:t>
      </w:r>
      <w:r w:rsidRPr="00333A62">
        <w:rPr>
          <w:rFonts w:ascii="Times New Roman" w:eastAsiaTheme="majorEastAsia" w:hAnsi="Times New Roman" w:cs="Times New Roman"/>
          <w:sz w:val="24"/>
          <w:szCs w:val="24"/>
        </w:rPr>
        <w:t xml:space="preserve"> par les districts</w:t>
      </w:r>
      <w:r w:rsidR="00B11699" w:rsidRPr="00333A62">
        <w:rPr>
          <w:rFonts w:ascii="Times New Roman" w:eastAsiaTheme="majorEastAsia" w:hAnsi="Times New Roman" w:cs="Times New Roman"/>
          <w:sz w:val="24"/>
          <w:szCs w:val="24"/>
        </w:rPr>
        <w:t xml:space="preserve"> de santé et 1295 cas en 2016</w:t>
      </w:r>
      <w:r w:rsidR="00B11699" w:rsidRPr="00333A62">
        <w:rPr>
          <w:rStyle w:val="Appelnotedebasdep"/>
          <w:rFonts w:ascii="Times New Roman" w:eastAsiaTheme="majorEastAsia" w:hAnsi="Times New Roman" w:cs="Times New Roman"/>
          <w:sz w:val="24"/>
          <w:szCs w:val="24"/>
        </w:rPr>
        <w:footnoteReference w:id="18"/>
      </w:r>
      <w:r w:rsidRPr="00333A62">
        <w:rPr>
          <w:rFonts w:ascii="Times New Roman" w:eastAsiaTheme="majorEastAsia" w:hAnsi="Times New Roman" w:cs="Times New Roman"/>
          <w:sz w:val="24"/>
          <w:szCs w:val="24"/>
        </w:rPr>
        <w:t xml:space="preserve">. </w:t>
      </w:r>
    </w:p>
    <w:p w14:paraId="7D28F0E4" w14:textId="2C9ABEC9" w:rsidR="001D4A0B" w:rsidRPr="00333A62" w:rsidRDefault="001D4A0B" w:rsidP="00333A62">
      <w:pPr>
        <w:spacing w:before="120" w:after="120" w:line="276" w:lineRule="auto"/>
        <w:jc w:val="both"/>
        <w:rPr>
          <w:rFonts w:ascii="Times New Roman" w:eastAsiaTheme="majorEastAsia" w:hAnsi="Times New Roman" w:cs="Times New Roman"/>
          <w:sz w:val="24"/>
          <w:szCs w:val="24"/>
        </w:rPr>
      </w:pPr>
      <w:r w:rsidRPr="00333A62">
        <w:rPr>
          <w:rFonts w:ascii="Times New Roman" w:eastAsiaTheme="majorEastAsia" w:hAnsi="Times New Roman" w:cs="Times New Roman"/>
          <w:sz w:val="24"/>
          <w:szCs w:val="24"/>
        </w:rPr>
        <w:t xml:space="preserve">La </w:t>
      </w:r>
      <w:r w:rsidR="00707721" w:rsidRPr="00333A62">
        <w:rPr>
          <w:rFonts w:ascii="Times New Roman" w:eastAsiaTheme="majorEastAsia" w:hAnsi="Times New Roman" w:cs="Times New Roman"/>
          <w:sz w:val="24"/>
          <w:szCs w:val="24"/>
        </w:rPr>
        <w:t xml:space="preserve">Côte </w:t>
      </w:r>
      <w:r w:rsidRPr="00333A62">
        <w:rPr>
          <w:rFonts w:ascii="Times New Roman" w:eastAsiaTheme="majorEastAsia" w:hAnsi="Times New Roman" w:cs="Times New Roman"/>
          <w:sz w:val="24"/>
          <w:szCs w:val="24"/>
        </w:rPr>
        <w:t>d’</w:t>
      </w:r>
      <w:r w:rsidR="00707721" w:rsidRPr="00333A62">
        <w:rPr>
          <w:rFonts w:ascii="Times New Roman" w:eastAsiaTheme="majorEastAsia" w:hAnsi="Times New Roman" w:cs="Times New Roman"/>
          <w:sz w:val="24"/>
          <w:szCs w:val="24"/>
        </w:rPr>
        <w:t>I</w:t>
      </w:r>
      <w:r w:rsidRPr="00333A62">
        <w:rPr>
          <w:rFonts w:ascii="Times New Roman" w:eastAsiaTheme="majorEastAsia" w:hAnsi="Times New Roman" w:cs="Times New Roman"/>
          <w:sz w:val="24"/>
          <w:szCs w:val="24"/>
        </w:rPr>
        <w:t>voire ambition</w:t>
      </w:r>
      <w:r w:rsidR="00B11699" w:rsidRPr="00333A62">
        <w:rPr>
          <w:rFonts w:ascii="Times New Roman" w:eastAsiaTheme="majorEastAsia" w:hAnsi="Times New Roman" w:cs="Times New Roman"/>
          <w:sz w:val="24"/>
          <w:szCs w:val="24"/>
        </w:rPr>
        <w:t>ne</w:t>
      </w:r>
      <w:r w:rsidRPr="00333A62">
        <w:rPr>
          <w:rFonts w:ascii="Times New Roman" w:eastAsiaTheme="majorEastAsia" w:hAnsi="Times New Roman" w:cs="Times New Roman"/>
          <w:sz w:val="24"/>
          <w:szCs w:val="24"/>
        </w:rPr>
        <w:t xml:space="preserve"> de ramener les chiffres du ratio de mortalité maternelle à 307 </w:t>
      </w:r>
      <w:r w:rsidR="00B11699" w:rsidRPr="00333A62">
        <w:rPr>
          <w:rFonts w:ascii="Times New Roman" w:eastAsiaTheme="majorEastAsia" w:hAnsi="Times New Roman" w:cs="Times New Roman"/>
          <w:sz w:val="24"/>
          <w:szCs w:val="24"/>
        </w:rPr>
        <w:t xml:space="preserve">décès </w:t>
      </w:r>
      <w:r w:rsidRPr="00333A62">
        <w:rPr>
          <w:rFonts w:ascii="Times New Roman" w:eastAsiaTheme="majorEastAsia" w:hAnsi="Times New Roman" w:cs="Times New Roman"/>
          <w:sz w:val="24"/>
          <w:szCs w:val="24"/>
        </w:rPr>
        <w:t>pour 100.000 naissances vivantes à l’horizon 2020</w:t>
      </w:r>
      <w:r w:rsidR="00B11699" w:rsidRPr="00333A62">
        <w:rPr>
          <w:rStyle w:val="Appelnotedebasdep"/>
          <w:rFonts w:ascii="Times New Roman" w:eastAsiaTheme="majorEastAsia" w:hAnsi="Times New Roman" w:cs="Times New Roman"/>
          <w:sz w:val="24"/>
          <w:szCs w:val="24"/>
        </w:rPr>
        <w:footnoteReference w:id="19"/>
      </w:r>
      <w:r w:rsidR="00B11699" w:rsidRPr="00333A62">
        <w:rPr>
          <w:rFonts w:ascii="Times New Roman" w:eastAsiaTheme="majorEastAsia" w:hAnsi="Times New Roman" w:cs="Times New Roman"/>
          <w:sz w:val="24"/>
          <w:szCs w:val="24"/>
        </w:rPr>
        <w:t>.</w:t>
      </w:r>
    </w:p>
    <w:p w14:paraId="0FB840AB" w14:textId="6D2885D2" w:rsidR="00C3641B" w:rsidRDefault="00D90B08" w:rsidP="00333A62">
      <w:pPr>
        <w:spacing w:before="120" w:after="120" w:line="276" w:lineRule="auto"/>
        <w:jc w:val="both"/>
        <w:rPr>
          <w:rFonts w:ascii="Times New Roman" w:eastAsiaTheme="majorEastAsia" w:hAnsi="Times New Roman" w:cs="Times New Roman"/>
          <w:sz w:val="24"/>
          <w:szCs w:val="24"/>
        </w:rPr>
      </w:pPr>
      <w:r w:rsidRPr="00333A62">
        <w:rPr>
          <w:rFonts w:ascii="Times New Roman" w:eastAsiaTheme="majorEastAsia" w:hAnsi="Times New Roman" w:cs="Times New Roman"/>
          <w:sz w:val="24"/>
          <w:szCs w:val="24"/>
        </w:rPr>
        <w:t>Les premières causes de décès maternel en Côte d’Ivoire sont représentées par l</w:t>
      </w:r>
      <w:r w:rsidR="00C3641B" w:rsidRPr="00333A62">
        <w:rPr>
          <w:rFonts w:ascii="Times New Roman" w:eastAsiaTheme="majorEastAsia" w:hAnsi="Times New Roman" w:cs="Times New Roman"/>
          <w:sz w:val="24"/>
          <w:szCs w:val="24"/>
        </w:rPr>
        <w:t>es hémorragies ante et post partum (33%)</w:t>
      </w:r>
      <w:r w:rsidRPr="00333A62">
        <w:rPr>
          <w:rFonts w:ascii="Times New Roman" w:eastAsiaTheme="majorEastAsia" w:hAnsi="Times New Roman" w:cs="Times New Roman"/>
          <w:sz w:val="24"/>
          <w:szCs w:val="24"/>
        </w:rPr>
        <w:t>, l</w:t>
      </w:r>
      <w:r w:rsidR="00C3641B" w:rsidRPr="00333A62">
        <w:rPr>
          <w:rFonts w:ascii="Times New Roman" w:eastAsiaTheme="majorEastAsia" w:hAnsi="Times New Roman" w:cs="Times New Roman"/>
          <w:sz w:val="24"/>
          <w:szCs w:val="24"/>
        </w:rPr>
        <w:t xml:space="preserve">es complications liées à l’hypertension artérielle (22%), </w:t>
      </w:r>
      <w:r w:rsidRPr="00333A62">
        <w:rPr>
          <w:rFonts w:ascii="Times New Roman" w:eastAsiaTheme="majorEastAsia" w:hAnsi="Times New Roman" w:cs="Times New Roman"/>
          <w:sz w:val="24"/>
          <w:szCs w:val="24"/>
        </w:rPr>
        <w:t>l</w:t>
      </w:r>
      <w:r w:rsidR="00C3641B" w:rsidRPr="00333A62">
        <w:rPr>
          <w:rFonts w:ascii="Times New Roman" w:eastAsiaTheme="majorEastAsia" w:hAnsi="Times New Roman" w:cs="Times New Roman"/>
          <w:sz w:val="24"/>
          <w:szCs w:val="24"/>
        </w:rPr>
        <w:t xml:space="preserve">es infections (14%) et </w:t>
      </w:r>
      <w:r w:rsidRPr="00333A62">
        <w:rPr>
          <w:rFonts w:ascii="Times New Roman" w:eastAsiaTheme="majorEastAsia" w:hAnsi="Times New Roman" w:cs="Times New Roman"/>
          <w:sz w:val="24"/>
          <w:szCs w:val="24"/>
        </w:rPr>
        <w:t xml:space="preserve">les </w:t>
      </w:r>
      <w:r w:rsidR="00C3641B" w:rsidRPr="00333A62">
        <w:rPr>
          <w:rFonts w:ascii="Times New Roman" w:eastAsiaTheme="majorEastAsia" w:hAnsi="Times New Roman" w:cs="Times New Roman"/>
          <w:sz w:val="24"/>
          <w:szCs w:val="24"/>
        </w:rPr>
        <w:t>complications liées aux avortements (14%).</w:t>
      </w:r>
    </w:p>
    <w:p w14:paraId="2A95A9DA" w14:textId="6D17DC60" w:rsidR="00C3641B" w:rsidRPr="00333A62" w:rsidRDefault="00C3641B" w:rsidP="00333A62">
      <w:pPr>
        <w:spacing w:before="120" w:after="120" w:line="276" w:lineRule="auto"/>
        <w:rPr>
          <w:rFonts w:ascii="Times New Roman" w:eastAsiaTheme="majorEastAsia" w:hAnsi="Times New Roman" w:cs="Times New Roman"/>
          <w:sz w:val="24"/>
          <w:szCs w:val="24"/>
        </w:rPr>
      </w:pPr>
      <w:r w:rsidRPr="00333A62">
        <w:rPr>
          <w:rFonts w:ascii="Times New Roman" w:eastAsiaTheme="majorEastAsia" w:hAnsi="Times New Roman" w:cs="Times New Roman"/>
          <w:noProof/>
          <w:sz w:val="24"/>
          <w:szCs w:val="24"/>
          <w:lang w:val="fr-FR" w:eastAsia="fr-FR"/>
        </w:rPr>
        <w:drawing>
          <wp:inline distT="0" distB="0" distL="0" distR="0" wp14:anchorId="42AAD165" wp14:editId="3394EA47">
            <wp:extent cx="5638800" cy="2352675"/>
            <wp:effectExtent l="0" t="0" r="0" b="9525"/>
            <wp:docPr id="11" name="Graphique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333A62">
        <w:rPr>
          <w:rFonts w:ascii="Times New Roman" w:eastAsiaTheme="majorEastAsia" w:hAnsi="Times New Roman" w:cs="Times New Roman"/>
          <w:sz w:val="24"/>
          <w:szCs w:val="24"/>
        </w:rPr>
        <w:t xml:space="preserve"> </w:t>
      </w:r>
    </w:p>
    <w:p w14:paraId="6BED0078" w14:textId="5AC8A74F" w:rsidR="00F96D4E" w:rsidRPr="00275C05" w:rsidRDefault="00275C05" w:rsidP="00275C05">
      <w:pPr>
        <w:pStyle w:val="Lgende"/>
        <w:rPr>
          <w:rFonts w:eastAsiaTheme="majorEastAsia"/>
          <w:bCs w:val="0"/>
          <w:sz w:val="24"/>
          <w:szCs w:val="24"/>
          <w:lang w:val="fr-CI"/>
        </w:rPr>
      </w:pPr>
      <w:bookmarkStart w:id="59" w:name="_Toc1588480"/>
      <w:r w:rsidRPr="00275C05">
        <w:rPr>
          <w:sz w:val="24"/>
          <w:szCs w:val="24"/>
        </w:rPr>
        <w:t xml:space="preserve">Graphique </w:t>
      </w:r>
      <w:r w:rsidRPr="00275C05">
        <w:rPr>
          <w:sz w:val="24"/>
          <w:szCs w:val="24"/>
        </w:rPr>
        <w:fldChar w:fldCharType="begin"/>
      </w:r>
      <w:r w:rsidRPr="00275C05">
        <w:rPr>
          <w:sz w:val="24"/>
          <w:szCs w:val="24"/>
        </w:rPr>
        <w:instrText xml:space="preserve"> SEQ Graphique \* ARABIC </w:instrText>
      </w:r>
      <w:r w:rsidRPr="00275C05">
        <w:rPr>
          <w:sz w:val="24"/>
          <w:szCs w:val="24"/>
        </w:rPr>
        <w:fldChar w:fldCharType="separate"/>
      </w:r>
      <w:r w:rsidR="009A04F0">
        <w:rPr>
          <w:noProof/>
          <w:sz w:val="24"/>
          <w:szCs w:val="24"/>
        </w:rPr>
        <w:t>4</w:t>
      </w:r>
      <w:r w:rsidRPr="00275C05">
        <w:rPr>
          <w:sz w:val="24"/>
          <w:szCs w:val="24"/>
        </w:rPr>
        <w:fldChar w:fldCharType="end"/>
      </w:r>
      <w:r w:rsidRPr="00275C05">
        <w:rPr>
          <w:sz w:val="24"/>
          <w:szCs w:val="24"/>
        </w:rPr>
        <w:t xml:space="preserve"> : </w:t>
      </w:r>
      <w:r w:rsidR="00FC7B1E" w:rsidRPr="00275C05">
        <w:rPr>
          <w:rFonts w:eastAsiaTheme="majorEastAsia"/>
          <w:sz w:val="24"/>
          <w:szCs w:val="24"/>
        </w:rPr>
        <w:t xml:space="preserve">Distribution des Causes des décès maternels en </w:t>
      </w:r>
      <w:r w:rsidR="00FC7B1E" w:rsidRPr="00275C05">
        <w:rPr>
          <w:rFonts w:eastAsiaTheme="majorEastAsia"/>
          <w:bCs w:val="0"/>
          <w:sz w:val="24"/>
          <w:szCs w:val="24"/>
          <w:lang w:val="fr-CI"/>
        </w:rPr>
        <w:t>Côte d’Ivoire.</w:t>
      </w:r>
      <w:bookmarkEnd w:id="59"/>
      <w:r w:rsidR="00FC7B1E" w:rsidRPr="00275C05">
        <w:rPr>
          <w:rFonts w:eastAsiaTheme="majorEastAsia"/>
          <w:bCs w:val="0"/>
          <w:sz w:val="24"/>
          <w:szCs w:val="24"/>
          <w:lang w:val="fr-CI"/>
        </w:rPr>
        <w:t xml:space="preserve"> </w:t>
      </w:r>
    </w:p>
    <w:p w14:paraId="0247A29A" w14:textId="171F27C8" w:rsidR="00FC7B1E" w:rsidRPr="00F96D4E" w:rsidRDefault="00FC7B1E" w:rsidP="00F96D4E">
      <w:pPr>
        <w:spacing w:after="0" w:line="240" w:lineRule="auto"/>
        <w:rPr>
          <w:rFonts w:ascii="Times New Roman" w:eastAsiaTheme="majorEastAsia" w:hAnsi="Times New Roman" w:cs="Times New Roman"/>
          <w:sz w:val="24"/>
          <w:szCs w:val="24"/>
          <w:lang w:val="fr-FR"/>
        </w:rPr>
      </w:pPr>
      <w:r w:rsidRPr="00275C05">
        <w:rPr>
          <w:rFonts w:ascii="Times New Roman" w:eastAsiaTheme="majorEastAsia" w:hAnsi="Times New Roman" w:cs="Times New Roman"/>
          <w:bCs/>
          <w:sz w:val="24"/>
          <w:szCs w:val="24"/>
          <w:u w:val="single"/>
          <w:lang w:val="fr-CI"/>
        </w:rPr>
        <w:t>Source</w:t>
      </w:r>
      <w:r w:rsidR="00275C05">
        <w:rPr>
          <w:rFonts w:ascii="Times New Roman" w:eastAsiaTheme="majorEastAsia" w:hAnsi="Times New Roman" w:cs="Times New Roman"/>
          <w:bCs/>
          <w:sz w:val="24"/>
          <w:szCs w:val="24"/>
          <w:u w:val="single"/>
          <w:lang w:val="fr-CI"/>
        </w:rPr>
        <w:t> </w:t>
      </w:r>
      <w:r w:rsidR="00275C05">
        <w:rPr>
          <w:rFonts w:ascii="Times New Roman" w:eastAsiaTheme="majorEastAsia" w:hAnsi="Times New Roman" w:cs="Times New Roman"/>
          <w:bCs/>
          <w:sz w:val="24"/>
          <w:szCs w:val="24"/>
          <w:lang w:val="fr-CI"/>
        </w:rPr>
        <w:t>:</w:t>
      </w:r>
      <w:r w:rsidRPr="00F96D4E">
        <w:rPr>
          <w:rFonts w:ascii="Times New Roman" w:eastAsiaTheme="majorEastAsia" w:hAnsi="Times New Roman" w:cs="Times New Roman"/>
          <w:bCs/>
          <w:sz w:val="24"/>
          <w:szCs w:val="24"/>
          <w:lang w:val="fr-CI"/>
        </w:rPr>
        <w:t xml:space="preserve"> EDS-MICS 2012.</w:t>
      </w:r>
      <w:r w:rsidRPr="00F96D4E">
        <w:rPr>
          <w:rFonts w:ascii="Times New Roman" w:eastAsiaTheme="majorEastAsia" w:hAnsi="Times New Roman" w:cs="Times New Roman"/>
          <w:sz w:val="24"/>
          <w:szCs w:val="24"/>
          <w:lang w:val="fr-FR"/>
        </w:rPr>
        <w:t xml:space="preserve"> </w:t>
      </w:r>
    </w:p>
    <w:p w14:paraId="49BFD490" w14:textId="77777777" w:rsidR="005D75A6" w:rsidRDefault="005D75A6" w:rsidP="00333A62">
      <w:pPr>
        <w:spacing w:before="120" w:after="120" w:line="276" w:lineRule="auto"/>
        <w:jc w:val="both"/>
        <w:rPr>
          <w:rFonts w:ascii="Times New Roman" w:eastAsiaTheme="majorEastAsia" w:hAnsi="Times New Roman" w:cs="Times New Roman"/>
          <w:sz w:val="24"/>
          <w:szCs w:val="24"/>
        </w:rPr>
      </w:pPr>
    </w:p>
    <w:p w14:paraId="3F153E88" w14:textId="33215574" w:rsidR="00C3641B" w:rsidRDefault="007A0CE7" w:rsidP="00333A62">
      <w:pPr>
        <w:spacing w:before="120" w:after="120" w:line="276" w:lineRule="auto"/>
        <w:jc w:val="both"/>
        <w:rPr>
          <w:rFonts w:ascii="Times New Roman" w:eastAsiaTheme="majorEastAsia" w:hAnsi="Times New Roman" w:cs="Times New Roman"/>
          <w:sz w:val="24"/>
          <w:szCs w:val="24"/>
        </w:rPr>
      </w:pPr>
      <w:r w:rsidRPr="00333A62">
        <w:rPr>
          <w:rFonts w:ascii="Times New Roman" w:eastAsiaTheme="majorEastAsia" w:hAnsi="Times New Roman" w:cs="Times New Roman"/>
          <w:sz w:val="24"/>
          <w:szCs w:val="24"/>
        </w:rPr>
        <w:t xml:space="preserve">La majorité des décès </w:t>
      </w:r>
      <w:r w:rsidR="00710788" w:rsidRPr="00333A62">
        <w:rPr>
          <w:rFonts w:ascii="Times New Roman" w:eastAsiaTheme="majorEastAsia" w:hAnsi="Times New Roman" w:cs="Times New Roman"/>
          <w:sz w:val="24"/>
          <w:szCs w:val="24"/>
        </w:rPr>
        <w:t xml:space="preserve">maternels </w:t>
      </w:r>
      <w:r w:rsidR="00C3641B" w:rsidRPr="00333A62">
        <w:rPr>
          <w:rFonts w:ascii="Times New Roman" w:eastAsiaTheme="majorEastAsia" w:hAnsi="Times New Roman" w:cs="Times New Roman"/>
          <w:sz w:val="24"/>
          <w:szCs w:val="24"/>
        </w:rPr>
        <w:t>ont lieu dans la tranche d’âge de 15 ans à 39 ans</w:t>
      </w:r>
      <w:r w:rsidR="00710788" w:rsidRPr="00333A62">
        <w:rPr>
          <w:rStyle w:val="Appelnotedebasdep"/>
          <w:rFonts w:ascii="Times New Roman" w:eastAsiaTheme="majorEastAsia" w:hAnsi="Times New Roman" w:cs="Times New Roman"/>
          <w:sz w:val="24"/>
          <w:szCs w:val="24"/>
        </w:rPr>
        <w:footnoteReference w:id="20"/>
      </w:r>
      <w:r w:rsidR="00710788" w:rsidRPr="00333A62">
        <w:rPr>
          <w:rFonts w:ascii="Times New Roman" w:eastAsiaTheme="majorEastAsia" w:hAnsi="Times New Roman" w:cs="Times New Roman"/>
          <w:sz w:val="24"/>
          <w:szCs w:val="24"/>
        </w:rPr>
        <w:t xml:space="preserve"> avec 27,6 % chez les adolescentes et les jeunes de 15à 24 ans.</w:t>
      </w:r>
    </w:p>
    <w:p w14:paraId="241A35B8" w14:textId="77777777" w:rsidR="008C2884" w:rsidRDefault="00C3641B" w:rsidP="00333A62">
      <w:pPr>
        <w:spacing w:before="120" w:after="120" w:line="276" w:lineRule="auto"/>
        <w:rPr>
          <w:rFonts w:ascii="Times New Roman" w:hAnsi="Times New Roman" w:cs="Times New Roman"/>
          <w:noProof/>
          <w:sz w:val="24"/>
          <w:szCs w:val="24"/>
          <w:lang w:val="fr-FR" w:eastAsia="fr-FR"/>
        </w:rPr>
      </w:pPr>
      <w:r w:rsidRPr="008C2884">
        <w:rPr>
          <w:rFonts w:ascii="Times New Roman" w:eastAsiaTheme="majorEastAsia" w:hAnsi="Times New Roman" w:cs="Times New Roman"/>
          <w:noProof/>
          <w:szCs w:val="24"/>
          <w:lang w:val="fr-FR" w:eastAsia="fr-FR"/>
        </w:rPr>
        <w:drawing>
          <wp:inline distT="0" distB="0" distL="0" distR="0" wp14:anchorId="7E5E40BD" wp14:editId="2C667278">
            <wp:extent cx="5787390" cy="2062263"/>
            <wp:effectExtent l="0" t="0" r="0" b="0"/>
            <wp:docPr id="2"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C3D8E1B" w14:textId="49F0A3B4" w:rsidR="008C2884" w:rsidRPr="005D75A6" w:rsidRDefault="00275C05" w:rsidP="00275C05">
      <w:pPr>
        <w:pStyle w:val="Lgende"/>
        <w:rPr>
          <w:noProof/>
          <w:sz w:val="24"/>
          <w:szCs w:val="24"/>
          <w:lang w:eastAsia="fr-FR"/>
        </w:rPr>
      </w:pPr>
      <w:bookmarkStart w:id="60" w:name="_Toc1588481"/>
      <w:r w:rsidRPr="005D75A6">
        <w:rPr>
          <w:sz w:val="24"/>
          <w:szCs w:val="24"/>
        </w:rPr>
        <w:t xml:space="preserve">Graphique </w:t>
      </w:r>
      <w:r w:rsidRPr="005D75A6">
        <w:rPr>
          <w:sz w:val="24"/>
          <w:szCs w:val="24"/>
        </w:rPr>
        <w:fldChar w:fldCharType="begin"/>
      </w:r>
      <w:r w:rsidRPr="005D75A6">
        <w:rPr>
          <w:sz w:val="24"/>
          <w:szCs w:val="24"/>
        </w:rPr>
        <w:instrText xml:space="preserve"> SEQ Graphique \* ARABIC </w:instrText>
      </w:r>
      <w:r w:rsidRPr="005D75A6">
        <w:rPr>
          <w:sz w:val="24"/>
          <w:szCs w:val="24"/>
        </w:rPr>
        <w:fldChar w:fldCharType="separate"/>
      </w:r>
      <w:r w:rsidR="009A04F0">
        <w:rPr>
          <w:noProof/>
          <w:sz w:val="24"/>
          <w:szCs w:val="24"/>
        </w:rPr>
        <w:t>5</w:t>
      </w:r>
      <w:r w:rsidRPr="005D75A6">
        <w:rPr>
          <w:sz w:val="24"/>
          <w:szCs w:val="24"/>
        </w:rPr>
        <w:fldChar w:fldCharType="end"/>
      </w:r>
      <w:r w:rsidR="00721B91" w:rsidRPr="005D75A6">
        <w:rPr>
          <w:noProof/>
          <w:sz w:val="24"/>
          <w:szCs w:val="24"/>
          <w:lang w:eastAsia="fr-FR"/>
        </w:rPr>
        <w:t xml:space="preserve">: </w:t>
      </w:r>
      <w:r w:rsidR="000637E0" w:rsidRPr="005D75A6">
        <w:rPr>
          <w:noProof/>
          <w:sz w:val="24"/>
          <w:szCs w:val="24"/>
          <w:lang w:eastAsia="fr-FR"/>
        </w:rPr>
        <w:t>Repartition des décès maternels par tranche d’âge.</w:t>
      </w:r>
      <w:bookmarkEnd w:id="60"/>
      <w:r w:rsidR="00721B91" w:rsidRPr="005D75A6">
        <w:rPr>
          <w:noProof/>
          <w:sz w:val="24"/>
          <w:szCs w:val="24"/>
          <w:lang w:eastAsia="fr-FR"/>
        </w:rPr>
        <w:t xml:space="preserve"> </w:t>
      </w:r>
    </w:p>
    <w:p w14:paraId="5B0E3A33" w14:textId="2027FCD1" w:rsidR="00C3641B" w:rsidRPr="00333A62" w:rsidRDefault="00CE0A27" w:rsidP="008C2884">
      <w:pPr>
        <w:spacing w:after="0" w:line="240" w:lineRule="auto"/>
        <w:rPr>
          <w:rFonts w:ascii="Times New Roman" w:hAnsi="Times New Roman" w:cs="Times New Roman"/>
          <w:sz w:val="24"/>
          <w:szCs w:val="24"/>
        </w:rPr>
      </w:pPr>
      <w:r w:rsidRPr="00C62E4E">
        <w:rPr>
          <w:rFonts w:ascii="Times New Roman" w:hAnsi="Times New Roman" w:cs="Times New Roman"/>
          <w:sz w:val="24"/>
          <w:szCs w:val="24"/>
          <w:u w:val="single"/>
        </w:rPr>
        <w:t>Source</w:t>
      </w:r>
      <w:r w:rsidR="00C62E4E">
        <w:rPr>
          <w:rFonts w:ascii="Times New Roman" w:hAnsi="Times New Roman" w:cs="Times New Roman"/>
          <w:sz w:val="24"/>
          <w:szCs w:val="24"/>
        </w:rPr>
        <w:t xml:space="preserve"> : </w:t>
      </w:r>
      <w:r w:rsidRPr="00333A62">
        <w:rPr>
          <w:rFonts w:ascii="Times New Roman" w:hAnsi="Times New Roman" w:cs="Times New Roman"/>
          <w:sz w:val="24"/>
          <w:szCs w:val="24"/>
          <w:lang w:val="fr-FR"/>
        </w:rPr>
        <w:t xml:space="preserve">Rapport national sur la surveillance des décès maternels et riposte en </w:t>
      </w:r>
      <w:r w:rsidRPr="00333A62">
        <w:rPr>
          <w:rFonts w:ascii="Times New Roman" w:hAnsi="Times New Roman" w:cs="Times New Roman"/>
          <w:bCs/>
          <w:sz w:val="24"/>
          <w:szCs w:val="24"/>
          <w:lang w:val="fr-CI"/>
        </w:rPr>
        <w:t>Côte d’Ivoire 2017</w:t>
      </w:r>
    </w:p>
    <w:p w14:paraId="3AAA30E7" w14:textId="5F4A6676" w:rsidR="005A01D0" w:rsidRPr="00333A62" w:rsidRDefault="00A43FE2" w:rsidP="00333A62">
      <w:pPr>
        <w:spacing w:before="120" w:after="120" w:line="276" w:lineRule="auto"/>
        <w:jc w:val="both"/>
        <w:rPr>
          <w:rFonts w:ascii="Times New Roman" w:eastAsiaTheme="majorEastAsia" w:hAnsi="Times New Roman" w:cs="Times New Roman"/>
          <w:sz w:val="24"/>
          <w:szCs w:val="24"/>
        </w:rPr>
      </w:pPr>
      <w:r w:rsidRPr="00333A62">
        <w:rPr>
          <w:rFonts w:ascii="Times New Roman" w:eastAsiaTheme="majorEastAsia" w:hAnsi="Times New Roman" w:cs="Times New Roman"/>
          <w:sz w:val="24"/>
          <w:szCs w:val="24"/>
        </w:rPr>
        <w:lastRenderedPageBreak/>
        <w:t xml:space="preserve">Les décès </w:t>
      </w:r>
      <w:r w:rsidR="008E0F2F" w:rsidRPr="00333A62">
        <w:rPr>
          <w:rFonts w:ascii="Times New Roman" w:eastAsiaTheme="majorEastAsia" w:hAnsi="Times New Roman" w:cs="Times New Roman"/>
          <w:sz w:val="24"/>
          <w:szCs w:val="24"/>
        </w:rPr>
        <w:t xml:space="preserve">maternels </w:t>
      </w:r>
      <w:r w:rsidRPr="00333A62">
        <w:rPr>
          <w:rFonts w:ascii="Times New Roman" w:eastAsiaTheme="majorEastAsia" w:hAnsi="Times New Roman" w:cs="Times New Roman"/>
          <w:sz w:val="24"/>
          <w:szCs w:val="24"/>
        </w:rPr>
        <w:t xml:space="preserve">surviennent dans la majorité des cas </w:t>
      </w:r>
      <w:r w:rsidR="005A01D0" w:rsidRPr="00333A62">
        <w:rPr>
          <w:rFonts w:ascii="Times New Roman" w:eastAsiaTheme="majorEastAsia" w:hAnsi="Times New Roman" w:cs="Times New Roman"/>
          <w:sz w:val="24"/>
          <w:szCs w:val="24"/>
        </w:rPr>
        <w:t xml:space="preserve">dans le </w:t>
      </w:r>
      <w:r w:rsidR="008E0F2F" w:rsidRPr="00333A62">
        <w:rPr>
          <w:rFonts w:ascii="Times New Roman" w:eastAsiaTheme="majorEastAsia" w:hAnsi="Times New Roman" w:cs="Times New Roman"/>
          <w:sz w:val="24"/>
          <w:szCs w:val="24"/>
        </w:rPr>
        <w:t>post-</w:t>
      </w:r>
      <w:r w:rsidR="00807B51" w:rsidRPr="00333A62">
        <w:rPr>
          <w:rFonts w:ascii="Times New Roman" w:eastAsiaTheme="majorEastAsia" w:hAnsi="Times New Roman" w:cs="Times New Roman"/>
          <w:sz w:val="24"/>
          <w:szCs w:val="24"/>
        </w:rPr>
        <w:t>partum immédiat</w:t>
      </w:r>
      <w:r w:rsidR="008E0F2F" w:rsidRPr="00333A62">
        <w:rPr>
          <w:rFonts w:ascii="Times New Roman" w:eastAsiaTheme="majorEastAsia" w:hAnsi="Times New Roman" w:cs="Times New Roman"/>
          <w:sz w:val="24"/>
          <w:szCs w:val="24"/>
        </w:rPr>
        <w:t xml:space="preserve"> avec 1197 cas recensés sur la période de 2014 à 2016</w:t>
      </w:r>
      <w:r w:rsidR="00807B51" w:rsidRPr="00333A62">
        <w:rPr>
          <w:rFonts w:ascii="Times New Roman" w:eastAsiaTheme="majorEastAsia" w:hAnsi="Times New Roman" w:cs="Times New Roman"/>
          <w:sz w:val="24"/>
          <w:szCs w:val="24"/>
        </w:rPr>
        <w:t>.</w:t>
      </w:r>
    </w:p>
    <w:p w14:paraId="69629000" w14:textId="77777777" w:rsidR="005D75A6" w:rsidRDefault="000B558C" w:rsidP="008C2884">
      <w:pPr>
        <w:tabs>
          <w:tab w:val="left" w:pos="1048"/>
        </w:tabs>
        <w:spacing w:after="0" w:line="240" w:lineRule="auto"/>
        <w:rPr>
          <w:rFonts w:ascii="Times New Roman" w:eastAsiaTheme="majorEastAsia" w:hAnsi="Times New Roman" w:cs="Times New Roman"/>
          <w:sz w:val="24"/>
          <w:szCs w:val="24"/>
        </w:rPr>
      </w:pPr>
      <w:r w:rsidRPr="00333A62">
        <w:rPr>
          <w:rFonts w:ascii="Times New Roman" w:hAnsi="Times New Roman" w:cs="Times New Roman"/>
          <w:noProof/>
          <w:sz w:val="24"/>
          <w:szCs w:val="24"/>
          <w:lang w:val="fr-FR" w:eastAsia="fr-FR"/>
        </w:rPr>
        <w:drawing>
          <wp:inline distT="0" distB="0" distL="0" distR="0" wp14:anchorId="2F29905F" wp14:editId="71D00ABA">
            <wp:extent cx="4933950" cy="2400300"/>
            <wp:effectExtent l="0" t="0" r="0" b="0"/>
            <wp:docPr id="31" name="Graphique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4B4A8B0" w14:textId="18B4CECA" w:rsidR="008C2884" w:rsidRPr="005D75A6" w:rsidRDefault="005D75A6" w:rsidP="005D75A6">
      <w:pPr>
        <w:pStyle w:val="Lgende"/>
        <w:rPr>
          <w:rFonts w:eastAsiaTheme="majorEastAsia"/>
          <w:sz w:val="24"/>
          <w:szCs w:val="24"/>
        </w:rPr>
      </w:pPr>
      <w:bookmarkStart w:id="61" w:name="_Toc1588482"/>
      <w:r w:rsidRPr="005D75A6">
        <w:rPr>
          <w:sz w:val="24"/>
          <w:szCs w:val="24"/>
        </w:rPr>
        <w:t xml:space="preserve">Graphique </w:t>
      </w:r>
      <w:r w:rsidRPr="005D75A6">
        <w:rPr>
          <w:sz w:val="24"/>
          <w:szCs w:val="24"/>
        </w:rPr>
        <w:fldChar w:fldCharType="begin"/>
      </w:r>
      <w:r w:rsidRPr="005D75A6">
        <w:rPr>
          <w:sz w:val="24"/>
          <w:szCs w:val="24"/>
        </w:rPr>
        <w:instrText xml:space="preserve"> SEQ Graphique \* ARABIC </w:instrText>
      </w:r>
      <w:r w:rsidRPr="005D75A6">
        <w:rPr>
          <w:sz w:val="24"/>
          <w:szCs w:val="24"/>
        </w:rPr>
        <w:fldChar w:fldCharType="separate"/>
      </w:r>
      <w:r w:rsidR="009A04F0">
        <w:rPr>
          <w:noProof/>
          <w:sz w:val="24"/>
          <w:szCs w:val="24"/>
        </w:rPr>
        <w:t>6</w:t>
      </w:r>
      <w:r w:rsidRPr="005D75A6">
        <w:rPr>
          <w:sz w:val="24"/>
          <w:szCs w:val="24"/>
        </w:rPr>
        <w:fldChar w:fldCharType="end"/>
      </w:r>
      <w:r w:rsidR="00692C34" w:rsidRPr="005D75A6">
        <w:rPr>
          <w:rFonts w:eastAsiaTheme="majorEastAsia"/>
          <w:sz w:val="24"/>
          <w:szCs w:val="24"/>
        </w:rPr>
        <w:t> : Répartition des décès selon le moment de la survenue des décès</w:t>
      </w:r>
      <w:r w:rsidR="00B11699" w:rsidRPr="005D75A6">
        <w:rPr>
          <w:rFonts w:eastAsiaTheme="majorEastAsia"/>
          <w:sz w:val="24"/>
          <w:szCs w:val="24"/>
        </w:rPr>
        <w:t>.</w:t>
      </w:r>
      <w:bookmarkEnd w:id="61"/>
      <w:r w:rsidR="00B11699" w:rsidRPr="005D75A6">
        <w:rPr>
          <w:rFonts w:eastAsiaTheme="majorEastAsia"/>
          <w:sz w:val="24"/>
          <w:szCs w:val="24"/>
        </w:rPr>
        <w:t xml:space="preserve"> </w:t>
      </w:r>
    </w:p>
    <w:p w14:paraId="0DCBB1C4" w14:textId="1584934E" w:rsidR="00692C34" w:rsidRPr="00333A62" w:rsidRDefault="00692C34" w:rsidP="008C2884">
      <w:pPr>
        <w:tabs>
          <w:tab w:val="left" w:pos="1048"/>
        </w:tabs>
        <w:spacing w:after="0" w:line="240" w:lineRule="auto"/>
        <w:rPr>
          <w:rFonts w:ascii="Times New Roman" w:eastAsiaTheme="majorEastAsia" w:hAnsi="Times New Roman" w:cs="Times New Roman"/>
          <w:sz w:val="24"/>
          <w:szCs w:val="24"/>
        </w:rPr>
      </w:pPr>
      <w:r w:rsidRPr="00C62E4E">
        <w:rPr>
          <w:rFonts w:ascii="Times New Roman" w:hAnsi="Times New Roman" w:cs="Times New Roman"/>
          <w:sz w:val="24"/>
          <w:szCs w:val="24"/>
          <w:u w:val="single"/>
        </w:rPr>
        <w:t>Source</w:t>
      </w:r>
      <w:r w:rsidRPr="00333A62">
        <w:rPr>
          <w:rFonts w:ascii="Times New Roman" w:hAnsi="Times New Roman" w:cs="Times New Roman"/>
          <w:sz w:val="24"/>
          <w:szCs w:val="24"/>
        </w:rPr>
        <w:t xml:space="preserve"> : Base de données de la Côte d’Ivoire sur les cas de décès maternels, 2014-2016</w:t>
      </w:r>
      <w:r w:rsidR="002F24CA" w:rsidRPr="00333A62">
        <w:rPr>
          <w:rFonts w:ascii="Times New Roman" w:hAnsi="Times New Roman" w:cs="Times New Roman"/>
          <w:sz w:val="24"/>
          <w:szCs w:val="24"/>
        </w:rPr>
        <w:t>)</w:t>
      </w:r>
    </w:p>
    <w:p w14:paraId="1349016B" w14:textId="77777777" w:rsidR="00B11699" w:rsidRPr="00333A62" w:rsidRDefault="00B11699" w:rsidP="00333A62">
      <w:pPr>
        <w:tabs>
          <w:tab w:val="left" w:pos="1048"/>
        </w:tabs>
        <w:spacing w:before="120" w:after="120" w:line="276" w:lineRule="auto"/>
        <w:rPr>
          <w:rFonts w:ascii="Times New Roman" w:eastAsiaTheme="majorEastAsia" w:hAnsi="Times New Roman" w:cs="Times New Roman"/>
          <w:sz w:val="24"/>
          <w:szCs w:val="24"/>
        </w:rPr>
      </w:pPr>
    </w:p>
    <w:p w14:paraId="56FAC526" w14:textId="77777777" w:rsidR="002B29B2" w:rsidRDefault="002B29B2" w:rsidP="00333A62">
      <w:pPr>
        <w:tabs>
          <w:tab w:val="left" w:pos="1048"/>
        </w:tabs>
        <w:spacing w:before="120" w:after="120" w:line="276" w:lineRule="auto"/>
        <w:rPr>
          <w:rFonts w:ascii="Times New Roman" w:eastAsiaTheme="majorEastAsia" w:hAnsi="Times New Roman" w:cs="Times New Roman"/>
          <w:sz w:val="24"/>
          <w:szCs w:val="24"/>
        </w:rPr>
      </w:pPr>
    </w:p>
    <w:p w14:paraId="5564A799" w14:textId="4DDF0FBC" w:rsidR="005A01D0" w:rsidRPr="00333A62" w:rsidRDefault="005A01D0" w:rsidP="00333A62">
      <w:pPr>
        <w:tabs>
          <w:tab w:val="left" w:pos="1048"/>
        </w:tabs>
        <w:spacing w:before="120" w:after="120" w:line="276" w:lineRule="auto"/>
        <w:rPr>
          <w:rFonts w:ascii="Times New Roman" w:eastAsiaTheme="majorEastAsia" w:hAnsi="Times New Roman" w:cs="Times New Roman"/>
          <w:sz w:val="24"/>
          <w:szCs w:val="24"/>
        </w:rPr>
      </w:pPr>
      <w:r w:rsidRPr="00333A62">
        <w:rPr>
          <w:rFonts w:ascii="Times New Roman" w:eastAsiaTheme="majorEastAsia" w:hAnsi="Times New Roman" w:cs="Times New Roman"/>
          <w:sz w:val="24"/>
          <w:szCs w:val="24"/>
        </w:rPr>
        <w:t xml:space="preserve">Les régions sanitaires d’Abidjan 2, </w:t>
      </w:r>
      <w:r w:rsidR="008E0F2F" w:rsidRPr="00333A62">
        <w:rPr>
          <w:rFonts w:ascii="Times New Roman" w:eastAsiaTheme="majorEastAsia" w:hAnsi="Times New Roman" w:cs="Times New Roman"/>
          <w:sz w:val="24"/>
          <w:szCs w:val="24"/>
        </w:rPr>
        <w:t>d’Abidjan 1- Grands</w:t>
      </w:r>
      <w:r w:rsidR="0050393A" w:rsidRPr="00333A62">
        <w:rPr>
          <w:rFonts w:ascii="Times New Roman" w:eastAsiaTheme="majorEastAsia" w:hAnsi="Times New Roman" w:cs="Times New Roman"/>
          <w:sz w:val="24"/>
          <w:szCs w:val="24"/>
        </w:rPr>
        <w:t>-ponts, du Gboklè-Nawa-</w:t>
      </w:r>
      <w:r w:rsidR="00B1665C" w:rsidRPr="00333A62">
        <w:rPr>
          <w:rFonts w:ascii="Times New Roman" w:eastAsiaTheme="majorEastAsia" w:hAnsi="Times New Roman" w:cs="Times New Roman"/>
          <w:sz w:val="24"/>
          <w:szCs w:val="24"/>
        </w:rPr>
        <w:t>San-Pedro</w:t>
      </w:r>
      <w:r w:rsidR="0050393A" w:rsidRPr="00333A62">
        <w:rPr>
          <w:rFonts w:ascii="Times New Roman" w:eastAsiaTheme="majorEastAsia" w:hAnsi="Times New Roman" w:cs="Times New Roman"/>
          <w:sz w:val="24"/>
          <w:szCs w:val="24"/>
        </w:rPr>
        <w:t xml:space="preserve"> et du Haut-Sassandra ont le</w:t>
      </w:r>
      <w:r w:rsidR="008E0F2F" w:rsidRPr="00333A62">
        <w:rPr>
          <w:rFonts w:ascii="Times New Roman" w:eastAsiaTheme="majorEastAsia" w:hAnsi="Times New Roman" w:cs="Times New Roman"/>
          <w:sz w:val="24"/>
          <w:szCs w:val="24"/>
        </w:rPr>
        <w:t>s</w:t>
      </w:r>
      <w:r w:rsidR="0050393A" w:rsidRPr="00333A62">
        <w:rPr>
          <w:rFonts w:ascii="Times New Roman" w:eastAsiaTheme="majorEastAsia" w:hAnsi="Times New Roman" w:cs="Times New Roman"/>
          <w:sz w:val="24"/>
          <w:szCs w:val="24"/>
        </w:rPr>
        <w:t xml:space="preserve"> nombre</w:t>
      </w:r>
      <w:r w:rsidR="008E0F2F" w:rsidRPr="00333A62">
        <w:rPr>
          <w:rFonts w:ascii="Times New Roman" w:eastAsiaTheme="majorEastAsia" w:hAnsi="Times New Roman" w:cs="Times New Roman"/>
          <w:sz w:val="24"/>
          <w:szCs w:val="24"/>
        </w:rPr>
        <w:t>s</w:t>
      </w:r>
      <w:r w:rsidR="0050393A" w:rsidRPr="00333A62">
        <w:rPr>
          <w:rFonts w:ascii="Times New Roman" w:eastAsiaTheme="majorEastAsia" w:hAnsi="Times New Roman" w:cs="Times New Roman"/>
          <w:sz w:val="24"/>
          <w:szCs w:val="24"/>
        </w:rPr>
        <w:t xml:space="preserve"> de décès maternels notifiés</w:t>
      </w:r>
      <w:r w:rsidR="003218DF" w:rsidRPr="00333A62">
        <w:rPr>
          <w:rFonts w:ascii="Times New Roman" w:eastAsiaTheme="majorEastAsia" w:hAnsi="Times New Roman" w:cs="Times New Roman"/>
          <w:sz w:val="24"/>
          <w:szCs w:val="24"/>
        </w:rPr>
        <w:t xml:space="preserve"> les plus élevés</w:t>
      </w:r>
      <w:r w:rsidR="00692C34" w:rsidRPr="00333A62">
        <w:rPr>
          <w:rFonts w:ascii="Times New Roman" w:eastAsiaTheme="majorEastAsia" w:hAnsi="Times New Roman" w:cs="Times New Roman"/>
          <w:sz w:val="24"/>
          <w:szCs w:val="24"/>
        </w:rPr>
        <w:t>.</w:t>
      </w:r>
    </w:p>
    <w:p w14:paraId="2E22D28E" w14:textId="3BF1CBB2" w:rsidR="003968FC" w:rsidRPr="00333A62" w:rsidRDefault="00807B51" w:rsidP="00333A62">
      <w:pPr>
        <w:spacing w:before="120" w:after="120" w:line="276" w:lineRule="auto"/>
        <w:jc w:val="both"/>
        <w:rPr>
          <w:rFonts w:ascii="Times New Roman" w:eastAsiaTheme="majorEastAsia" w:hAnsi="Times New Roman" w:cs="Times New Roman"/>
          <w:sz w:val="24"/>
          <w:szCs w:val="24"/>
          <w:lang w:val="fr-FR"/>
        </w:rPr>
      </w:pPr>
      <w:r w:rsidRPr="00333A62">
        <w:rPr>
          <w:rFonts w:ascii="Times New Roman" w:hAnsi="Times New Roman" w:cs="Times New Roman"/>
          <w:noProof/>
          <w:sz w:val="24"/>
          <w:szCs w:val="24"/>
          <w:lang w:val="fr-FR" w:eastAsia="fr-FR"/>
        </w:rPr>
        <w:drawing>
          <wp:inline distT="0" distB="0" distL="0" distR="0" wp14:anchorId="46204D5F" wp14:editId="5538630D">
            <wp:extent cx="5981700" cy="2743200"/>
            <wp:effectExtent l="0" t="0" r="0" b="0"/>
            <wp:docPr id="15" name="Graphique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E84A0DB" w14:textId="3F8530BD" w:rsidR="008C2884" w:rsidRPr="00C62E4E" w:rsidRDefault="00C62E4E" w:rsidP="00C62E4E">
      <w:pPr>
        <w:pStyle w:val="Lgende"/>
        <w:jc w:val="both"/>
        <w:rPr>
          <w:rFonts w:eastAsiaTheme="majorEastAsia"/>
          <w:sz w:val="24"/>
          <w:szCs w:val="24"/>
        </w:rPr>
      </w:pPr>
      <w:bookmarkStart w:id="62" w:name="_Toc1588483"/>
      <w:r w:rsidRPr="00C62E4E">
        <w:rPr>
          <w:sz w:val="24"/>
          <w:szCs w:val="24"/>
        </w:rPr>
        <w:t xml:space="preserve">Graphique </w:t>
      </w:r>
      <w:r w:rsidRPr="00C62E4E">
        <w:rPr>
          <w:sz w:val="24"/>
          <w:szCs w:val="24"/>
        </w:rPr>
        <w:fldChar w:fldCharType="begin"/>
      </w:r>
      <w:r w:rsidRPr="00C62E4E">
        <w:rPr>
          <w:sz w:val="24"/>
          <w:szCs w:val="24"/>
        </w:rPr>
        <w:instrText xml:space="preserve"> SEQ Graphique \* ARABIC </w:instrText>
      </w:r>
      <w:r w:rsidRPr="00C62E4E">
        <w:rPr>
          <w:sz w:val="24"/>
          <w:szCs w:val="24"/>
        </w:rPr>
        <w:fldChar w:fldCharType="separate"/>
      </w:r>
      <w:r w:rsidR="009A04F0">
        <w:rPr>
          <w:noProof/>
          <w:sz w:val="24"/>
          <w:szCs w:val="24"/>
        </w:rPr>
        <w:t>7</w:t>
      </w:r>
      <w:r w:rsidRPr="00C62E4E">
        <w:rPr>
          <w:sz w:val="24"/>
          <w:szCs w:val="24"/>
        </w:rPr>
        <w:fldChar w:fldCharType="end"/>
      </w:r>
      <w:r w:rsidRPr="00C62E4E">
        <w:rPr>
          <w:sz w:val="24"/>
          <w:szCs w:val="24"/>
        </w:rPr>
        <w:t xml:space="preserve"> : </w:t>
      </w:r>
      <w:r w:rsidR="00315919" w:rsidRPr="00C62E4E">
        <w:rPr>
          <w:rFonts w:eastAsiaTheme="majorEastAsia"/>
          <w:sz w:val="24"/>
          <w:szCs w:val="24"/>
        </w:rPr>
        <w:t>Répartition des décès maternels par région sanitaire</w:t>
      </w:r>
      <w:r w:rsidR="00E11DF9" w:rsidRPr="00C62E4E">
        <w:rPr>
          <w:rFonts w:eastAsiaTheme="majorEastAsia"/>
          <w:sz w:val="24"/>
          <w:szCs w:val="24"/>
        </w:rPr>
        <w:t>.</w:t>
      </w:r>
      <w:bookmarkEnd w:id="62"/>
      <w:r w:rsidR="00E11DF9" w:rsidRPr="00C62E4E">
        <w:rPr>
          <w:rFonts w:eastAsiaTheme="majorEastAsia"/>
          <w:sz w:val="24"/>
          <w:szCs w:val="24"/>
        </w:rPr>
        <w:t xml:space="preserve"> </w:t>
      </w:r>
    </w:p>
    <w:p w14:paraId="16230D7F" w14:textId="07D1C523" w:rsidR="00A43FE2" w:rsidRPr="00333A62" w:rsidRDefault="00315919" w:rsidP="008C2884">
      <w:pPr>
        <w:spacing w:after="0" w:line="240" w:lineRule="auto"/>
        <w:jc w:val="both"/>
        <w:rPr>
          <w:rFonts w:ascii="Times New Roman" w:hAnsi="Times New Roman" w:cs="Times New Roman"/>
          <w:sz w:val="24"/>
          <w:szCs w:val="24"/>
        </w:rPr>
      </w:pPr>
      <w:r w:rsidRPr="00C62E4E">
        <w:rPr>
          <w:rFonts w:ascii="Times New Roman" w:hAnsi="Times New Roman" w:cs="Times New Roman"/>
          <w:sz w:val="24"/>
          <w:szCs w:val="24"/>
          <w:u w:val="single"/>
        </w:rPr>
        <w:t>Source</w:t>
      </w:r>
      <w:r w:rsidRPr="00333A62">
        <w:rPr>
          <w:rFonts w:ascii="Times New Roman" w:hAnsi="Times New Roman" w:cs="Times New Roman"/>
          <w:sz w:val="24"/>
          <w:szCs w:val="24"/>
        </w:rPr>
        <w:t xml:space="preserve"> : Base de données de la Côte d’Ivoire sur les cas de décès maternels, 2016</w:t>
      </w:r>
      <w:r w:rsidR="002F24CA" w:rsidRPr="00333A62">
        <w:rPr>
          <w:rFonts w:ascii="Times New Roman" w:hAnsi="Times New Roman" w:cs="Times New Roman"/>
          <w:sz w:val="24"/>
          <w:szCs w:val="24"/>
        </w:rPr>
        <w:t>)</w:t>
      </w:r>
    </w:p>
    <w:p w14:paraId="680D5F65" w14:textId="77777777" w:rsidR="00315919" w:rsidRPr="00333A62" w:rsidRDefault="00315919" w:rsidP="00333A62">
      <w:pPr>
        <w:spacing w:before="120" w:after="120" w:line="276" w:lineRule="auto"/>
        <w:jc w:val="both"/>
        <w:rPr>
          <w:rFonts w:ascii="Times New Roman" w:eastAsiaTheme="majorEastAsia" w:hAnsi="Times New Roman" w:cs="Times New Roman"/>
          <w:sz w:val="24"/>
          <w:szCs w:val="24"/>
        </w:rPr>
      </w:pPr>
    </w:p>
    <w:p w14:paraId="116FBA3B" w14:textId="6854C99E" w:rsidR="002D562C" w:rsidRPr="009A04F0" w:rsidRDefault="002D562C" w:rsidP="002E25ED">
      <w:pPr>
        <w:pStyle w:val="Titre3"/>
        <w:rPr>
          <w:rFonts w:ascii="Times New Roman" w:hAnsi="Times New Roman" w:cs="Times New Roman"/>
          <w:b/>
          <w:color w:val="0070C0"/>
          <w:lang w:val="fr-FR"/>
        </w:rPr>
      </w:pPr>
      <w:r w:rsidRPr="009A04F0">
        <w:rPr>
          <w:rFonts w:ascii="Times New Roman" w:hAnsi="Times New Roman" w:cs="Times New Roman"/>
          <w:b/>
          <w:color w:val="0070C0"/>
          <w:lang w:val="fr-FR"/>
        </w:rPr>
        <w:lastRenderedPageBreak/>
        <w:t xml:space="preserve"> </w:t>
      </w:r>
      <w:bookmarkStart w:id="63" w:name="_Toc1573806"/>
      <w:r w:rsidRPr="009A04F0">
        <w:rPr>
          <w:rFonts w:ascii="Times New Roman" w:hAnsi="Times New Roman" w:cs="Times New Roman"/>
          <w:b/>
          <w:color w:val="0070C0"/>
          <w:lang w:val="fr-FR"/>
        </w:rPr>
        <w:t>Mortinatalité</w:t>
      </w:r>
      <w:bookmarkEnd w:id="63"/>
    </w:p>
    <w:p w14:paraId="7974A901" w14:textId="34F6947E" w:rsidR="003968FC" w:rsidRPr="00333A62" w:rsidRDefault="00993096" w:rsidP="00333A62">
      <w:pPr>
        <w:spacing w:before="120" w:after="120" w:line="276" w:lineRule="auto"/>
        <w:jc w:val="both"/>
        <w:rPr>
          <w:rFonts w:ascii="Times New Roman" w:eastAsiaTheme="majorEastAsia" w:hAnsi="Times New Roman" w:cs="Times New Roman"/>
          <w:sz w:val="24"/>
          <w:szCs w:val="24"/>
          <w:lang w:val="fr-FR"/>
        </w:rPr>
      </w:pPr>
      <w:r w:rsidRPr="00333A62">
        <w:rPr>
          <w:rFonts w:ascii="Times New Roman" w:eastAsiaTheme="majorEastAsia" w:hAnsi="Times New Roman" w:cs="Times New Roman"/>
          <w:sz w:val="24"/>
          <w:szCs w:val="24"/>
          <w:lang w:val="fr-FR"/>
        </w:rPr>
        <w:t>En 2016, o</w:t>
      </w:r>
      <w:r w:rsidR="008E2A85" w:rsidRPr="00333A62">
        <w:rPr>
          <w:rFonts w:ascii="Times New Roman" w:eastAsiaTheme="majorEastAsia" w:hAnsi="Times New Roman" w:cs="Times New Roman"/>
          <w:sz w:val="24"/>
          <w:szCs w:val="24"/>
          <w:lang w:val="fr-FR"/>
        </w:rPr>
        <w:t>n a enregistré 21 458 mort-nés pour 642 225 naissances enregistrées soit 3,3 morts nés pour 100 naissances</w:t>
      </w:r>
      <w:r w:rsidR="008E2A85" w:rsidRPr="00333A62">
        <w:rPr>
          <w:rStyle w:val="Appelnotedebasdep"/>
          <w:rFonts w:ascii="Times New Roman" w:eastAsiaTheme="majorEastAsia" w:hAnsi="Times New Roman" w:cs="Times New Roman"/>
          <w:sz w:val="24"/>
          <w:szCs w:val="24"/>
          <w:lang w:val="fr-FR"/>
        </w:rPr>
        <w:footnoteReference w:id="21"/>
      </w:r>
      <w:r w:rsidR="008E2A85" w:rsidRPr="00333A62">
        <w:rPr>
          <w:rFonts w:ascii="Times New Roman" w:eastAsiaTheme="majorEastAsia" w:hAnsi="Times New Roman" w:cs="Times New Roman"/>
          <w:sz w:val="24"/>
          <w:szCs w:val="24"/>
          <w:lang w:val="fr-FR"/>
        </w:rPr>
        <w:t>. Selon le rapport du suivi des indicateurs, la proportion de morts nés pour 1000 accouchements assistés en 2014 était 40 pour 1000 accouchements assistés</w:t>
      </w:r>
      <w:r w:rsidR="00E83A95">
        <w:rPr>
          <w:rStyle w:val="Appelnotedebasdep"/>
          <w:rFonts w:ascii="Times New Roman" w:eastAsiaTheme="majorEastAsia" w:hAnsi="Times New Roman" w:cs="Times New Roman"/>
          <w:sz w:val="24"/>
          <w:szCs w:val="24"/>
          <w:lang w:val="fr-FR"/>
        </w:rPr>
        <w:footnoteReference w:id="22"/>
      </w:r>
      <w:r w:rsidR="008E2A85" w:rsidRPr="00333A62">
        <w:rPr>
          <w:rFonts w:ascii="Times New Roman" w:eastAsiaTheme="majorEastAsia" w:hAnsi="Times New Roman" w:cs="Times New Roman"/>
          <w:sz w:val="24"/>
          <w:szCs w:val="24"/>
          <w:lang w:val="fr-FR"/>
        </w:rPr>
        <w:t>.</w:t>
      </w:r>
      <w:r w:rsidR="00CA6CF8" w:rsidRPr="00333A62">
        <w:rPr>
          <w:rFonts w:ascii="Times New Roman" w:eastAsiaTheme="majorEastAsia" w:hAnsi="Times New Roman" w:cs="Times New Roman"/>
          <w:sz w:val="24"/>
          <w:szCs w:val="24"/>
          <w:lang w:val="fr-FR"/>
        </w:rPr>
        <w:t xml:space="preserve"> Le risque de mortinatalité est le plus élevé en période intra-partum</w:t>
      </w:r>
      <w:r w:rsidR="00D417E8" w:rsidRPr="00333A62">
        <w:rPr>
          <w:rStyle w:val="Appelnotedebasdep"/>
          <w:rFonts w:ascii="Times New Roman" w:eastAsiaTheme="majorEastAsia" w:hAnsi="Times New Roman" w:cs="Times New Roman"/>
          <w:sz w:val="24"/>
          <w:szCs w:val="24"/>
          <w:lang w:val="fr-FR"/>
        </w:rPr>
        <w:footnoteReference w:id="23"/>
      </w:r>
      <w:r w:rsidR="00CA6CF8" w:rsidRPr="00333A62">
        <w:rPr>
          <w:rFonts w:ascii="Times New Roman" w:eastAsiaTheme="majorEastAsia" w:hAnsi="Times New Roman" w:cs="Times New Roman"/>
          <w:sz w:val="24"/>
          <w:szCs w:val="24"/>
          <w:lang w:val="fr-FR"/>
        </w:rPr>
        <w:t>. Ce fort taux de morti</w:t>
      </w:r>
      <w:r w:rsidR="002D562C" w:rsidRPr="00333A62">
        <w:rPr>
          <w:rFonts w:ascii="Times New Roman" w:eastAsiaTheme="majorEastAsia" w:hAnsi="Times New Roman" w:cs="Times New Roman"/>
          <w:sz w:val="24"/>
          <w:szCs w:val="24"/>
          <w:lang w:val="fr-FR"/>
        </w:rPr>
        <w:t xml:space="preserve"> </w:t>
      </w:r>
      <w:r w:rsidR="00CA6CF8" w:rsidRPr="00333A62">
        <w:rPr>
          <w:rFonts w:ascii="Times New Roman" w:eastAsiaTheme="majorEastAsia" w:hAnsi="Times New Roman" w:cs="Times New Roman"/>
          <w:sz w:val="24"/>
          <w:szCs w:val="24"/>
          <w:lang w:val="fr-FR"/>
        </w:rPr>
        <w:t>naissance</w:t>
      </w:r>
      <w:r w:rsidR="00827F8B" w:rsidRPr="00333A62">
        <w:rPr>
          <w:rFonts w:ascii="Times New Roman" w:eastAsiaTheme="majorEastAsia" w:hAnsi="Times New Roman" w:cs="Times New Roman"/>
          <w:sz w:val="24"/>
          <w:szCs w:val="24"/>
          <w:lang w:val="fr-FR"/>
        </w:rPr>
        <w:t>,</w:t>
      </w:r>
      <w:r w:rsidR="00CA6CF8" w:rsidRPr="00333A62">
        <w:rPr>
          <w:rFonts w:ascii="Times New Roman" w:eastAsiaTheme="majorEastAsia" w:hAnsi="Times New Roman" w:cs="Times New Roman"/>
          <w:sz w:val="24"/>
          <w:szCs w:val="24"/>
          <w:lang w:val="fr-FR"/>
        </w:rPr>
        <w:t xml:space="preserve"> indicateur sensible de qualité et d’équité pour les soins de santé</w:t>
      </w:r>
      <w:r w:rsidR="00827F8B" w:rsidRPr="00333A62">
        <w:rPr>
          <w:rFonts w:ascii="Times New Roman" w:eastAsiaTheme="majorEastAsia" w:hAnsi="Times New Roman" w:cs="Times New Roman"/>
          <w:sz w:val="24"/>
          <w:szCs w:val="24"/>
          <w:lang w:val="fr-FR"/>
        </w:rPr>
        <w:t xml:space="preserve">, </w:t>
      </w:r>
      <w:r w:rsidR="001C236E" w:rsidRPr="00333A62">
        <w:rPr>
          <w:rFonts w:ascii="Times New Roman" w:eastAsiaTheme="majorEastAsia" w:hAnsi="Times New Roman" w:cs="Times New Roman"/>
          <w:sz w:val="24"/>
          <w:szCs w:val="24"/>
          <w:lang w:val="fr-FR"/>
        </w:rPr>
        <w:t xml:space="preserve">met en évidence les </w:t>
      </w:r>
      <w:r w:rsidR="00F4657A" w:rsidRPr="00333A62">
        <w:rPr>
          <w:rFonts w:ascii="Times New Roman" w:eastAsiaTheme="majorEastAsia" w:hAnsi="Times New Roman" w:cs="Times New Roman"/>
          <w:sz w:val="24"/>
          <w:szCs w:val="24"/>
          <w:lang w:val="fr-FR"/>
        </w:rPr>
        <w:t>insuff</w:t>
      </w:r>
      <w:r w:rsidR="001C236E" w:rsidRPr="00333A62">
        <w:rPr>
          <w:rFonts w:ascii="Times New Roman" w:eastAsiaTheme="majorEastAsia" w:hAnsi="Times New Roman" w:cs="Times New Roman"/>
          <w:sz w:val="24"/>
          <w:szCs w:val="24"/>
          <w:lang w:val="fr-FR"/>
        </w:rPr>
        <w:t>isances en matière de soins prénatals.</w:t>
      </w:r>
      <w:r w:rsidR="00827F8B" w:rsidRPr="00333A62">
        <w:rPr>
          <w:rFonts w:ascii="Times New Roman" w:eastAsiaTheme="majorEastAsia" w:hAnsi="Times New Roman" w:cs="Times New Roman"/>
          <w:sz w:val="24"/>
          <w:szCs w:val="24"/>
          <w:lang w:val="fr-FR"/>
        </w:rPr>
        <w:t xml:space="preserve"> </w:t>
      </w:r>
      <w:r w:rsidR="00CA6CF8" w:rsidRPr="00333A62">
        <w:rPr>
          <w:rFonts w:ascii="Times New Roman" w:eastAsiaTheme="majorEastAsia" w:hAnsi="Times New Roman" w:cs="Times New Roman"/>
          <w:sz w:val="24"/>
          <w:szCs w:val="24"/>
          <w:lang w:val="fr-FR"/>
        </w:rPr>
        <w:t>.</w:t>
      </w:r>
    </w:p>
    <w:p w14:paraId="5BED865B" w14:textId="663470E1" w:rsidR="00353865" w:rsidRDefault="00071AA8" w:rsidP="00333A62">
      <w:pPr>
        <w:spacing w:before="120" w:after="120" w:line="276" w:lineRule="auto"/>
        <w:jc w:val="both"/>
        <w:rPr>
          <w:rFonts w:ascii="Times New Roman" w:eastAsiaTheme="majorEastAsia" w:hAnsi="Times New Roman" w:cs="Times New Roman"/>
          <w:sz w:val="24"/>
          <w:szCs w:val="24"/>
          <w:lang w:val="fr-FR"/>
        </w:rPr>
      </w:pPr>
      <w:r w:rsidRPr="00333A62">
        <w:rPr>
          <w:rFonts w:ascii="Times New Roman" w:eastAsiaTheme="majorEastAsia" w:hAnsi="Times New Roman" w:cs="Times New Roman"/>
          <w:sz w:val="24"/>
          <w:szCs w:val="24"/>
          <w:lang w:val="fr-FR"/>
        </w:rPr>
        <w:t>Par ailleurs</w:t>
      </w:r>
      <w:r w:rsidR="00CF0E63">
        <w:rPr>
          <w:rFonts w:ascii="Times New Roman" w:eastAsiaTheme="majorEastAsia" w:hAnsi="Times New Roman" w:cs="Times New Roman"/>
          <w:sz w:val="24"/>
          <w:szCs w:val="24"/>
          <w:lang w:val="fr-FR"/>
        </w:rPr>
        <w:t>,</w:t>
      </w:r>
      <w:r w:rsidRPr="00333A62">
        <w:rPr>
          <w:rFonts w:ascii="Times New Roman" w:eastAsiaTheme="majorEastAsia" w:hAnsi="Times New Roman" w:cs="Times New Roman"/>
          <w:sz w:val="24"/>
          <w:szCs w:val="24"/>
          <w:lang w:val="fr-FR"/>
        </w:rPr>
        <w:t xml:space="preserve"> compte tenu du plateau technique insuffisant et parfois inaccessible, le diagnostic étiologique de ces décès est limité. Il en résulte donc une limitation dans la collecte des données par rapport aux causes des décès qui pourraient être aussi sous-estimées étant liée</w:t>
      </w:r>
      <w:r w:rsidR="00CF0E63">
        <w:rPr>
          <w:rFonts w:ascii="Times New Roman" w:eastAsiaTheme="majorEastAsia" w:hAnsi="Times New Roman" w:cs="Times New Roman"/>
          <w:sz w:val="24"/>
          <w:szCs w:val="24"/>
          <w:lang w:val="fr-FR"/>
        </w:rPr>
        <w:t>s</w:t>
      </w:r>
      <w:r w:rsidRPr="00333A62">
        <w:rPr>
          <w:rFonts w:ascii="Times New Roman" w:eastAsiaTheme="majorEastAsia" w:hAnsi="Times New Roman" w:cs="Times New Roman"/>
          <w:sz w:val="24"/>
          <w:szCs w:val="24"/>
          <w:lang w:val="fr-FR"/>
        </w:rPr>
        <w:t xml:space="preserve"> au nombre des décès néo-nataux.</w:t>
      </w:r>
    </w:p>
    <w:p w14:paraId="665E0389" w14:textId="77777777" w:rsidR="008C2884" w:rsidRPr="00333A62" w:rsidRDefault="008C2884" w:rsidP="00333A62">
      <w:pPr>
        <w:spacing w:before="120" w:after="120" w:line="276" w:lineRule="auto"/>
        <w:jc w:val="both"/>
        <w:rPr>
          <w:rFonts w:ascii="Times New Roman" w:eastAsiaTheme="majorEastAsia" w:hAnsi="Times New Roman" w:cs="Times New Roman"/>
          <w:sz w:val="24"/>
          <w:szCs w:val="24"/>
          <w:lang w:val="fr-FR"/>
        </w:rPr>
      </w:pPr>
    </w:p>
    <w:p w14:paraId="2A77254E" w14:textId="77777777" w:rsidR="000D0291" w:rsidRPr="009A04F0" w:rsidRDefault="000D0291" w:rsidP="00D418FF">
      <w:pPr>
        <w:pStyle w:val="Titre3"/>
        <w:numPr>
          <w:ilvl w:val="2"/>
          <w:numId w:val="15"/>
        </w:numPr>
        <w:ind w:hanging="11"/>
        <w:rPr>
          <w:rFonts w:ascii="Times New Roman" w:hAnsi="Times New Roman" w:cs="Times New Roman"/>
          <w:b/>
          <w:color w:val="0070C0"/>
        </w:rPr>
      </w:pPr>
      <w:bookmarkStart w:id="64" w:name="_Toc1573807"/>
      <w:r w:rsidRPr="009A04F0">
        <w:rPr>
          <w:rFonts w:ascii="Times New Roman" w:hAnsi="Times New Roman" w:cs="Times New Roman"/>
          <w:b/>
          <w:color w:val="0070C0"/>
        </w:rPr>
        <w:t>Mortalité néonatale</w:t>
      </w:r>
      <w:bookmarkEnd w:id="64"/>
      <w:r w:rsidRPr="009A04F0">
        <w:rPr>
          <w:rFonts w:ascii="Times New Roman" w:hAnsi="Times New Roman" w:cs="Times New Roman"/>
          <w:b/>
          <w:color w:val="0070C0"/>
        </w:rPr>
        <w:t xml:space="preserve"> </w:t>
      </w:r>
    </w:p>
    <w:p w14:paraId="37DEFB53" w14:textId="51200328" w:rsidR="000D0291" w:rsidRDefault="000D0291" w:rsidP="00333A62">
      <w:pPr>
        <w:spacing w:before="120" w:after="120" w:line="276" w:lineRule="auto"/>
        <w:jc w:val="both"/>
        <w:rPr>
          <w:rFonts w:ascii="Times New Roman" w:hAnsi="Times New Roman" w:cs="Times New Roman"/>
          <w:color w:val="000000"/>
          <w:sz w:val="24"/>
          <w:szCs w:val="24"/>
        </w:rPr>
      </w:pPr>
      <w:r w:rsidRPr="00333A62">
        <w:rPr>
          <w:rFonts w:ascii="Times New Roman" w:hAnsi="Times New Roman" w:cs="Times New Roman"/>
          <w:color w:val="000000"/>
          <w:sz w:val="24"/>
          <w:szCs w:val="24"/>
        </w:rPr>
        <w:t xml:space="preserve">Le taux de mortalité néonatale a baissé très faiblement durant les dix dernières années, passant de 45 </w:t>
      </w:r>
      <w:r w:rsidRPr="00333A62">
        <w:rPr>
          <w:rFonts w:ascii="Times New Roman" w:hAnsi="Times New Roman" w:cs="Times New Roman"/>
          <w:sz w:val="24"/>
          <w:szCs w:val="24"/>
          <w:lang w:eastAsia="fr-FR"/>
        </w:rPr>
        <w:t>décès pour 1 000 naissances vivantes</w:t>
      </w:r>
      <w:r w:rsidRPr="00333A62">
        <w:rPr>
          <w:rFonts w:ascii="Times New Roman" w:hAnsi="Times New Roman" w:cs="Times New Roman"/>
          <w:color w:val="000000"/>
          <w:sz w:val="24"/>
          <w:szCs w:val="24"/>
        </w:rPr>
        <w:t xml:space="preserve"> à 33 </w:t>
      </w:r>
      <w:r w:rsidRPr="00333A62">
        <w:rPr>
          <w:rFonts w:ascii="Times New Roman" w:hAnsi="Times New Roman" w:cs="Times New Roman"/>
          <w:sz w:val="24"/>
          <w:szCs w:val="24"/>
          <w:lang w:eastAsia="fr-FR"/>
        </w:rPr>
        <w:t>décès pour 100 000 naissances vivantes</w:t>
      </w:r>
      <w:r w:rsidRPr="00333A62">
        <w:rPr>
          <w:rFonts w:ascii="Times New Roman" w:hAnsi="Times New Roman" w:cs="Times New Roman"/>
          <w:color w:val="000000"/>
          <w:sz w:val="24"/>
          <w:szCs w:val="24"/>
        </w:rPr>
        <w:t xml:space="preserve"> entre 2006 et 2016. Les récentes données montrent que la mortalité néonatale représente la moitié de la mortalité infantile, et le tiers de celle des enfants de moins de cinq ans. </w:t>
      </w:r>
    </w:p>
    <w:p w14:paraId="542606F9" w14:textId="09A1AD89" w:rsidR="00A01BA9" w:rsidRPr="00333A62" w:rsidRDefault="00A01BA9" w:rsidP="00333A62">
      <w:pPr>
        <w:pStyle w:val="Paragraphedeliste"/>
        <w:autoSpaceDE w:val="0"/>
        <w:autoSpaceDN w:val="0"/>
        <w:adjustRightInd w:val="0"/>
        <w:spacing w:before="120" w:after="120" w:line="276" w:lineRule="auto"/>
        <w:ind w:left="0"/>
        <w:contextualSpacing w:val="0"/>
        <w:jc w:val="both"/>
        <w:rPr>
          <w:rFonts w:ascii="Times New Roman" w:hAnsi="Times New Roman" w:cs="Times New Roman"/>
          <w:sz w:val="24"/>
          <w:szCs w:val="24"/>
        </w:rPr>
      </w:pPr>
      <w:r w:rsidRPr="00333A62">
        <w:rPr>
          <w:rFonts w:ascii="Times New Roman" w:hAnsi="Times New Roman" w:cs="Times New Roman"/>
          <w:noProof/>
          <w:sz w:val="24"/>
          <w:szCs w:val="24"/>
          <w:lang w:val="fr-FR" w:eastAsia="fr-FR"/>
        </w:rPr>
        <w:drawing>
          <wp:anchor distT="0" distB="0" distL="114300" distR="114300" simplePos="0" relativeHeight="251652608" behindDoc="1" locked="0" layoutInCell="1" allowOverlap="1" wp14:anchorId="51B272BD" wp14:editId="6F3CCFB3">
            <wp:simplePos x="0" y="0"/>
            <wp:positionH relativeFrom="margin">
              <wp:align>left</wp:align>
            </wp:positionH>
            <wp:positionV relativeFrom="paragraph">
              <wp:posOffset>86995</wp:posOffset>
            </wp:positionV>
            <wp:extent cx="5905500" cy="2353945"/>
            <wp:effectExtent l="0" t="0" r="0" b="8255"/>
            <wp:wrapTight wrapText="bothSides">
              <wp:wrapPolygon edited="0">
                <wp:start x="0" y="0"/>
                <wp:lineTo x="0" y="21501"/>
                <wp:lineTo x="21530" y="21501"/>
                <wp:lineTo x="21530" y="0"/>
                <wp:lineTo x="0" y="0"/>
              </wp:wrapPolygon>
            </wp:wrapTight>
            <wp:docPr id="1" name="Graphique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E465444C-E438-42FC-B521-2BB341F92A9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p>
    <w:p w14:paraId="04B79F7B" w14:textId="2AC9D4B9" w:rsidR="00CE3D17" w:rsidRPr="00C62E4E" w:rsidRDefault="00C62E4E" w:rsidP="00C62E4E">
      <w:pPr>
        <w:pStyle w:val="Lgende"/>
        <w:rPr>
          <w:bCs w:val="0"/>
          <w:color w:val="000000"/>
          <w:sz w:val="24"/>
          <w:szCs w:val="24"/>
        </w:rPr>
      </w:pPr>
      <w:bookmarkStart w:id="65" w:name="_Toc481846997"/>
      <w:bookmarkStart w:id="66" w:name="_Toc1588484"/>
      <w:r w:rsidRPr="00C62E4E">
        <w:rPr>
          <w:sz w:val="24"/>
          <w:szCs w:val="24"/>
        </w:rPr>
        <w:t xml:space="preserve">Graphique </w:t>
      </w:r>
      <w:r w:rsidRPr="00C62E4E">
        <w:rPr>
          <w:sz w:val="24"/>
          <w:szCs w:val="24"/>
        </w:rPr>
        <w:fldChar w:fldCharType="begin"/>
      </w:r>
      <w:r w:rsidRPr="00C62E4E">
        <w:rPr>
          <w:sz w:val="24"/>
          <w:szCs w:val="24"/>
        </w:rPr>
        <w:instrText xml:space="preserve"> SEQ Graphique \* ARABIC </w:instrText>
      </w:r>
      <w:r w:rsidRPr="00C62E4E">
        <w:rPr>
          <w:sz w:val="24"/>
          <w:szCs w:val="24"/>
        </w:rPr>
        <w:fldChar w:fldCharType="separate"/>
      </w:r>
      <w:r w:rsidR="009A04F0">
        <w:rPr>
          <w:noProof/>
          <w:sz w:val="24"/>
          <w:szCs w:val="24"/>
        </w:rPr>
        <w:t>8</w:t>
      </w:r>
      <w:r w:rsidRPr="00C62E4E">
        <w:rPr>
          <w:sz w:val="24"/>
          <w:szCs w:val="24"/>
        </w:rPr>
        <w:fldChar w:fldCharType="end"/>
      </w:r>
      <w:r w:rsidRPr="00C62E4E">
        <w:rPr>
          <w:sz w:val="24"/>
          <w:szCs w:val="24"/>
        </w:rPr>
        <w:t xml:space="preserve"> : </w:t>
      </w:r>
      <w:r w:rsidR="00A01BA9" w:rsidRPr="00C62E4E">
        <w:rPr>
          <w:bCs w:val="0"/>
          <w:color w:val="000000"/>
          <w:sz w:val="24"/>
          <w:szCs w:val="24"/>
        </w:rPr>
        <w:t>Projection de la mortalité néo-natale</w:t>
      </w:r>
      <w:bookmarkEnd w:id="65"/>
      <w:r w:rsidR="00A01BA9" w:rsidRPr="00C62E4E">
        <w:rPr>
          <w:bCs w:val="0"/>
          <w:color w:val="000000"/>
          <w:sz w:val="24"/>
          <w:szCs w:val="24"/>
        </w:rPr>
        <w:t>.</w:t>
      </w:r>
      <w:bookmarkEnd w:id="66"/>
      <w:r w:rsidR="00A01BA9" w:rsidRPr="00C62E4E">
        <w:rPr>
          <w:bCs w:val="0"/>
          <w:color w:val="000000"/>
          <w:sz w:val="24"/>
          <w:szCs w:val="24"/>
        </w:rPr>
        <w:t xml:space="preserve"> </w:t>
      </w:r>
    </w:p>
    <w:p w14:paraId="2B984A99" w14:textId="291BB9C4" w:rsidR="00A01BA9" w:rsidRDefault="00A01BA9" w:rsidP="00CE3D17">
      <w:pPr>
        <w:autoSpaceDE w:val="0"/>
        <w:autoSpaceDN w:val="0"/>
        <w:adjustRightInd w:val="0"/>
        <w:spacing w:after="0" w:line="240" w:lineRule="auto"/>
        <w:jc w:val="both"/>
        <w:rPr>
          <w:rFonts w:ascii="Times New Roman" w:hAnsi="Times New Roman" w:cs="Times New Roman"/>
          <w:bCs/>
          <w:color w:val="000000"/>
          <w:sz w:val="24"/>
          <w:szCs w:val="24"/>
        </w:rPr>
      </w:pPr>
      <w:r w:rsidRPr="00C62E4E">
        <w:rPr>
          <w:rFonts w:ascii="Times New Roman" w:hAnsi="Times New Roman" w:cs="Times New Roman"/>
          <w:bCs/>
          <w:color w:val="000000"/>
          <w:sz w:val="24"/>
          <w:szCs w:val="24"/>
          <w:u w:val="single"/>
        </w:rPr>
        <w:t>Source</w:t>
      </w:r>
      <w:r w:rsidR="00C62E4E" w:rsidRPr="00C62E4E">
        <w:rPr>
          <w:rFonts w:ascii="Times New Roman" w:hAnsi="Times New Roman" w:cs="Times New Roman"/>
          <w:bCs/>
          <w:color w:val="000000"/>
          <w:sz w:val="24"/>
          <w:szCs w:val="24"/>
        </w:rPr>
        <w:t> :</w:t>
      </w:r>
      <w:r w:rsidRPr="00333A62">
        <w:rPr>
          <w:rFonts w:ascii="Times New Roman" w:hAnsi="Times New Roman" w:cs="Times New Roman"/>
          <w:bCs/>
          <w:color w:val="000000"/>
          <w:sz w:val="24"/>
          <w:szCs w:val="24"/>
        </w:rPr>
        <w:t xml:space="preserve"> </w:t>
      </w:r>
      <w:r w:rsidR="00D530BF" w:rsidRPr="00333A62">
        <w:rPr>
          <w:rFonts w:ascii="Times New Roman" w:hAnsi="Times New Roman" w:cs="Times New Roman"/>
          <w:bCs/>
          <w:color w:val="000000"/>
          <w:sz w:val="24"/>
          <w:szCs w:val="24"/>
        </w:rPr>
        <w:t xml:space="preserve">Auteur </w:t>
      </w:r>
      <w:r w:rsidRPr="00333A62">
        <w:rPr>
          <w:rFonts w:ascii="Times New Roman" w:hAnsi="Times New Roman" w:cs="Times New Roman"/>
          <w:bCs/>
          <w:color w:val="000000"/>
          <w:sz w:val="24"/>
          <w:szCs w:val="24"/>
        </w:rPr>
        <w:t>à partir de MICS 2006, EDS-MICS3 2011, MICS 2016 et plan ENAP 2018-2020</w:t>
      </w:r>
      <w:r w:rsidR="001F463F" w:rsidRPr="00333A62">
        <w:rPr>
          <w:rFonts w:ascii="Times New Roman" w:hAnsi="Times New Roman" w:cs="Times New Roman"/>
          <w:bCs/>
          <w:color w:val="000000"/>
          <w:sz w:val="24"/>
          <w:szCs w:val="24"/>
        </w:rPr>
        <w:t>)</w:t>
      </w:r>
    </w:p>
    <w:p w14:paraId="75E4F6FE" w14:textId="77777777" w:rsidR="00CE3D17" w:rsidRPr="00333A62" w:rsidRDefault="00CE3D17" w:rsidP="00CE3D17">
      <w:pPr>
        <w:autoSpaceDE w:val="0"/>
        <w:autoSpaceDN w:val="0"/>
        <w:adjustRightInd w:val="0"/>
        <w:spacing w:after="0" w:line="240" w:lineRule="auto"/>
        <w:jc w:val="both"/>
        <w:rPr>
          <w:rFonts w:ascii="Times New Roman" w:hAnsi="Times New Roman" w:cs="Times New Roman"/>
          <w:bCs/>
          <w:color w:val="000000"/>
          <w:sz w:val="24"/>
          <w:szCs w:val="24"/>
        </w:rPr>
      </w:pPr>
    </w:p>
    <w:p w14:paraId="7777CFFC" w14:textId="77777777" w:rsidR="000D0291" w:rsidRPr="00333A62" w:rsidRDefault="000D0291" w:rsidP="00333A62">
      <w:pPr>
        <w:pStyle w:val="Paragraphedeliste"/>
        <w:autoSpaceDE w:val="0"/>
        <w:autoSpaceDN w:val="0"/>
        <w:adjustRightInd w:val="0"/>
        <w:spacing w:before="120" w:after="120" w:line="276" w:lineRule="auto"/>
        <w:ind w:left="0"/>
        <w:contextualSpacing w:val="0"/>
        <w:jc w:val="both"/>
        <w:rPr>
          <w:rFonts w:ascii="Times New Roman" w:hAnsi="Times New Roman" w:cs="Times New Roman"/>
          <w:sz w:val="24"/>
          <w:szCs w:val="24"/>
        </w:rPr>
      </w:pPr>
      <w:r w:rsidRPr="00333A62">
        <w:rPr>
          <w:rFonts w:ascii="Times New Roman" w:hAnsi="Times New Roman" w:cs="Times New Roman"/>
          <w:sz w:val="24"/>
          <w:szCs w:val="24"/>
        </w:rPr>
        <w:t xml:space="preserve">L’estimation de la réduction de la mortalité néo-natale pour les dix dernières années est de 30%. Si cette tendance est maintenue, le niveau de mortalité néo-natale à l’horizon 2020 se situera autour de 25 décès pour 1000 NV, loin du taux de 12 décès pour 1000 NV fixé comme objectif à atteindre dans </w:t>
      </w:r>
      <w:r w:rsidRPr="00333A62">
        <w:rPr>
          <w:rFonts w:ascii="Times New Roman" w:hAnsi="Times New Roman" w:cs="Times New Roman"/>
          <w:sz w:val="24"/>
          <w:szCs w:val="24"/>
        </w:rPr>
        <w:lastRenderedPageBreak/>
        <w:t xml:space="preserve">le cadre des objectifs du développement durable, qui nécessite une réduction quinquennale d’au moins 18%. </w:t>
      </w:r>
    </w:p>
    <w:p w14:paraId="0FC9F6A6" w14:textId="4F56EF1A" w:rsidR="000D0291" w:rsidRPr="00333A62" w:rsidRDefault="000D0291" w:rsidP="00333A62">
      <w:pPr>
        <w:spacing w:before="120" w:after="120" w:line="276" w:lineRule="auto"/>
        <w:jc w:val="both"/>
        <w:rPr>
          <w:rFonts w:ascii="Times New Roman" w:hAnsi="Times New Roman" w:cs="Times New Roman"/>
          <w:bCs/>
          <w:color w:val="000000"/>
          <w:sz w:val="24"/>
          <w:szCs w:val="24"/>
        </w:rPr>
      </w:pPr>
      <w:r w:rsidRPr="00333A62">
        <w:rPr>
          <w:rFonts w:ascii="Times New Roman" w:hAnsi="Times New Roman" w:cs="Times New Roman"/>
          <w:bCs/>
          <w:color w:val="000000"/>
          <w:sz w:val="24"/>
          <w:szCs w:val="24"/>
        </w:rPr>
        <w:t xml:space="preserve">Bien que la situation de la mortalité </w:t>
      </w:r>
      <w:r w:rsidR="00CA7B74" w:rsidRPr="00333A62">
        <w:rPr>
          <w:rFonts w:ascii="Times New Roman" w:hAnsi="Times New Roman" w:cs="Times New Roman"/>
          <w:bCs/>
          <w:color w:val="000000"/>
          <w:sz w:val="24"/>
          <w:szCs w:val="24"/>
        </w:rPr>
        <w:t>néonatal</w:t>
      </w:r>
      <w:r w:rsidR="00D84434" w:rsidRPr="00333A62">
        <w:rPr>
          <w:rFonts w:ascii="Times New Roman" w:hAnsi="Times New Roman" w:cs="Times New Roman"/>
          <w:bCs/>
          <w:color w:val="000000"/>
          <w:sz w:val="24"/>
          <w:szCs w:val="24"/>
        </w:rPr>
        <w:t>e</w:t>
      </w:r>
      <w:r w:rsidR="00CA7B74" w:rsidRPr="00333A62">
        <w:rPr>
          <w:rFonts w:ascii="Times New Roman" w:hAnsi="Times New Roman" w:cs="Times New Roman"/>
          <w:bCs/>
          <w:color w:val="000000"/>
          <w:sz w:val="24"/>
          <w:szCs w:val="24"/>
        </w:rPr>
        <w:t xml:space="preserve"> </w:t>
      </w:r>
      <w:r w:rsidRPr="00333A62">
        <w:rPr>
          <w:rFonts w:ascii="Times New Roman" w:hAnsi="Times New Roman" w:cs="Times New Roman"/>
          <w:bCs/>
          <w:color w:val="000000"/>
          <w:sz w:val="24"/>
          <w:szCs w:val="24"/>
        </w:rPr>
        <w:t>se soit peu améliorée avec une baisse très marginale, elle cache cependant de nombreuses disparités</w:t>
      </w:r>
      <w:r w:rsidR="00272A4F" w:rsidRPr="00333A62">
        <w:rPr>
          <w:rFonts w:ascii="Times New Roman" w:hAnsi="Times New Roman" w:cs="Times New Roman"/>
          <w:bCs/>
          <w:color w:val="000000"/>
          <w:sz w:val="24"/>
          <w:szCs w:val="24"/>
        </w:rPr>
        <w:t xml:space="preserve"> régionales notamment</w:t>
      </w:r>
      <w:r w:rsidRPr="00333A62">
        <w:rPr>
          <w:rFonts w:ascii="Times New Roman" w:hAnsi="Times New Roman" w:cs="Times New Roman"/>
          <w:bCs/>
          <w:color w:val="000000"/>
          <w:sz w:val="24"/>
          <w:szCs w:val="24"/>
        </w:rPr>
        <w:t xml:space="preserve"> dans les régions </w:t>
      </w:r>
      <w:r w:rsidR="00272A4F" w:rsidRPr="00333A62">
        <w:rPr>
          <w:rFonts w:ascii="Times New Roman" w:hAnsi="Times New Roman" w:cs="Times New Roman"/>
          <w:bCs/>
          <w:color w:val="000000"/>
          <w:sz w:val="24"/>
          <w:szCs w:val="24"/>
        </w:rPr>
        <w:t>du Centre-Ouest</w:t>
      </w:r>
      <w:r w:rsidRPr="00333A62">
        <w:rPr>
          <w:rFonts w:ascii="Times New Roman" w:hAnsi="Times New Roman" w:cs="Times New Roman"/>
          <w:bCs/>
          <w:color w:val="000000"/>
          <w:sz w:val="24"/>
          <w:szCs w:val="24"/>
        </w:rPr>
        <w:t xml:space="preserve">, </w:t>
      </w:r>
      <w:r w:rsidR="00272A4F" w:rsidRPr="00333A62">
        <w:rPr>
          <w:rFonts w:ascii="Times New Roman" w:hAnsi="Times New Roman" w:cs="Times New Roman"/>
          <w:bCs/>
          <w:color w:val="000000"/>
          <w:sz w:val="24"/>
          <w:szCs w:val="24"/>
        </w:rPr>
        <w:t xml:space="preserve">du </w:t>
      </w:r>
      <w:r w:rsidRPr="00333A62">
        <w:rPr>
          <w:rFonts w:ascii="Times New Roman" w:hAnsi="Times New Roman" w:cs="Times New Roman"/>
          <w:bCs/>
          <w:color w:val="000000"/>
          <w:sz w:val="24"/>
          <w:szCs w:val="24"/>
        </w:rPr>
        <w:t xml:space="preserve">Sud-Ouest, </w:t>
      </w:r>
      <w:r w:rsidR="00272A4F" w:rsidRPr="00333A62">
        <w:rPr>
          <w:rFonts w:ascii="Times New Roman" w:hAnsi="Times New Roman" w:cs="Times New Roman"/>
          <w:bCs/>
          <w:color w:val="000000"/>
          <w:sz w:val="24"/>
          <w:szCs w:val="24"/>
        </w:rPr>
        <w:t xml:space="preserve">du </w:t>
      </w:r>
      <w:r w:rsidRPr="00333A62">
        <w:rPr>
          <w:rFonts w:ascii="Times New Roman" w:hAnsi="Times New Roman" w:cs="Times New Roman"/>
          <w:bCs/>
          <w:color w:val="000000"/>
          <w:sz w:val="24"/>
          <w:szCs w:val="24"/>
        </w:rPr>
        <w:t xml:space="preserve">Centre-Nord et </w:t>
      </w:r>
      <w:r w:rsidR="00272A4F" w:rsidRPr="00333A62">
        <w:rPr>
          <w:rFonts w:ascii="Times New Roman" w:hAnsi="Times New Roman" w:cs="Times New Roman"/>
          <w:bCs/>
          <w:color w:val="000000"/>
          <w:sz w:val="24"/>
          <w:szCs w:val="24"/>
        </w:rPr>
        <w:t xml:space="preserve">du </w:t>
      </w:r>
      <w:r w:rsidRPr="00333A62">
        <w:rPr>
          <w:rFonts w:ascii="Times New Roman" w:hAnsi="Times New Roman" w:cs="Times New Roman"/>
          <w:bCs/>
          <w:color w:val="000000"/>
          <w:sz w:val="24"/>
          <w:szCs w:val="24"/>
        </w:rPr>
        <w:t>Centre-Est.</w:t>
      </w:r>
    </w:p>
    <w:p w14:paraId="2435062B" w14:textId="1EB3D8DB" w:rsidR="000D0291" w:rsidRPr="00333A62" w:rsidRDefault="0043271B" w:rsidP="00333A62">
      <w:pPr>
        <w:pStyle w:val="Paragraphedeliste"/>
        <w:autoSpaceDE w:val="0"/>
        <w:autoSpaceDN w:val="0"/>
        <w:adjustRightInd w:val="0"/>
        <w:spacing w:before="120" w:after="120" w:line="276" w:lineRule="auto"/>
        <w:ind w:left="0"/>
        <w:jc w:val="both"/>
        <w:rPr>
          <w:rFonts w:ascii="Times New Roman" w:hAnsi="Times New Roman" w:cs="Times New Roman"/>
          <w:color w:val="000000"/>
          <w:sz w:val="24"/>
          <w:szCs w:val="24"/>
        </w:rPr>
      </w:pPr>
      <w:r w:rsidRPr="00333A62">
        <w:rPr>
          <w:rFonts w:ascii="Times New Roman" w:hAnsi="Times New Roman" w:cs="Times New Roman"/>
          <w:noProof/>
          <w:sz w:val="24"/>
          <w:szCs w:val="24"/>
          <w:lang w:val="fr-FR" w:eastAsia="fr-FR"/>
        </w:rPr>
        <mc:AlternateContent>
          <mc:Choice Requires="wps">
            <w:drawing>
              <wp:anchor distT="0" distB="0" distL="114300" distR="114300" simplePos="0" relativeHeight="251640832" behindDoc="0" locked="0" layoutInCell="1" allowOverlap="1" wp14:anchorId="7360839E" wp14:editId="0AF8E80A">
                <wp:simplePos x="0" y="0"/>
                <wp:positionH relativeFrom="column">
                  <wp:posOffset>1852295</wp:posOffset>
                </wp:positionH>
                <wp:positionV relativeFrom="paragraph">
                  <wp:posOffset>1043940</wp:posOffset>
                </wp:positionV>
                <wp:extent cx="369570" cy="790575"/>
                <wp:effectExtent l="0" t="0" r="11430" b="28575"/>
                <wp:wrapNone/>
                <wp:docPr id="9"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570" cy="790575"/>
                        </a:xfrm>
                        <a:prstGeom prst="ellipse">
                          <a:avLst/>
                        </a:prstGeom>
                        <a:noFill/>
                        <a:ln w="127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5146F146" id="Oval 12" o:spid="_x0000_s1026" style="position:absolute;margin-left:145.85pt;margin-top:82.2pt;width:29.1pt;height:62.2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" filled="f" strokecolor="red" strokeweight="1pt"/>
            </w:pict>
          </mc:Fallback>
        </mc:AlternateContent>
      </w:r>
      <w:r w:rsidR="00CC5F0E" w:rsidRPr="00333A62">
        <w:rPr>
          <w:rFonts w:ascii="Times New Roman" w:hAnsi="Times New Roman" w:cs="Times New Roman"/>
          <w:noProof/>
          <w:sz w:val="24"/>
          <w:szCs w:val="24"/>
          <w:lang w:val="fr-FR" w:eastAsia="fr-FR"/>
        </w:rPr>
        <mc:AlternateContent>
          <mc:Choice Requires="wps">
            <w:drawing>
              <wp:anchor distT="0" distB="0" distL="114300" distR="114300" simplePos="0" relativeHeight="251644928" behindDoc="0" locked="0" layoutInCell="1" allowOverlap="1" wp14:anchorId="0DD6CAE1" wp14:editId="09EA6B3A">
                <wp:simplePos x="0" y="0"/>
                <wp:positionH relativeFrom="column">
                  <wp:posOffset>1461769</wp:posOffset>
                </wp:positionH>
                <wp:positionV relativeFrom="paragraph">
                  <wp:posOffset>720090</wp:posOffset>
                </wp:positionV>
                <wp:extent cx="390525" cy="1051560"/>
                <wp:effectExtent l="0" t="0" r="28575" b="15240"/>
                <wp:wrapNone/>
                <wp:docPr id="8"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 cy="1051560"/>
                        </a:xfrm>
                        <a:prstGeom prst="ellipse">
                          <a:avLst/>
                        </a:prstGeom>
                        <a:noFill/>
                        <a:ln w="127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D51E0B1" id="Oval 12" o:spid="_x0000_s1026" style="position:absolute;margin-left:115.1pt;margin-top:56.7pt;width:30.75pt;height:82.8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" filled="f" strokecolor="red" strokeweight="1pt"/>
            </w:pict>
          </mc:Fallback>
        </mc:AlternateContent>
      </w:r>
      <w:r w:rsidR="00CC5F0E" w:rsidRPr="00333A62">
        <w:rPr>
          <w:rFonts w:ascii="Times New Roman" w:hAnsi="Times New Roman" w:cs="Times New Roman"/>
          <w:noProof/>
          <w:sz w:val="24"/>
          <w:szCs w:val="24"/>
          <w:lang w:val="fr-FR" w:eastAsia="fr-FR"/>
        </w:rPr>
        <mc:AlternateContent>
          <mc:Choice Requires="wps">
            <w:drawing>
              <wp:anchor distT="0" distB="0" distL="114300" distR="114300" simplePos="0" relativeHeight="251677696" behindDoc="0" locked="0" layoutInCell="1" allowOverlap="1" wp14:anchorId="082FEF2C" wp14:editId="01204E44">
                <wp:simplePos x="0" y="0"/>
                <wp:positionH relativeFrom="column">
                  <wp:posOffset>4632960</wp:posOffset>
                </wp:positionH>
                <wp:positionV relativeFrom="paragraph">
                  <wp:posOffset>920115</wp:posOffset>
                </wp:positionV>
                <wp:extent cx="409575" cy="1009650"/>
                <wp:effectExtent l="0" t="0" r="28575" b="19050"/>
                <wp:wrapNone/>
                <wp:docPr id="6"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9575" cy="1009650"/>
                        </a:xfrm>
                        <a:prstGeom prst="ellipse">
                          <a:avLst/>
                        </a:prstGeom>
                        <a:noFill/>
                        <a:ln w="127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4C168DE7" id="Oval 12" o:spid="_x0000_s1026" style="position:absolute;margin-left:364.8pt;margin-top:72.45pt;width:32.25pt;height:7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" filled="f" strokecolor="red" strokeweight="1pt"/>
            </w:pict>
          </mc:Fallback>
        </mc:AlternateContent>
      </w:r>
      <w:r w:rsidR="00CC5F0E" w:rsidRPr="00333A62">
        <w:rPr>
          <w:rFonts w:ascii="Times New Roman" w:hAnsi="Times New Roman" w:cs="Times New Roman"/>
          <w:noProof/>
          <w:sz w:val="24"/>
          <w:szCs w:val="24"/>
          <w:lang w:val="fr-FR" w:eastAsia="fr-FR"/>
        </w:rPr>
        <mc:AlternateContent>
          <mc:Choice Requires="wps">
            <w:drawing>
              <wp:anchor distT="0" distB="0" distL="114300" distR="114300" simplePos="0" relativeHeight="251663360" behindDoc="0" locked="0" layoutInCell="1" allowOverlap="1" wp14:anchorId="7D8B9AB9" wp14:editId="4F673109">
                <wp:simplePos x="0" y="0"/>
                <wp:positionH relativeFrom="column">
                  <wp:posOffset>2223770</wp:posOffset>
                </wp:positionH>
                <wp:positionV relativeFrom="paragraph">
                  <wp:posOffset>720090</wp:posOffset>
                </wp:positionV>
                <wp:extent cx="419100" cy="1209675"/>
                <wp:effectExtent l="0" t="0" r="19050" b="28575"/>
                <wp:wrapNone/>
                <wp:docPr id="7"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9100" cy="1209675"/>
                        </a:xfrm>
                        <a:prstGeom prst="ellipse">
                          <a:avLst/>
                        </a:prstGeom>
                        <a:noFill/>
                        <a:ln w="127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2E9294AB" id="Oval 12" o:spid="_x0000_s1026" style="position:absolute;margin-left:175.1pt;margin-top:56.7pt;width:33pt;height:9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" filled="f" strokecolor="red" strokeweight="1pt"/>
            </w:pict>
          </mc:Fallback>
        </mc:AlternateContent>
      </w:r>
      <w:r w:rsidR="000D0291" w:rsidRPr="00333A62">
        <w:rPr>
          <w:rFonts w:ascii="Times New Roman" w:hAnsi="Times New Roman" w:cs="Times New Roman"/>
          <w:noProof/>
          <w:sz w:val="24"/>
          <w:szCs w:val="24"/>
          <w:lang w:val="fr-FR" w:eastAsia="fr-FR"/>
        </w:rPr>
        <w:drawing>
          <wp:inline distT="0" distB="0" distL="0" distR="0" wp14:anchorId="07C82F91" wp14:editId="44D11829">
            <wp:extent cx="6191250" cy="2581275"/>
            <wp:effectExtent l="0" t="0" r="0" b="9525"/>
            <wp:docPr id="10" name="Graphique 10">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208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7639DB6" w14:textId="77777777" w:rsidR="00C62E4E" w:rsidRDefault="00C62E4E" w:rsidP="00C62E4E">
      <w:pPr>
        <w:pStyle w:val="Lgende"/>
        <w:rPr>
          <w:sz w:val="24"/>
          <w:szCs w:val="24"/>
        </w:rPr>
      </w:pPr>
      <w:bookmarkStart w:id="67" w:name="_Toc481846998"/>
      <w:bookmarkStart w:id="68" w:name="_Toc1588485"/>
      <w:r w:rsidRPr="00C62E4E">
        <w:rPr>
          <w:sz w:val="24"/>
          <w:szCs w:val="24"/>
        </w:rPr>
        <w:t xml:space="preserve">Graphique </w:t>
      </w:r>
      <w:r w:rsidRPr="00C62E4E">
        <w:rPr>
          <w:sz w:val="24"/>
          <w:szCs w:val="24"/>
        </w:rPr>
        <w:fldChar w:fldCharType="begin"/>
      </w:r>
      <w:r w:rsidRPr="00C62E4E">
        <w:rPr>
          <w:sz w:val="24"/>
          <w:szCs w:val="24"/>
        </w:rPr>
        <w:instrText xml:space="preserve"> SEQ Graphique \* ARABIC </w:instrText>
      </w:r>
      <w:r w:rsidRPr="00C62E4E">
        <w:rPr>
          <w:sz w:val="24"/>
          <w:szCs w:val="24"/>
        </w:rPr>
        <w:fldChar w:fldCharType="separate"/>
      </w:r>
      <w:r w:rsidR="009A04F0">
        <w:rPr>
          <w:noProof/>
          <w:sz w:val="24"/>
          <w:szCs w:val="24"/>
        </w:rPr>
        <w:t>9</w:t>
      </w:r>
      <w:r w:rsidRPr="00C62E4E">
        <w:rPr>
          <w:sz w:val="24"/>
          <w:szCs w:val="24"/>
        </w:rPr>
        <w:fldChar w:fldCharType="end"/>
      </w:r>
      <w:r w:rsidRPr="00C62E4E">
        <w:rPr>
          <w:sz w:val="24"/>
          <w:szCs w:val="24"/>
        </w:rPr>
        <w:t xml:space="preserve"> : </w:t>
      </w:r>
      <w:r w:rsidR="00272A4F" w:rsidRPr="00C62E4E">
        <w:rPr>
          <w:sz w:val="24"/>
          <w:szCs w:val="24"/>
        </w:rPr>
        <w:t xml:space="preserve">Évolution de la mortalité néonatale par </w:t>
      </w:r>
      <w:bookmarkEnd w:id="67"/>
      <w:r w:rsidR="00272A4F" w:rsidRPr="00C62E4E">
        <w:rPr>
          <w:sz w:val="24"/>
          <w:szCs w:val="24"/>
        </w:rPr>
        <w:t>régions de 2006 à 2016.</w:t>
      </w:r>
      <w:bookmarkEnd w:id="68"/>
      <w:r w:rsidR="00272A4F" w:rsidRPr="00C62E4E">
        <w:rPr>
          <w:sz w:val="24"/>
          <w:szCs w:val="24"/>
        </w:rPr>
        <w:t xml:space="preserve"> </w:t>
      </w:r>
    </w:p>
    <w:p w14:paraId="59B203B4" w14:textId="1A5B1884" w:rsidR="00272A4F" w:rsidRPr="00C62E4E" w:rsidRDefault="00272A4F" w:rsidP="00C62E4E">
      <w:pPr>
        <w:pStyle w:val="Lgende"/>
        <w:rPr>
          <w:b w:val="0"/>
          <w:bCs w:val="0"/>
          <w:color w:val="000000"/>
          <w:sz w:val="24"/>
          <w:szCs w:val="24"/>
        </w:rPr>
      </w:pPr>
      <w:r w:rsidRPr="00C62E4E">
        <w:rPr>
          <w:b w:val="0"/>
          <w:sz w:val="24"/>
          <w:szCs w:val="24"/>
          <w:u w:val="single"/>
        </w:rPr>
        <w:t>Source</w:t>
      </w:r>
      <w:r w:rsidRPr="00C62E4E">
        <w:rPr>
          <w:b w:val="0"/>
          <w:sz w:val="24"/>
          <w:szCs w:val="24"/>
        </w:rPr>
        <w:t xml:space="preserve"> : </w:t>
      </w:r>
      <w:r w:rsidR="00D530BF" w:rsidRPr="00C62E4E">
        <w:rPr>
          <w:b w:val="0"/>
          <w:bCs w:val="0"/>
          <w:color w:val="000000"/>
          <w:sz w:val="24"/>
          <w:szCs w:val="24"/>
        </w:rPr>
        <w:t xml:space="preserve">Auteur </w:t>
      </w:r>
      <w:r w:rsidRPr="00C62E4E">
        <w:rPr>
          <w:b w:val="0"/>
          <w:bCs w:val="0"/>
          <w:color w:val="000000"/>
          <w:sz w:val="24"/>
          <w:szCs w:val="24"/>
        </w:rPr>
        <w:t>à partir de MICS 2006, EDS-MICS3 2011</w:t>
      </w:r>
      <w:r w:rsidR="000F598E" w:rsidRPr="00C62E4E">
        <w:rPr>
          <w:b w:val="0"/>
          <w:bCs w:val="0"/>
          <w:color w:val="000000"/>
          <w:sz w:val="24"/>
          <w:szCs w:val="24"/>
        </w:rPr>
        <w:t xml:space="preserve"> et MICS 2016</w:t>
      </w:r>
      <w:r w:rsidR="001F463F" w:rsidRPr="00C62E4E">
        <w:rPr>
          <w:b w:val="0"/>
          <w:bCs w:val="0"/>
          <w:color w:val="000000"/>
          <w:sz w:val="24"/>
          <w:szCs w:val="24"/>
        </w:rPr>
        <w:t>)</w:t>
      </w:r>
    </w:p>
    <w:p w14:paraId="5B32D6F6" w14:textId="77777777" w:rsidR="000D0291" w:rsidRPr="00333A62" w:rsidRDefault="000D0291" w:rsidP="00333A62">
      <w:pPr>
        <w:spacing w:before="120" w:after="120" w:line="276" w:lineRule="auto"/>
        <w:jc w:val="both"/>
        <w:rPr>
          <w:rFonts w:ascii="Times New Roman" w:hAnsi="Times New Roman" w:cs="Times New Roman"/>
          <w:sz w:val="24"/>
          <w:szCs w:val="24"/>
        </w:rPr>
      </w:pPr>
    </w:p>
    <w:p w14:paraId="78C6B0F9" w14:textId="0AC232D1" w:rsidR="000D0291" w:rsidRDefault="000D0291" w:rsidP="00333A62">
      <w:pPr>
        <w:pStyle w:val="Grillemoyenne1-Accent21"/>
        <w:spacing w:before="120" w:after="120"/>
        <w:ind w:left="0"/>
        <w:jc w:val="both"/>
        <w:rPr>
          <w:rFonts w:ascii="Times New Roman" w:hAnsi="Times New Roman" w:cs="Times New Roman"/>
          <w:sz w:val="24"/>
          <w:szCs w:val="24"/>
        </w:rPr>
      </w:pPr>
      <w:r w:rsidRPr="00333A62">
        <w:rPr>
          <w:rFonts w:ascii="Times New Roman" w:hAnsi="Times New Roman" w:cs="Times New Roman"/>
          <w:sz w:val="24"/>
          <w:szCs w:val="24"/>
        </w:rPr>
        <w:t>Suivant le niveau de bien</w:t>
      </w:r>
      <w:r w:rsidR="008B6EDE" w:rsidRPr="00333A62">
        <w:rPr>
          <w:rFonts w:ascii="Times New Roman" w:hAnsi="Times New Roman" w:cs="Times New Roman"/>
          <w:sz w:val="24"/>
          <w:szCs w:val="24"/>
        </w:rPr>
        <w:t>-</w:t>
      </w:r>
      <w:r w:rsidRPr="00333A62">
        <w:rPr>
          <w:rFonts w:ascii="Times New Roman" w:hAnsi="Times New Roman" w:cs="Times New Roman"/>
          <w:sz w:val="24"/>
          <w:szCs w:val="24"/>
        </w:rPr>
        <w:t>être du ménage, on note une mortalité différentielle des nouveau-nés quelle que soit la composante de celle-ci. Les niveaux de mortalité sont nettement plus élevés pour les enfants vivant dans les ménages les plus pauvres</w:t>
      </w:r>
      <w:r w:rsidRPr="00333A62">
        <w:rPr>
          <w:rFonts w:ascii="Times New Roman" w:hAnsi="Times New Roman" w:cs="Times New Roman"/>
          <w:noProof/>
          <w:sz w:val="24"/>
          <w:szCs w:val="24"/>
          <w:lang w:eastAsia="fr-CA"/>
        </w:rPr>
        <w:t>. En 2016</w:t>
      </w:r>
      <w:r w:rsidR="000B558C" w:rsidRPr="00333A62">
        <w:rPr>
          <w:rFonts w:ascii="Times New Roman" w:hAnsi="Times New Roman" w:cs="Times New Roman"/>
          <w:noProof/>
          <w:sz w:val="24"/>
          <w:szCs w:val="24"/>
          <w:lang w:eastAsia="fr-CA"/>
        </w:rPr>
        <w:t>,</w:t>
      </w:r>
      <w:r w:rsidRPr="00333A62">
        <w:rPr>
          <w:rFonts w:ascii="Times New Roman" w:hAnsi="Times New Roman" w:cs="Times New Roman"/>
          <w:noProof/>
          <w:sz w:val="24"/>
          <w:szCs w:val="24"/>
          <w:lang w:eastAsia="fr-CA"/>
        </w:rPr>
        <w:t xml:space="preserve"> le taux de mortalité néonatale n’était que de 33 décès pour 1000 NV chez les plus riches, alors qu’on notait un taux de 40 décès pour 1000 NV chez les plus pauvres, c'est-à-dire à dire sept point de plus. </w:t>
      </w:r>
      <w:r w:rsidRPr="00333A62">
        <w:rPr>
          <w:rFonts w:ascii="Times New Roman" w:hAnsi="Times New Roman" w:cs="Times New Roman"/>
          <w:sz w:val="24"/>
          <w:szCs w:val="24"/>
        </w:rPr>
        <w:t xml:space="preserve">Cette iniquité est davantage importante lorsqu’on compare l’évolution entre 2011 et 2016. Alors que la mortalité néonatale a baissé de 15% entre 2011 et 2016 chez les riches, cette réduction n’a été que de 5% chez les plus pauvres. </w:t>
      </w:r>
    </w:p>
    <w:p w14:paraId="71422EB9" w14:textId="77777777" w:rsidR="001E6397" w:rsidRDefault="001E6397" w:rsidP="00333A62">
      <w:pPr>
        <w:pStyle w:val="Grillemoyenne1-Accent21"/>
        <w:spacing w:before="120" w:after="120"/>
        <w:ind w:left="0"/>
        <w:jc w:val="both"/>
        <w:rPr>
          <w:rFonts w:ascii="Times New Roman" w:hAnsi="Times New Roman" w:cs="Times New Roman"/>
          <w:sz w:val="24"/>
          <w:szCs w:val="24"/>
        </w:rPr>
      </w:pPr>
    </w:p>
    <w:p w14:paraId="39373064" w14:textId="034C5CB9" w:rsidR="0043271B" w:rsidRPr="003C390A" w:rsidRDefault="0043271B" w:rsidP="00333A62">
      <w:pPr>
        <w:pStyle w:val="Grillemoyenne1-Accent21"/>
        <w:spacing w:before="120" w:after="120"/>
        <w:ind w:left="0"/>
        <w:jc w:val="both"/>
        <w:rPr>
          <w:rFonts w:ascii="Times New Roman" w:hAnsi="Times New Roman" w:cs="Times New Roman"/>
          <w:sz w:val="16"/>
          <w:szCs w:val="24"/>
        </w:rPr>
      </w:pPr>
    </w:p>
    <w:p w14:paraId="238DDC82" w14:textId="450D58CF" w:rsidR="0043271B" w:rsidRPr="00333A62" w:rsidRDefault="0043271B" w:rsidP="00333A62">
      <w:pPr>
        <w:pStyle w:val="Grillemoyenne1-Accent21"/>
        <w:spacing w:before="120" w:after="120"/>
        <w:ind w:left="0"/>
        <w:jc w:val="both"/>
        <w:rPr>
          <w:rFonts w:ascii="Times New Roman" w:hAnsi="Times New Roman" w:cs="Times New Roman"/>
          <w:sz w:val="24"/>
          <w:szCs w:val="24"/>
        </w:rPr>
      </w:pPr>
      <w:r>
        <w:rPr>
          <w:noProof/>
          <w:lang w:val="fr-FR" w:eastAsia="fr-FR"/>
        </w:rPr>
        <w:lastRenderedPageBreak/>
        <w:drawing>
          <wp:inline distT="0" distB="0" distL="0" distR="0" wp14:anchorId="2C14E4C0" wp14:editId="2498C5CC">
            <wp:extent cx="6151880" cy="2305456"/>
            <wp:effectExtent l="0" t="0" r="1270" b="0"/>
            <wp:docPr id="223" name="Graphique 22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208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8C4A44D" w14:textId="77777777" w:rsidR="009A04F0" w:rsidRDefault="009A04F0" w:rsidP="009A04F0">
      <w:pPr>
        <w:pStyle w:val="Lgende"/>
        <w:rPr>
          <w:sz w:val="24"/>
          <w:szCs w:val="24"/>
        </w:rPr>
      </w:pPr>
      <w:bookmarkStart w:id="69" w:name="_Toc1588486"/>
      <w:r w:rsidRPr="009A04F0">
        <w:rPr>
          <w:sz w:val="24"/>
          <w:szCs w:val="24"/>
        </w:rPr>
        <w:t xml:space="preserve">Graphique </w:t>
      </w:r>
      <w:r w:rsidRPr="009A04F0">
        <w:rPr>
          <w:sz w:val="24"/>
          <w:szCs w:val="24"/>
        </w:rPr>
        <w:fldChar w:fldCharType="begin"/>
      </w:r>
      <w:r w:rsidRPr="009A04F0">
        <w:rPr>
          <w:sz w:val="24"/>
          <w:szCs w:val="24"/>
        </w:rPr>
        <w:instrText xml:space="preserve"> SEQ Graphique \* ARABIC </w:instrText>
      </w:r>
      <w:r w:rsidRPr="009A04F0">
        <w:rPr>
          <w:sz w:val="24"/>
          <w:szCs w:val="24"/>
        </w:rPr>
        <w:fldChar w:fldCharType="separate"/>
      </w:r>
      <w:r w:rsidRPr="009A04F0">
        <w:rPr>
          <w:noProof/>
          <w:sz w:val="24"/>
          <w:szCs w:val="24"/>
        </w:rPr>
        <w:t>10</w:t>
      </w:r>
      <w:r w:rsidRPr="009A04F0">
        <w:rPr>
          <w:sz w:val="24"/>
          <w:szCs w:val="24"/>
        </w:rPr>
        <w:fldChar w:fldCharType="end"/>
      </w:r>
      <w:r w:rsidR="00272A4F" w:rsidRPr="009A04F0">
        <w:rPr>
          <w:sz w:val="24"/>
          <w:szCs w:val="24"/>
        </w:rPr>
        <w:t xml:space="preserve"> : </w:t>
      </w:r>
      <w:r w:rsidR="000F598E" w:rsidRPr="009A04F0">
        <w:rPr>
          <w:sz w:val="24"/>
          <w:szCs w:val="24"/>
        </w:rPr>
        <w:t>Répartition de la ré</w:t>
      </w:r>
      <w:r w:rsidR="00272A4F" w:rsidRPr="009A04F0">
        <w:rPr>
          <w:sz w:val="24"/>
          <w:szCs w:val="24"/>
        </w:rPr>
        <w:t xml:space="preserve">duction de la mortalité NN entre 2011 </w:t>
      </w:r>
      <w:r w:rsidR="000F598E" w:rsidRPr="009A04F0">
        <w:rPr>
          <w:sz w:val="24"/>
          <w:szCs w:val="24"/>
        </w:rPr>
        <w:t>et 2016 selon</w:t>
      </w:r>
      <w:r w:rsidR="00272A4F" w:rsidRPr="009A04F0">
        <w:rPr>
          <w:sz w:val="24"/>
          <w:szCs w:val="24"/>
        </w:rPr>
        <w:t xml:space="preserve"> le</w:t>
      </w:r>
      <w:r w:rsidR="000F598E" w:rsidRPr="009A04F0">
        <w:rPr>
          <w:sz w:val="24"/>
          <w:szCs w:val="24"/>
        </w:rPr>
        <w:t xml:space="preserve"> n</w:t>
      </w:r>
      <w:r w:rsidR="00272A4F" w:rsidRPr="009A04F0">
        <w:rPr>
          <w:sz w:val="24"/>
          <w:szCs w:val="24"/>
        </w:rPr>
        <w:t>iveau</w:t>
      </w:r>
      <w:r w:rsidR="00272A4F" w:rsidRPr="00333A62">
        <w:rPr>
          <w:sz w:val="24"/>
          <w:szCs w:val="24"/>
        </w:rPr>
        <w:t xml:space="preserve"> de </w:t>
      </w:r>
      <w:r w:rsidR="000F598E" w:rsidRPr="00333A62">
        <w:rPr>
          <w:sz w:val="24"/>
          <w:szCs w:val="24"/>
        </w:rPr>
        <w:t>pauvreté.</w:t>
      </w:r>
      <w:bookmarkEnd w:id="69"/>
      <w:r w:rsidR="000F598E" w:rsidRPr="00333A62">
        <w:rPr>
          <w:sz w:val="24"/>
          <w:szCs w:val="24"/>
        </w:rPr>
        <w:t xml:space="preserve"> </w:t>
      </w:r>
    </w:p>
    <w:p w14:paraId="44BDE888" w14:textId="2D12ED0E" w:rsidR="000F598E" w:rsidRPr="009A04F0" w:rsidRDefault="009A04F0" w:rsidP="009A04F0">
      <w:pPr>
        <w:pStyle w:val="Lgende"/>
        <w:rPr>
          <w:b w:val="0"/>
          <w:bCs w:val="0"/>
          <w:color w:val="000000"/>
          <w:sz w:val="24"/>
          <w:szCs w:val="24"/>
        </w:rPr>
      </w:pPr>
      <w:r w:rsidRPr="009A04F0">
        <w:rPr>
          <w:b w:val="0"/>
          <w:sz w:val="24"/>
          <w:szCs w:val="24"/>
          <w:u w:val="single"/>
        </w:rPr>
        <w:t>S</w:t>
      </w:r>
      <w:r w:rsidR="000F598E" w:rsidRPr="009A04F0">
        <w:rPr>
          <w:b w:val="0"/>
          <w:sz w:val="24"/>
          <w:szCs w:val="24"/>
          <w:u w:val="single"/>
        </w:rPr>
        <w:t>ource</w:t>
      </w:r>
      <w:r w:rsidR="000F598E" w:rsidRPr="009A04F0">
        <w:rPr>
          <w:b w:val="0"/>
          <w:sz w:val="24"/>
          <w:szCs w:val="24"/>
        </w:rPr>
        <w:t xml:space="preserve"> : </w:t>
      </w:r>
      <w:r w:rsidR="002B29B2" w:rsidRPr="009A04F0">
        <w:rPr>
          <w:b w:val="0"/>
          <w:bCs w:val="0"/>
          <w:color w:val="000000"/>
          <w:sz w:val="24"/>
          <w:szCs w:val="24"/>
        </w:rPr>
        <w:t xml:space="preserve">Auteur </w:t>
      </w:r>
      <w:r w:rsidR="000F598E" w:rsidRPr="009A04F0">
        <w:rPr>
          <w:b w:val="0"/>
          <w:bCs w:val="0"/>
          <w:color w:val="000000"/>
          <w:sz w:val="24"/>
          <w:szCs w:val="24"/>
        </w:rPr>
        <w:t>à partir de MICS 2006, EDS-MICS3 2011 et MICS 2016</w:t>
      </w:r>
    </w:p>
    <w:p w14:paraId="178307B4" w14:textId="77777777" w:rsidR="002B29B2" w:rsidRDefault="002B29B2" w:rsidP="00333A62">
      <w:pPr>
        <w:pStyle w:val="Grillemoyenne1-Accent21"/>
        <w:spacing w:before="120" w:after="120"/>
        <w:ind w:left="0"/>
        <w:jc w:val="both"/>
        <w:rPr>
          <w:rFonts w:ascii="Times New Roman" w:hAnsi="Times New Roman" w:cs="Times New Roman"/>
          <w:sz w:val="24"/>
          <w:szCs w:val="24"/>
        </w:rPr>
      </w:pPr>
    </w:p>
    <w:p w14:paraId="79802F46" w14:textId="0887987B" w:rsidR="000D0291" w:rsidRPr="00333A62" w:rsidRDefault="000F598E" w:rsidP="00333A62">
      <w:pPr>
        <w:pStyle w:val="Grillemoyenne1-Accent21"/>
        <w:spacing w:before="120" w:after="120"/>
        <w:ind w:left="0"/>
        <w:jc w:val="both"/>
        <w:rPr>
          <w:rFonts w:ascii="Times New Roman" w:hAnsi="Times New Roman" w:cs="Times New Roman"/>
          <w:sz w:val="24"/>
          <w:szCs w:val="24"/>
        </w:rPr>
      </w:pPr>
      <w:r w:rsidRPr="00333A62">
        <w:rPr>
          <w:rFonts w:ascii="Times New Roman" w:hAnsi="Times New Roman" w:cs="Times New Roman"/>
          <w:sz w:val="24"/>
          <w:szCs w:val="24"/>
        </w:rPr>
        <w:t xml:space="preserve">Quel que soit les régions, les infections </w:t>
      </w:r>
      <w:r w:rsidR="000D0291" w:rsidRPr="00333A62">
        <w:rPr>
          <w:rFonts w:ascii="Times New Roman" w:hAnsi="Times New Roman" w:cs="Times New Roman"/>
          <w:sz w:val="24"/>
          <w:szCs w:val="24"/>
        </w:rPr>
        <w:t>(32%), la prématurité (26%) et l’asphyxie (22%) restent les principales causes de décès chez les nouveaux nés</w:t>
      </w:r>
      <w:r w:rsidRPr="00333A62">
        <w:rPr>
          <w:rFonts w:ascii="Times New Roman" w:hAnsi="Times New Roman" w:cs="Times New Roman"/>
          <w:sz w:val="24"/>
          <w:szCs w:val="24"/>
        </w:rPr>
        <w:t xml:space="preserve">. </w:t>
      </w:r>
    </w:p>
    <w:p w14:paraId="1165FDE7" w14:textId="7750019A" w:rsidR="00B74698" w:rsidRPr="00333A62" w:rsidRDefault="00B74698" w:rsidP="00333A62">
      <w:pPr>
        <w:pStyle w:val="Paragraphedeliste"/>
        <w:autoSpaceDE w:val="0"/>
        <w:autoSpaceDN w:val="0"/>
        <w:adjustRightInd w:val="0"/>
        <w:spacing w:before="120" w:after="120" w:line="276" w:lineRule="auto"/>
        <w:ind w:left="0"/>
        <w:jc w:val="both"/>
        <w:rPr>
          <w:rFonts w:ascii="Times New Roman" w:hAnsi="Times New Roman" w:cs="Times New Roman"/>
          <w:sz w:val="24"/>
          <w:szCs w:val="24"/>
        </w:rPr>
      </w:pPr>
      <w:r w:rsidRPr="0099310C">
        <w:rPr>
          <w:noProof/>
          <w:sz w:val="24"/>
          <w:szCs w:val="24"/>
          <w:lang w:val="fr-FR" w:eastAsia="fr-FR"/>
        </w:rPr>
        <w:drawing>
          <wp:inline distT="0" distB="0" distL="0" distR="0" wp14:anchorId="535A5BDE" wp14:editId="13E8E1FA">
            <wp:extent cx="6151880" cy="2538919"/>
            <wp:effectExtent l="0" t="0" r="1270" b="13970"/>
            <wp:docPr id="224" name="Graphique 224">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208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29FDC08" w14:textId="276F6913" w:rsidR="00E83A95" w:rsidRPr="00D530BF" w:rsidRDefault="00D530BF" w:rsidP="00D530BF">
      <w:pPr>
        <w:pStyle w:val="Lgende"/>
        <w:rPr>
          <w:sz w:val="24"/>
          <w:szCs w:val="24"/>
        </w:rPr>
      </w:pPr>
      <w:bookmarkStart w:id="70" w:name="_Toc481847002"/>
      <w:bookmarkStart w:id="71" w:name="_Toc1588487"/>
      <w:r w:rsidRPr="00D530BF">
        <w:rPr>
          <w:sz w:val="24"/>
          <w:szCs w:val="24"/>
        </w:rPr>
        <w:t xml:space="preserve">Graphique </w:t>
      </w:r>
      <w:r w:rsidRPr="00D530BF">
        <w:rPr>
          <w:sz w:val="24"/>
          <w:szCs w:val="24"/>
        </w:rPr>
        <w:fldChar w:fldCharType="begin"/>
      </w:r>
      <w:r w:rsidRPr="00D530BF">
        <w:rPr>
          <w:sz w:val="24"/>
          <w:szCs w:val="24"/>
        </w:rPr>
        <w:instrText xml:space="preserve"> SEQ Graphique \* ARABIC </w:instrText>
      </w:r>
      <w:r w:rsidRPr="00D530BF">
        <w:rPr>
          <w:sz w:val="24"/>
          <w:szCs w:val="24"/>
        </w:rPr>
        <w:fldChar w:fldCharType="separate"/>
      </w:r>
      <w:r w:rsidR="009A04F0">
        <w:rPr>
          <w:noProof/>
          <w:sz w:val="24"/>
          <w:szCs w:val="24"/>
        </w:rPr>
        <w:t>11</w:t>
      </w:r>
      <w:r w:rsidRPr="00D530BF">
        <w:rPr>
          <w:sz w:val="24"/>
          <w:szCs w:val="24"/>
        </w:rPr>
        <w:fldChar w:fldCharType="end"/>
      </w:r>
      <w:r w:rsidR="000F598E" w:rsidRPr="00D530BF">
        <w:rPr>
          <w:sz w:val="24"/>
          <w:szCs w:val="24"/>
        </w:rPr>
        <w:t xml:space="preserve">: </w:t>
      </w:r>
      <w:r w:rsidR="00AD2B5A" w:rsidRPr="00D530BF">
        <w:rPr>
          <w:sz w:val="24"/>
          <w:szCs w:val="24"/>
        </w:rPr>
        <w:t>Répartition des c</w:t>
      </w:r>
      <w:r w:rsidR="000F598E" w:rsidRPr="00D530BF">
        <w:rPr>
          <w:sz w:val="24"/>
          <w:szCs w:val="24"/>
        </w:rPr>
        <w:t xml:space="preserve">auses des décès néonatals selon les </w:t>
      </w:r>
      <w:bookmarkEnd w:id="70"/>
      <w:r w:rsidR="000F598E" w:rsidRPr="00D530BF">
        <w:rPr>
          <w:sz w:val="24"/>
          <w:szCs w:val="24"/>
        </w:rPr>
        <w:t>régions en 2016.</w:t>
      </w:r>
      <w:bookmarkEnd w:id="71"/>
      <w:r w:rsidR="000F598E" w:rsidRPr="00D530BF">
        <w:rPr>
          <w:sz w:val="24"/>
          <w:szCs w:val="24"/>
        </w:rPr>
        <w:t xml:space="preserve"> </w:t>
      </w:r>
    </w:p>
    <w:p w14:paraId="4964B0D8" w14:textId="66C44A7D" w:rsidR="000F598E" w:rsidRPr="00333A62" w:rsidRDefault="000F598E" w:rsidP="00333A62">
      <w:pPr>
        <w:pStyle w:val="Grillemoyenne1-Accent21"/>
        <w:spacing w:before="120" w:after="120"/>
        <w:ind w:left="0"/>
        <w:jc w:val="both"/>
        <w:rPr>
          <w:rFonts w:ascii="Times New Roman" w:hAnsi="Times New Roman" w:cs="Times New Roman"/>
          <w:bCs/>
          <w:color w:val="000000"/>
          <w:sz w:val="24"/>
          <w:szCs w:val="24"/>
        </w:rPr>
      </w:pPr>
      <w:r w:rsidRPr="00D530BF">
        <w:rPr>
          <w:rFonts w:ascii="Times New Roman" w:hAnsi="Times New Roman" w:cs="Times New Roman"/>
          <w:sz w:val="24"/>
          <w:szCs w:val="24"/>
          <w:u w:val="single"/>
        </w:rPr>
        <w:t>Source</w:t>
      </w:r>
      <w:r w:rsidRPr="00333A62">
        <w:rPr>
          <w:rFonts w:ascii="Times New Roman" w:hAnsi="Times New Roman" w:cs="Times New Roman"/>
          <w:sz w:val="24"/>
          <w:szCs w:val="24"/>
        </w:rPr>
        <w:t xml:space="preserve"> : </w:t>
      </w:r>
      <w:r w:rsidR="00D530BF" w:rsidRPr="00333A62">
        <w:rPr>
          <w:rFonts w:ascii="Times New Roman" w:hAnsi="Times New Roman" w:cs="Times New Roman"/>
          <w:bCs/>
          <w:color w:val="000000"/>
          <w:sz w:val="24"/>
          <w:szCs w:val="24"/>
        </w:rPr>
        <w:t xml:space="preserve">Auteur </w:t>
      </w:r>
      <w:r w:rsidRPr="00333A62">
        <w:rPr>
          <w:rFonts w:ascii="Times New Roman" w:hAnsi="Times New Roman" w:cs="Times New Roman"/>
          <w:bCs/>
          <w:color w:val="000000"/>
          <w:sz w:val="24"/>
          <w:szCs w:val="24"/>
        </w:rPr>
        <w:t>à partir de MICS 2006, EDS-MICS3 2011 et MICS 2016</w:t>
      </w:r>
    </w:p>
    <w:p w14:paraId="26AB5288" w14:textId="77777777" w:rsidR="00AD2B5A" w:rsidRPr="00333A62" w:rsidRDefault="00AD2B5A" w:rsidP="00333A62">
      <w:pPr>
        <w:pStyle w:val="Grillemoyenne1-Accent21"/>
        <w:spacing w:before="120" w:after="120"/>
        <w:ind w:left="0"/>
        <w:jc w:val="both"/>
        <w:rPr>
          <w:rFonts w:ascii="Times New Roman" w:hAnsi="Times New Roman" w:cs="Times New Roman"/>
          <w:sz w:val="24"/>
          <w:szCs w:val="24"/>
        </w:rPr>
      </w:pPr>
    </w:p>
    <w:p w14:paraId="67C38B70" w14:textId="73369589" w:rsidR="000D0291" w:rsidRPr="009A04F0" w:rsidRDefault="00825055" w:rsidP="00333A62">
      <w:pPr>
        <w:pStyle w:val="Titre3"/>
        <w:spacing w:before="120" w:after="120" w:line="276" w:lineRule="auto"/>
        <w:rPr>
          <w:rFonts w:ascii="Times New Roman" w:hAnsi="Times New Roman" w:cs="Times New Roman"/>
          <w:b/>
          <w:color w:val="0070C0"/>
        </w:rPr>
      </w:pPr>
      <w:bookmarkStart w:id="72" w:name="_Toc1573808"/>
      <w:r w:rsidRPr="009A04F0">
        <w:rPr>
          <w:rFonts w:ascii="Times New Roman" w:hAnsi="Times New Roman" w:cs="Times New Roman"/>
          <w:b/>
          <w:color w:val="0070C0"/>
        </w:rPr>
        <w:t>Mortalité infanto-juvénile</w:t>
      </w:r>
      <w:bookmarkEnd w:id="72"/>
      <w:r w:rsidRPr="009A04F0">
        <w:rPr>
          <w:rFonts w:ascii="Times New Roman" w:hAnsi="Times New Roman" w:cs="Times New Roman"/>
          <w:b/>
          <w:color w:val="0070C0"/>
        </w:rPr>
        <w:t xml:space="preserve"> </w:t>
      </w:r>
    </w:p>
    <w:p w14:paraId="06071860" w14:textId="6B5871F6" w:rsidR="00AD2B5A" w:rsidRPr="00333A62" w:rsidRDefault="008B34E7"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La mortalité infanto-juvénile (enfants de moins de 5 ans) en Côte d’Ivoire a </w:t>
      </w:r>
      <w:r w:rsidR="00CF0E63">
        <w:rPr>
          <w:rFonts w:ascii="Times New Roman" w:hAnsi="Times New Roman" w:cs="Times New Roman"/>
          <w:sz w:val="24"/>
          <w:szCs w:val="24"/>
          <w:lang w:val="fr-CI"/>
        </w:rPr>
        <w:t>connu une hausse</w:t>
      </w:r>
      <w:r w:rsidRPr="00333A62">
        <w:rPr>
          <w:rFonts w:ascii="Times New Roman" w:hAnsi="Times New Roman" w:cs="Times New Roman"/>
          <w:sz w:val="24"/>
          <w:szCs w:val="24"/>
          <w:lang w:val="fr-CI"/>
        </w:rPr>
        <w:t>, passant de 95,5 décès /1.000 naissances en 2014</w:t>
      </w:r>
      <w:r w:rsidR="00EC6D75" w:rsidRPr="00333A62">
        <w:rPr>
          <w:rFonts w:ascii="Times New Roman" w:hAnsi="Times New Roman" w:cs="Times New Roman"/>
          <w:sz w:val="24"/>
          <w:szCs w:val="24"/>
          <w:lang w:val="fr-CI"/>
        </w:rPr>
        <w:t xml:space="preserve"> à 96,2 pour 1000 naissances vivantes en 2016 </w:t>
      </w:r>
      <w:r w:rsidRPr="00333A62">
        <w:rPr>
          <w:rFonts w:ascii="Times New Roman" w:hAnsi="Times New Roman" w:cs="Times New Roman"/>
          <w:sz w:val="24"/>
          <w:szCs w:val="24"/>
          <w:lang w:val="fr-CI"/>
        </w:rPr>
        <w:t xml:space="preserve">(MICS 2016). </w:t>
      </w:r>
    </w:p>
    <w:p w14:paraId="1387CA20" w14:textId="2AEE6154" w:rsidR="008B34E7" w:rsidRPr="00333A62" w:rsidRDefault="008B34E7"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Les taux relevés en 2016, </w:t>
      </w:r>
      <w:r w:rsidR="000827DE" w:rsidRPr="00333A62">
        <w:rPr>
          <w:rFonts w:ascii="Times New Roman" w:hAnsi="Times New Roman" w:cs="Times New Roman"/>
          <w:sz w:val="24"/>
          <w:szCs w:val="24"/>
          <w:lang w:val="fr-CI"/>
        </w:rPr>
        <w:t>montrent</w:t>
      </w:r>
      <w:r w:rsidRPr="00333A62">
        <w:rPr>
          <w:rFonts w:ascii="Times New Roman" w:hAnsi="Times New Roman" w:cs="Times New Roman"/>
          <w:sz w:val="24"/>
          <w:szCs w:val="24"/>
          <w:lang w:val="fr-CI"/>
        </w:rPr>
        <w:t xml:space="preserve"> une variabilité d’une région à l’autre</w:t>
      </w:r>
      <w:r w:rsidR="003C390A">
        <w:rPr>
          <w:rFonts w:ascii="Times New Roman" w:hAnsi="Times New Roman" w:cs="Times New Roman"/>
          <w:sz w:val="24"/>
          <w:szCs w:val="24"/>
          <w:lang w:val="fr-CI"/>
        </w:rPr>
        <w:t>.</w:t>
      </w:r>
    </w:p>
    <w:p w14:paraId="04FB97FB" w14:textId="2B3D571B" w:rsidR="00EC6D75" w:rsidRPr="00333A62" w:rsidRDefault="00EC6D75"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noProof/>
          <w:sz w:val="24"/>
          <w:szCs w:val="24"/>
          <w:lang w:val="fr-FR" w:eastAsia="fr-FR"/>
        </w:rPr>
        <w:lastRenderedPageBreak/>
        <w:drawing>
          <wp:anchor distT="0" distB="0" distL="114300" distR="114300" simplePos="0" relativeHeight="251657728" behindDoc="0" locked="0" layoutInCell="1" allowOverlap="1" wp14:anchorId="5E2DD8B1" wp14:editId="6831F681">
            <wp:simplePos x="0" y="0"/>
            <wp:positionH relativeFrom="margin">
              <wp:posOffset>4445</wp:posOffset>
            </wp:positionH>
            <wp:positionV relativeFrom="paragraph">
              <wp:posOffset>14605</wp:posOffset>
            </wp:positionV>
            <wp:extent cx="5695950" cy="2286000"/>
            <wp:effectExtent l="0" t="0" r="0" b="0"/>
            <wp:wrapSquare wrapText="bothSides"/>
            <wp:docPr id="18" name="Graphique 18">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B00D3E0-2E9F-4546-9F26-B9C6CAF06E3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302206C" w14:textId="77777777" w:rsidR="00EC6D75" w:rsidRPr="00333A62" w:rsidRDefault="00EC6D75" w:rsidP="00333A62">
      <w:pPr>
        <w:spacing w:before="120" w:after="120" w:line="276" w:lineRule="auto"/>
        <w:jc w:val="both"/>
        <w:rPr>
          <w:rFonts w:ascii="Times New Roman" w:hAnsi="Times New Roman" w:cs="Times New Roman"/>
          <w:sz w:val="24"/>
          <w:szCs w:val="24"/>
          <w:lang w:val="fr-CI"/>
        </w:rPr>
      </w:pPr>
    </w:p>
    <w:p w14:paraId="43A29777" w14:textId="77777777" w:rsidR="00EC6D75" w:rsidRPr="00333A62" w:rsidRDefault="00EC6D75" w:rsidP="00333A62">
      <w:pPr>
        <w:spacing w:before="120" w:after="120" w:line="276" w:lineRule="auto"/>
        <w:jc w:val="both"/>
        <w:rPr>
          <w:rFonts w:ascii="Times New Roman" w:hAnsi="Times New Roman" w:cs="Times New Roman"/>
          <w:sz w:val="24"/>
          <w:szCs w:val="24"/>
          <w:lang w:val="fr-CI"/>
        </w:rPr>
      </w:pPr>
    </w:p>
    <w:p w14:paraId="4F998DF7" w14:textId="77777777" w:rsidR="00EC6D75" w:rsidRPr="00333A62" w:rsidRDefault="00EC6D75" w:rsidP="00333A62">
      <w:pPr>
        <w:spacing w:before="120" w:after="120" w:line="276" w:lineRule="auto"/>
        <w:jc w:val="both"/>
        <w:rPr>
          <w:rFonts w:ascii="Times New Roman" w:hAnsi="Times New Roman" w:cs="Times New Roman"/>
          <w:sz w:val="24"/>
          <w:szCs w:val="24"/>
          <w:lang w:val="fr-CI"/>
        </w:rPr>
      </w:pPr>
    </w:p>
    <w:p w14:paraId="18F134ED" w14:textId="77777777" w:rsidR="00EC6D75" w:rsidRPr="00333A62" w:rsidRDefault="00EC6D75" w:rsidP="00333A62">
      <w:pPr>
        <w:spacing w:before="120" w:after="120" w:line="276" w:lineRule="auto"/>
        <w:jc w:val="both"/>
        <w:rPr>
          <w:rFonts w:ascii="Times New Roman" w:hAnsi="Times New Roman" w:cs="Times New Roman"/>
          <w:sz w:val="24"/>
          <w:szCs w:val="24"/>
          <w:lang w:val="fr-CI"/>
        </w:rPr>
      </w:pPr>
    </w:p>
    <w:p w14:paraId="75EF4C2F" w14:textId="77777777" w:rsidR="00EC6D75" w:rsidRPr="00333A62" w:rsidRDefault="00EC6D75" w:rsidP="00333A62">
      <w:pPr>
        <w:spacing w:before="120" w:after="120" w:line="276" w:lineRule="auto"/>
        <w:jc w:val="both"/>
        <w:rPr>
          <w:rFonts w:ascii="Times New Roman" w:hAnsi="Times New Roman" w:cs="Times New Roman"/>
          <w:sz w:val="24"/>
          <w:szCs w:val="24"/>
          <w:lang w:val="fr-CI"/>
        </w:rPr>
      </w:pPr>
    </w:p>
    <w:p w14:paraId="784A9271" w14:textId="77777777" w:rsidR="00EC6D75" w:rsidRPr="00333A62" w:rsidRDefault="00EC6D75" w:rsidP="00333A62">
      <w:pPr>
        <w:spacing w:before="120" w:after="120" w:line="276" w:lineRule="auto"/>
        <w:jc w:val="both"/>
        <w:rPr>
          <w:rFonts w:ascii="Times New Roman" w:hAnsi="Times New Roman" w:cs="Times New Roman"/>
          <w:sz w:val="24"/>
          <w:szCs w:val="24"/>
          <w:lang w:val="fr-CI"/>
        </w:rPr>
      </w:pPr>
    </w:p>
    <w:p w14:paraId="1DC57485" w14:textId="77777777" w:rsidR="00EF4AB5" w:rsidRDefault="00EF4AB5" w:rsidP="00333A62">
      <w:pPr>
        <w:spacing w:before="120" w:after="120" w:line="276" w:lineRule="auto"/>
        <w:jc w:val="both"/>
        <w:rPr>
          <w:rFonts w:ascii="Times New Roman" w:hAnsi="Times New Roman" w:cs="Times New Roman"/>
          <w:bCs/>
          <w:sz w:val="24"/>
          <w:szCs w:val="24"/>
          <w:u w:val="single"/>
          <w:lang w:val="fr-CI"/>
        </w:rPr>
      </w:pPr>
    </w:p>
    <w:p w14:paraId="2FC91C1C" w14:textId="77777777" w:rsidR="00D530BF" w:rsidRDefault="00D530BF" w:rsidP="00333A62">
      <w:pPr>
        <w:spacing w:before="120" w:after="120" w:line="276" w:lineRule="auto"/>
        <w:jc w:val="both"/>
        <w:rPr>
          <w:rFonts w:ascii="Times New Roman" w:hAnsi="Times New Roman" w:cs="Times New Roman"/>
          <w:bCs/>
          <w:sz w:val="24"/>
          <w:szCs w:val="24"/>
          <w:u w:val="single"/>
          <w:lang w:val="fr-CI"/>
        </w:rPr>
      </w:pPr>
    </w:p>
    <w:p w14:paraId="6CF3DBB0" w14:textId="77777777" w:rsidR="00D530BF" w:rsidRPr="00D530BF" w:rsidRDefault="00D530BF" w:rsidP="00D530BF">
      <w:pPr>
        <w:pStyle w:val="Lgende"/>
        <w:rPr>
          <w:bCs w:val="0"/>
          <w:sz w:val="24"/>
          <w:szCs w:val="24"/>
          <w:lang w:val="fr-CI"/>
        </w:rPr>
      </w:pPr>
      <w:bookmarkStart w:id="73" w:name="_Toc1588488"/>
      <w:r w:rsidRPr="00D530BF">
        <w:rPr>
          <w:sz w:val="24"/>
          <w:szCs w:val="24"/>
        </w:rPr>
        <w:t xml:space="preserve">Graphique </w:t>
      </w:r>
      <w:r w:rsidRPr="00D530BF">
        <w:rPr>
          <w:sz w:val="24"/>
          <w:szCs w:val="24"/>
        </w:rPr>
        <w:fldChar w:fldCharType="begin"/>
      </w:r>
      <w:r w:rsidRPr="00D530BF">
        <w:rPr>
          <w:sz w:val="24"/>
          <w:szCs w:val="24"/>
        </w:rPr>
        <w:instrText xml:space="preserve"> SEQ Graphique \* ARABIC </w:instrText>
      </w:r>
      <w:r w:rsidRPr="00D530BF">
        <w:rPr>
          <w:sz w:val="24"/>
          <w:szCs w:val="24"/>
        </w:rPr>
        <w:fldChar w:fldCharType="separate"/>
      </w:r>
      <w:r w:rsidR="009A04F0">
        <w:rPr>
          <w:noProof/>
          <w:sz w:val="24"/>
          <w:szCs w:val="24"/>
        </w:rPr>
        <w:t>12</w:t>
      </w:r>
      <w:r w:rsidRPr="00D530BF">
        <w:rPr>
          <w:sz w:val="24"/>
          <w:szCs w:val="24"/>
        </w:rPr>
        <w:fldChar w:fldCharType="end"/>
      </w:r>
      <w:r w:rsidR="00EC6D75" w:rsidRPr="00D530BF">
        <w:rPr>
          <w:bCs w:val="0"/>
          <w:sz w:val="24"/>
          <w:szCs w:val="24"/>
          <w:lang w:val="fr-CI"/>
        </w:rPr>
        <w:t> : Répartition de la mortalité des moins de 5 ans par région.</w:t>
      </w:r>
      <w:bookmarkEnd w:id="73"/>
      <w:r w:rsidR="00EC6D75" w:rsidRPr="00D530BF">
        <w:rPr>
          <w:bCs w:val="0"/>
          <w:sz w:val="24"/>
          <w:szCs w:val="24"/>
          <w:lang w:val="fr-CI"/>
        </w:rPr>
        <w:t xml:space="preserve"> </w:t>
      </w:r>
    </w:p>
    <w:p w14:paraId="04A409AC" w14:textId="4FB30679" w:rsidR="00EC6D75" w:rsidRPr="00D530BF" w:rsidRDefault="00EC6D75" w:rsidP="00D530BF">
      <w:pPr>
        <w:pStyle w:val="Lgende"/>
        <w:rPr>
          <w:b w:val="0"/>
          <w:bCs w:val="0"/>
          <w:sz w:val="24"/>
          <w:szCs w:val="24"/>
          <w:lang w:val="fr-CI"/>
        </w:rPr>
      </w:pPr>
      <w:r w:rsidRPr="00D530BF">
        <w:rPr>
          <w:b w:val="0"/>
          <w:bCs w:val="0"/>
          <w:sz w:val="24"/>
          <w:szCs w:val="24"/>
          <w:u w:val="single"/>
          <w:lang w:val="fr-CI"/>
        </w:rPr>
        <w:t>Source</w:t>
      </w:r>
      <w:r w:rsidR="00D530BF">
        <w:rPr>
          <w:b w:val="0"/>
          <w:bCs w:val="0"/>
          <w:sz w:val="24"/>
          <w:szCs w:val="24"/>
          <w:lang w:val="fr-CI"/>
        </w:rPr>
        <w:t xml:space="preserve"> : </w:t>
      </w:r>
      <w:r w:rsidRPr="00D530BF">
        <w:rPr>
          <w:b w:val="0"/>
          <w:bCs w:val="0"/>
          <w:sz w:val="24"/>
          <w:szCs w:val="24"/>
          <w:lang w:val="fr-CI"/>
        </w:rPr>
        <w:t>MICS 2016</w:t>
      </w:r>
    </w:p>
    <w:p w14:paraId="5B61F422" w14:textId="0D5381DB" w:rsidR="008B34E7" w:rsidRPr="00333A62" w:rsidRDefault="008B34E7"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L’analyse du graphique montre des taux de mortalité de moins de</w:t>
      </w:r>
      <w:r w:rsidR="001F463F" w:rsidRPr="00333A62">
        <w:rPr>
          <w:rFonts w:ascii="Times New Roman" w:hAnsi="Times New Roman" w:cs="Times New Roman"/>
          <w:sz w:val="24"/>
          <w:szCs w:val="24"/>
          <w:lang w:val="fr-CI"/>
        </w:rPr>
        <w:t>s</w:t>
      </w:r>
      <w:r w:rsidRPr="00333A62">
        <w:rPr>
          <w:rFonts w:ascii="Times New Roman" w:hAnsi="Times New Roman" w:cs="Times New Roman"/>
          <w:sz w:val="24"/>
          <w:szCs w:val="24"/>
          <w:lang w:val="fr-CI"/>
        </w:rPr>
        <w:t xml:space="preserve"> 5ans largement au-dessus de la moyenne nationale dans les régions du Centre-Ouest</w:t>
      </w:r>
      <w:r w:rsidR="001F463F" w:rsidRPr="00333A62">
        <w:rPr>
          <w:rFonts w:ascii="Times New Roman" w:hAnsi="Times New Roman" w:cs="Times New Roman"/>
          <w:sz w:val="24"/>
          <w:szCs w:val="24"/>
          <w:lang w:val="fr-CI"/>
        </w:rPr>
        <w:t xml:space="preserve"> (113 pour 1000 NV)</w:t>
      </w:r>
      <w:r w:rsidRPr="00333A62">
        <w:rPr>
          <w:rFonts w:ascii="Times New Roman" w:hAnsi="Times New Roman" w:cs="Times New Roman"/>
          <w:sz w:val="24"/>
          <w:szCs w:val="24"/>
          <w:lang w:val="fr-CI"/>
        </w:rPr>
        <w:t>, du Nord</w:t>
      </w:r>
      <w:r w:rsidR="001F463F" w:rsidRPr="00333A62">
        <w:rPr>
          <w:rFonts w:ascii="Times New Roman" w:hAnsi="Times New Roman" w:cs="Times New Roman"/>
          <w:sz w:val="24"/>
          <w:szCs w:val="24"/>
          <w:lang w:val="fr-CI"/>
        </w:rPr>
        <w:t xml:space="preserve"> (121 pour 1000 NV)</w:t>
      </w:r>
      <w:r w:rsidRPr="00333A62">
        <w:rPr>
          <w:rFonts w:ascii="Times New Roman" w:hAnsi="Times New Roman" w:cs="Times New Roman"/>
          <w:sz w:val="24"/>
          <w:szCs w:val="24"/>
          <w:lang w:val="fr-CI"/>
        </w:rPr>
        <w:t>, du Nord-Est</w:t>
      </w:r>
      <w:r w:rsidR="001F463F" w:rsidRPr="00333A62">
        <w:rPr>
          <w:rFonts w:ascii="Times New Roman" w:hAnsi="Times New Roman" w:cs="Times New Roman"/>
          <w:sz w:val="24"/>
          <w:szCs w:val="24"/>
          <w:lang w:val="fr-CI"/>
        </w:rPr>
        <w:t xml:space="preserve"> (110 pour 1000 NV)</w:t>
      </w:r>
      <w:r w:rsidRPr="00333A62">
        <w:rPr>
          <w:rFonts w:ascii="Times New Roman" w:hAnsi="Times New Roman" w:cs="Times New Roman"/>
          <w:sz w:val="24"/>
          <w:szCs w:val="24"/>
          <w:lang w:val="fr-CI"/>
        </w:rPr>
        <w:t xml:space="preserve">, </w:t>
      </w:r>
      <w:r w:rsidR="001F463F" w:rsidRPr="00333A62">
        <w:rPr>
          <w:rFonts w:ascii="Times New Roman" w:hAnsi="Times New Roman" w:cs="Times New Roman"/>
          <w:sz w:val="24"/>
          <w:szCs w:val="24"/>
          <w:lang w:val="fr-CI"/>
        </w:rPr>
        <w:t xml:space="preserve">du </w:t>
      </w:r>
      <w:r w:rsidRPr="00333A62">
        <w:rPr>
          <w:rFonts w:ascii="Times New Roman" w:hAnsi="Times New Roman" w:cs="Times New Roman"/>
          <w:sz w:val="24"/>
          <w:szCs w:val="24"/>
          <w:lang w:val="fr-CI"/>
        </w:rPr>
        <w:t>Nord-Ouest</w:t>
      </w:r>
      <w:r w:rsidR="001F463F" w:rsidRPr="00333A62">
        <w:rPr>
          <w:rFonts w:ascii="Times New Roman" w:hAnsi="Times New Roman" w:cs="Times New Roman"/>
          <w:sz w:val="24"/>
          <w:szCs w:val="24"/>
          <w:lang w:val="fr-CI"/>
        </w:rPr>
        <w:t xml:space="preserve"> (114 pour 1000 NV)</w:t>
      </w:r>
      <w:r w:rsidRPr="00333A62">
        <w:rPr>
          <w:rFonts w:ascii="Times New Roman" w:hAnsi="Times New Roman" w:cs="Times New Roman"/>
          <w:sz w:val="24"/>
          <w:szCs w:val="24"/>
          <w:lang w:val="fr-CI"/>
        </w:rPr>
        <w:t xml:space="preserve"> et de l’Ouest</w:t>
      </w:r>
      <w:r w:rsidR="001F463F" w:rsidRPr="00333A62">
        <w:rPr>
          <w:rFonts w:ascii="Times New Roman" w:hAnsi="Times New Roman" w:cs="Times New Roman"/>
          <w:sz w:val="24"/>
          <w:szCs w:val="24"/>
          <w:lang w:val="fr-CI"/>
        </w:rPr>
        <w:t xml:space="preserve"> (104 pour 1000 NV).</w:t>
      </w:r>
      <w:r w:rsidRPr="00333A62">
        <w:rPr>
          <w:rFonts w:ascii="Times New Roman" w:hAnsi="Times New Roman" w:cs="Times New Roman"/>
          <w:sz w:val="24"/>
          <w:szCs w:val="24"/>
          <w:lang w:val="fr-CI"/>
        </w:rPr>
        <w:t xml:space="preserve"> </w:t>
      </w:r>
    </w:p>
    <w:p w14:paraId="106E49BF" w14:textId="6A32202C" w:rsidR="000C623B" w:rsidRDefault="000827DE" w:rsidP="00333A62">
      <w:pPr>
        <w:spacing w:before="120" w:after="120" w:line="276" w:lineRule="auto"/>
        <w:jc w:val="both"/>
        <w:rPr>
          <w:rFonts w:ascii="Times New Roman" w:hAnsi="Times New Roman" w:cs="Times New Roman"/>
          <w:noProof/>
          <w:sz w:val="24"/>
          <w:szCs w:val="24"/>
          <w:lang w:val="fr-FR" w:eastAsia="fr-FR"/>
        </w:rPr>
      </w:pPr>
      <w:r w:rsidRPr="00333A62">
        <w:rPr>
          <w:rFonts w:ascii="Times New Roman" w:hAnsi="Times New Roman" w:cs="Times New Roman"/>
          <w:noProof/>
          <w:sz w:val="24"/>
          <w:szCs w:val="24"/>
          <w:lang w:val="fr-FR" w:eastAsia="fr-FR"/>
        </w:rPr>
        <mc:AlternateContent>
          <mc:Choice Requires="wps">
            <w:drawing>
              <wp:anchor distT="0" distB="0" distL="114300" distR="114300" simplePos="0" relativeHeight="251689984" behindDoc="0" locked="0" layoutInCell="1" allowOverlap="1" wp14:anchorId="20092FB9" wp14:editId="7C32DD2C">
                <wp:simplePos x="0" y="0"/>
                <wp:positionH relativeFrom="column">
                  <wp:posOffset>2168781</wp:posOffset>
                </wp:positionH>
                <wp:positionV relativeFrom="paragraph">
                  <wp:posOffset>1404215</wp:posOffset>
                </wp:positionV>
                <wp:extent cx="390525" cy="695325"/>
                <wp:effectExtent l="0" t="0" r="28575" b="28575"/>
                <wp:wrapNone/>
                <wp:docPr id="228"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 cy="695325"/>
                        </a:xfrm>
                        <a:prstGeom prst="ellipse">
                          <a:avLst/>
                        </a:prstGeom>
                        <a:noFill/>
                        <a:ln w="127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68B84B7" id="Oval 12" o:spid="_x0000_s1026" style="position:absolute;margin-left:170.75pt;margin-top:110.55pt;width:30.75pt;height:54.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" filled="f" strokecolor="red" strokeweight="1pt"/>
            </w:pict>
          </mc:Fallback>
        </mc:AlternateContent>
      </w:r>
      <w:r w:rsidRPr="00333A62">
        <w:rPr>
          <w:rFonts w:ascii="Times New Roman" w:hAnsi="Times New Roman" w:cs="Times New Roman"/>
          <w:noProof/>
          <w:sz w:val="24"/>
          <w:szCs w:val="24"/>
          <w:lang w:val="fr-FR" w:eastAsia="fr-FR"/>
        </w:rPr>
        <mc:AlternateContent>
          <mc:Choice Requires="wps">
            <w:drawing>
              <wp:anchor distT="0" distB="0" distL="114300" distR="114300" simplePos="0" relativeHeight="251687936" behindDoc="0" locked="0" layoutInCell="1" allowOverlap="1" wp14:anchorId="6666666A" wp14:editId="6D6AD0AE">
                <wp:simplePos x="0" y="0"/>
                <wp:positionH relativeFrom="column">
                  <wp:posOffset>1760706</wp:posOffset>
                </wp:positionH>
                <wp:positionV relativeFrom="paragraph">
                  <wp:posOffset>1414266</wp:posOffset>
                </wp:positionV>
                <wp:extent cx="390525" cy="695325"/>
                <wp:effectExtent l="0" t="0" r="28575" b="28575"/>
                <wp:wrapNone/>
                <wp:docPr id="16"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 cy="695325"/>
                        </a:xfrm>
                        <a:prstGeom prst="ellipse">
                          <a:avLst/>
                        </a:prstGeom>
                        <a:noFill/>
                        <a:ln w="127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129EB248" id="Oval 12" o:spid="_x0000_s1026" style="position:absolute;margin-left:138.65pt;margin-top:111.35pt;width:30.75pt;height:54.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" filled="f" strokecolor="red" strokeweight="1pt"/>
            </w:pict>
          </mc:Fallback>
        </mc:AlternateContent>
      </w:r>
      <w:r w:rsidRPr="00EF4AB5">
        <w:rPr>
          <w:rFonts w:ascii="Times New Roman" w:hAnsi="Times New Roman" w:cs="Times New Roman"/>
          <w:noProof/>
          <w:sz w:val="16"/>
          <w:szCs w:val="16"/>
          <w:lang w:val="fr-FR" w:eastAsia="fr-FR"/>
        </w:rPr>
        <w:drawing>
          <wp:anchor distT="0" distB="0" distL="114300" distR="114300" simplePos="0" relativeHeight="251685888" behindDoc="0" locked="0" layoutInCell="1" allowOverlap="1" wp14:anchorId="5E1E9F4B" wp14:editId="78F1EADD">
            <wp:simplePos x="0" y="0"/>
            <wp:positionH relativeFrom="margin">
              <wp:align>left</wp:align>
            </wp:positionH>
            <wp:positionV relativeFrom="paragraph">
              <wp:posOffset>719036</wp:posOffset>
            </wp:positionV>
            <wp:extent cx="5981700" cy="2162175"/>
            <wp:effectExtent l="0" t="0" r="0" b="9525"/>
            <wp:wrapSquare wrapText="bothSides"/>
            <wp:docPr id="19" name="Graphique 19">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208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H relativeFrom="margin">
              <wp14:pctWidth>0</wp14:pctWidth>
            </wp14:sizeRelH>
            <wp14:sizeRelV relativeFrom="margin">
              <wp14:pctHeight>0</wp14:pctHeight>
            </wp14:sizeRelV>
          </wp:anchor>
        </w:drawing>
      </w:r>
      <w:r w:rsidR="008B34E7" w:rsidRPr="00333A62">
        <w:rPr>
          <w:rFonts w:ascii="Times New Roman" w:hAnsi="Times New Roman" w:cs="Times New Roman"/>
          <w:sz w:val="24"/>
          <w:szCs w:val="24"/>
          <w:lang w:val="fr-CI"/>
        </w:rPr>
        <w:t xml:space="preserve">Face à cette problématique, le Gouvernement Ivoirien met en œuvre depuis </w:t>
      </w:r>
      <w:r w:rsidR="008E6BB9" w:rsidRPr="00333A62">
        <w:rPr>
          <w:rFonts w:ascii="Times New Roman" w:hAnsi="Times New Roman" w:cs="Times New Roman"/>
          <w:sz w:val="24"/>
          <w:szCs w:val="24"/>
          <w:lang w:val="fr-CI"/>
        </w:rPr>
        <w:t>1976</w:t>
      </w:r>
      <w:r w:rsidR="008B34E7" w:rsidRPr="00333A62">
        <w:rPr>
          <w:rFonts w:ascii="Times New Roman" w:hAnsi="Times New Roman" w:cs="Times New Roman"/>
          <w:sz w:val="24"/>
          <w:szCs w:val="24"/>
          <w:lang w:val="fr-CI"/>
        </w:rPr>
        <w:t xml:space="preserve"> des programmes visant à réduire cette mortalité infant</w:t>
      </w:r>
      <w:r w:rsidR="00880A2A" w:rsidRPr="00333A62">
        <w:rPr>
          <w:rFonts w:ascii="Times New Roman" w:hAnsi="Times New Roman" w:cs="Times New Roman"/>
          <w:sz w:val="24"/>
          <w:szCs w:val="24"/>
          <w:lang w:val="fr-CI"/>
        </w:rPr>
        <w:t>o-juvé</w:t>
      </w:r>
      <w:r w:rsidR="008E6BB9" w:rsidRPr="00333A62">
        <w:rPr>
          <w:rFonts w:ascii="Times New Roman" w:hAnsi="Times New Roman" w:cs="Times New Roman"/>
          <w:sz w:val="24"/>
          <w:szCs w:val="24"/>
          <w:lang w:val="fr-CI"/>
        </w:rPr>
        <w:t>n</w:t>
      </w:r>
      <w:r w:rsidR="008B34E7" w:rsidRPr="00333A62">
        <w:rPr>
          <w:rFonts w:ascii="Times New Roman" w:hAnsi="Times New Roman" w:cs="Times New Roman"/>
          <w:sz w:val="24"/>
          <w:szCs w:val="24"/>
          <w:lang w:val="fr-CI"/>
        </w:rPr>
        <w:t>ile. Le graphique suivant présente l’évolution de la mortalité des enfants de moins de 5 ans</w:t>
      </w:r>
      <w:r w:rsidR="000C623B" w:rsidRPr="00333A62">
        <w:rPr>
          <w:rFonts w:ascii="Times New Roman" w:hAnsi="Times New Roman" w:cs="Times New Roman"/>
          <w:sz w:val="24"/>
          <w:szCs w:val="24"/>
          <w:lang w:val="fr-CI"/>
        </w:rPr>
        <w:t xml:space="preserve"> de 2006 à 2016.</w:t>
      </w:r>
      <w:r w:rsidR="002F24CA" w:rsidRPr="00333A62">
        <w:rPr>
          <w:rFonts w:ascii="Times New Roman" w:hAnsi="Times New Roman" w:cs="Times New Roman"/>
          <w:noProof/>
          <w:sz w:val="24"/>
          <w:szCs w:val="24"/>
          <w:lang w:val="fr-FR" w:eastAsia="fr-FR"/>
        </w:rPr>
        <w:t xml:space="preserve"> </w:t>
      </w:r>
    </w:p>
    <w:p w14:paraId="5B0EC434" w14:textId="29A6116E" w:rsidR="00D530BF" w:rsidRPr="00D530BF" w:rsidRDefault="00D530BF" w:rsidP="00D530BF">
      <w:pPr>
        <w:pStyle w:val="Lgende"/>
        <w:rPr>
          <w:bCs w:val="0"/>
          <w:sz w:val="24"/>
          <w:szCs w:val="24"/>
          <w:lang w:val="fr-CI"/>
        </w:rPr>
      </w:pPr>
      <w:bookmarkStart w:id="74" w:name="_Toc1588489"/>
      <w:r w:rsidRPr="00D530BF">
        <w:rPr>
          <w:sz w:val="24"/>
          <w:szCs w:val="24"/>
        </w:rPr>
        <w:t xml:space="preserve">Graphique </w:t>
      </w:r>
      <w:r w:rsidRPr="00D530BF">
        <w:rPr>
          <w:sz w:val="24"/>
          <w:szCs w:val="24"/>
        </w:rPr>
        <w:fldChar w:fldCharType="begin"/>
      </w:r>
      <w:r w:rsidRPr="00D530BF">
        <w:rPr>
          <w:sz w:val="24"/>
          <w:szCs w:val="24"/>
        </w:rPr>
        <w:instrText xml:space="preserve"> SEQ Graphique \* ARABIC </w:instrText>
      </w:r>
      <w:r w:rsidRPr="00D530BF">
        <w:rPr>
          <w:sz w:val="24"/>
          <w:szCs w:val="24"/>
        </w:rPr>
        <w:fldChar w:fldCharType="separate"/>
      </w:r>
      <w:r w:rsidR="009A04F0">
        <w:rPr>
          <w:noProof/>
          <w:sz w:val="24"/>
          <w:szCs w:val="24"/>
        </w:rPr>
        <w:t>13</w:t>
      </w:r>
      <w:r w:rsidRPr="00D530BF">
        <w:rPr>
          <w:sz w:val="24"/>
          <w:szCs w:val="24"/>
        </w:rPr>
        <w:fldChar w:fldCharType="end"/>
      </w:r>
      <w:r w:rsidR="001F463F" w:rsidRPr="00D530BF">
        <w:rPr>
          <w:bCs w:val="0"/>
          <w:sz w:val="24"/>
          <w:szCs w:val="24"/>
          <w:lang w:val="fr-CI"/>
        </w:rPr>
        <w:t>:</w:t>
      </w:r>
      <w:r w:rsidR="00880A2A" w:rsidRPr="00D530BF">
        <w:rPr>
          <w:bCs w:val="0"/>
          <w:sz w:val="24"/>
          <w:szCs w:val="24"/>
          <w:lang w:val="fr-CI"/>
        </w:rPr>
        <w:t xml:space="preserve"> </w:t>
      </w:r>
      <w:r w:rsidR="001F463F" w:rsidRPr="00D530BF">
        <w:rPr>
          <w:bCs w:val="0"/>
          <w:sz w:val="24"/>
          <w:szCs w:val="24"/>
          <w:lang w:val="fr-CI"/>
        </w:rPr>
        <w:t>Evolution de la mortalité des moins de 5 ans en Côte d'Ivoire</w:t>
      </w:r>
      <w:r w:rsidR="00880A2A" w:rsidRPr="00D530BF">
        <w:rPr>
          <w:bCs w:val="0"/>
          <w:sz w:val="24"/>
          <w:szCs w:val="24"/>
          <w:lang w:val="fr-CI"/>
        </w:rPr>
        <w:t>.</w:t>
      </w:r>
      <w:bookmarkEnd w:id="74"/>
      <w:r w:rsidR="001F463F" w:rsidRPr="00D530BF">
        <w:rPr>
          <w:bCs w:val="0"/>
          <w:sz w:val="24"/>
          <w:szCs w:val="24"/>
          <w:lang w:val="fr-CI"/>
        </w:rPr>
        <w:t xml:space="preserve"> </w:t>
      </w:r>
    </w:p>
    <w:p w14:paraId="0F67B08F" w14:textId="5AF2B7E1" w:rsidR="001F463F" w:rsidRPr="00333A62" w:rsidRDefault="00880A2A" w:rsidP="00D530BF">
      <w:pPr>
        <w:spacing w:after="120" w:line="276" w:lineRule="auto"/>
        <w:jc w:val="both"/>
        <w:rPr>
          <w:rFonts w:ascii="Times New Roman" w:hAnsi="Times New Roman" w:cs="Times New Roman"/>
          <w:bCs/>
          <w:sz w:val="24"/>
          <w:szCs w:val="24"/>
          <w:lang w:val="fr-CI"/>
        </w:rPr>
      </w:pPr>
      <w:r w:rsidRPr="00D530BF">
        <w:rPr>
          <w:rFonts w:ascii="Times New Roman" w:hAnsi="Times New Roman" w:cs="Times New Roman"/>
          <w:bCs/>
          <w:sz w:val="24"/>
          <w:szCs w:val="24"/>
          <w:u w:val="single"/>
          <w:lang w:val="fr-CI"/>
        </w:rPr>
        <w:t>Source</w:t>
      </w:r>
      <w:r w:rsidRPr="00333A62">
        <w:rPr>
          <w:rFonts w:ascii="Times New Roman" w:hAnsi="Times New Roman" w:cs="Times New Roman"/>
          <w:bCs/>
          <w:sz w:val="24"/>
          <w:szCs w:val="24"/>
          <w:lang w:val="fr-CI"/>
        </w:rPr>
        <w:t xml:space="preserve"> : </w:t>
      </w:r>
      <w:r w:rsidR="00D530BF" w:rsidRPr="00333A62">
        <w:rPr>
          <w:rFonts w:ascii="Times New Roman" w:hAnsi="Times New Roman" w:cs="Times New Roman"/>
          <w:bCs/>
          <w:sz w:val="24"/>
          <w:szCs w:val="24"/>
          <w:lang w:val="fr-CI"/>
        </w:rPr>
        <w:t xml:space="preserve">Auteur </w:t>
      </w:r>
      <w:r w:rsidR="00282082" w:rsidRPr="00333A62">
        <w:rPr>
          <w:rFonts w:ascii="Times New Roman" w:hAnsi="Times New Roman" w:cs="Times New Roman"/>
          <w:bCs/>
          <w:sz w:val="24"/>
          <w:szCs w:val="24"/>
          <w:lang w:val="fr-CI"/>
        </w:rPr>
        <w:t xml:space="preserve">à partir de MICS 2006, EDS-MICS 2011 et </w:t>
      </w:r>
      <w:r w:rsidR="003C390A">
        <w:rPr>
          <w:rFonts w:ascii="Times New Roman" w:hAnsi="Times New Roman" w:cs="Times New Roman"/>
          <w:bCs/>
          <w:sz w:val="24"/>
          <w:szCs w:val="24"/>
          <w:lang w:val="fr-CI"/>
        </w:rPr>
        <w:t>MICS 2016</w:t>
      </w:r>
      <w:r w:rsidR="000827DE" w:rsidRPr="000827DE">
        <w:rPr>
          <w:rFonts w:ascii="Times New Roman" w:hAnsi="Times New Roman" w:cs="Times New Roman"/>
          <w:noProof/>
          <w:sz w:val="24"/>
          <w:szCs w:val="24"/>
          <w:lang w:val="fr-FR" w:eastAsia="fr-FR"/>
        </w:rPr>
        <w:t xml:space="preserve"> </w:t>
      </w:r>
    </w:p>
    <w:p w14:paraId="685FCB04" w14:textId="41D28411" w:rsidR="008B34E7" w:rsidRPr="00333A62" w:rsidRDefault="008B34E7"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L’analyse de la mortalité des enfants de moins</w:t>
      </w:r>
      <w:r w:rsidR="000827DE">
        <w:rPr>
          <w:rFonts w:ascii="Times New Roman" w:hAnsi="Times New Roman" w:cs="Times New Roman"/>
          <w:sz w:val="24"/>
          <w:szCs w:val="24"/>
          <w:lang w:val="fr-CI"/>
        </w:rPr>
        <w:t xml:space="preserve"> de 5 ans sur la période 2006 - </w:t>
      </w:r>
      <w:r w:rsidRPr="00333A62">
        <w:rPr>
          <w:rFonts w:ascii="Times New Roman" w:hAnsi="Times New Roman" w:cs="Times New Roman"/>
          <w:sz w:val="24"/>
          <w:szCs w:val="24"/>
          <w:lang w:val="fr-CI"/>
        </w:rPr>
        <w:t>2016 montre une tendance générale à la réduction dans la plupart des régions du pays sauf celles du Centre-</w:t>
      </w:r>
      <w:r w:rsidR="00CF0E63">
        <w:rPr>
          <w:rFonts w:ascii="Times New Roman" w:hAnsi="Times New Roman" w:cs="Times New Roman"/>
          <w:sz w:val="24"/>
          <w:szCs w:val="24"/>
          <w:lang w:val="fr-CI"/>
        </w:rPr>
        <w:t xml:space="preserve">Nord (82 décès en 2006 contre </w:t>
      </w:r>
      <w:r w:rsidRPr="00333A62">
        <w:rPr>
          <w:rFonts w:ascii="Times New Roman" w:hAnsi="Times New Roman" w:cs="Times New Roman"/>
          <w:sz w:val="24"/>
          <w:szCs w:val="24"/>
          <w:lang w:val="fr-CI"/>
        </w:rPr>
        <w:t xml:space="preserve">84 en 2016) et celle du Centre-Ouest (87 décès en 2006 contre 113 en 2016). </w:t>
      </w:r>
    </w:p>
    <w:p w14:paraId="3DFC3D02" w14:textId="2B0B1DAE" w:rsidR="008B34E7" w:rsidRPr="00333A62" w:rsidRDefault="008B34E7"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Cette tendance générale à la baisse des décès des enfants de moins de 5 ans depuis 2006 est à </w:t>
      </w:r>
      <w:r w:rsidR="00D53E4B" w:rsidRPr="00333A62">
        <w:rPr>
          <w:rFonts w:ascii="Times New Roman" w:hAnsi="Times New Roman" w:cs="Times New Roman"/>
          <w:sz w:val="24"/>
          <w:szCs w:val="24"/>
          <w:lang w:val="fr-CI"/>
        </w:rPr>
        <w:t>souligner</w:t>
      </w:r>
      <w:r w:rsidRPr="00333A62">
        <w:rPr>
          <w:rFonts w:ascii="Times New Roman" w:hAnsi="Times New Roman" w:cs="Times New Roman"/>
          <w:sz w:val="24"/>
          <w:szCs w:val="24"/>
          <w:lang w:val="fr-CI"/>
        </w:rPr>
        <w:t xml:space="preserve"> mais ces taux demeurent encore préoccupants dans toutes les régions.</w:t>
      </w:r>
    </w:p>
    <w:p w14:paraId="5F19E065" w14:textId="3BC7AAA3" w:rsidR="00D55CE5" w:rsidRPr="00333A62" w:rsidRDefault="00AD2B5A"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lang w:val="fr-CI"/>
        </w:rPr>
        <w:lastRenderedPageBreak/>
        <w:t>Les enfants continuent de mourir des causes bien évitables.</w:t>
      </w:r>
      <w:r w:rsidR="00D55CE5" w:rsidRPr="00333A62">
        <w:rPr>
          <w:rFonts w:ascii="Times New Roman" w:hAnsi="Times New Roman" w:cs="Times New Roman"/>
          <w:sz w:val="24"/>
          <w:szCs w:val="24"/>
          <w:lang w:val="fr-CI"/>
        </w:rPr>
        <w:t xml:space="preserve"> Le </w:t>
      </w:r>
      <w:r w:rsidR="00D55CE5" w:rsidRPr="00333A62">
        <w:rPr>
          <w:rFonts w:ascii="Times New Roman" w:hAnsi="Times New Roman" w:cs="Times New Roman"/>
          <w:b/>
          <w:sz w:val="24"/>
          <w:szCs w:val="24"/>
          <w:lang w:val="fr-CI"/>
        </w:rPr>
        <w:t xml:space="preserve">paludisme </w:t>
      </w:r>
      <w:r w:rsidR="00D55CE5" w:rsidRPr="00333A62">
        <w:rPr>
          <w:rFonts w:ascii="Times New Roman" w:hAnsi="Times New Roman" w:cs="Times New Roman"/>
          <w:sz w:val="24"/>
          <w:szCs w:val="24"/>
          <w:lang w:val="fr-CI"/>
        </w:rPr>
        <w:t>est la principale cause de décès chez les enfants de moins de 5 ans (162</w:t>
      </w:r>
      <w:r w:rsidR="00C40E83" w:rsidRPr="00333A62">
        <w:rPr>
          <w:rFonts w:ascii="Times New Roman" w:hAnsi="Times New Roman" w:cs="Times New Roman"/>
          <w:sz w:val="24"/>
          <w:szCs w:val="24"/>
          <w:lang w:val="fr-CI"/>
        </w:rPr>
        <w:t xml:space="preserve"> dé</w:t>
      </w:r>
      <w:r w:rsidR="00D55CE5" w:rsidRPr="00333A62">
        <w:rPr>
          <w:rFonts w:ascii="Times New Roman" w:hAnsi="Times New Roman" w:cs="Times New Roman"/>
          <w:sz w:val="24"/>
          <w:szCs w:val="24"/>
          <w:lang w:val="fr-CI"/>
        </w:rPr>
        <w:t>c</w:t>
      </w:r>
      <w:r w:rsidR="00C40E83" w:rsidRPr="00333A62">
        <w:rPr>
          <w:rFonts w:ascii="Times New Roman" w:hAnsi="Times New Roman" w:cs="Times New Roman"/>
          <w:sz w:val="24"/>
          <w:szCs w:val="24"/>
          <w:lang w:val="fr-CI"/>
        </w:rPr>
        <w:t>è</w:t>
      </w:r>
      <w:r w:rsidR="00D55CE5" w:rsidRPr="00333A62">
        <w:rPr>
          <w:rFonts w:ascii="Times New Roman" w:hAnsi="Times New Roman" w:cs="Times New Roman"/>
          <w:sz w:val="24"/>
          <w:szCs w:val="24"/>
          <w:lang w:val="fr-CI"/>
        </w:rPr>
        <w:t>s pour 1000</w:t>
      </w:r>
      <w:r w:rsidR="00C40E83" w:rsidRPr="00333A62">
        <w:rPr>
          <w:rFonts w:ascii="Times New Roman" w:hAnsi="Times New Roman" w:cs="Times New Roman"/>
          <w:sz w:val="24"/>
          <w:szCs w:val="24"/>
          <w:lang w:val="fr-CI"/>
        </w:rPr>
        <w:t xml:space="preserve"> </w:t>
      </w:r>
      <w:r w:rsidR="00D55CE5" w:rsidRPr="00333A62">
        <w:rPr>
          <w:rFonts w:ascii="Times New Roman" w:hAnsi="Times New Roman" w:cs="Times New Roman"/>
          <w:sz w:val="24"/>
          <w:szCs w:val="24"/>
          <w:lang w:val="fr-CI"/>
        </w:rPr>
        <w:t xml:space="preserve">NV). Les </w:t>
      </w:r>
      <w:r w:rsidR="00D55CE5" w:rsidRPr="00333A62">
        <w:rPr>
          <w:rFonts w:ascii="Times New Roman" w:hAnsi="Times New Roman" w:cs="Times New Roman"/>
          <w:b/>
          <w:sz w:val="24"/>
          <w:szCs w:val="24"/>
          <w:lang w:val="fr-CI"/>
        </w:rPr>
        <w:t>I</w:t>
      </w:r>
      <w:r w:rsidR="00FA3E14">
        <w:rPr>
          <w:rFonts w:ascii="Times New Roman" w:hAnsi="Times New Roman" w:cs="Times New Roman"/>
          <w:b/>
          <w:sz w:val="24"/>
          <w:szCs w:val="24"/>
          <w:lang w:val="fr-CI"/>
        </w:rPr>
        <w:t xml:space="preserve">nfections </w:t>
      </w:r>
      <w:r w:rsidR="00D55CE5" w:rsidRPr="00333A62">
        <w:rPr>
          <w:rFonts w:ascii="Times New Roman" w:hAnsi="Times New Roman" w:cs="Times New Roman"/>
          <w:b/>
          <w:sz w:val="24"/>
          <w:szCs w:val="24"/>
          <w:lang w:val="fr-CI"/>
        </w:rPr>
        <w:t>R</w:t>
      </w:r>
      <w:r w:rsidR="00FA3E14">
        <w:rPr>
          <w:rFonts w:ascii="Times New Roman" w:hAnsi="Times New Roman" w:cs="Times New Roman"/>
          <w:b/>
          <w:sz w:val="24"/>
          <w:szCs w:val="24"/>
          <w:lang w:val="fr-CI"/>
        </w:rPr>
        <w:t xml:space="preserve">espiratoires </w:t>
      </w:r>
      <w:r w:rsidR="00FA3E14" w:rsidRPr="00333A62">
        <w:rPr>
          <w:rFonts w:ascii="Times New Roman" w:hAnsi="Times New Roman" w:cs="Times New Roman"/>
          <w:b/>
          <w:sz w:val="24"/>
          <w:szCs w:val="24"/>
          <w:lang w:val="fr-CI"/>
        </w:rPr>
        <w:t>A</w:t>
      </w:r>
      <w:r w:rsidR="00FA3E14">
        <w:rPr>
          <w:rFonts w:ascii="Times New Roman" w:hAnsi="Times New Roman" w:cs="Times New Roman"/>
          <w:b/>
          <w:sz w:val="24"/>
          <w:szCs w:val="24"/>
          <w:lang w:val="fr-CI"/>
        </w:rPr>
        <w:t xml:space="preserve">igües </w:t>
      </w:r>
      <w:r w:rsidR="00FA3E14" w:rsidRPr="00FA3E14">
        <w:rPr>
          <w:rFonts w:ascii="Times New Roman" w:hAnsi="Times New Roman" w:cs="Times New Roman"/>
          <w:sz w:val="24"/>
          <w:szCs w:val="24"/>
          <w:lang w:val="fr-CI"/>
        </w:rPr>
        <w:t>(IRA)</w:t>
      </w:r>
      <w:r w:rsidR="00D55CE5" w:rsidRPr="00333A62">
        <w:rPr>
          <w:rFonts w:ascii="Times New Roman" w:hAnsi="Times New Roman" w:cs="Times New Roman"/>
          <w:sz w:val="24"/>
          <w:szCs w:val="24"/>
          <w:lang w:val="fr-CI"/>
        </w:rPr>
        <w:t xml:space="preserve"> constituent</w:t>
      </w:r>
      <w:r w:rsidR="00C40E83" w:rsidRPr="00333A62">
        <w:rPr>
          <w:rFonts w:ascii="Times New Roman" w:hAnsi="Times New Roman" w:cs="Times New Roman"/>
          <w:sz w:val="24"/>
          <w:szCs w:val="24"/>
          <w:lang w:val="fr-CI"/>
        </w:rPr>
        <w:t xml:space="preserve"> la deuxième cause de mortal</w:t>
      </w:r>
      <w:r w:rsidR="00D55CE5" w:rsidRPr="00333A62">
        <w:rPr>
          <w:rFonts w:ascii="Times New Roman" w:hAnsi="Times New Roman" w:cs="Times New Roman"/>
          <w:sz w:val="24"/>
          <w:szCs w:val="24"/>
          <w:lang w:val="fr-CI"/>
        </w:rPr>
        <w:t>ité chez les enfants de moins de 5 ans</w:t>
      </w:r>
      <w:r w:rsidR="00C40E83" w:rsidRPr="00333A62">
        <w:rPr>
          <w:rFonts w:ascii="Times New Roman" w:hAnsi="Times New Roman" w:cs="Times New Roman"/>
          <w:sz w:val="24"/>
          <w:szCs w:val="24"/>
          <w:lang w:val="fr-CI"/>
        </w:rPr>
        <w:t xml:space="preserve"> (128 cas pour 1000 NV).</w:t>
      </w:r>
      <w:r w:rsidR="00D55CE5" w:rsidRPr="00333A62">
        <w:rPr>
          <w:rFonts w:ascii="Times New Roman" w:hAnsi="Times New Roman" w:cs="Times New Roman"/>
          <w:sz w:val="24"/>
          <w:szCs w:val="24"/>
          <w:lang w:val="fr-CI"/>
        </w:rPr>
        <w:t xml:space="preserve"> La </w:t>
      </w:r>
      <w:r w:rsidR="00D55CE5" w:rsidRPr="00333A62">
        <w:rPr>
          <w:rFonts w:ascii="Times New Roman" w:hAnsi="Times New Roman" w:cs="Times New Roman"/>
          <w:b/>
          <w:sz w:val="24"/>
          <w:szCs w:val="24"/>
          <w:lang w:val="fr-CI"/>
        </w:rPr>
        <w:t>diarrhée</w:t>
      </w:r>
      <w:r w:rsidR="00D55CE5" w:rsidRPr="00333A62">
        <w:rPr>
          <w:rFonts w:ascii="Times New Roman" w:hAnsi="Times New Roman" w:cs="Times New Roman"/>
          <w:sz w:val="24"/>
          <w:szCs w:val="24"/>
          <w:lang w:val="fr-CI"/>
        </w:rPr>
        <w:t xml:space="preserve"> est la troisième cause de décès chez les enfants de moins de 5 ans (</w:t>
      </w:r>
      <w:r w:rsidR="00D53E4B" w:rsidRPr="00333A62">
        <w:rPr>
          <w:rFonts w:ascii="Times New Roman" w:hAnsi="Times New Roman" w:cs="Times New Roman"/>
          <w:sz w:val="24"/>
          <w:szCs w:val="24"/>
          <w:lang w:val="fr-CI"/>
        </w:rPr>
        <w:t>83</w:t>
      </w:r>
      <w:r w:rsidR="00D55CE5" w:rsidRPr="00333A62">
        <w:rPr>
          <w:rFonts w:ascii="Times New Roman" w:hAnsi="Times New Roman" w:cs="Times New Roman"/>
          <w:sz w:val="24"/>
          <w:szCs w:val="24"/>
          <w:lang w:val="fr-CI"/>
        </w:rPr>
        <w:t>%</w:t>
      </w:r>
      <w:r w:rsidR="00D53E4B" w:rsidRPr="00333A62">
        <w:rPr>
          <w:rFonts w:ascii="Times New Roman" w:hAnsi="Times New Roman" w:cs="Times New Roman"/>
          <w:sz w:val="24"/>
          <w:szCs w:val="24"/>
          <w:lang w:val="fr-CI"/>
        </w:rPr>
        <w:t xml:space="preserve"> décès pour 1000 NV</w:t>
      </w:r>
      <w:r w:rsidR="00D55CE5" w:rsidRPr="00333A62">
        <w:rPr>
          <w:rFonts w:ascii="Times New Roman" w:hAnsi="Times New Roman" w:cs="Times New Roman"/>
          <w:sz w:val="24"/>
          <w:szCs w:val="24"/>
          <w:lang w:val="fr-CI"/>
        </w:rPr>
        <w:t>)</w:t>
      </w:r>
      <w:r w:rsidR="00C40E83" w:rsidRPr="00333A62">
        <w:rPr>
          <w:rStyle w:val="Appelnotedebasdep"/>
          <w:rFonts w:ascii="Times New Roman" w:hAnsi="Times New Roman" w:cs="Times New Roman"/>
          <w:sz w:val="24"/>
          <w:szCs w:val="24"/>
          <w:lang w:val="fr-CI"/>
        </w:rPr>
        <w:footnoteReference w:id="24"/>
      </w:r>
      <w:r w:rsidR="00D55CE5" w:rsidRPr="00333A62">
        <w:rPr>
          <w:rFonts w:ascii="Times New Roman" w:hAnsi="Times New Roman" w:cs="Times New Roman"/>
          <w:sz w:val="24"/>
          <w:szCs w:val="24"/>
          <w:lang w:val="fr-CI"/>
        </w:rPr>
        <w:t>.</w:t>
      </w:r>
    </w:p>
    <w:p w14:paraId="66803263" w14:textId="271696CA" w:rsidR="00D55CE5" w:rsidRPr="00333A62" w:rsidRDefault="00D53E4B"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noProof/>
          <w:sz w:val="24"/>
          <w:szCs w:val="24"/>
          <w:lang w:val="fr-FR" w:eastAsia="fr-FR"/>
        </w:rPr>
        <w:drawing>
          <wp:inline distT="0" distB="0" distL="0" distR="0" wp14:anchorId="28A39CA0" wp14:editId="7C503B59">
            <wp:extent cx="6048375" cy="2422188"/>
            <wp:effectExtent l="0" t="0" r="9525" b="16510"/>
            <wp:docPr id="20" name="Graphique 20">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E38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2CB6D6C" w14:textId="77777777" w:rsidR="009104FF" w:rsidRPr="00FA3E14" w:rsidRDefault="009104FF" w:rsidP="009104FF">
      <w:pPr>
        <w:pStyle w:val="Lgende"/>
        <w:rPr>
          <w:sz w:val="24"/>
          <w:szCs w:val="24"/>
          <w:lang w:val="fr-CI"/>
        </w:rPr>
      </w:pPr>
      <w:bookmarkStart w:id="75" w:name="_Toc1588490"/>
      <w:r w:rsidRPr="00FA3E14">
        <w:rPr>
          <w:sz w:val="24"/>
          <w:szCs w:val="24"/>
        </w:rPr>
        <w:t xml:space="preserve">Graphique </w:t>
      </w:r>
      <w:r w:rsidRPr="00FA3E14">
        <w:rPr>
          <w:sz w:val="24"/>
          <w:szCs w:val="24"/>
        </w:rPr>
        <w:fldChar w:fldCharType="begin"/>
      </w:r>
      <w:r w:rsidRPr="00FA3E14">
        <w:rPr>
          <w:sz w:val="24"/>
          <w:szCs w:val="24"/>
        </w:rPr>
        <w:instrText xml:space="preserve"> SEQ Graphique \* ARABIC </w:instrText>
      </w:r>
      <w:r w:rsidRPr="00FA3E14">
        <w:rPr>
          <w:sz w:val="24"/>
          <w:szCs w:val="24"/>
        </w:rPr>
        <w:fldChar w:fldCharType="separate"/>
      </w:r>
      <w:r w:rsidR="009A04F0" w:rsidRPr="00FA3E14">
        <w:rPr>
          <w:noProof/>
          <w:sz w:val="24"/>
          <w:szCs w:val="24"/>
        </w:rPr>
        <w:t>14</w:t>
      </w:r>
      <w:r w:rsidRPr="00FA3E14">
        <w:rPr>
          <w:sz w:val="24"/>
          <w:szCs w:val="24"/>
        </w:rPr>
        <w:fldChar w:fldCharType="end"/>
      </w:r>
      <w:r w:rsidR="00D53E4B" w:rsidRPr="00FA3E14">
        <w:rPr>
          <w:sz w:val="24"/>
          <w:szCs w:val="24"/>
          <w:lang w:val="fr-CI"/>
        </w:rPr>
        <w:t>: Répartition des causes des décès infanto-juvénile par région.</w:t>
      </w:r>
      <w:bookmarkEnd w:id="75"/>
      <w:r w:rsidR="00D53E4B" w:rsidRPr="00FA3E14">
        <w:rPr>
          <w:sz w:val="24"/>
          <w:szCs w:val="24"/>
          <w:lang w:val="fr-CI"/>
        </w:rPr>
        <w:t xml:space="preserve"> </w:t>
      </w:r>
    </w:p>
    <w:p w14:paraId="48438F20" w14:textId="3301D0F1" w:rsidR="008B34E7" w:rsidRDefault="00D53E4B" w:rsidP="009104FF">
      <w:pPr>
        <w:pStyle w:val="Lgende"/>
        <w:rPr>
          <w:b w:val="0"/>
          <w:sz w:val="24"/>
          <w:szCs w:val="24"/>
          <w:lang w:val="fr-CI"/>
        </w:rPr>
      </w:pPr>
      <w:r w:rsidRPr="009104FF">
        <w:rPr>
          <w:b w:val="0"/>
          <w:sz w:val="24"/>
          <w:szCs w:val="24"/>
          <w:u w:val="single"/>
          <w:lang w:val="fr-CI"/>
        </w:rPr>
        <w:t>Source</w:t>
      </w:r>
      <w:r w:rsidR="009104FF">
        <w:rPr>
          <w:b w:val="0"/>
          <w:sz w:val="24"/>
          <w:szCs w:val="24"/>
          <w:lang w:val="fr-CI"/>
        </w:rPr>
        <w:t> : MICS 2016</w:t>
      </w:r>
    </w:p>
    <w:p w14:paraId="67B975B4" w14:textId="77777777" w:rsidR="009104FF" w:rsidRPr="009104FF" w:rsidRDefault="009104FF" w:rsidP="009104FF">
      <w:pPr>
        <w:rPr>
          <w:lang w:val="fr-CI" w:eastAsia="en-GB"/>
        </w:rPr>
      </w:pPr>
    </w:p>
    <w:p w14:paraId="2F884E8C" w14:textId="77777777" w:rsidR="00F1177D" w:rsidRPr="009A04F0" w:rsidRDefault="00C45EC1" w:rsidP="00333A62">
      <w:pPr>
        <w:pStyle w:val="Titre3"/>
        <w:spacing w:before="120" w:after="120" w:line="276" w:lineRule="auto"/>
        <w:rPr>
          <w:rFonts w:ascii="Times New Roman" w:hAnsi="Times New Roman" w:cs="Times New Roman"/>
          <w:b/>
          <w:color w:val="0070C0"/>
        </w:rPr>
      </w:pPr>
      <w:bookmarkStart w:id="76" w:name="_Toc1573809"/>
      <w:r w:rsidRPr="009A04F0">
        <w:rPr>
          <w:rFonts w:ascii="Times New Roman" w:hAnsi="Times New Roman" w:cs="Times New Roman"/>
          <w:b/>
          <w:color w:val="0070C0"/>
        </w:rPr>
        <w:t>S</w:t>
      </w:r>
      <w:r w:rsidR="007B56F1" w:rsidRPr="009A04F0">
        <w:rPr>
          <w:rFonts w:ascii="Times New Roman" w:hAnsi="Times New Roman" w:cs="Times New Roman"/>
          <w:b/>
          <w:color w:val="0070C0"/>
        </w:rPr>
        <w:t>ituation</w:t>
      </w:r>
      <w:r w:rsidRPr="009A04F0">
        <w:rPr>
          <w:rFonts w:ascii="Times New Roman" w:hAnsi="Times New Roman" w:cs="Times New Roman"/>
          <w:b/>
          <w:color w:val="0070C0"/>
        </w:rPr>
        <w:t xml:space="preserve"> nutritionnelle</w:t>
      </w:r>
      <w:bookmarkEnd w:id="76"/>
      <w:r w:rsidR="007B56F1" w:rsidRPr="009A04F0">
        <w:rPr>
          <w:rFonts w:ascii="Times New Roman" w:hAnsi="Times New Roman" w:cs="Times New Roman"/>
          <w:b/>
          <w:color w:val="0070C0"/>
        </w:rPr>
        <w:t xml:space="preserve"> </w:t>
      </w:r>
    </w:p>
    <w:p w14:paraId="4E8C1924" w14:textId="6FBDF0C6" w:rsidR="005A7DAB" w:rsidRPr="00333A62" w:rsidRDefault="006B3491"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lang w:val="fr-FR"/>
        </w:rPr>
        <w:t>L’état nutritionnel des enfants de mo</w:t>
      </w:r>
      <w:r w:rsidR="005A7DAB" w:rsidRPr="00333A62">
        <w:rPr>
          <w:rFonts w:ascii="Times New Roman" w:hAnsi="Times New Roman" w:cs="Times New Roman"/>
          <w:sz w:val="24"/>
          <w:szCs w:val="24"/>
          <w:lang w:val="fr-FR"/>
        </w:rPr>
        <w:t xml:space="preserve">ins de cinq ans </w:t>
      </w:r>
      <w:r w:rsidR="005A7DAB" w:rsidRPr="00333A62">
        <w:rPr>
          <w:rFonts w:ascii="Times New Roman" w:hAnsi="Times New Roman" w:cs="Times New Roman"/>
          <w:sz w:val="24"/>
          <w:szCs w:val="24"/>
        </w:rPr>
        <w:t xml:space="preserve">en Côte d’Ivoire </w:t>
      </w:r>
      <w:r w:rsidR="005A7DAB" w:rsidRPr="00333A62">
        <w:rPr>
          <w:rFonts w:ascii="Times New Roman" w:hAnsi="Times New Roman" w:cs="Times New Roman"/>
          <w:sz w:val="24"/>
          <w:szCs w:val="24"/>
          <w:lang w:val="fr-FR"/>
        </w:rPr>
        <w:t>s’est amélioré. Cependant, l</w:t>
      </w:r>
      <w:r w:rsidR="005A7DAB" w:rsidRPr="00333A62">
        <w:rPr>
          <w:rFonts w:ascii="Times New Roman" w:hAnsi="Times New Roman" w:cs="Times New Roman"/>
          <w:sz w:val="24"/>
          <w:szCs w:val="24"/>
        </w:rPr>
        <w:t xml:space="preserve">’analyse fait ressortir que la sous-nutrition et la surnutrition constituent un problème majeur de santé publique. </w:t>
      </w:r>
    </w:p>
    <w:p w14:paraId="7DC2F4EA" w14:textId="18F3310B" w:rsidR="0050393A" w:rsidRPr="00333A62" w:rsidRDefault="0050393A"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La sous nutrition est marquée par le retard de croissance</w:t>
      </w:r>
      <w:r w:rsidR="00B1748F" w:rsidRPr="00333A62">
        <w:rPr>
          <w:rFonts w:ascii="Times New Roman" w:hAnsi="Times New Roman" w:cs="Times New Roman"/>
          <w:sz w:val="24"/>
          <w:szCs w:val="24"/>
        </w:rPr>
        <w:t xml:space="preserve"> (21,6%)</w:t>
      </w:r>
      <w:r w:rsidRPr="00333A62">
        <w:rPr>
          <w:rFonts w:ascii="Times New Roman" w:hAnsi="Times New Roman" w:cs="Times New Roman"/>
          <w:sz w:val="24"/>
          <w:szCs w:val="24"/>
        </w:rPr>
        <w:t>, l’émaciation</w:t>
      </w:r>
      <w:r w:rsidR="00B1748F" w:rsidRPr="00333A62">
        <w:rPr>
          <w:rFonts w:ascii="Times New Roman" w:hAnsi="Times New Roman" w:cs="Times New Roman"/>
          <w:sz w:val="24"/>
          <w:szCs w:val="24"/>
        </w:rPr>
        <w:t xml:space="preserve"> (6%)</w:t>
      </w:r>
      <w:r w:rsidRPr="00333A62">
        <w:rPr>
          <w:rFonts w:ascii="Times New Roman" w:hAnsi="Times New Roman" w:cs="Times New Roman"/>
          <w:sz w:val="24"/>
          <w:szCs w:val="24"/>
        </w:rPr>
        <w:t>, l’insuffisance pondérale</w:t>
      </w:r>
      <w:r w:rsidR="00B1748F" w:rsidRPr="00333A62">
        <w:rPr>
          <w:rFonts w:ascii="Times New Roman" w:hAnsi="Times New Roman" w:cs="Times New Roman"/>
          <w:sz w:val="24"/>
          <w:szCs w:val="24"/>
        </w:rPr>
        <w:t xml:space="preserve"> (12,8%)</w:t>
      </w:r>
      <w:r w:rsidRPr="00333A62">
        <w:rPr>
          <w:rFonts w:ascii="Times New Roman" w:hAnsi="Times New Roman" w:cs="Times New Roman"/>
          <w:sz w:val="24"/>
          <w:szCs w:val="24"/>
        </w:rPr>
        <w:t>, les carences en micronutriments.</w:t>
      </w:r>
    </w:p>
    <w:p w14:paraId="3B3A9F55" w14:textId="10374C86" w:rsidR="0050393A" w:rsidRPr="00333A62" w:rsidRDefault="0050393A"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b/>
          <w:sz w:val="24"/>
          <w:szCs w:val="24"/>
        </w:rPr>
        <w:t>Le retard de croissance</w:t>
      </w:r>
      <w:r w:rsidRPr="00333A62">
        <w:rPr>
          <w:rFonts w:ascii="Times New Roman" w:hAnsi="Times New Roman" w:cs="Times New Roman"/>
          <w:sz w:val="24"/>
          <w:szCs w:val="24"/>
        </w:rPr>
        <w:t xml:space="preserve"> est la forme la plus courante de malnutrition et concerne majoritairement les enfants pendant les 1000 premiers jours de vie (de la conception à deux ans de vie). Sa prévalence au niveau national est passée de 29,8% en 2012 à 21,6% en 2016 (MICS, 2016) sans atteindre l’objectif </w:t>
      </w:r>
      <w:r w:rsidR="00E336C3" w:rsidRPr="00333A62">
        <w:rPr>
          <w:rFonts w:ascii="Times New Roman" w:hAnsi="Times New Roman" w:cs="Times New Roman"/>
          <w:sz w:val="24"/>
          <w:szCs w:val="24"/>
        </w:rPr>
        <w:t xml:space="preserve">national </w:t>
      </w:r>
      <w:r w:rsidRPr="00333A62">
        <w:rPr>
          <w:rFonts w:ascii="Times New Roman" w:hAnsi="Times New Roman" w:cs="Times New Roman"/>
          <w:sz w:val="24"/>
          <w:szCs w:val="24"/>
        </w:rPr>
        <w:t>de moins de 20%</w:t>
      </w:r>
      <w:r w:rsidR="00E336C3" w:rsidRPr="00333A62">
        <w:rPr>
          <w:rFonts w:ascii="Times New Roman" w:hAnsi="Times New Roman" w:cs="Times New Roman"/>
          <w:sz w:val="24"/>
          <w:szCs w:val="24"/>
        </w:rPr>
        <w:t xml:space="preserve"> (Source P</w:t>
      </w:r>
      <w:r w:rsidR="00C821FB" w:rsidRPr="00333A62">
        <w:rPr>
          <w:rFonts w:ascii="Times New Roman" w:hAnsi="Times New Roman" w:cs="Times New Roman"/>
          <w:sz w:val="24"/>
          <w:szCs w:val="24"/>
        </w:rPr>
        <w:t xml:space="preserve">lan </w:t>
      </w:r>
      <w:r w:rsidR="00E336C3" w:rsidRPr="00333A62">
        <w:rPr>
          <w:rFonts w:ascii="Times New Roman" w:hAnsi="Times New Roman" w:cs="Times New Roman"/>
          <w:sz w:val="24"/>
          <w:szCs w:val="24"/>
        </w:rPr>
        <w:t>N</w:t>
      </w:r>
      <w:r w:rsidR="00C821FB" w:rsidRPr="00333A62">
        <w:rPr>
          <w:rFonts w:ascii="Times New Roman" w:hAnsi="Times New Roman" w:cs="Times New Roman"/>
          <w:sz w:val="24"/>
          <w:szCs w:val="24"/>
        </w:rPr>
        <w:t xml:space="preserve">ational </w:t>
      </w:r>
      <w:r w:rsidR="00E336C3" w:rsidRPr="00333A62">
        <w:rPr>
          <w:rFonts w:ascii="Times New Roman" w:hAnsi="Times New Roman" w:cs="Times New Roman"/>
          <w:sz w:val="24"/>
          <w:szCs w:val="24"/>
        </w:rPr>
        <w:t>M</w:t>
      </w:r>
      <w:r w:rsidR="00C821FB" w:rsidRPr="00333A62">
        <w:rPr>
          <w:rFonts w:ascii="Times New Roman" w:hAnsi="Times New Roman" w:cs="Times New Roman"/>
          <w:sz w:val="24"/>
          <w:szCs w:val="24"/>
        </w:rPr>
        <w:t xml:space="preserve">ultisectoriel de </w:t>
      </w:r>
      <w:r w:rsidR="00E336C3" w:rsidRPr="00333A62">
        <w:rPr>
          <w:rFonts w:ascii="Times New Roman" w:hAnsi="Times New Roman" w:cs="Times New Roman"/>
          <w:sz w:val="24"/>
          <w:szCs w:val="24"/>
        </w:rPr>
        <w:t>N</w:t>
      </w:r>
      <w:r w:rsidR="00C821FB" w:rsidRPr="00333A62">
        <w:rPr>
          <w:rFonts w:ascii="Times New Roman" w:hAnsi="Times New Roman" w:cs="Times New Roman"/>
          <w:sz w:val="24"/>
          <w:szCs w:val="24"/>
        </w:rPr>
        <w:t>utrition</w:t>
      </w:r>
      <w:r w:rsidR="00E336C3" w:rsidRPr="00333A62">
        <w:rPr>
          <w:rFonts w:ascii="Times New Roman" w:hAnsi="Times New Roman" w:cs="Times New Roman"/>
          <w:sz w:val="24"/>
          <w:szCs w:val="24"/>
        </w:rPr>
        <w:t>)</w:t>
      </w:r>
      <w:r w:rsidRPr="00333A62">
        <w:rPr>
          <w:rFonts w:ascii="Times New Roman" w:hAnsi="Times New Roman" w:cs="Times New Roman"/>
          <w:sz w:val="24"/>
          <w:szCs w:val="24"/>
        </w:rPr>
        <w:t xml:space="preserve">. </w:t>
      </w:r>
    </w:p>
    <w:p w14:paraId="52FF5020" w14:textId="77777777" w:rsidR="0050393A" w:rsidRPr="00333A62" w:rsidRDefault="0050393A"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noProof/>
          <w:sz w:val="24"/>
          <w:szCs w:val="24"/>
          <w:lang w:val="fr-FR" w:eastAsia="fr-FR"/>
        </w:rPr>
        <w:lastRenderedPageBreak/>
        <w:drawing>
          <wp:inline distT="0" distB="0" distL="0" distR="0" wp14:anchorId="2E2A8CC3" wp14:editId="2D01B93F">
            <wp:extent cx="6162675" cy="2571750"/>
            <wp:effectExtent l="0" t="0" r="9525" b="0"/>
            <wp:docPr id="4"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7BA6B0F" w14:textId="4ED724D8" w:rsidR="000703B8" w:rsidRPr="00EF1DF2" w:rsidRDefault="00EF1DF2" w:rsidP="00EF1DF2">
      <w:pPr>
        <w:pStyle w:val="Lgende"/>
        <w:rPr>
          <w:sz w:val="24"/>
          <w:szCs w:val="24"/>
        </w:rPr>
      </w:pPr>
      <w:bookmarkStart w:id="77" w:name="_Toc1588491"/>
      <w:r w:rsidRPr="00EF1DF2">
        <w:rPr>
          <w:sz w:val="24"/>
          <w:szCs w:val="24"/>
        </w:rPr>
        <w:t xml:space="preserve">Graphique </w:t>
      </w:r>
      <w:r w:rsidRPr="00EF1DF2">
        <w:rPr>
          <w:sz w:val="24"/>
          <w:szCs w:val="24"/>
        </w:rPr>
        <w:fldChar w:fldCharType="begin"/>
      </w:r>
      <w:r w:rsidRPr="00EF1DF2">
        <w:rPr>
          <w:sz w:val="24"/>
          <w:szCs w:val="24"/>
        </w:rPr>
        <w:instrText xml:space="preserve"> SEQ Graphique \* ARABIC </w:instrText>
      </w:r>
      <w:r w:rsidRPr="00EF1DF2">
        <w:rPr>
          <w:sz w:val="24"/>
          <w:szCs w:val="24"/>
        </w:rPr>
        <w:fldChar w:fldCharType="separate"/>
      </w:r>
      <w:r w:rsidR="009A04F0">
        <w:rPr>
          <w:noProof/>
          <w:sz w:val="24"/>
          <w:szCs w:val="24"/>
        </w:rPr>
        <w:t>15</w:t>
      </w:r>
      <w:r w:rsidRPr="00EF1DF2">
        <w:rPr>
          <w:sz w:val="24"/>
          <w:szCs w:val="24"/>
        </w:rPr>
        <w:fldChar w:fldCharType="end"/>
      </w:r>
      <w:r w:rsidR="00E336C3" w:rsidRPr="00EF1DF2">
        <w:rPr>
          <w:sz w:val="24"/>
          <w:szCs w:val="24"/>
        </w:rPr>
        <w:t> :</w:t>
      </w:r>
      <w:r w:rsidR="00E336C3" w:rsidRPr="00EF1DF2">
        <w:rPr>
          <w:sz w:val="24"/>
          <w:szCs w:val="24"/>
          <w:lang w:eastAsia="fr-FR"/>
        </w:rPr>
        <w:t xml:space="preserve"> </w:t>
      </w:r>
      <w:r w:rsidR="00E336C3" w:rsidRPr="00EF1DF2">
        <w:rPr>
          <w:sz w:val="24"/>
          <w:szCs w:val="24"/>
        </w:rPr>
        <w:t>Evolution du retard de croissance sévère et modéré chez les moins de 5 ans.</w:t>
      </w:r>
      <w:bookmarkEnd w:id="77"/>
      <w:r w:rsidR="00E336C3" w:rsidRPr="00EF1DF2">
        <w:rPr>
          <w:sz w:val="24"/>
          <w:szCs w:val="24"/>
        </w:rPr>
        <w:t xml:space="preserve"> </w:t>
      </w:r>
    </w:p>
    <w:p w14:paraId="4FB234F4" w14:textId="39283D99" w:rsidR="00E336C3" w:rsidRDefault="00E336C3" w:rsidP="000703B8">
      <w:pPr>
        <w:spacing w:after="0" w:line="240" w:lineRule="auto"/>
        <w:jc w:val="both"/>
        <w:rPr>
          <w:rFonts w:ascii="Times New Roman" w:hAnsi="Times New Roman" w:cs="Times New Roman"/>
          <w:sz w:val="24"/>
          <w:szCs w:val="24"/>
          <w:lang w:val="fr-FR"/>
        </w:rPr>
      </w:pPr>
      <w:r w:rsidRPr="00EF1DF2">
        <w:rPr>
          <w:rFonts w:ascii="Times New Roman" w:hAnsi="Times New Roman" w:cs="Times New Roman"/>
          <w:sz w:val="24"/>
          <w:szCs w:val="24"/>
          <w:u w:val="single"/>
          <w:lang w:val="fr-FR"/>
        </w:rPr>
        <w:t>Source</w:t>
      </w:r>
      <w:r w:rsidR="00EF1DF2">
        <w:rPr>
          <w:rFonts w:ascii="Times New Roman" w:hAnsi="Times New Roman" w:cs="Times New Roman"/>
          <w:sz w:val="24"/>
          <w:szCs w:val="24"/>
          <w:lang w:val="fr-FR"/>
        </w:rPr>
        <w:t xml:space="preserve"> : </w:t>
      </w:r>
      <w:r w:rsidR="00EF1DF2" w:rsidRPr="00333A62">
        <w:rPr>
          <w:rFonts w:ascii="Times New Roman" w:hAnsi="Times New Roman" w:cs="Times New Roman"/>
          <w:sz w:val="24"/>
          <w:szCs w:val="24"/>
          <w:lang w:val="fr-FR"/>
        </w:rPr>
        <w:t xml:space="preserve">Auteur </w:t>
      </w:r>
      <w:r w:rsidRPr="00333A62">
        <w:rPr>
          <w:rFonts w:ascii="Times New Roman" w:hAnsi="Times New Roman" w:cs="Times New Roman"/>
          <w:sz w:val="24"/>
          <w:szCs w:val="24"/>
          <w:lang w:val="fr-FR"/>
        </w:rPr>
        <w:t>à partir du MICS 2012 et M</w:t>
      </w:r>
      <w:r w:rsidR="00EF1DF2">
        <w:rPr>
          <w:rFonts w:ascii="Times New Roman" w:hAnsi="Times New Roman" w:cs="Times New Roman"/>
          <w:sz w:val="24"/>
          <w:szCs w:val="24"/>
          <w:lang w:val="fr-FR"/>
        </w:rPr>
        <w:t>ICS 2016</w:t>
      </w:r>
    </w:p>
    <w:p w14:paraId="0B4BF133" w14:textId="77777777" w:rsidR="000703B8" w:rsidRPr="00333A62" w:rsidRDefault="000703B8" w:rsidP="000703B8">
      <w:pPr>
        <w:spacing w:after="0" w:line="240" w:lineRule="auto"/>
        <w:jc w:val="both"/>
        <w:rPr>
          <w:rFonts w:ascii="Times New Roman" w:hAnsi="Times New Roman" w:cs="Times New Roman"/>
          <w:sz w:val="24"/>
          <w:szCs w:val="24"/>
          <w:lang w:val="fr-FR"/>
        </w:rPr>
      </w:pPr>
    </w:p>
    <w:p w14:paraId="27B1CA12" w14:textId="44214928" w:rsidR="0050393A" w:rsidRPr="00333A62" w:rsidRDefault="0050393A"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Les régions où les enfants présentent des retards de croissance modérés et</w:t>
      </w:r>
      <w:r w:rsidR="00E336C3" w:rsidRPr="00333A62">
        <w:rPr>
          <w:rFonts w:ascii="Times New Roman" w:hAnsi="Times New Roman" w:cs="Times New Roman"/>
          <w:sz w:val="24"/>
          <w:szCs w:val="24"/>
        </w:rPr>
        <w:t xml:space="preserve"> sévères très importants sont le </w:t>
      </w:r>
      <w:r w:rsidRPr="00333A62">
        <w:rPr>
          <w:rFonts w:ascii="Times New Roman" w:hAnsi="Times New Roman" w:cs="Times New Roman"/>
          <w:sz w:val="24"/>
          <w:szCs w:val="24"/>
        </w:rPr>
        <w:t xml:space="preserve">Centre-Ouest, </w:t>
      </w:r>
      <w:r w:rsidR="00E336C3" w:rsidRPr="00333A62">
        <w:rPr>
          <w:rFonts w:ascii="Times New Roman" w:hAnsi="Times New Roman" w:cs="Times New Roman"/>
          <w:sz w:val="24"/>
          <w:szCs w:val="24"/>
        </w:rPr>
        <w:t xml:space="preserve">le </w:t>
      </w:r>
      <w:r w:rsidRPr="00333A62">
        <w:rPr>
          <w:rFonts w:ascii="Times New Roman" w:hAnsi="Times New Roman" w:cs="Times New Roman"/>
          <w:sz w:val="24"/>
          <w:szCs w:val="24"/>
        </w:rPr>
        <w:t xml:space="preserve">Nord, </w:t>
      </w:r>
      <w:r w:rsidR="00E336C3" w:rsidRPr="00333A62">
        <w:rPr>
          <w:rFonts w:ascii="Times New Roman" w:hAnsi="Times New Roman" w:cs="Times New Roman"/>
          <w:sz w:val="24"/>
          <w:szCs w:val="24"/>
        </w:rPr>
        <w:t xml:space="preserve">le </w:t>
      </w:r>
      <w:r w:rsidRPr="00333A62">
        <w:rPr>
          <w:rFonts w:ascii="Times New Roman" w:hAnsi="Times New Roman" w:cs="Times New Roman"/>
          <w:sz w:val="24"/>
          <w:szCs w:val="24"/>
        </w:rPr>
        <w:t xml:space="preserve">Nord-Est, </w:t>
      </w:r>
      <w:r w:rsidR="00E336C3" w:rsidRPr="00333A62">
        <w:rPr>
          <w:rFonts w:ascii="Times New Roman" w:hAnsi="Times New Roman" w:cs="Times New Roman"/>
          <w:sz w:val="24"/>
          <w:szCs w:val="24"/>
        </w:rPr>
        <w:t xml:space="preserve">le </w:t>
      </w:r>
      <w:r w:rsidRPr="00333A62">
        <w:rPr>
          <w:rFonts w:ascii="Times New Roman" w:hAnsi="Times New Roman" w:cs="Times New Roman"/>
          <w:sz w:val="24"/>
          <w:szCs w:val="24"/>
        </w:rPr>
        <w:t xml:space="preserve">Nord-Ouest et </w:t>
      </w:r>
      <w:r w:rsidR="00E336C3" w:rsidRPr="00333A62">
        <w:rPr>
          <w:rFonts w:ascii="Times New Roman" w:hAnsi="Times New Roman" w:cs="Times New Roman"/>
          <w:sz w:val="24"/>
          <w:szCs w:val="24"/>
        </w:rPr>
        <w:t>l’</w:t>
      </w:r>
      <w:r w:rsidRPr="00333A62">
        <w:rPr>
          <w:rFonts w:ascii="Times New Roman" w:hAnsi="Times New Roman" w:cs="Times New Roman"/>
          <w:sz w:val="24"/>
          <w:szCs w:val="24"/>
        </w:rPr>
        <w:t>Ouest. Toutefois</w:t>
      </w:r>
      <w:r w:rsidR="00CF0E63">
        <w:rPr>
          <w:rFonts w:ascii="Times New Roman" w:hAnsi="Times New Roman" w:cs="Times New Roman"/>
          <w:sz w:val="24"/>
          <w:szCs w:val="24"/>
        </w:rPr>
        <w:t>,</w:t>
      </w:r>
      <w:r w:rsidRPr="00333A62">
        <w:rPr>
          <w:rFonts w:ascii="Times New Roman" w:hAnsi="Times New Roman" w:cs="Times New Roman"/>
          <w:sz w:val="24"/>
          <w:szCs w:val="24"/>
        </w:rPr>
        <w:t xml:space="preserve"> trois régions présentent des taux à la limite du seuil national d’acceptabilité à savoir</w:t>
      </w:r>
      <w:r w:rsidR="003E172A" w:rsidRPr="00333A62">
        <w:rPr>
          <w:rFonts w:ascii="Times New Roman" w:hAnsi="Times New Roman" w:cs="Times New Roman"/>
          <w:sz w:val="24"/>
          <w:szCs w:val="24"/>
        </w:rPr>
        <w:t xml:space="preserve"> le</w:t>
      </w:r>
      <w:r w:rsidRPr="00333A62">
        <w:rPr>
          <w:rFonts w:ascii="Times New Roman" w:hAnsi="Times New Roman" w:cs="Times New Roman"/>
          <w:sz w:val="24"/>
          <w:szCs w:val="24"/>
        </w:rPr>
        <w:t xml:space="preserve"> Centre, </w:t>
      </w:r>
      <w:r w:rsidR="003E172A" w:rsidRPr="00333A62">
        <w:rPr>
          <w:rFonts w:ascii="Times New Roman" w:hAnsi="Times New Roman" w:cs="Times New Roman"/>
          <w:sz w:val="24"/>
          <w:szCs w:val="24"/>
        </w:rPr>
        <w:t xml:space="preserve">le </w:t>
      </w:r>
      <w:r w:rsidRPr="00333A62">
        <w:rPr>
          <w:rFonts w:ascii="Times New Roman" w:hAnsi="Times New Roman" w:cs="Times New Roman"/>
          <w:sz w:val="24"/>
          <w:szCs w:val="24"/>
        </w:rPr>
        <w:t>Centre Est et le Sud-ouest.</w:t>
      </w:r>
    </w:p>
    <w:p w14:paraId="6AA1E456" w14:textId="06F3AE4F" w:rsidR="0050393A" w:rsidRPr="00333A62" w:rsidRDefault="0050393A"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Le retard de croissance modéré et sévère est beaucoup plus fréquent dans les quintiles les plus pauvres</w:t>
      </w:r>
      <w:r w:rsidR="00A75E51" w:rsidRPr="00333A62">
        <w:rPr>
          <w:rFonts w:ascii="Times New Roman" w:hAnsi="Times New Roman" w:cs="Times New Roman"/>
          <w:sz w:val="24"/>
          <w:szCs w:val="24"/>
        </w:rPr>
        <w:t xml:space="preserve"> avec </w:t>
      </w:r>
      <w:r w:rsidR="005764F0" w:rsidRPr="00333A62">
        <w:rPr>
          <w:rFonts w:ascii="Times New Roman" w:hAnsi="Times New Roman" w:cs="Times New Roman"/>
          <w:sz w:val="24"/>
          <w:szCs w:val="24"/>
        </w:rPr>
        <w:t>59</w:t>
      </w:r>
      <w:r w:rsidR="00A75E51" w:rsidRPr="00333A62">
        <w:rPr>
          <w:rFonts w:ascii="Times New Roman" w:hAnsi="Times New Roman" w:cs="Times New Roman"/>
          <w:sz w:val="24"/>
          <w:szCs w:val="24"/>
        </w:rPr>
        <w:t>%</w:t>
      </w:r>
      <w:r w:rsidR="005764F0" w:rsidRPr="00333A62">
        <w:rPr>
          <w:rFonts w:ascii="Times New Roman" w:hAnsi="Times New Roman" w:cs="Times New Roman"/>
          <w:sz w:val="24"/>
          <w:szCs w:val="24"/>
        </w:rPr>
        <w:t xml:space="preserve"> en 2016</w:t>
      </w:r>
      <w:r w:rsidRPr="00333A62">
        <w:rPr>
          <w:rFonts w:ascii="Times New Roman" w:hAnsi="Times New Roman" w:cs="Times New Roman"/>
          <w:sz w:val="24"/>
          <w:szCs w:val="24"/>
        </w:rPr>
        <w:t>.</w:t>
      </w:r>
    </w:p>
    <w:p w14:paraId="5FC1A23D" w14:textId="68AFAFFB" w:rsidR="0050393A" w:rsidRPr="00333A62" w:rsidRDefault="0050393A"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b/>
          <w:sz w:val="24"/>
          <w:szCs w:val="24"/>
        </w:rPr>
        <w:t xml:space="preserve">L’émaciation </w:t>
      </w:r>
      <w:r w:rsidRPr="00333A62">
        <w:rPr>
          <w:rFonts w:ascii="Times New Roman" w:hAnsi="Times New Roman" w:cs="Times New Roman"/>
          <w:sz w:val="24"/>
          <w:szCs w:val="24"/>
        </w:rPr>
        <w:t xml:space="preserve">ou </w:t>
      </w:r>
      <w:r w:rsidR="005764F0" w:rsidRPr="00333A62">
        <w:rPr>
          <w:rFonts w:ascii="Times New Roman" w:hAnsi="Times New Roman" w:cs="Times New Roman"/>
          <w:sz w:val="24"/>
          <w:szCs w:val="24"/>
        </w:rPr>
        <w:t xml:space="preserve">la </w:t>
      </w:r>
      <w:r w:rsidRPr="00333A62">
        <w:rPr>
          <w:rFonts w:ascii="Times New Roman" w:hAnsi="Times New Roman" w:cs="Times New Roman"/>
          <w:b/>
          <w:sz w:val="24"/>
          <w:szCs w:val="24"/>
        </w:rPr>
        <w:t>malnutrition aiguë</w:t>
      </w:r>
      <w:r w:rsidRPr="00333A62">
        <w:rPr>
          <w:rFonts w:ascii="Times New Roman" w:hAnsi="Times New Roman" w:cs="Times New Roman"/>
          <w:sz w:val="24"/>
          <w:szCs w:val="24"/>
        </w:rPr>
        <w:t xml:space="preserve"> affecte 6% des enfants de moins de cinq ans au niveau national dont 1,2% de f</w:t>
      </w:r>
      <w:r w:rsidR="00A75E51" w:rsidRPr="00333A62">
        <w:rPr>
          <w:rFonts w:ascii="Times New Roman" w:hAnsi="Times New Roman" w:cs="Times New Roman"/>
          <w:sz w:val="24"/>
          <w:szCs w:val="24"/>
        </w:rPr>
        <w:t xml:space="preserve">orme sévère en 2016 contre 1,7% en 2012. </w:t>
      </w:r>
      <w:r w:rsidRPr="00333A62">
        <w:rPr>
          <w:rFonts w:ascii="Times New Roman" w:hAnsi="Times New Roman" w:cs="Times New Roman"/>
          <w:sz w:val="24"/>
          <w:szCs w:val="24"/>
        </w:rPr>
        <w:t xml:space="preserve">L’objectif </w:t>
      </w:r>
      <w:r w:rsidR="00CF0E63">
        <w:rPr>
          <w:rFonts w:ascii="Times New Roman" w:hAnsi="Times New Roman" w:cs="Times New Roman"/>
          <w:sz w:val="24"/>
          <w:szCs w:val="24"/>
        </w:rPr>
        <w:t xml:space="preserve">est d’atteindre </w:t>
      </w:r>
      <w:r w:rsidRPr="00333A62">
        <w:rPr>
          <w:rFonts w:ascii="Times New Roman" w:hAnsi="Times New Roman" w:cs="Times New Roman"/>
          <w:sz w:val="24"/>
          <w:szCs w:val="24"/>
        </w:rPr>
        <w:t xml:space="preserve">une prévalence de moins de 5%. </w:t>
      </w:r>
    </w:p>
    <w:p w14:paraId="2279E6B0" w14:textId="77777777" w:rsidR="0050393A" w:rsidRPr="00333A62" w:rsidRDefault="0050393A"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noProof/>
          <w:sz w:val="24"/>
          <w:szCs w:val="24"/>
          <w:lang w:val="fr-FR" w:eastAsia="fr-FR"/>
        </w:rPr>
        <w:drawing>
          <wp:inline distT="0" distB="0" distL="0" distR="0" wp14:anchorId="544421DE" wp14:editId="362C7FBA">
            <wp:extent cx="5972810" cy="2378710"/>
            <wp:effectExtent l="0" t="0" r="8890" b="2540"/>
            <wp:docPr id="14" name="Graphique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A652E7A" w14:textId="77777777" w:rsidR="00EF1DF2" w:rsidRDefault="00EF1DF2" w:rsidP="00EF1DF2">
      <w:pPr>
        <w:pStyle w:val="Lgende"/>
        <w:rPr>
          <w:sz w:val="24"/>
          <w:szCs w:val="24"/>
        </w:rPr>
      </w:pPr>
      <w:bookmarkStart w:id="78" w:name="_Toc1588492"/>
      <w:r w:rsidRPr="00EF1DF2">
        <w:rPr>
          <w:sz w:val="24"/>
          <w:szCs w:val="24"/>
        </w:rPr>
        <w:t xml:space="preserve">Graphique </w:t>
      </w:r>
      <w:r w:rsidRPr="00EF1DF2">
        <w:rPr>
          <w:sz w:val="24"/>
          <w:szCs w:val="24"/>
        </w:rPr>
        <w:fldChar w:fldCharType="begin"/>
      </w:r>
      <w:r w:rsidRPr="00EF1DF2">
        <w:rPr>
          <w:sz w:val="24"/>
          <w:szCs w:val="24"/>
        </w:rPr>
        <w:instrText xml:space="preserve"> SEQ Graphique \* ARABIC </w:instrText>
      </w:r>
      <w:r w:rsidRPr="00EF1DF2">
        <w:rPr>
          <w:sz w:val="24"/>
          <w:szCs w:val="24"/>
        </w:rPr>
        <w:fldChar w:fldCharType="separate"/>
      </w:r>
      <w:r w:rsidR="009A04F0">
        <w:rPr>
          <w:noProof/>
          <w:sz w:val="24"/>
          <w:szCs w:val="24"/>
        </w:rPr>
        <w:t>16</w:t>
      </w:r>
      <w:r w:rsidRPr="00EF1DF2">
        <w:rPr>
          <w:sz w:val="24"/>
          <w:szCs w:val="24"/>
        </w:rPr>
        <w:fldChar w:fldCharType="end"/>
      </w:r>
      <w:r w:rsidR="001035FD" w:rsidRPr="00EF1DF2">
        <w:rPr>
          <w:sz w:val="24"/>
          <w:szCs w:val="24"/>
        </w:rPr>
        <w:t xml:space="preserve">: Evolution de la malnutrition </w:t>
      </w:r>
      <w:r w:rsidR="000703B8" w:rsidRPr="00EF1DF2">
        <w:rPr>
          <w:sz w:val="24"/>
          <w:szCs w:val="24"/>
        </w:rPr>
        <w:t>aigüe</w:t>
      </w:r>
      <w:r w:rsidR="001035FD" w:rsidRPr="00EF1DF2">
        <w:rPr>
          <w:sz w:val="24"/>
          <w:szCs w:val="24"/>
        </w:rPr>
        <w:t xml:space="preserve"> sévère chez les moins de 5 ans.</w:t>
      </w:r>
      <w:bookmarkEnd w:id="78"/>
      <w:r w:rsidR="001035FD" w:rsidRPr="00EF1DF2">
        <w:rPr>
          <w:sz w:val="24"/>
          <w:szCs w:val="24"/>
        </w:rPr>
        <w:t xml:space="preserve"> </w:t>
      </w:r>
    </w:p>
    <w:p w14:paraId="6CD6F79E" w14:textId="36360161" w:rsidR="001035FD" w:rsidRPr="00EF1DF2" w:rsidRDefault="001035FD" w:rsidP="00EF1DF2">
      <w:pPr>
        <w:pStyle w:val="Lgende"/>
        <w:rPr>
          <w:b w:val="0"/>
          <w:sz w:val="24"/>
          <w:szCs w:val="24"/>
        </w:rPr>
      </w:pPr>
      <w:r w:rsidRPr="00EF1DF2">
        <w:rPr>
          <w:b w:val="0"/>
          <w:sz w:val="24"/>
          <w:szCs w:val="24"/>
          <w:u w:val="single"/>
        </w:rPr>
        <w:t>Source</w:t>
      </w:r>
      <w:r w:rsidR="00EF1DF2" w:rsidRPr="00EF1DF2">
        <w:rPr>
          <w:b w:val="0"/>
          <w:sz w:val="24"/>
          <w:szCs w:val="24"/>
        </w:rPr>
        <w:t> :</w:t>
      </w:r>
      <w:r w:rsidRPr="00EF1DF2">
        <w:rPr>
          <w:b w:val="0"/>
          <w:sz w:val="24"/>
          <w:szCs w:val="24"/>
        </w:rPr>
        <w:t xml:space="preserve"> </w:t>
      </w:r>
      <w:r w:rsidR="00EF1DF2" w:rsidRPr="00EF1DF2">
        <w:rPr>
          <w:b w:val="0"/>
          <w:sz w:val="24"/>
          <w:szCs w:val="24"/>
        </w:rPr>
        <w:t xml:space="preserve">Auteur </w:t>
      </w:r>
      <w:r w:rsidRPr="00EF1DF2">
        <w:rPr>
          <w:b w:val="0"/>
          <w:sz w:val="24"/>
          <w:szCs w:val="24"/>
        </w:rPr>
        <w:t xml:space="preserve">à partir du MICS 2012 et </w:t>
      </w:r>
      <w:r w:rsidR="00EF1DF2" w:rsidRPr="00EF1DF2">
        <w:rPr>
          <w:b w:val="0"/>
          <w:sz w:val="24"/>
          <w:szCs w:val="24"/>
        </w:rPr>
        <w:t>MICS 2016</w:t>
      </w:r>
    </w:p>
    <w:p w14:paraId="4ED1F2A6" w14:textId="03BEA863" w:rsidR="001035FD" w:rsidRPr="00333A62" w:rsidRDefault="001035FD" w:rsidP="00333A62">
      <w:pPr>
        <w:spacing w:before="120" w:after="120" w:line="276" w:lineRule="auto"/>
        <w:jc w:val="both"/>
        <w:rPr>
          <w:rFonts w:ascii="Times New Roman" w:hAnsi="Times New Roman" w:cs="Times New Roman"/>
          <w:sz w:val="24"/>
          <w:szCs w:val="24"/>
          <w:lang w:val="fr-FR"/>
        </w:rPr>
      </w:pPr>
    </w:p>
    <w:p w14:paraId="3993B053" w14:textId="70BBDFE6" w:rsidR="0050393A" w:rsidRPr="00333A62" w:rsidRDefault="0050393A"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lastRenderedPageBreak/>
        <w:t xml:space="preserve">Les régions où les enfants présentent une malnutrition </w:t>
      </w:r>
      <w:r w:rsidR="00A35D88" w:rsidRPr="00333A62">
        <w:rPr>
          <w:rFonts w:ascii="Times New Roman" w:hAnsi="Times New Roman" w:cs="Times New Roman"/>
          <w:sz w:val="24"/>
          <w:szCs w:val="24"/>
        </w:rPr>
        <w:t>aigüe</w:t>
      </w:r>
      <w:r w:rsidRPr="00333A62">
        <w:rPr>
          <w:rFonts w:ascii="Times New Roman" w:hAnsi="Times New Roman" w:cs="Times New Roman"/>
          <w:sz w:val="24"/>
          <w:szCs w:val="24"/>
        </w:rPr>
        <w:t xml:space="preserve"> sévère très importante sont</w:t>
      </w:r>
      <w:r w:rsidR="00A35D88" w:rsidRPr="00333A62">
        <w:rPr>
          <w:rFonts w:ascii="Times New Roman" w:hAnsi="Times New Roman" w:cs="Times New Roman"/>
          <w:sz w:val="24"/>
          <w:szCs w:val="24"/>
        </w:rPr>
        <w:t xml:space="preserve"> le</w:t>
      </w:r>
      <w:r w:rsidRPr="00333A62">
        <w:rPr>
          <w:rFonts w:ascii="Times New Roman" w:hAnsi="Times New Roman" w:cs="Times New Roman"/>
          <w:sz w:val="24"/>
          <w:szCs w:val="24"/>
        </w:rPr>
        <w:t xml:space="preserve"> Centre-Est, </w:t>
      </w:r>
      <w:r w:rsidR="00A35D88" w:rsidRPr="00333A62">
        <w:rPr>
          <w:rFonts w:ascii="Times New Roman" w:hAnsi="Times New Roman" w:cs="Times New Roman"/>
          <w:sz w:val="24"/>
          <w:szCs w:val="24"/>
        </w:rPr>
        <w:t xml:space="preserve">le </w:t>
      </w:r>
      <w:r w:rsidRPr="00333A62">
        <w:rPr>
          <w:rFonts w:ascii="Times New Roman" w:hAnsi="Times New Roman" w:cs="Times New Roman"/>
          <w:sz w:val="24"/>
          <w:szCs w:val="24"/>
        </w:rPr>
        <w:t xml:space="preserve">Centre-Ouest et </w:t>
      </w:r>
      <w:r w:rsidR="00A35D88" w:rsidRPr="00333A62">
        <w:rPr>
          <w:rFonts w:ascii="Times New Roman" w:hAnsi="Times New Roman" w:cs="Times New Roman"/>
          <w:sz w:val="24"/>
          <w:szCs w:val="24"/>
        </w:rPr>
        <w:t xml:space="preserve">le </w:t>
      </w:r>
      <w:r w:rsidRPr="00333A62">
        <w:rPr>
          <w:rFonts w:ascii="Times New Roman" w:hAnsi="Times New Roman" w:cs="Times New Roman"/>
          <w:sz w:val="24"/>
          <w:szCs w:val="24"/>
        </w:rPr>
        <w:t>Sud sans Abidjan. La distribution est plus importante chez les enfants appartenant aux quintiles 2 et 4.</w:t>
      </w:r>
    </w:p>
    <w:p w14:paraId="011426AC" w14:textId="144C52AA" w:rsidR="0050393A" w:rsidRPr="00333A62" w:rsidRDefault="006B3491"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La prévalence de l</w:t>
      </w:r>
      <w:r w:rsidR="00A35D88" w:rsidRPr="00333A62">
        <w:rPr>
          <w:rFonts w:ascii="Times New Roman" w:hAnsi="Times New Roman" w:cs="Times New Roman"/>
          <w:b/>
          <w:sz w:val="24"/>
          <w:szCs w:val="24"/>
        </w:rPr>
        <w:t>’insuffisance pondérale</w:t>
      </w:r>
      <w:r w:rsidR="00A35D88" w:rsidRPr="00333A62">
        <w:rPr>
          <w:rFonts w:ascii="Times New Roman" w:hAnsi="Times New Roman" w:cs="Times New Roman"/>
          <w:sz w:val="24"/>
          <w:szCs w:val="24"/>
        </w:rPr>
        <w:t xml:space="preserve"> </w:t>
      </w:r>
      <w:r w:rsidR="0050393A" w:rsidRPr="00333A62">
        <w:rPr>
          <w:rFonts w:ascii="Times New Roman" w:hAnsi="Times New Roman" w:cs="Times New Roman"/>
          <w:sz w:val="24"/>
          <w:szCs w:val="24"/>
        </w:rPr>
        <w:t xml:space="preserve">chez les enfants de moins de 5 ans </w:t>
      </w:r>
      <w:r w:rsidRPr="00333A62">
        <w:rPr>
          <w:rFonts w:ascii="Times New Roman" w:hAnsi="Times New Roman" w:cs="Times New Roman"/>
          <w:sz w:val="24"/>
          <w:szCs w:val="24"/>
        </w:rPr>
        <w:t>est</w:t>
      </w:r>
      <w:r w:rsidR="0050393A" w:rsidRPr="00333A62">
        <w:rPr>
          <w:rFonts w:ascii="Times New Roman" w:hAnsi="Times New Roman" w:cs="Times New Roman"/>
          <w:sz w:val="24"/>
          <w:szCs w:val="24"/>
        </w:rPr>
        <w:t xml:space="preserve"> pass</w:t>
      </w:r>
      <w:r w:rsidRPr="00333A62">
        <w:rPr>
          <w:rFonts w:ascii="Times New Roman" w:hAnsi="Times New Roman" w:cs="Times New Roman"/>
          <w:sz w:val="24"/>
          <w:szCs w:val="24"/>
        </w:rPr>
        <w:t>ée</w:t>
      </w:r>
      <w:r w:rsidR="0050393A" w:rsidRPr="00333A62">
        <w:rPr>
          <w:rFonts w:ascii="Times New Roman" w:hAnsi="Times New Roman" w:cs="Times New Roman"/>
          <w:sz w:val="24"/>
          <w:szCs w:val="24"/>
        </w:rPr>
        <w:t xml:space="preserve"> de 14,9% en 2012 à 12,8% en 2016 sans pour autant atteindre le seuil acceptable (inférieur à 10%). </w:t>
      </w:r>
      <w:r w:rsidR="0050393A" w:rsidRPr="00333A62">
        <w:rPr>
          <w:rFonts w:ascii="Times New Roman" w:hAnsi="Times New Roman" w:cs="Times New Roman"/>
          <w:bCs/>
          <w:sz w:val="24"/>
          <w:szCs w:val="24"/>
        </w:rPr>
        <w:t xml:space="preserve">Par ailleurs, on note que de nombreux enfants continuent de naître avec un </w:t>
      </w:r>
      <w:r w:rsidR="0050393A" w:rsidRPr="00333A62">
        <w:rPr>
          <w:rFonts w:ascii="Times New Roman" w:hAnsi="Times New Roman" w:cs="Times New Roman"/>
          <w:b/>
          <w:bCs/>
          <w:sz w:val="24"/>
          <w:szCs w:val="24"/>
        </w:rPr>
        <w:t>faible poids</w:t>
      </w:r>
      <w:r w:rsidR="0050393A" w:rsidRPr="00333A62">
        <w:rPr>
          <w:rFonts w:ascii="Times New Roman" w:hAnsi="Times New Roman" w:cs="Times New Roman"/>
          <w:sz w:val="24"/>
          <w:szCs w:val="24"/>
        </w:rPr>
        <w:t xml:space="preserve">. En 2016, on estimait à 16,7% la proportion des enfants nés avec un poids inférieur à 2 500 grammes avec une forte </w:t>
      </w:r>
      <w:r w:rsidRPr="00333A62">
        <w:rPr>
          <w:rFonts w:ascii="Times New Roman" w:hAnsi="Times New Roman" w:cs="Times New Roman"/>
          <w:sz w:val="24"/>
          <w:szCs w:val="24"/>
        </w:rPr>
        <w:t xml:space="preserve">prévalence </w:t>
      </w:r>
      <w:r w:rsidR="0050393A" w:rsidRPr="00333A62">
        <w:rPr>
          <w:rFonts w:ascii="Times New Roman" w:hAnsi="Times New Roman" w:cs="Times New Roman"/>
          <w:sz w:val="24"/>
          <w:szCs w:val="24"/>
        </w:rPr>
        <w:t>chez les enfants nés de</w:t>
      </w:r>
      <w:r w:rsidRPr="00333A62">
        <w:rPr>
          <w:rFonts w:ascii="Times New Roman" w:hAnsi="Times New Roman" w:cs="Times New Roman"/>
          <w:sz w:val="24"/>
          <w:szCs w:val="24"/>
        </w:rPr>
        <w:t xml:space="preserve"> mères adolescentes de moins de 20 ans avec</w:t>
      </w:r>
      <w:r w:rsidR="0050393A" w:rsidRPr="00333A62">
        <w:rPr>
          <w:rFonts w:ascii="Times New Roman" w:hAnsi="Times New Roman" w:cs="Times New Roman"/>
          <w:sz w:val="24"/>
          <w:szCs w:val="24"/>
        </w:rPr>
        <w:t xml:space="preserve"> 19,2% (MICS, 2016). L’objectif étant de réduire </w:t>
      </w:r>
      <w:r w:rsidRPr="00333A62">
        <w:rPr>
          <w:rFonts w:ascii="Times New Roman" w:hAnsi="Times New Roman" w:cs="Times New Roman"/>
          <w:sz w:val="24"/>
          <w:szCs w:val="24"/>
        </w:rPr>
        <w:t>cette prévalence à 12%.</w:t>
      </w:r>
    </w:p>
    <w:p w14:paraId="7D1C3E84" w14:textId="67282266" w:rsidR="0050393A" w:rsidRPr="00333A62" w:rsidRDefault="006B3491"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bCs/>
          <w:sz w:val="24"/>
          <w:szCs w:val="24"/>
        </w:rPr>
        <w:t>Concernant l</w:t>
      </w:r>
      <w:r w:rsidR="0050393A" w:rsidRPr="00333A62">
        <w:rPr>
          <w:rFonts w:ascii="Times New Roman" w:hAnsi="Times New Roman" w:cs="Times New Roman"/>
          <w:bCs/>
          <w:sz w:val="24"/>
          <w:szCs w:val="24"/>
        </w:rPr>
        <w:t xml:space="preserve">es </w:t>
      </w:r>
      <w:r w:rsidR="0050393A" w:rsidRPr="00333A62">
        <w:rPr>
          <w:rFonts w:ascii="Times New Roman" w:hAnsi="Times New Roman" w:cs="Times New Roman"/>
          <w:b/>
          <w:bCs/>
          <w:sz w:val="24"/>
          <w:szCs w:val="24"/>
        </w:rPr>
        <w:t>carences en micronutriments</w:t>
      </w:r>
      <w:r w:rsidRPr="00333A62">
        <w:rPr>
          <w:rFonts w:ascii="Times New Roman" w:hAnsi="Times New Roman" w:cs="Times New Roman"/>
          <w:b/>
          <w:bCs/>
          <w:sz w:val="24"/>
          <w:szCs w:val="24"/>
        </w:rPr>
        <w:t>,</w:t>
      </w:r>
      <w:r w:rsidR="0050393A" w:rsidRPr="00333A62">
        <w:rPr>
          <w:rFonts w:ascii="Times New Roman" w:hAnsi="Times New Roman" w:cs="Times New Roman"/>
          <w:bCs/>
          <w:sz w:val="24"/>
          <w:szCs w:val="24"/>
        </w:rPr>
        <w:t xml:space="preserve"> la prévalence de </w:t>
      </w:r>
      <w:r w:rsidR="0050393A" w:rsidRPr="00333A62">
        <w:rPr>
          <w:rFonts w:ascii="Times New Roman" w:hAnsi="Times New Roman" w:cs="Times New Roman"/>
          <w:b/>
          <w:bCs/>
          <w:sz w:val="24"/>
          <w:szCs w:val="24"/>
        </w:rPr>
        <w:t xml:space="preserve">l’anémie </w:t>
      </w:r>
      <w:r w:rsidR="0050393A" w:rsidRPr="00333A62">
        <w:rPr>
          <w:rFonts w:ascii="Times New Roman" w:hAnsi="Times New Roman" w:cs="Times New Roman"/>
          <w:bCs/>
          <w:sz w:val="24"/>
          <w:szCs w:val="24"/>
        </w:rPr>
        <w:t xml:space="preserve">chez les nourrissons et les enfants en âge préscolaire est de 74,8%, avec une prévalence plus élevée en milieu rural (79,3%) qu’en milieu urbain (67,2%) (EDS, 2012). Quant à </w:t>
      </w:r>
      <w:r w:rsidR="0050393A" w:rsidRPr="00333A62">
        <w:rPr>
          <w:rFonts w:ascii="Times New Roman" w:hAnsi="Times New Roman" w:cs="Times New Roman"/>
          <w:b/>
          <w:bCs/>
          <w:sz w:val="24"/>
          <w:szCs w:val="24"/>
        </w:rPr>
        <w:t>l’hypovitaminose A,</w:t>
      </w:r>
      <w:r w:rsidR="0050393A" w:rsidRPr="00333A62">
        <w:rPr>
          <w:rFonts w:ascii="Times New Roman" w:hAnsi="Times New Roman" w:cs="Times New Roman"/>
          <w:bCs/>
          <w:sz w:val="24"/>
          <w:szCs w:val="24"/>
        </w:rPr>
        <w:t xml:space="preserve"> malgré une baisse de 33% à 26,7%, on note que 60% des enfants de 6 à 59 mois sont à risque</w:t>
      </w:r>
      <w:r w:rsidR="005A7DAB" w:rsidRPr="00333A62">
        <w:rPr>
          <w:rStyle w:val="Appelnotedebasdep"/>
          <w:rFonts w:ascii="Times New Roman" w:hAnsi="Times New Roman" w:cs="Times New Roman"/>
          <w:bCs/>
          <w:sz w:val="24"/>
          <w:szCs w:val="24"/>
        </w:rPr>
        <w:footnoteReference w:id="25"/>
      </w:r>
      <w:r w:rsidR="0050393A" w:rsidRPr="00333A62">
        <w:rPr>
          <w:rFonts w:ascii="Times New Roman" w:hAnsi="Times New Roman" w:cs="Times New Roman"/>
          <w:bCs/>
          <w:sz w:val="24"/>
          <w:szCs w:val="24"/>
        </w:rPr>
        <w:t xml:space="preserve"> </w:t>
      </w:r>
      <w:r w:rsidR="0050393A" w:rsidRPr="00333A62">
        <w:rPr>
          <w:rFonts w:ascii="Times New Roman" w:hAnsi="Times New Roman" w:cs="Times New Roman"/>
          <w:sz w:val="24"/>
          <w:szCs w:val="24"/>
        </w:rPr>
        <w:t>L’objectif est de réduire à 60% la prévalence de l’anémie chez les enfants de moins de 5 ans.</w:t>
      </w:r>
    </w:p>
    <w:p w14:paraId="2A0B9857" w14:textId="2460671A" w:rsidR="0050393A" w:rsidRPr="00333A62" w:rsidRDefault="0050393A"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Concernant la sous nutrition maternelle (indice de masse corporelle inférieur à 18,5)</w:t>
      </w:r>
      <w:r w:rsidR="00A621C9" w:rsidRPr="00333A62">
        <w:rPr>
          <w:rFonts w:ascii="Times New Roman" w:hAnsi="Times New Roman" w:cs="Times New Roman"/>
          <w:sz w:val="24"/>
          <w:szCs w:val="24"/>
          <w:lang w:val="fr-CI"/>
        </w:rPr>
        <w:t>,</w:t>
      </w:r>
      <w:r w:rsidRPr="00333A62">
        <w:rPr>
          <w:rFonts w:ascii="Times New Roman" w:hAnsi="Times New Roman" w:cs="Times New Roman"/>
          <w:sz w:val="24"/>
          <w:szCs w:val="24"/>
          <w:lang w:val="fr-CI"/>
        </w:rPr>
        <w:t xml:space="preserve"> elle est également à la base de la malnutrition de l’enfant. Dans les régions à forte prévalence, l’indice de masse corporel inférieur à 18,5 chez les mères était de 10,3% au Nord, de 12,7% au Nord-Est et de 9,7% au Nord-Ouest</w:t>
      </w:r>
      <w:r w:rsidR="00A621C9" w:rsidRPr="00333A62">
        <w:rPr>
          <w:rStyle w:val="Appelnotedebasdep"/>
          <w:rFonts w:ascii="Times New Roman" w:hAnsi="Times New Roman" w:cs="Times New Roman"/>
          <w:sz w:val="24"/>
          <w:szCs w:val="24"/>
          <w:lang w:val="fr-CI"/>
        </w:rPr>
        <w:footnoteReference w:id="26"/>
      </w:r>
      <w:r w:rsidRPr="00333A62">
        <w:rPr>
          <w:rFonts w:ascii="Times New Roman" w:hAnsi="Times New Roman" w:cs="Times New Roman"/>
          <w:sz w:val="24"/>
          <w:szCs w:val="24"/>
          <w:lang w:val="fr-CI"/>
        </w:rPr>
        <w:t xml:space="preserve"> </w:t>
      </w:r>
    </w:p>
    <w:p w14:paraId="19E005F1" w14:textId="2C475993" w:rsidR="0050393A" w:rsidRPr="00333A62" w:rsidRDefault="0050393A" w:rsidP="00333A62">
      <w:pPr>
        <w:spacing w:before="120" w:after="120" w:line="276" w:lineRule="auto"/>
        <w:jc w:val="both"/>
        <w:rPr>
          <w:rFonts w:ascii="Times New Roman" w:hAnsi="Times New Roman" w:cs="Times New Roman"/>
          <w:bCs/>
          <w:sz w:val="24"/>
          <w:szCs w:val="24"/>
        </w:rPr>
      </w:pPr>
      <w:r w:rsidRPr="00333A62">
        <w:rPr>
          <w:rFonts w:ascii="Times New Roman" w:hAnsi="Times New Roman" w:cs="Times New Roman"/>
          <w:bCs/>
          <w:sz w:val="24"/>
          <w:szCs w:val="24"/>
        </w:rPr>
        <w:t xml:space="preserve">On note une prévalence de </w:t>
      </w:r>
      <w:r w:rsidRPr="00333A62">
        <w:rPr>
          <w:rFonts w:ascii="Times New Roman" w:hAnsi="Times New Roman" w:cs="Times New Roman"/>
          <w:b/>
          <w:bCs/>
          <w:sz w:val="24"/>
          <w:szCs w:val="24"/>
        </w:rPr>
        <w:t xml:space="preserve">l’anémie </w:t>
      </w:r>
      <w:r w:rsidR="00A621C9" w:rsidRPr="00333A62">
        <w:rPr>
          <w:rFonts w:ascii="Times New Roman" w:hAnsi="Times New Roman" w:cs="Times New Roman"/>
          <w:bCs/>
          <w:sz w:val="24"/>
          <w:szCs w:val="24"/>
        </w:rPr>
        <w:t>par carence en fer</w:t>
      </w:r>
      <w:r w:rsidRPr="00333A62">
        <w:rPr>
          <w:rFonts w:ascii="Times New Roman" w:hAnsi="Times New Roman" w:cs="Times New Roman"/>
          <w:bCs/>
          <w:sz w:val="24"/>
          <w:szCs w:val="24"/>
        </w:rPr>
        <w:t xml:space="preserve"> chez les femmes en âge de </w:t>
      </w:r>
      <w:r w:rsidR="00A621C9" w:rsidRPr="00333A62">
        <w:rPr>
          <w:rFonts w:ascii="Times New Roman" w:hAnsi="Times New Roman" w:cs="Times New Roman"/>
          <w:bCs/>
          <w:sz w:val="24"/>
          <w:szCs w:val="24"/>
        </w:rPr>
        <w:t>reproduction</w:t>
      </w:r>
      <w:r w:rsidRPr="00333A62">
        <w:rPr>
          <w:rFonts w:ascii="Times New Roman" w:hAnsi="Times New Roman" w:cs="Times New Roman"/>
          <w:bCs/>
          <w:sz w:val="24"/>
          <w:szCs w:val="24"/>
        </w:rPr>
        <w:t xml:space="preserve"> de 54%</w:t>
      </w:r>
      <w:r w:rsidR="00A621C9" w:rsidRPr="00333A62">
        <w:rPr>
          <w:rFonts w:ascii="Times New Roman" w:hAnsi="Times New Roman" w:cs="Times New Roman"/>
          <w:bCs/>
          <w:sz w:val="24"/>
          <w:szCs w:val="24"/>
        </w:rPr>
        <w:t xml:space="preserve">. Elle est </w:t>
      </w:r>
      <w:r w:rsidRPr="00333A62">
        <w:rPr>
          <w:rFonts w:ascii="Times New Roman" w:hAnsi="Times New Roman" w:cs="Times New Roman"/>
          <w:bCs/>
          <w:sz w:val="24"/>
          <w:szCs w:val="24"/>
        </w:rPr>
        <w:t xml:space="preserve">de 63,6% chez les femmes enceintes et de 54,9% chez les femmes allaitantes. </w:t>
      </w:r>
      <w:r w:rsidRPr="00333A62">
        <w:rPr>
          <w:rFonts w:ascii="Times New Roman" w:hAnsi="Times New Roman" w:cs="Times New Roman"/>
          <w:sz w:val="24"/>
          <w:szCs w:val="24"/>
        </w:rPr>
        <w:t>L’objectif étant de réduire à 42% la prévalence de l’anémie chez les femmes en âge de procréer.</w:t>
      </w:r>
    </w:p>
    <w:p w14:paraId="4250BB34" w14:textId="77777777" w:rsidR="0050393A" w:rsidRPr="00333A62" w:rsidRDefault="0050393A"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b/>
          <w:sz w:val="24"/>
          <w:szCs w:val="24"/>
        </w:rPr>
        <w:t>La surnutrition ou la malnutrition par excès</w:t>
      </w:r>
      <w:r w:rsidRPr="00333A62">
        <w:rPr>
          <w:rFonts w:ascii="Times New Roman" w:hAnsi="Times New Roman" w:cs="Times New Roman"/>
          <w:sz w:val="24"/>
          <w:szCs w:val="24"/>
        </w:rPr>
        <w:t xml:space="preserve">, </w:t>
      </w:r>
      <w:r w:rsidRPr="00333A62">
        <w:rPr>
          <w:rFonts w:ascii="Times New Roman" w:hAnsi="Times New Roman" w:cs="Times New Roman"/>
          <w:bCs/>
          <w:sz w:val="24"/>
          <w:szCs w:val="24"/>
        </w:rPr>
        <w:t>caractérisée par les surcharges pondérales et autres surcharges métaboliques,</w:t>
      </w:r>
      <w:r w:rsidRPr="00333A62">
        <w:rPr>
          <w:rFonts w:ascii="Times New Roman" w:hAnsi="Times New Roman" w:cs="Times New Roman"/>
          <w:sz w:val="24"/>
          <w:szCs w:val="24"/>
        </w:rPr>
        <w:t xml:space="preserve"> reste également préoccupante. En effet, 25,6% des femmes en âge de procréer non enceintes présentent un excès de poids (IMC &gt; 25) dont 34,3% en milieu urbain contre 16,5% au niveau rural. En ce qui concerne la surcharge pondérale et/ou obésité chez les enfants, la moyenne nationale est de 3% avec 3,3% chez les garçons et 2,8% chez les filles (MICS, 2016). </w:t>
      </w:r>
    </w:p>
    <w:p w14:paraId="048A1300" w14:textId="6FA4C6CB" w:rsidR="00A35D88" w:rsidRDefault="00A35D88"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b/>
          <w:sz w:val="24"/>
          <w:szCs w:val="24"/>
        </w:rPr>
        <w:t>L'allaitement maternel exclusif</w:t>
      </w:r>
      <w:r w:rsidRPr="00333A62">
        <w:rPr>
          <w:rFonts w:ascii="Times New Roman" w:hAnsi="Times New Roman" w:cs="Times New Roman"/>
          <w:sz w:val="24"/>
          <w:szCs w:val="24"/>
        </w:rPr>
        <w:t xml:space="preserve"> chez les enfants de moins de 6 mois qui, bien qu’ayant connu un taux d’amélioration notable de 12% en 2012 à 23,5% en 2016, reste en deçà de l’objectif de 2020 qui est de 50% (EDS, 2012 et MICS, 2016).</w:t>
      </w:r>
    </w:p>
    <w:p w14:paraId="50DFB417" w14:textId="77777777" w:rsidR="00EF1DF2" w:rsidRPr="00333A62" w:rsidRDefault="00EF1DF2" w:rsidP="00333A62">
      <w:pPr>
        <w:spacing w:before="120" w:after="120" w:line="276" w:lineRule="auto"/>
        <w:jc w:val="both"/>
        <w:rPr>
          <w:rFonts w:ascii="Times New Roman" w:hAnsi="Times New Roman" w:cs="Times New Roman"/>
          <w:sz w:val="24"/>
          <w:szCs w:val="24"/>
        </w:rPr>
      </w:pPr>
    </w:p>
    <w:p w14:paraId="40079EBF" w14:textId="395F70EB" w:rsidR="00A35D88" w:rsidRPr="00333A62" w:rsidRDefault="00911E65" w:rsidP="00333A62">
      <w:pPr>
        <w:spacing w:before="120" w:after="120" w:line="276" w:lineRule="auto"/>
        <w:jc w:val="both"/>
        <w:rPr>
          <w:rFonts w:ascii="Times New Roman" w:hAnsi="Times New Roman" w:cs="Times New Roman"/>
          <w:noProof/>
          <w:sz w:val="24"/>
          <w:szCs w:val="24"/>
          <w:lang w:val="fr-FR" w:eastAsia="fr-FR"/>
        </w:rPr>
      </w:pPr>
      <w:r w:rsidRPr="00333A62">
        <w:rPr>
          <w:rFonts w:ascii="Times New Roman" w:hAnsi="Times New Roman" w:cs="Times New Roman"/>
          <w:noProof/>
          <w:sz w:val="24"/>
          <w:szCs w:val="24"/>
          <w:lang w:val="fr-FR" w:eastAsia="fr-FR"/>
        </w:rPr>
        <w:lastRenderedPageBreak/>
        <w:drawing>
          <wp:inline distT="0" distB="0" distL="0" distR="0" wp14:anchorId="1D7BAE1B" wp14:editId="642CD43E">
            <wp:extent cx="5848350" cy="2466975"/>
            <wp:effectExtent l="0" t="0" r="0" b="9525"/>
            <wp:docPr id="25" name="Graphique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50EE03B" w14:textId="1B4A21C8" w:rsidR="00EF1DF2" w:rsidRPr="00EF1DF2" w:rsidRDefault="00EF1DF2" w:rsidP="00EF1DF2">
      <w:pPr>
        <w:pStyle w:val="Lgende"/>
        <w:rPr>
          <w:sz w:val="24"/>
          <w:szCs w:val="24"/>
        </w:rPr>
      </w:pPr>
      <w:bookmarkStart w:id="79" w:name="_Toc1588493"/>
      <w:r w:rsidRPr="00EF1DF2">
        <w:rPr>
          <w:sz w:val="24"/>
          <w:szCs w:val="24"/>
        </w:rPr>
        <w:t xml:space="preserve">Graphique </w:t>
      </w:r>
      <w:r w:rsidRPr="00EF1DF2">
        <w:rPr>
          <w:sz w:val="24"/>
          <w:szCs w:val="24"/>
        </w:rPr>
        <w:fldChar w:fldCharType="begin"/>
      </w:r>
      <w:r w:rsidRPr="00EF1DF2">
        <w:rPr>
          <w:sz w:val="24"/>
          <w:szCs w:val="24"/>
        </w:rPr>
        <w:instrText xml:space="preserve"> SEQ Graphique \* ARABIC </w:instrText>
      </w:r>
      <w:r w:rsidRPr="00EF1DF2">
        <w:rPr>
          <w:sz w:val="24"/>
          <w:szCs w:val="24"/>
        </w:rPr>
        <w:fldChar w:fldCharType="separate"/>
      </w:r>
      <w:r w:rsidR="009A04F0">
        <w:rPr>
          <w:noProof/>
          <w:sz w:val="24"/>
          <w:szCs w:val="24"/>
        </w:rPr>
        <w:t>17</w:t>
      </w:r>
      <w:r w:rsidRPr="00EF1DF2">
        <w:rPr>
          <w:sz w:val="24"/>
          <w:szCs w:val="24"/>
        </w:rPr>
        <w:fldChar w:fldCharType="end"/>
      </w:r>
      <w:r w:rsidR="00911E65" w:rsidRPr="00EF1DF2">
        <w:rPr>
          <w:sz w:val="24"/>
          <w:szCs w:val="24"/>
        </w:rPr>
        <w:t>:</w:t>
      </w:r>
      <w:r w:rsidR="00EE5744" w:rsidRPr="00EF1DF2">
        <w:rPr>
          <w:sz w:val="24"/>
          <w:szCs w:val="24"/>
        </w:rPr>
        <w:t xml:space="preserve"> Prévalence de l’allaitement exclusif par région.</w:t>
      </w:r>
      <w:bookmarkEnd w:id="79"/>
      <w:r w:rsidR="00EE5744" w:rsidRPr="00EF1DF2">
        <w:rPr>
          <w:sz w:val="24"/>
          <w:szCs w:val="24"/>
        </w:rPr>
        <w:t xml:space="preserve"> </w:t>
      </w:r>
    </w:p>
    <w:p w14:paraId="7D795F2C" w14:textId="6BC03E90" w:rsidR="00911E65" w:rsidRPr="00EF1DF2" w:rsidRDefault="00EF1DF2" w:rsidP="00EF1DF2">
      <w:pPr>
        <w:spacing w:after="0" w:line="276" w:lineRule="auto"/>
        <w:jc w:val="both"/>
        <w:rPr>
          <w:rFonts w:ascii="Times New Roman" w:hAnsi="Times New Roman" w:cs="Times New Roman"/>
          <w:sz w:val="24"/>
          <w:szCs w:val="24"/>
        </w:rPr>
      </w:pPr>
      <w:r w:rsidRPr="00EF1DF2">
        <w:rPr>
          <w:rFonts w:ascii="Times New Roman" w:hAnsi="Times New Roman" w:cs="Times New Roman"/>
          <w:sz w:val="24"/>
          <w:szCs w:val="24"/>
          <w:u w:val="single"/>
        </w:rPr>
        <w:t>Source</w:t>
      </w:r>
      <w:r>
        <w:rPr>
          <w:rFonts w:ascii="Times New Roman" w:hAnsi="Times New Roman" w:cs="Times New Roman"/>
          <w:sz w:val="24"/>
          <w:szCs w:val="24"/>
        </w:rPr>
        <w:t> : MICS 2016</w:t>
      </w:r>
    </w:p>
    <w:p w14:paraId="59A12345" w14:textId="15D2EE5A" w:rsidR="00911E65" w:rsidRDefault="00A35D88"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rPr>
        <w:t>Toutes les régions sont en deçà de la couverture nationale en allaitement exclusif. Seulement les régions du Nord-Est et de l’Ouest présentent des taux proches de la valeur nationale (37.5%)</w:t>
      </w:r>
      <w:r w:rsidR="0046293F" w:rsidRPr="00333A62">
        <w:rPr>
          <w:rFonts w:ascii="Times New Roman" w:hAnsi="Times New Roman" w:cs="Times New Roman"/>
          <w:sz w:val="24"/>
          <w:szCs w:val="24"/>
        </w:rPr>
        <w:t>.</w:t>
      </w:r>
      <w:r w:rsidR="00911E65" w:rsidRPr="00333A62">
        <w:rPr>
          <w:rFonts w:ascii="Times New Roman" w:hAnsi="Times New Roman" w:cs="Times New Roman"/>
          <w:sz w:val="24"/>
          <w:szCs w:val="24"/>
          <w:lang w:val="fr-FR"/>
        </w:rPr>
        <w:t xml:space="preserve"> La proportion de nourrisson mis au sein dans l’heure qui suit la naissance est passée de 31% en 2012 à 36.6% en 2016. Le taux d’allaitement maternel exclusif est passé de 12% en 2012 à 23,5% en 2016.</w:t>
      </w:r>
    </w:p>
    <w:p w14:paraId="0283C03E" w14:textId="77777777" w:rsidR="00FA3E14" w:rsidRDefault="00FA3E14" w:rsidP="00333A62">
      <w:pPr>
        <w:spacing w:before="120" w:after="120" w:line="276" w:lineRule="auto"/>
        <w:jc w:val="both"/>
        <w:rPr>
          <w:rFonts w:ascii="Times New Roman" w:hAnsi="Times New Roman" w:cs="Times New Roman"/>
          <w:sz w:val="24"/>
          <w:szCs w:val="24"/>
          <w:lang w:val="fr-FR"/>
        </w:rPr>
      </w:pPr>
    </w:p>
    <w:p w14:paraId="1B3A1858" w14:textId="2686C3E4" w:rsidR="00F1177D" w:rsidRPr="009A04F0" w:rsidRDefault="0014576C" w:rsidP="00333A62">
      <w:pPr>
        <w:pStyle w:val="Titre3"/>
        <w:spacing w:before="120" w:after="120" w:line="276" w:lineRule="auto"/>
        <w:rPr>
          <w:rFonts w:ascii="Times New Roman" w:hAnsi="Times New Roman" w:cs="Times New Roman"/>
          <w:b/>
          <w:color w:val="0070C0"/>
        </w:rPr>
      </w:pPr>
      <w:bookmarkStart w:id="80" w:name="_Toc1573810"/>
      <w:r w:rsidRPr="009A04F0">
        <w:rPr>
          <w:rFonts w:ascii="Times New Roman" w:hAnsi="Times New Roman" w:cs="Times New Roman"/>
          <w:b/>
          <w:color w:val="0070C0"/>
        </w:rPr>
        <w:t xml:space="preserve">Santé des adolescents et des </w:t>
      </w:r>
      <w:r w:rsidR="00825055" w:rsidRPr="009A04F0">
        <w:rPr>
          <w:rFonts w:ascii="Times New Roman" w:hAnsi="Times New Roman" w:cs="Times New Roman"/>
          <w:b/>
          <w:color w:val="0070C0"/>
        </w:rPr>
        <w:t>jeunes</w:t>
      </w:r>
      <w:bookmarkEnd w:id="80"/>
      <w:r w:rsidR="00825055" w:rsidRPr="009A04F0">
        <w:rPr>
          <w:rFonts w:ascii="Times New Roman" w:hAnsi="Times New Roman" w:cs="Times New Roman"/>
          <w:b/>
          <w:color w:val="0070C0"/>
        </w:rPr>
        <w:t xml:space="preserve"> </w:t>
      </w:r>
    </w:p>
    <w:p w14:paraId="7FC9B879" w14:textId="1B15BE26" w:rsidR="000D0291" w:rsidRPr="00333A62" w:rsidRDefault="000D0291" w:rsidP="00333A62">
      <w:pPr>
        <w:spacing w:before="120" w:after="120" w:line="276" w:lineRule="auto"/>
        <w:jc w:val="both"/>
        <w:rPr>
          <w:rFonts w:ascii="Times New Roman" w:hAnsi="Times New Roman" w:cs="Times New Roman"/>
          <w:color w:val="000000"/>
          <w:sz w:val="24"/>
          <w:szCs w:val="24"/>
        </w:rPr>
      </w:pPr>
      <w:r w:rsidRPr="00333A62">
        <w:rPr>
          <w:rFonts w:ascii="Times New Roman" w:hAnsi="Times New Roman" w:cs="Times New Roman"/>
          <w:color w:val="000000"/>
          <w:sz w:val="24"/>
          <w:szCs w:val="24"/>
        </w:rPr>
        <w:t xml:space="preserve">Les adolescents et les jeunes représentent une importante force démographique et socioéconomique au niveau national mais également un facteur important pouvant influencer la santé publique. </w:t>
      </w:r>
    </w:p>
    <w:p w14:paraId="6CF5B039" w14:textId="3C401F31" w:rsidR="001D5D16" w:rsidRPr="00333A62" w:rsidRDefault="000D0291" w:rsidP="00333A62">
      <w:pPr>
        <w:spacing w:before="120" w:after="120" w:line="276" w:lineRule="auto"/>
        <w:jc w:val="both"/>
        <w:rPr>
          <w:rFonts w:ascii="Times New Roman" w:hAnsi="Times New Roman" w:cs="Times New Roman"/>
          <w:color w:val="000000"/>
          <w:sz w:val="24"/>
          <w:szCs w:val="24"/>
        </w:rPr>
      </w:pPr>
      <w:r w:rsidRPr="00333A62">
        <w:rPr>
          <w:rFonts w:ascii="Times New Roman" w:hAnsi="Times New Roman" w:cs="Times New Roman"/>
          <w:color w:val="000000"/>
          <w:sz w:val="24"/>
          <w:szCs w:val="24"/>
        </w:rPr>
        <w:t>En l’absence de données exhaustives de la situation, les problèmes majeurs de santé des adolescents et des jeunes</w:t>
      </w:r>
      <w:r w:rsidR="000703B8">
        <w:rPr>
          <w:rStyle w:val="Appelnotedebasdep"/>
          <w:rFonts w:ascii="Times New Roman" w:hAnsi="Times New Roman" w:cs="Times New Roman"/>
          <w:color w:val="000000"/>
          <w:sz w:val="24"/>
          <w:szCs w:val="24"/>
        </w:rPr>
        <w:footnoteReference w:id="27"/>
      </w:r>
      <w:r w:rsidRPr="00333A62">
        <w:rPr>
          <w:rFonts w:ascii="Times New Roman" w:hAnsi="Times New Roman" w:cs="Times New Roman"/>
          <w:color w:val="000000"/>
          <w:sz w:val="24"/>
          <w:szCs w:val="24"/>
        </w:rPr>
        <w:t xml:space="preserve"> en Côte d’Ivoire peuvent être regroupés comme suit : les causes de morbidité, la couverture des actes préventifs chez les enfants et les comportements à risque. </w:t>
      </w:r>
    </w:p>
    <w:p w14:paraId="204E558F" w14:textId="7DB04E10" w:rsidR="000D0291" w:rsidRPr="00333A62" w:rsidRDefault="000D0291" w:rsidP="00333A62">
      <w:pPr>
        <w:spacing w:before="120" w:after="120" w:line="276" w:lineRule="auto"/>
        <w:jc w:val="both"/>
        <w:rPr>
          <w:rFonts w:ascii="Times New Roman" w:hAnsi="Times New Roman" w:cs="Times New Roman"/>
          <w:color w:val="000000"/>
          <w:sz w:val="24"/>
          <w:szCs w:val="24"/>
        </w:rPr>
      </w:pPr>
      <w:r w:rsidRPr="00333A62">
        <w:rPr>
          <w:rFonts w:ascii="Times New Roman" w:hAnsi="Times New Roman" w:cs="Times New Roman"/>
          <w:color w:val="000000"/>
          <w:sz w:val="24"/>
          <w:szCs w:val="24"/>
        </w:rPr>
        <w:t xml:space="preserve">Les principales causes de morbidité en 2014 relevées dans les services de santé scolaire et universitaire selon les données du Programme national de santé scolaire et universitaire sont le paludisme (41%), infections respiratoires aiguës </w:t>
      </w:r>
      <w:r w:rsidR="000703B8">
        <w:rPr>
          <w:rFonts w:ascii="Times New Roman" w:hAnsi="Times New Roman" w:cs="Times New Roman"/>
          <w:color w:val="000000"/>
          <w:sz w:val="24"/>
          <w:szCs w:val="24"/>
        </w:rPr>
        <w:t>(16%), les cas de diarrhées (14</w:t>
      </w:r>
      <w:r w:rsidRPr="00333A62">
        <w:rPr>
          <w:rFonts w:ascii="Times New Roman" w:hAnsi="Times New Roman" w:cs="Times New Roman"/>
          <w:color w:val="000000"/>
          <w:sz w:val="24"/>
          <w:szCs w:val="24"/>
        </w:rPr>
        <w:t>895 cas diagnostiqués) et l</w:t>
      </w:r>
      <w:r w:rsidR="000703B8">
        <w:rPr>
          <w:rFonts w:ascii="Times New Roman" w:hAnsi="Times New Roman" w:cs="Times New Roman"/>
          <w:color w:val="000000"/>
          <w:sz w:val="24"/>
          <w:szCs w:val="24"/>
        </w:rPr>
        <w:t>es affections buccodentaires (6</w:t>
      </w:r>
      <w:r w:rsidRPr="00333A62">
        <w:rPr>
          <w:rFonts w:ascii="Times New Roman" w:hAnsi="Times New Roman" w:cs="Times New Roman"/>
          <w:color w:val="000000"/>
          <w:sz w:val="24"/>
          <w:szCs w:val="24"/>
        </w:rPr>
        <w:t xml:space="preserve">952 cas diagnostiqués). </w:t>
      </w:r>
    </w:p>
    <w:p w14:paraId="25D01415" w14:textId="77777777" w:rsidR="000D0291" w:rsidRPr="00333A62" w:rsidRDefault="000D0291" w:rsidP="00333A62">
      <w:pPr>
        <w:spacing w:before="120" w:after="120" w:line="276" w:lineRule="auto"/>
        <w:jc w:val="both"/>
        <w:rPr>
          <w:rFonts w:ascii="Times New Roman" w:hAnsi="Times New Roman" w:cs="Times New Roman"/>
          <w:color w:val="000000"/>
          <w:sz w:val="24"/>
          <w:szCs w:val="24"/>
        </w:rPr>
      </w:pPr>
      <w:r w:rsidRPr="00333A62">
        <w:rPr>
          <w:rFonts w:ascii="Times New Roman" w:hAnsi="Times New Roman" w:cs="Times New Roman"/>
          <w:color w:val="000000"/>
          <w:sz w:val="24"/>
          <w:szCs w:val="24"/>
        </w:rPr>
        <w:t>La prévalence du VIH/sida en Côte d’Ivoire dans le groupe d’âges de 15 – 19 ans est de 0,5% (0,8% chez les filles et 0,1% chez les garçons) et augmente avec l’âge pour atteindre 2,2% chez les 20 – 24 ans dont 3,6% de femmes et 0,5% d’hommes.  La prévalence des IST chez les 15-24 ans est de 9,3% chez les femmes et 6,5% chez les hommes. En Côte d’Ivoire, 20,2% des filles (13,8% chez les garçons) de 15 à 24 ans ont eu leur premier rapport sexuel avant d’atteindre l’âge exact de 15 ans.</w:t>
      </w:r>
    </w:p>
    <w:p w14:paraId="27C4BFD6" w14:textId="2BCA4342" w:rsidR="001D5D16" w:rsidRPr="00333A62" w:rsidRDefault="000D0291" w:rsidP="00333A62">
      <w:pPr>
        <w:spacing w:before="120" w:after="120" w:line="276" w:lineRule="auto"/>
        <w:jc w:val="both"/>
        <w:rPr>
          <w:rFonts w:ascii="Times New Roman" w:hAnsi="Times New Roman" w:cs="Times New Roman"/>
          <w:color w:val="000000"/>
          <w:sz w:val="24"/>
          <w:szCs w:val="24"/>
        </w:rPr>
      </w:pPr>
      <w:r w:rsidRPr="00333A62">
        <w:rPr>
          <w:rFonts w:ascii="Times New Roman" w:hAnsi="Times New Roman" w:cs="Times New Roman"/>
          <w:color w:val="000000"/>
          <w:sz w:val="24"/>
          <w:szCs w:val="24"/>
        </w:rPr>
        <w:t xml:space="preserve">Par ailleurs, la drogue, l’alcool, et le tabac sont des substances dont la consommation abusive reste nuisible pour la santé des adolescents et des jeunes. La délinquance prend des proportions alarmantes. </w:t>
      </w:r>
      <w:r w:rsidR="001D5D16" w:rsidRPr="00333A62">
        <w:rPr>
          <w:rFonts w:ascii="Times New Roman" w:hAnsi="Times New Roman" w:cs="Times New Roman"/>
          <w:color w:val="000000"/>
          <w:sz w:val="24"/>
          <w:szCs w:val="24"/>
        </w:rPr>
        <w:lastRenderedPageBreak/>
        <w:t>En effet, l</w:t>
      </w:r>
      <w:r w:rsidRPr="00333A62">
        <w:rPr>
          <w:rFonts w:ascii="Times New Roman" w:hAnsi="Times New Roman" w:cs="Times New Roman"/>
          <w:color w:val="000000"/>
          <w:sz w:val="24"/>
          <w:szCs w:val="24"/>
        </w:rPr>
        <w:t xml:space="preserve">a Maison d’Arrêt et de Correction d’Abidjan (MACA) accueille chaque année 200 à 300 jeunes délinquants âgés de moins de 18 ans. </w:t>
      </w:r>
    </w:p>
    <w:p w14:paraId="055A646A" w14:textId="04A888C4" w:rsidR="000D0291" w:rsidRPr="00333A62" w:rsidRDefault="000D0291" w:rsidP="00333A62">
      <w:pPr>
        <w:spacing w:before="120" w:after="120" w:line="276" w:lineRule="auto"/>
        <w:jc w:val="both"/>
        <w:rPr>
          <w:rFonts w:ascii="Times New Roman" w:hAnsi="Times New Roman" w:cs="Times New Roman"/>
          <w:color w:val="000000"/>
          <w:sz w:val="24"/>
          <w:szCs w:val="24"/>
        </w:rPr>
      </w:pPr>
      <w:r w:rsidRPr="00333A62">
        <w:rPr>
          <w:rFonts w:ascii="Times New Roman" w:hAnsi="Times New Roman" w:cs="Times New Roman"/>
          <w:color w:val="000000"/>
          <w:sz w:val="24"/>
          <w:szCs w:val="24"/>
        </w:rPr>
        <w:t xml:space="preserve">En Côte d’Ivoire, 40 % des femmes de 20-24 ans ont déclaré avoir subi des violences physiques dès l’âge de 15 ans et 33 % des filles âgées de 15-19 ans ont </w:t>
      </w:r>
      <w:r w:rsidR="001D5D16" w:rsidRPr="00333A62">
        <w:rPr>
          <w:rFonts w:ascii="Times New Roman" w:hAnsi="Times New Roman" w:cs="Times New Roman"/>
          <w:color w:val="000000"/>
          <w:sz w:val="24"/>
          <w:szCs w:val="24"/>
        </w:rPr>
        <w:t>subi</w:t>
      </w:r>
      <w:r w:rsidRPr="00333A62">
        <w:rPr>
          <w:rFonts w:ascii="Times New Roman" w:hAnsi="Times New Roman" w:cs="Times New Roman"/>
          <w:color w:val="000000"/>
          <w:sz w:val="24"/>
          <w:szCs w:val="24"/>
        </w:rPr>
        <w:t xml:space="preserve"> des violences physiques depuis l’âge de 15 ans</w:t>
      </w:r>
      <w:r w:rsidRPr="00333A62">
        <w:rPr>
          <w:rFonts w:ascii="Times New Roman" w:hAnsi="Times New Roman" w:cs="Times New Roman"/>
          <w:color w:val="000000"/>
          <w:sz w:val="24"/>
          <w:szCs w:val="24"/>
        </w:rPr>
        <w:footnoteReference w:id="28"/>
      </w:r>
      <w:r w:rsidRPr="00333A62">
        <w:rPr>
          <w:rFonts w:ascii="Times New Roman" w:hAnsi="Times New Roman" w:cs="Times New Roman"/>
          <w:color w:val="000000"/>
          <w:sz w:val="24"/>
          <w:szCs w:val="24"/>
        </w:rPr>
        <w:t>.</w:t>
      </w:r>
    </w:p>
    <w:p w14:paraId="77CAF452" w14:textId="668A2798" w:rsidR="000D0291" w:rsidRDefault="005B20BE" w:rsidP="00333A62">
      <w:pPr>
        <w:spacing w:before="120" w:after="120" w:line="276" w:lineRule="auto"/>
        <w:jc w:val="both"/>
        <w:rPr>
          <w:rFonts w:ascii="Times New Roman" w:hAnsi="Times New Roman" w:cs="Times New Roman"/>
          <w:color w:val="000000"/>
          <w:sz w:val="24"/>
          <w:szCs w:val="24"/>
          <w:lang w:val="fr-FR"/>
        </w:rPr>
      </w:pPr>
      <w:r w:rsidRPr="00333A62">
        <w:rPr>
          <w:rFonts w:ascii="Times New Roman" w:hAnsi="Times New Roman" w:cs="Times New Roman"/>
          <w:color w:val="000000"/>
          <w:sz w:val="24"/>
          <w:szCs w:val="24"/>
          <w:lang w:val="fr-FR"/>
        </w:rPr>
        <w:t>95% des établissements sanitaires offrent des services de santé de l'adolescent. La disponibilité des services de conseils en matière de VIH est de 67%, de 47 % pour les services de planification familiale et pour les services de distribution de préservatifs est de 53%. L'offre de service la plus faible est la prescription de Dispositifs Intra Utérin (DIU) 10%. Les services de santé destinés aux adolescents sont plus disponibles dans le secteur public (95%) que dans le secteur privé (92%)</w:t>
      </w:r>
      <w:r w:rsidRPr="00333A62">
        <w:rPr>
          <w:rStyle w:val="Appelnotedebasdep"/>
          <w:rFonts w:ascii="Times New Roman" w:hAnsi="Times New Roman" w:cs="Times New Roman"/>
          <w:color w:val="000000"/>
          <w:sz w:val="24"/>
          <w:szCs w:val="24"/>
          <w:lang w:val="fr-FR"/>
        </w:rPr>
        <w:footnoteReference w:id="29"/>
      </w:r>
      <w:r w:rsidRPr="00333A62">
        <w:rPr>
          <w:rFonts w:ascii="Times New Roman" w:hAnsi="Times New Roman" w:cs="Times New Roman"/>
          <w:color w:val="000000"/>
          <w:sz w:val="24"/>
          <w:szCs w:val="24"/>
          <w:lang w:val="fr-FR"/>
        </w:rPr>
        <w:t>. La disponibilité des éléments de personnel et directive de l’enquête SARA 2016 montre que 17% des établissements de santé ont au moins un agent formé à la prestation des services de santé destinés aux adolescents.</w:t>
      </w:r>
    </w:p>
    <w:p w14:paraId="15E5526C" w14:textId="77777777" w:rsidR="000703B8" w:rsidRPr="00333A62" w:rsidRDefault="000703B8" w:rsidP="00333A62">
      <w:pPr>
        <w:spacing w:before="120" w:after="120" w:line="276" w:lineRule="auto"/>
        <w:jc w:val="both"/>
        <w:rPr>
          <w:rFonts w:ascii="Times New Roman" w:hAnsi="Times New Roman" w:cs="Times New Roman"/>
          <w:color w:val="000000"/>
          <w:sz w:val="24"/>
          <w:szCs w:val="24"/>
        </w:rPr>
      </w:pPr>
    </w:p>
    <w:p w14:paraId="1EC4A663" w14:textId="77777777" w:rsidR="00F1177D" w:rsidRPr="009A04F0" w:rsidRDefault="00825055" w:rsidP="00333A62">
      <w:pPr>
        <w:pStyle w:val="Titre2"/>
        <w:spacing w:before="120" w:after="120" w:line="276" w:lineRule="auto"/>
        <w:rPr>
          <w:rFonts w:ascii="Times New Roman" w:hAnsi="Times New Roman" w:cs="Times New Roman"/>
          <w:b/>
          <w:color w:val="0070C0"/>
          <w:sz w:val="24"/>
          <w:szCs w:val="24"/>
        </w:rPr>
      </w:pPr>
      <w:bookmarkStart w:id="81" w:name="_Toc1573811"/>
      <w:r w:rsidRPr="009A04F0">
        <w:rPr>
          <w:rFonts w:ascii="Times New Roman" w:hAnsi="Times New Roman" w:cs="Times New Roman"/>
          <w:b/>
          <w:color w:val="0070C0"/>
          <w:sz w:val="24"/>
          <w:szCs w:val="24"/>
        </w:rPr>
        <w:t xml:space="preserve">Couverture des interventions à haut impact </w:t>
      </w:r>
      <w:r w:rsidR="00F80B08" w:rsidRPr="009A04F0">
        <w:rPr>
          <w:rFonts w:ascii="Times New Roman" w:hAnsi="Times New Roman" w:cs="Times New Roman"/>
          <w:b/>
          <w:color w:val="0070C0"/>
          <w:sz w:val="24"/>
          <w:szCs w:val="24"/>
        </w:rPr>
        <w:t>sur la SRMNEA</w:t>
      </w:r>
      <w:bookmarkEnd w:id="81"/>
    </w:p>
    <w:p w14:paraId="5FD5F020" w14:textId="77777777" w:rsidR="00045DB4" w:rsidRPr="009A04F0" w:rsidRDefault="00825055" w:rsidP="00333A62">
      <w:pPr>
        <w:pStyle w:val="Titre3"/>
        <w:spacing w:before="120" w:after="120" w:line="276" w:lineRule="auto"/>
        <w:rPr>
          <w:rFonts w:ascii="Times New Roman" w:hAnsi="Times New Roman" w:cs="Times New Roman"/>
          <w:b/>
          <w:color w:val="0070C0"/>
        </w:rPr>
      </w:pPr>
      <w:bookmarkStart w:id="82" w:name="_Toc1573812"/>
      <w:r w:rsidRPr="009A04F0">
        <w:rPr>
          <w:rFonts w:ascii="Times New Roman" w:hAnsi="Times New Roman" w:cs="Times New Roman"/>
          <w:b/>
          <w:color w:val="0070C0"/>
        </w:rPr>
        <w:t>Vaccination</w:t>
      </w:r>
      <w:bookmarkEnd w:id="82"/>
    </w:p>
    <w:p w14:paraId="508B03C3" w14:textId="148B2209" w:rsidR="00045DB4" w:rsidRPr="00333A62" w:rsidRDefault="00045DB4" w:rsidP="00333A62">
      <w:pPr>
        <w:tabs>
          <w:tab w:val="left" w:pos="7940"/>
        </w:tabs>
        <w:spacing w:before="120" w:after="120" w:line="276" w:lineRule="auto"/>
        <w:ind w:right="23"/>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En Côte d’Ivoire, les populations cibles du Programme Elargi de Vaccination </w:t>
      </w:r>
      <w:r w:rsidR="00FF0323">
        <w:rPr>
          <w:rFonts w:ascii="Times New Roman" w:hAnsi="Times New Roman" w:cs="Times New Roman"/>
          <w:sz w:val="24"/>
          <w:szCs w:val="24"/>
          <w:lang w:val="fr-FR"/>
        </w:rPr>
        <w:t xml:space="preserve">en routine </w:t>
      </w:r>
      <w:r w:rsidRPr="00333A62">
        <w:rPr>
          <w:rFonts w:ascii="Times New Roman" w:hAnsi="Times New Roman" w:cs="Times New Roman"/>
          <w:sz w:val="24"/>
          <w:szCs w:val="24"/>
          <w:lang w:val="fr-FR"/>
        </w:rPr>
        <w:t>sont les enfants de 0-11 mois et les femmes enceintes. Le</w:t>
      </w:r>
      <w:r w:rsidR="000622F1">
        <w:rPr>
          <w:rFonts w:ascii="Times New Roman" w:hAnsi="Times New Roman" w:cs="Times New Roman"/>
          <w:sz w:val="24"/>
          <w:szCs w:val="24"/>
          <w:lang w:val="fr-FR"/>
        </w:rPr>
        <w:t xml:space="preserve">s </w:t>
      </w:r>
      <w:r w:rsidRPr="00333A62">
        <w:rPr>
          <w:rFonts w:ascii="Times New Roman" w:hAnsi="Times New Roman" w:cs="Times New Roman"/>
          <w:sz w:val="24"/>
          <w:szCs w:val="24"/>
          <w:lang w:val="fr-FR"/>
        </w:rPr>
        <w:t>vaccins d</w:t>
      </w:r>
      <w:r w:rsidR="000622F1">
        <w:rPr>
          <w:rFonts w:ascii="Times New Roman" w:hAnsi="Times New Roman" w:cs="Times New Roman"/>
          <w:sz w:val="24"/>
          <w:szCs w:val="24"/>
          <w:lang w:val="fr-FR"/>
        </w:rPr>
        <w:t>es enfants</w:t>
      </w:r>
      <w:r w:rsidRPr="00333A62">
        <w:rPr>
          <w:rFonts w:ascii="Times New Roman" w:hAnsi="Times New Roman" w:cs="Times New Roman"/>
          <w:sz w:val="24"/>
          <w:szCs w:val="24"/>
          <w:lang w:val="fr-FR"/>
        </w:rPr>
        <w:t xml:space="preserve"> sont le vaccin contre la tuberculose (BCG), </w:t>
      </w:r>
      <w:r w:rsidR="00D40B0C" w:rsidRPr="00333A62">
        <w:rPr>
          <w:rFonts w:ascii="Times New Roman" w:hAnsi="Times New Roman" w:cs="Times New Roman"/>
          <w:sz w:val="24"/>
          <w:szCs w:val="24"/>
          <w:lang w:val="fr-FR"/>
        </w:rPr>
        <w:t xml:space="preserve">le vaccin Polio oral (VPO), </w:t>
      </w:r>
      <w:r w:rsidR="000622F1" w:rsidRPr="00333A62">
        <w:rPr>
          <w:rFonts w:ascii="Times New Roman" w:hAnsi="Times New Roman" w:cs="Times New Roman"/>
          <w:sz w:val="24"/>
          <w:szCs w:val="24"/>
          <w:lang w:val="fr-FR"/>
        </w:rPr>
        <w:t>le vaccin antipoliomyélitique Inactivé (VPI)</w:t>
      </w:r>
      <w:r w:rsidR="003A79B8">
        <w:rPr>
          <w:rFonts w:ascii="Times New Roman" w:hAnsi="Times New Roman" w:cs="Times New Roman"/>
          <w:sz w:val="24"/>
          <w:szCs w:val="24"/>
          <w:lang w:val="fr-FR"/>
        </w:rPr>
        <w:t xml:space="preserve">, </w:t>
      </w:r>
      <w:r w:rsidRPr="00333A62">
        <w:rPr>
          <w:rFonts w:ascii="Times New Roman" w:hAnsi="Times New Roman" w:cs="Times New Roman"/>
          <w:sz w:val="24"/>
          <w:szCs w:val="24"/>
          <w:lang w:val="fr-FR"/>
        </w:rPr>
        <w:t>le vaccin pentavalent contre la diphtérie, le tétanos, la coqueluche, l’hépatite B et les infections à Haemophilus influenzae type B (DTC-Hép B-Hib)</w:t>
      </w:r>
      <w:r w:rsidR="00EE5744" w:rsidRPr="00333A62">
        <w:rPr>
          <w:rFonts w:ascii="Times New Roman" w:hAnsi="Times New Roman" w:cs="Times New Roman"/>
          <w:sz w:val="24"/>
          <w:szCs w:val="24"/>
          <w:lang w:val="fr-FR"/>
        </w:rPr>
        <w:t>, le vaccin anti rota virus</w:t>
      </w:r>
      <w:r w:rsidR="003A79B8">
        <w:rPr>
          <w:rFonts w:ascii="Times New Roman" w:hAnsi="Times New Roman" w:cs="Times New Roman"/>
          <w:sz w:val="24"/>
          <w:szCs w:val="24"/>
          <w:lang w:val="fr-FR"/>
        </w:rPr>
        <w:t>,</w:t>
      </w:r>
      <w:r w:rsidR="00EE5744" w:rsidRPr="00333A62">
        <w:rPr>
          <w:rFonts w:ascii="Times New Roman" w:hAnsi="Times New Roman" w:cs="Times New Roman"/>
          <w:sz w:val="24"/>
          <w:szCs w:val="24"/>
          <w:lang w:val="fr-FR"/>
        </w:rPr>
        <w:t xml:space="preserve"> </w:t>
      </w:r>
      <w:r w:rsidRPr="00333A62">
        <w:rPr>
          <w:rFonts w:ascii="Times New Roman" w:hAnsi="Times New Roman" w:cs="Times New Roman"/>
          <w:sz w:val="24"/>
          <w:szCs w:val="24"/>
          <w:lang w:val="fr-FR"/>
        </w:rPr>
        <w:t xml:space="preserve"> </w:t>
      </w:r>
      <w:r w:rsidR="00D40B0C" w:rsidRPr="00333A62">
        <w:rPr>
          <w:rFonts w:ascii="Times New Roman" w:hAnsi="Times New Roman" w:cs="Times New Roman"/>
          <w:sz w:val="24"/>
          <w:szCs w:val="24"/>
          <w:lang w:val="fr-FR"/>
        </w:rPr>
        <w:t xml:space="preserve">le vaccin contre les infections à pneumocoque (PCV 13), </w:t>
      </w:r>
      <w:r w:rsidRPr="00333A62">
        <w:rPr>
          <w:rFonts w:ascii="Times New Roman" w:hAnsi="Times New Roman" w:cs="Times New Roman"/>
          <w:sz w:val="24"/>
          <w:szCs w:val="24"/>
          <w:lang w:val="fr-FR"/>
        </w:rPr>
        <w:t>le vaccin a</w:t>
      </w:r>
      <w:r w:rsidR="00D40B0C" w:rsidRPr="00333A62">
        <w:rPr>
          <w:rFonts w:ascii="Times New Roman" w:hAnsi="Times New Roman" w:cs="Times New Roman"/>
          <w:sz w:val="24"/>
          <w:szCs w:val="24"/>
          <w:lang w:val="fr-FR"/>
        </w:rPr>
        <w:t>nti roug</w:t>
      </w:r>
      <w:r w:rsidR="00EE5744" w:rsidRPr="00333A62">
        <w:rPr>
          <w:rFonts w:ascii="Times New Roman" w:hAnsi="Times New Roman" w:cs="Times New Roman"/>
          <w:sz w:val="24"/>
          <w:szCs w:val="24"/>
          <w:lang w:val="fr-FR"/>
        </w:rPr>
        <w:t>e</w:t>
      </w:r>
      <w:r w:rsidR="00D40B0C" w:rsidRPr="00333A62">
        <w:rPr>
          <w:rFonts w:ascii="Times New Roman" w:hAnsi="Times New Roman" w:cs="Times New Roman"/>
          <w:sz w:val="24"/>
          <w:szCs w:val="24"/>
          <w:lang w:val="fr-FR"/>
        </w:rPr>
        <w:t>o-rubéoleux (VR</w:t>
      </w:r>
      <w:r w:rsidRPr="00333A62">
        <w:rPr>
          <w:rFonts w:ascii="Times New Roman" w:hAnsi="Times New Roman" w:cs="Times New Roman"/>
          <w:sz w:val="24"/>
          <w:szCs w:val="24"/>
          <w:lang w:val="fr-FR"/>
        </w:rPr>
        <w:t>R), le vaccin antiamaril (VAA),</w:t>
      </w:r>
      <w:r w:rsidR="00D40B0C" w:rsidRPr="00333A62">
        <w:rPr>
          <w:rFonts w:ascii="Times New Roman" w:hAnsi="Times New Roman" w:cs="Times New Roman"/>
          <w:sz w:val="24"/>
          <w:szCs w:val="24"/>
          <w:lang w:val="fr-FR"/>
        </w:rPr>
        <w:t xml:space="preserve"> </w:t>
      </w:r>
      <w:r w:rsidR="003A79B8">
        <w:rPr>
          <w:rFonts w:ascii="Times New Roman" w:hAnsi="Times New Roman" w:cs="Times New Roman"/>
          <w:sz w:val="24"/>
          <w:szCs w:val="24"/>
          <w:lang w:val="fr-FR"/>
        </w:rPr>
        <w:t xml:space="preserve">et </w:t>
      </w:r>
      <w:r w:rsidR="00D40B0C" w:rsidRPr="00333A62">
        <w:rPr>
          <w:rFonts w:ascii="Times New Roman" w:hAnsi="Times New Roman" w:cs="Times New Roman"/>
          <w:sz w:val="24"/>
          <w:szCs w:val="24"/>
          <w:lang w:val="fr-FR"/>
        </w:rPr>
        <w:t>le vaccin anti-méningite A (MEN A)</w:t>
      </w:r>
      <w:r w:rsidR="003A79B8">
        <w:rPr>
          <w:rFonts w:ascii="Times New Roman" w:hAnsi="Times New Roman" w:cs="Times New Roman"/>
          <w:sz w:val="24"/>
          <w:szCs w:val="24"/>
          <w:lang w:val="fr-FR"/>
        </w:rPr>
        <w:t>.</w:t>
      </w:r>
      <w:r w:rsidR="00D40B0C" w:rsidRPr="00333A62">
        <w:rPr>
          <w:rFonts w:ascii="Times New Roman" w:hAnsi="Times New Roman" w:cs="Times New Roman"/>
          <w:sz w:val="24"/>
          <w:szCs w:val="24"/>
          <w:lang w:val="fr-FR"/>
        </w:rPr>
        <w:t xml:space="preserve"> </w:t>
      </w:r>
      <w:r w:rsidR="003A79B8">
        <w:rPr>
          <w:rFonts w:ascii="Times New Roman" w:hAnsi="Times New Roman" w:cs="Times New Roman"/>
          <w:sz w:val="24"/>
          <w:szCs w:val="24"/>
          <w:lang w:val="fr-FR"/>
        </w:rPr>
        <w:t xml:space="preserve">Pour les femmes enceintes, il s’agit du </w:t>
      </w:r>
      <w:r w:rsidR="00D40B0C" w:rsidRPr="00333A62">
        <w:rPr>
          <w:rFonts w:ascii="Times New Roman" w:hAnsi="Times New Roman" w:cs="Times New Roman"/>
          <w:sz w:val="24"/>
          <w:szCs w:val="24"/>
          <w:lang w:val="fr-FR"/>
        </w:rPr>
        <w:t xml:space="preserve">vaccin </w:t>
      </w:r>
      <w:r w:rsidR="003A79B8">
        <w:rPr>
          <w:rFonts w:ascii="Times New Roman" w:hAnsi="Times New Roman" w:cs="Times New Roman"/>
          <w:sz w:val="24"/>
          <w:szCs w:val="24"/>
          <w:lang w:val="fr-FR"/>
        </w:rPr>
        <w:t>combiné contre le tétanos et la diphtérie</w:t>
      </w:r>
      <w:r w:rsidR="008B317A">
        <w:rPr>
          <w:rFonts w:ascii="Times New Roman" w:hAnsi="Times New Roman" w:cs="Times New Roman"/>
          <w:sz w:val="24"/>
          <w:szCs w:val="24"/>
          <w:lang w:val="fr-FR"/>
        </w:rPr>
        <w:t xml:space="preserve"> </w:t>
      </w:r>
      <w:r w:rsidR="00D40B0C" w:rsidRPr="00333A62">
        <w:rPr>
          <w:rFonts w:ascii="Times New Roman" w:hAnsi="Times New Roman" w:cs="Times New Roman"/>
          <w:sz w:val="24"/>
          <w:szCs w:val="24"/>
          <w:lang w:val="fr-FR"/>
        </w:rPr>
        <w:t>(</w:t>
      </w:r>
      <w:r w:rsidR="003A79B8">
        <w:rPr>
          <w:rFonts w:ascii="Times New Roman" w:hAnsi="Times New Roman" w:cs="Times New Roman"/>
          <w:sz w:val="24"/>
          <w:szCs w:val="24"/>
          <w:lang w:val="fr-FR"/>
        </w:rPr>
        <w:t>D</w:t>
      </w:r>
      <w:r w:rsidR="00D40B0C" w:rsidRPr="00333A62">
        <w:rPr>
          <w:rFonts w:ascii="Times New Roman" w:hAnsi="Times New Roman" w:cs="Times New Roman"/>
          <w:sz w:val="24"/>
          <w:szCs w:val="24"/>
          <w:lang w:val="fr-FR"/>
        </w:rPr>
        <w:t>T).</w:t>
      </w:r>
      <w:r w:rsidR="00EE5744" w:rsidRPr="00333A62">
        <w:rPr>
          <w:rFonts w:ascii="Times New Roman" w:hAnsi="Times New Roman" w:cs="Times New Roman"/>
          <w:sz w:val="24"/>
          <w:szCs w:val="24"/>
          <w:lang w:val="fr-FR"/>
        </w:rPr>
        <w:t xml:space="preserve"> Le pays prévoit l’introduction du vaccin anti papilloma-virus (VVHP).</w:t>
      </w:r>
      <w:r w:rsidR="008B317A">
        <w:rPr>
          <w:rFonts w:ascii="Times New Roman" w:hAnsi="Times New Roman" w:cs="Times New Roman"/>
          <w:sz w:val="24"/>
          <w:szCs w:val="24"/>
          <w:lang w:val="fr-FR"/>
        </w:rPr>
        <w:t xml:space="preserve"> </w:t>
      </w:r>
    </w:p>
    <w:p w14:paraId="7B24426A" w14:textId="77777777" w:rsidR="0034053A" w:rsidRPr="0034053A" w:rsidRDefault="0034053A" w:rsidP="0034053A">
      <w:pPr>
        <w:spacing w:line="276" w:lineRule="auto"/>
        <w:jc w:val="both"/>
        <w:rPr>
          <w:rFonts w:ascii="Times New Roman" w:hAnsi="Times New Roman" w:cs="Times New Roman"/>
          <w:sz w:val="24"/>
          <w:szCs w:val="24"/>
          <w:lang w:val="fr-FR"/>
        </w:rPr>
      </w:pPr>
      <w:r w:rsidRPr="0034053A">
        <w:rPr>
          <w:rFonts w:ascii="Times New Roman" w:hAnsi="Times New Roman" w:cs="Times New Roman"/>
          <w:sz w:val="24"/>
          <w:szCs w:val="24"/>
          <w:lang w:val="fr-FR"/>
        </w:rPr>
        <w:t>En 2017, la proportion d’enfants complètement vaccinés au niveau national selon les estimations de l’OMS et de l’UNICEF était de 92% pour le BCG, 99% pour le Penta 1, 84% pour le Penta 3, 82% pour le VPO3, 78% pour le VAR et 84% pour le VAA.</w:t>
      </w:r>
    </w:p>
    <w:p w14:paraId="30195E7D" w14:textId="77777777" w:rsidR="00F878CF" w:rsidRDefault="00F878CF" w:rsidP="00333A62">
      <w:pPr>
        <w:spacing w:before="120" w:after="120" w:line="276" w:lineRule="auto"/>
        <w:jc w:val="both"/>
        <w:rPr>
          <w:rFonts w:ascii="Times New Roman" w:hAnsi="Times New Roman" w:cs="Times New Roman"/>
          <w:sz w:val="24"/>
          <w:szCs w:val="24"/>
          <w:lang w:val="fr-FR"/>
        </w:rPr>
      </w:pPr>
    </w:p>
    <w:p w14:paraId="61F11281" w14:textId="77777777" w:rsidR="00F1177D" w:rsidRPr="009A04F0" w:rsidRDefault="00825055" w:rsidP="00333A62">
      <w:pPr>
        <w:pStyle w:val="Titre3"/>
        <w:spacing w:before="120" w:after="120" w:line="276" w:lineRule="auto"/>
        <w:rPr>
          <w:rFonts w:ascii="Times New Roman" w:hAnsi="Times New Roman" w:cs="Times New Roman"/>
          <w:b/>
          <w:color w:val="0070C0"/>
        </w:rPr>
      </w:pPr>
      <w:bookmarkStart w:id="83" w:name="_Toc1573813"/>
      <w:r w:rsidRPr="009A04F0">
        <w:rPr>
          <w:rFonts w:ascii="Times New Roman" w:hAnsi="Times New Roman" w:cs="Times New Roman"/>
          <w:b/>
          <w:color w:val="0070C0"/>
        </w:rPr>
        <w:t>Utilisation de la contraception</w:t>
      </w:r>
      <w:bookmarkEnd w:id="83"/>
      <w:r w:rsidRPr="009A04F0">
        <w:rPr>
          <w:rFonts w:ascii="Times New Roman" w:hAnsi="Times New Roman" w:cs="Times New Roman"/>
          <w:b/>
          <w:color w:val="0070C0"/>
        </w:rPr>
        <w:t xml:space="preserve"> </w:t>
      </w:r>
    </w:p>
    <w:p w14:paraId="1A89B00C" w14:textId="6AF8AB84" w:rsidR="0077743F" w:rsidRPr="00333A62" w:rsidRDefault="00045DB4" w:rsidP="00333A62">
      <w:pPr>
        <w:spacing w:before="120" w:after="120" w:line="276" w:lineRule="auto"/>
        <w:jc w:val="both"/>
        <w:rPr>
          <w:rFonts w:ascii="Times New Roman" w:eastAsiaTheme="majorEastAsia" w:hAnsi="Times New Roman" w:cs="Times New Roman"/>
          <w:sz w:val="24"/>
          <w:szCs w:val="24"/>
        </w:rPr>
      </w:pPr>
      <w:r w:rsidRPr="00333A62">
        <w:rPr>
          <w:rFonts w:ascii="Times New Roman" w:hAnsi="Times New Roman" w:cs="Times New Roman"/>
          <w:sz w:val="24"/>
          <w:szCs w:val="24"/>
          <w:lang w:val="fr-FR"/>
        </w:rPr>
        <w:t>La planification familiale (PF), premier pilier pour une maternité sans risque est satisfaisante</w:t>
      </w:r>
      <w:r w:rsidRPr="00333A62">
        <w:rPr>
          <w:rFonts w:ascii="Times New Roman" w:eastAsiaTheme="majorEastAsia" w:hAnsi="Times New Roman" w:cs="Times New Roman"/>
          <w:sz w:val="24"/>
          <w:szCs w:val="24"/>
        </w:rPr>
        <w:t xml:space="preserve">. Elle </w:t>
      </w:r>
      <w:r w:rsidR="0077743F" w:rsidRPr="00333A62">
        <w:rPr>
          <w:rFonts w:ascii="Times New Roman" w:eastAsiaTheme="majorEastAsia" w:hAnsi="Times New Roman" w:cs="Times New Roman"/>
          <w:sz w:val="24"/>
          <w:szCs w:val="24"/>
        </w:rPr>
        <w:t>est offerte dans 95 % des établissements sanitaires du secteur public et 96,1% de ces structures offrent au moins trois méthodes modernes (RASS 2017).</w:t>
      </w:r>
    </w:p>
    <w:p w14:paraId="2F337694" w14:textId="1F715F97" w:rsidR="0077743F" w:rsidRPr="00333A62" w:rsidRDefault="0077743F" w:rsidP="00333A62">
      <w:pPr>
        <w:spacing w:before="120" w:after="120" w:line="276" w:lineRule="auto"/>
        <w:jc w:val="both"/>
        <w:rPr>
          <w:rFonts w:ascii="Times New Roman" w:eastAsiaTheme="majorEastAsia" w:hAnsi="Times New Roman" w:cs="Times New Roman"/>
          <w:sz w:val="24"/>
          <w:szCs w:val="24"/>
        </w:rPr>
      </w:pPr>
      <w:r w:rsidRPr="00333A62">
        <w:rPr>
          <w:rFonts w:ascii="Times New Roman" w:eastAsiaTheme="majorEastAsia" w:hAnsi="Times New Roman" w:cs="Times New Roman"/>
          <w:sz w:val="24"/>
          <w:szCs w:val="24"/>
        </w:rPr>
        <w:t xml:space="preserve">La prévalence contraceptive </w:t>
      </w:r>
      <w:r w:rsidR="00231FF4" w:rsidRPr="00333A62">
        <w:rPr>
          <w:rFonts w:ascii="Times New Roman" w:eastAsiaTheme="majorEastAsia" w:hAnsi="Times New Roman" w:cs="Times New Roman"/>
          <w:sz w:val="24"/>
          <w:szCs w:val="24"/>
        </w:rPr>
        <w:t>était estimé</w:t>
      </w:r>
      <w:r w:rsidRPr="00333A62">
        <w:rPr>
          <w:rFonts w:ascii="Times New Roman" w:eastAsiaTheme="majorEastAsia" w:hAnsi="Times New Roman" w:cs="Times New Roman"/>
          <w:sz w:val="24"/>
          <w:szCs w:val="24"/>
        </w:rPr>
        <w:t xml:space="preserve"> à 15,5%</w:t>
      </w:r>
      <w:r w:rsidR="00231FF4" w:rsidRPr="00333A62">
        <w:rPr>
          <w:rFonts w:ascii="Times New Roman" w:eastAsiaTheme="majorEastAsia" w:hAnsi="Times New Roman" w:cs="Times New Roman"/>
          <w:sz w:val="24"/>
          <w:szCs w:val="24"/>
        </w:rPr>
        <w:t xml:space="preserve"> en 2016</w:t>
      </w:r>
      <w:r w:rsidRPr="00333A62">
        <w:rPr>
          <w:rFonts w:ascii="Times New Roman" w:eastAsiaTheme="majorEastAsia" w:hAnsi="Times New Roman" w:cs="Times New Roman"/>
          <w:sz w:val="24"/>
          <w:szCs w:val="24"/>
        </w:rPr>
        <w:t xml:space="preserve"> Les besoins non satisfaits en PF </w:t>
      </w:r>
      <w:r w:rsidR="00231FF4" w:rsidRPr="00333A62">
        <w:rPr>
          <w:rFonts w:ascii="Times New Roman" w:eastAsiaTheme="majorEastAsia" w:hAnsi="Times New Roman" w:cs="Times New Roman"/>
          <w:sz w:val="24"/>
          <w:szCs w:val="24"/>
        </w:rPr>
        <w:t>était</w:t>
      </w:r>
      <w:r w:rsidRPr="00333A62">
        <w:rPr>
          <w:rFonts w:ascii="Times New Roman" w:eastAsiaTheme="majorEastAsia" w:hAnsi="Times New Roman" w:cs="Times New Roman"/>
          <w:sz w:val="24"/>
          <w:szCs w:val="24"/>
        </w:rPr>
        <w:t xml:space="preserve"> estimé à 30,5%</w:t>
      </w:r>
      <w:r w:rsidR="00231FF4" w:rsidRPr="00333A62">
        <w:rPr>
          <w:rFonts w:ascii="Times New Roman" w:eastAsiaTheme="majorEastAsia" w:hAnsi="Times New Roman" w:cs="Times New Roman"/>
          <w:sz w:val="24"/>
          <w:szCs w:val="24"/>
        </w:rPr>
        <w:t xml:space="preserve"> (MICS 2016)</w:t>
      </w:r>
      <w:r w:rsidRPr="00333A62">
        <w:rPr>
          <w:rFonts w:ascii="Times New Roman" w:eastAsiaTheme="majorEastAsia" w:hAnsi="Times New Roman" w:cs="Times New Roman"/>
          <w:sz w:val="24"/>
          <w:szCs w:val="24"/>
        </w:rPr>
        <w:t>.</w:t>
      </w:r>
    </w:p>
    <w:p w14:paraId="038D5EF4" w14:textId="4E0F6B63" w:rsidR="00045DB4" w:rsidRPr="00333A62" w:rsidRDefault="00231FF4"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En 2018</w:t>
      </w:r>
      <w:r w:rsidR="00045DB4" w:rsidRPr="00333A62">
        <w:rPr>
          <w:rFonts w:ascii="Times New Roman" w:hAnsi="Times New Roman" w:cs="Times New Roman"/>
          <w:sz w:val="24"/>
          <w:szCs w:val="24"/>
          <w:lang w:val="fr-FR"/>
        </w:rPr>
        <w:t>, la prévalence contraceptive nationale, toutes méthodes confondues, est de 40 % pour cent chez les femmes mariées ou vivant en union</w:t>
      </w:r>
      <w:r w:rsidRPr="00333A62">
        <w:rPr>
          <w:rFonts w:ascii="Times New Roman" w:hAnsi="Times New Roman" w:cs="Times New Roman"/>
          <w:sz w:val="24"/>
          <w:szCs w:val="24"/>
          <w:lang w:val="fr-FR"/>
        </w:rPr>
        <w:t xml:space="preserve">. Le </w:t>
      </w:r>
      <w:r w:rsidR="00045DB4" w:rsidRPr="00333A62">
        <w:rPr>
          <w:rFonts w:ascii="Times New Roman" w:hAnsi="Times New Roman" w:cs="Times New Roman"/>
          <w:sz w:val="24"/>
          <w:szCs w:val="24"/>
          <w:lang w:val="fr-FR"/>
        </w:rPr>
        <w:t xml:space="preserve">pourcentage de demande de contraception satisfaite </w:t>
      </w:r>
      <w:r w:rsidR="00045DB4" w:rsidRPr="00333A62">
        <w:rPr>
          <w:rFonts w:ascii="Times New Roman" w:hAnsi="Times New Roman" w:cs="Times New Roman"/>
          <w:sz w:val="24"/>
          <w:szCs w:val="24"/>
          <w:lang w:val="fr-FR"/>
        </w:rPr>
        <w:lastRenderedPageBreak/>
        <w:t>est de 40,2 % avec des variations importantes selon les caractéristiques sociodémographiques et les régions</w:t>
      </w:r>
      <w:r w:rsidR="00045DB4" w:rsidRPr="00333A62">
        <w:rPr>
          <w:rStyle w:val="Appelnotedebasdep"/>
          <w:rFonts w:ascii="Times New Roman" w:hAnsi="Times New Roman" w:cs="Times New Roman"/>
          <w:sz w:val="24"/>
          <w:szCs w:val="24"/>
          <w:lang w:val="fr-FR"/>
        </w:rPr>
        <w:footnoteReference w:id="30"/>
      </w:r>
      <w:r w:rsidR="00045DB4" w:rsidRPr="00333A62">
        <w:rPr>
          <w:rFonts w:ascii="Times New Roman" w:hAnsi="Times New Roman" w:cs="Times New Roman"/>
          <w:sz w:val="24"/>
          <w:szCs w:val="24"/>
          <w:lang w:val="fr-FR"/>
        </w:rPr>
        <w:t xml:space="preserve">. </w:t>
      </w:r>
    </w:p>
    <w:p w14:paraId="15C30A87" w14:textId="77777777" w:rsidR="00045DB4" w:rsidRPr="00333A62" w:rsidRDefault="00045DB4"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noProof/>
          <w:sz w:val="24"/>
          <w:szCs w:val="24"/>
          <w:lang w:val="fr-FR" w:eastAsia="fr-FR"/>
        </w:rPr>
        <w:drawing>
          <wp:inline distT="0" distB="0" distL="0" distR="0" wp14:anchorId="271C7B05" wp14:editId="795C03B9">
            <wp:extent cx="5924550" cy="2363821"/>
            <wp:effectExtent l="0" t="0" r="0" b="17780"/>
            <wp:docPr id="17" name="Graphique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372BD1A" w14:textId="5A5A50B4" w:rsidR="00FA3E14" w:rsidRDefault="00EF1DF2" w:rsidP="00FA3E14">
      <w:pPr>
        <w:pStyle w:val="Lgende"/>
        <w:rPr>
          <w:b w:val="0"/>
          <w:sz w:val="24"/>
          <w:szCs w:val="24"/>
        </w:rPr>
      </w:pPr>
      <w:bookmarkStart w:id="84" w:name="_Toc1588494"/>
      <w:r w:rsidRPr="00EF1DF2">
        <w:rPr>
          <w:sz w:val="24"/>
          <w:szCs w:val="24"/>
        </w:rPr>
        <w:t xml:space="preserve">Graphique </w:t>
      </w:r>
      <w:r w:rsidRPr="00EF1DF2">
        <w:rPr>
          <w:sz w:val="24"/>
          <w:szCs w:val="24"/>
        </w:rPr>
        <w:fldChar w:fldCharType="begin"/>
      </w:r>
      <w:r w:rsidRPr="00EF1DF2">
        <w:rPr>
          <w:sz w:val="24"/>
          <w:szCs w:val="24"/>
        </w:rPr>
        <w:instrText xml:space="preserve"> SEQ Graphique \* ARABIC </w:instrText>
      </w:r>
      <w:r w:rsidRPr="00EF1DF2">
        <w:rPr>
          <w:sz w:val="24"/>
          <w:szCs w:val="24"/>
        </w:rPr>
        <w:fldChar w:fldCharType="separate"/>
      </w:r>
      <w:r w:rsidR="009A04F0">
        <w:rPr>
          <w:noProof/>
          <w:sz w:val="24"/>
          <w:szCs w:val="24"/>
        </w:rPr>
        <w:t>18</w:t>
      </w:r>
      <w:r w:rsidRPr="00EF1DF2">
        <w:rPr>
          <w:sz w:val="24"/>
          <w:szCs w:val="24"/>
        </w:rPr>
        <w:fldChar w:fldCharType="end"/>
      </w:r>
      <w:r w:rsidR="00045DB4" w:rsidRPr="00EF1DF2">
        <w:rPr>
          <w:sz w:val="24"/>
          <w:szCs w:val="24"/>
        </w:rPr>
        <w:t>: Evolution de la prévalence contraceptive et des besoins non satisfaits en matière de contraception de 2012 à 2018.</w:t>
      </w:r>
      <w:r w:rsidR="00045DB4" w:rsidRPr="00333A62">
        <w:rPr>
          <w:b w:val="0"/>
          <w:sz w:val="24"/>
          <w:szCs w:val="24"/>
        </w:rPr>
        <w:t xml:space="preserve"> </w:t>
      </w:r>
      <w:r w:rsidR="00231FF4" w:rsidRPr="00333A62">
        <w:rPr>
          <w:b w:val="0"/>
          <w:sz w:val="24"/>
          <w:szCs w:val="24"/>
        </w:rPr>
        <w:t>(</w:t>
      </w:r>
      <w:r w:rsidR="00045DB4" w:rsidRPr="00333A62">
        <w:rPr>
          <w:b w:val="0"/>
          <w:sz w:val="24"/>
          <w:szCs w:val="24"/>
        </w:rPr>
        <w:t>Source TRACK 2020</w:t>
      </w:r>
      <w:r w:rsidR="00231FF4" w:rsidRPr="00333A62">
        <w:rPr>
          <w:b w:val="0"/>
          <w:sz w:val="24"/>
          <w:szCs w:val="24"/>
        </w:rPr>
        <w:t>)</w:t>
      </w:r>
      <w:bookmarkEnd w:id="84"/>
    </w:p>
    <w:p w14:paraId="55D6E660" w14:textId="77777777" w:rsidR="00FA3E14" w:rsidRPr="00FA3E14" w:rsidRDefault="00FA3E14" w:rsidP="00FA3E14">
      <w:pPr>
        <w:rPr>
          <w:lang w:val="fr-FR" w:eastAsia="en-GB"/>
        </w:rPr>
      </w:pPr>
    </w:p>
    <w:p w14:paraId="785FC882" w14:textId="77777777" w:rsidR="00F1177D" w:rsidRPr="009A04F0" w:rsidRDefault="00825055" w:rsidP="00333A62">
      <w:pPr>
        <w:pStyle w:val="Titre3"/>
        <w:spacing w:before="120" w:after="120" w:line="276" w:lineRule="auto"/>
        <w:rPr>
          <w:rFonts w:ascii="Times New Roman" w:hAnsi="Times New Roman" w:cs="Times New Roman"/>
          <w:b/>
          <w:color w:val="0070C0"/>
        </w:rPr>
      </w:pPr>
      <w:bookmarkStart w:id="85" w:name="_Toc1573814"/>
      <w:r w:rsidRPr="009A04F0">
        <w:rPr>
          <w:rFonts w:ascii="Times New Roman" w:hAnsi="Times New Roman" w:cs="Times New Roman"/>
          <w:b/>
          <w:color w:val="0070C0"/>
        </w:rPr>
        <w:t>Couverture des soins prénatals</w:t>
      </w:r>
      <w:bookmarkEnd w:id="85"/>
      <w:r w:rsidRPr="009A04F0">
        <w:rPr>
          <w:rFonts w:ascii="Times New Roman" w:hAnsi="Times New Roman" w:cs="Times New Roman"/>
          <w:b/>
          <w:color w:val="0070C0"/>
        </w:rPr>
        <w:t xml:space="preserve"> </w:t>
      </w:r>
    </w:p>
    <w:p w14:paraId="7A6D237D" w14:textId="2AE28BBA" w:rsidR="00045DB4" w:rsidRDefault="00045DB4"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Toutes les structures publiques aux différents niveaux de la pyramide sanitaire sont dotées des services pour la consultation prénatale. Les établissements sanitaires privés, dispensant les soins maternels et infantiles offrent également </w:t>
      </w:r>
      <w:r w:rsidR="00231FF4" w:rsidRPr="00333A62">
        <w:rPr>
          <w:rFonts w:ascii="Times New Roman" w:hAnsi="Times New Roman" w:cs="Times New Roman"/>
          <w:sz w:val="24"/>
          <w:szCs w:val="24"/>
          <w:lang w:val="fr-FR"/>
        </w:rPr>
        <w:t xml:space="preserve">les soins prénatals. Malgré </w:t>
      </w:r>
      <w:r w:rsidRPr="00333A62">
        <w:rPr>
          <w:rFonts w:ascii="Times New Roman" w:hAnsi="Times New Roman" w:cs="Times New Roman"/>
          <w:sz w:val="24"/>
          <w:szCs w:val="24"/>
          <w:lang w:val="fr-FR"/>
        </w:rPr>
        <w:t>le caractère universel d’offre des soins prénatals en Côte d’Ivoire, seulement 44% des femmes enceintes ont suivis au moins 4 consultations prénatales pendant la grossesse.</w:t>
      </w:r>
    </w:p>
    <w:p w14:paraId="78BC1EEC" w14:textId="77777777" w:rsidR="00FA3E14" w:rsidRPr="00FA3E14" w:rsidRDefault="00FA3E14" w:rsidP="00333A62">
      <w:pPr>
        <w:spacing w:before="120" w:after="120" w:line="276" w:lineRule="auto"/>
        <w:jc w:val="both"/>
        <w:rPr>
          <w:rFonts w:ascii="Times New Roman" w:hAnsi="Times New Roman" w:cs="Times New Roman"/>
          <w:sz w:val="6"/>
          <w:szCs w:val="24"/>
          <w:lang w:val="fr-FR"/>
        </w:rPr>
      </w:pPr>
    </w:p>
    <w:p w14:paraId="24E03BC3" w14:textId="77777777" w:rsidR="00045DB4" w:rsidRPr="00333A62" w:rsidRDefault="00045DB4"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noProof/>
          <w:sz w:val="24"/>
          <w:szCs w:val="24"/>
          <w:lang w:val="fr-FR" w:eastAsia="fr-FR"/>
        </w:rPr>
        <w:drawing>
          <wp:inline distT="0" distB="0" distL="0" distR="0" wp14:anchorId="2DB64199" wp14:editId="5B0912EF">
            <wp:extent cx="5953328" cy="2295525"/>
            <wp:effectExtent l="0" t="0" r="9525" b="9525"/>
            <wp:docPr id="21" name="Graphique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129AF18" w14:textId="77777777" w:rsidR="00EF1DF2" w:rsidRPr="00EF1DF2" w:rsidRDefault="00EF1DF2" w:rsidP="00EF1DF2">
      <w:pPr>
        <w:pStyle w:val="Lgende"/>
        <w:rPr>
          <w:sz w:val="24"/>
          <w:szCs w:val="24"/>
        </w:rPr>
      </w:pPr>
      <w:bookmarkStart w:id="86" w:name="_Toc1588495"/>
      <w:r w:rsidRPr="00EF1DF2">
        <w:rPr>
          <w:sz w:val="24"/>
          <w:szCs w:val="24"/>
        </w:rPr>
        <w:t xml:space="preserve">Graphique </w:t>
      </w:r>
      <w:r w:rsidRPr="00EF1DF2">
        <w:rPr>
          <w:sz w:val="24"/>
          <w:szCs w:val="24"/>
        </w:rPr>
        <w:fldChar w:fldCharType="begin"/>
      </w:r>
      <w:r w:rsidRPr="00EF1DF2">
        <w:rPr>
          <w:sz w:val="24"/>
          <w:szCs w:val="24"/>
        </w:rPr>
        <w:instrText xml:space="preserve"> SEQ Graphique \* ARABIC </w:instrText>
      </w:r>
      <w:r w:rsidRPr="00EF1DF2">
        <w:rPr>
          <w:sz w:val="24"/>
          <w:szCs w:val="24"/>
        </w:rPr>
        <w:fldChar w:fldCharType="separate"/>
      </w:r>
      <w:r w:rsidR="009A04F0">
        <w:rPr>
          <w:noProof/>
          <w:sz w:val="24"/>
          <w:szCs w:val="24"/>
        </w:rPr>
        <w:t>19</w:t>
      </w:r>
      <w:r w:rsidRPr="00EF1DF2">
        <w:rPr>
          <w:sz w:val="24"/>
          <w:szCs w:val="24"/>
        </w:rPr>
        <w:fldChar w:fldCharType="end"/>
      </w:r>
      <w:r w:rsidR="00045DB4" w:rsidRPr="00EF1DF2">
        <w:rPr>
          <w:sz w:val="24"/>
          <w:szCs w:val="24"/>
        </w:rPr>
        <w:t>: Distribution en pourcentage de femmes selon le nombre de mois de grossesse au moment de la première visite prénatale.</w:t>
      </w:r>
      <w:bookmarkEnd w:id="86"/>
      <w:r w:rsidR="00045DB4" w:rsidRPr="00EF1DF2">
        <w:rPr>
          <w:sz w:val="24"/>
          <w:szCs w:val="24"/>
        </w:rPr>
        <w:t xml:space="preserve"> </w:t>
      </w:r>
    </w:p>
    <w:p w14:paraId="3B9F0E8F" w14:textId="14361F7B" w:rsidR="00045DB4" w:rsidRDefault="00045DB4" w:rsidP="00EF1DF2">
      <w:pPr>
        <w:pStyle w:val="Lgende"/>
        <w:rPr>
          <w:b w:val="0"/>
          <w:sz w:val="24"/>
          <w:szCs w:val="24"/>
        </w:rPr>
      </w:pPr>
      <w:r w:rsidRPr="00EF1DF2">
        <w:rPr>
          <w:b w:val="0"/>
          <w:sz w:val="24"/>
          <w:szCs w:val="24"/>
          <w:u w:val="single"/>
        </w:rPr>
        <w:t>Source</w:t>
      </w:r>
      <w:r w:rsidR="00EF1DF2">
        <w:rPr>
          <w:b w:val="0"/>
          <w:sz w:val="24"/>
          <w:szCs w:val="24"/>
        </w:rPr>
        <w:t xml:space="preserve"> : </w:t>
      </w:r>
      <w:r w:rsidRPr="00333A62">
        <w:rPr>
          <w:b w:val="0"/>
          <w:sz w:val="24"/>
          <w:szCs w:val="24"/>
        </w:rPr>
        <w:t>MICS 2016</w:t>
      </w:r>
    </w:p>
    <w:p w14:paraId="1749BD98" w14:textId="6D1FC469" w:rsidR="00045DB4" w:rsidRPr="00333A62" w:rsidRDefault="00045DB4"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lastRenderedPageBreak/>
        <w:t>En 2016, la couverture en CPN 1 était estimée à 93,2% alors que cel</w:t>
      </w:r>
      <w:r w:rsidR="00197023" w:rsidRPr="00333A62">
        <w:rPr>
          <w:rFonts w:ascii="Times New Roman" w:hAnsi="Times New Roman" w:cs="Times New Roman"/>
          <w:sz w:val="24"/>
          <w:szCs w:val="24"/>
          <w:lang w:val="fr-FR"/>
        </w:rPr>
        <w:t>le en CPN4 était de 51,3% (MICS</w:t>
      </w:r>
      <w:r w:rsidRPr="00333A62">
        <w:rPr>
          <w:rFonts w:ascii="Times New Roman" w:hAnsi="Times New Roman" w:cs="Times New Roman"/>
          <w:sz w:val="24"/>
          <w:szCs w:val="24"/>
          <w:lang w:val="fr-FR"/>
        </w:rPr>
        <w:t xml:space="preserve"> 2016) avec un taux d’abandon d’environ 45%. Cette couverture est en légère augmentation par rapport aux chiffres de 2012 (EDS-MICS 2012). </w:t>
      </w:r>
    </w:p>
    <w:p w14:paraId="02FB2E43" w14:textId="3721AA4F" w:rsidR="00045DB4" w:rsidRPr="00333A62" w:rsidRDefault="00045DB4"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L’utilisation des soins préventifs délivrés à la femme enceinte reste insuffisante avec une couverture en SP3 </w:t>
      </w:r>
      <w:r w:rsidR="00197023" w:rsidRPr="00333A62">
        <w:rPr>
          <w:rFonts w:ascii="Times New Roman" w:hAnsi="Times New Roman" w:cs="Times New Roman"/>
          <w:sz w:val="24"/>
          <w:szCs w:val="24"/>
          <w:lang w:val="fr-FR"/>
        </w:rPr>
        <w:t>à 22,6% en 2016.</w:t>
      </w:r>
      <w:r w:rsidRPr="00333A62">
        <w:rPr>
          <w:rFonts w:ascii="Times New Roman" w:hAnsi="Times New Roman" w:cs="Times New Roman"/>
          <w:sz w:val="24"/>
          <w:szCs w:val="24"/>
          <w:lang w:val="fr-FR"/>
        </w:rPr>
        <w:t xml:space="preserve"> Le pourcentage de femme</w:t>
      </w:r>
      <w:r w:rsidR="00197023" w:rsidRPr="00333A62">
        <w:rPr>
          <w:rFonts w:ascii="Times New Roman" w:hAnsi="Times New Roman" w:cs="Times New Roman"/>
          <w:sz w:val="24"/>
          <w:szCs w:val="24"/>
          <w:lang w:val="fr-FR"/>
        </w:rPr>
        <w:t>s</w:t>
      </w:r>
      <w:r w:rsidRPr="00333A62">
        <w:rPr>
          <w:rFonts w:ascii="Times New Roman" w:hAnsi="Times New Roman" w:cs="Times New Roman"/>
          <w:sz w:val="24"/>
          <w:szCs w:val="24"/>
          <w:lang w:val="fr-FR"/>
        </w:rPr>
        <w:t xml:space="preserve"> enceinte</w:t>
      </w:r>
      <w:r w:rsidR="00197023" w:rsidRPr="00333A62">
        <w:rPr>
          <w:rFonts w:ascii="Times New Roman" w:hAnsi="Times New Roman" w:cs="Times New Roman"/>
          <w:sz w:val="24"/>
          <w:szCs w:val="24"/>
          <w:lang w:val="fr-FR"/>
        </w:rPr>
        <w:t>s</w:t>
      </w:r>
      <w:r w:rsidRPr="00333A62">
        <w:rPr>
          <w:rFonts w:ascii="Times New Roman" w:hAnsi="Times New Roman" w:cs="Times New Roman"/>
          <w:sz w:val="24"/>
          <w:szCs w:val="24"/>
          <w:lang w:val="fr-FR"/>
        </w:rPr>
        <w:t xml:space="preserve"> ayant dormi sous MILDA en 2016 était estimé à 65% (MICS 2016) contre 57% en 2012 (EDS-MICS 2012). </w:t>
      </w:r>
    </w:p>
    <w:p w14:paraId="792A8319" w14:textId="6940EAC7" w:rsidR="00045DB4" w:rsidRPr="00333A62" w:rsidRDefault="00045DB4"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En 2017, la couverture en service PTME était de 84% des établissements sanitaires contre 79% en 2016. Cet accroissement est insuffisant par rapport aux cibles </w:t>
      </w:r>
      <w:r w:rsidR="00197023" w:rsidRPr="00333A62">
        <w:rPr>
          <w:rFonts w:ascii="Times New Roman" w:hAnsi="Times New Roman" w:cs="Times New Roman"/>
          <w:sz w:val="24"/>
          <w:szCs w:val="24"/>
          <w:lang w:val="fr-FR"/>
        </w:rPr>
        <w:t xml:space="preserve">nationales </w:t>
      </w:r>
      <w:r w:rsidRPr="00333A62">
        <w:rPr>
          <w:rFonts w:ascii="Times New Roman" w:hAnsi="Times New Roman" w:cs="Times New Roman"/>
          <w:sz w:val="24"/>
          <w:szCs w:val="24"/>
          <w:lang w:val="fr-FR"/>
        </w:rPr>
        <w:t>fixées</w:t>
      </w:r>
      <w:r w:rsidR="00197023" w:rsidRPr="00333A62">
        <w:rPr>
          <w:rStyle w:val="Appelnotedebasdep"/>
          <w:rFonts w:ascii="Times New Roman" w:hAnsi="Times New Roman" w:cs="Times New Roman"/>
          <w:sz w:val="24"/>
          <w:szCs w:val="24"/>
          <w:lang w:val="fr-FR"/>
        </w:rPr>
        <w:footnoteReference w:id="31"/>
      </w:r>
      <w:r w:rsidRPr="00333A62">
        <w:rPr>
          <w:rFonts w:ascii="Times New Roman" w:hAnsi="Times New Roman" w:cs="Times New Roman"/>
          <w:sz w:val="24"/>
          <w:szCs w:val="24"/>
          <w:lang w:val="fr-FR"/>
        </w:rPr>
        <w:t xml:space="preserve"> pour les années 2016 (82%) et 2017 (87%). Des efforts restent à faire dans l’optique de l’atteinte des objectifs nationaux</w:t>
      </w:r>
      <w:r w:rsidRPr="00333A62">
        <w:rPr>
          <w:rStyle w:val="Appelnotedebasdep"/>
          <w:rFonts w:ascii="Times New Roman" w:hAnsi="Times New Roman" w:cs="Times New Roman"/>
          <w:sz w:val="24"/>
          <w:szCs w:val="24"/>
          <w:lang w:val="fr-FR"/>
        </w:rPr>
        <w:footnoteReference w:id="32"/>
      </w:r>
      <w:r w:rsidRPr="00333A62">
        <w:rPr>
          <w:rFonts w:ascii="Times New Roman" w:hAnsi="Times New Roman" w:cs="Times New Roman"/>
          <w:sz w:val="24"/>
          <w:szCs w:val="24"/>
          <w:lang w:val="fr-FR"/>
        </w:rPr>
        <w:t>.</w:t>
      </w:r>
    </w:p>
    <w:p w14:paraId="6EF45037" w14:textId="571C0423" w:rsidR="00045DB4" w:rsidRPr="00333A62" w:rsidRDefault="00045DB4"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En 2017, 100% des femmes reçues en CPN dans les établissements sanitaires offrants la PTME ont été dépistées pour le VIH et 1% de</w:t>
      </w:r>
      <w:r w:rsidR="00486BA0" w:rsidRPr="00333A62">
        <w:rPr>
          <w:rFonts w:ascii="Times New Roman" w:hAnsi="Times New Roman" w:cs="Times New Roman"/>
          <w:sz w:val="24"/>
          <w:szCs w:val="24"/>
          <w:lang w:val="fr-FR"/>
        </w:rPr>
        <w:t xml:space="preserve"> ce</w:t>
      </w:r>
      <w:r w:rsidRPr="00333A62">
        <w:rPr>
          <w:rFonts w:ascii="Times New Roman" w:hAnsi="Times New Roman" w:cs="Times New Roman"/>
          <w:sz w:val="24"/>
          <w:szCs w:val="24"/>
          <w:lang w:val="fr-FR"/>
        </w:rPr>
        <w:t>s femmes étaient séropositives</w:t>
      </w:r>
      <w:r w:rsidR="00B250EA" w:rsidRPr="00333A62">
        <w:rPr>
          <w:rFonts w:ascii="Times New Roman" w:hAnsi="Times New Roman" w:cs="Times New Roman"/>
          <w:sz w:val="24"/>
          <w:szCs w:val="24"/>
          <w:lang w:val="fr-FR"/>
        </w:rPr>
        <w:t> ;</w:t>
      </w:r>
      <w:r w:rsidRPr="00333A62">
        <w:rPr>
          <w:rFonts w:ascii="Times New Roman" w:hAnsi="Times New Roman" w:cs="Times New Roman"/>
          <w:sz w:val="24"/>
          <w:szCs w:val="24"/>
          <w:lang w:val="fr-FR"/>
        </w:rPr>
        <w:t xml:space="preserve"> 95% des femmes enceintes séropositives ont reçu les ARV pour réduire le risque de transmission </w:t>
      </w:r>
      <w:r w:rsidR="00486BA0" w:rsidRPr="00333A62">
        <w:rPr>
          <w:rFonts w:ascii="Times New Roman" w:hAnsi="Times New Roman" w:cs="Times New Roman"/>
          <w:sz w:val="24"/>
          <w:szCs w:val="24"/>
          <w:lang w:val="fr-FR"/>
        </w:rPr>
        <w:t>de la m</w:t>
      </w:r>
      <w:r w:rsidRPr="00333A62">
        <w:rPr>
          <w:rFonts w:ascii="Times New Roman" w:hAnsi="Times New Roman" w:cs="Times New Roman"/>
          <w:sz w:val="24"/>
          <w:szCs w:val="24"/>
          <w:lang w:val="fr-FR"/>
        </w:rPr>
        <w:t>ère</w:t>
      </w:r>
      <w:r w:rsidR="00486BA0" w:rsidRPr="00333A62">
        <w:rPr>
          <w:rFonts w:ascii="Times New Roman" w:hAnsi="Times New Roman" w:cs="Times New Roman"/>
          <w:sz w:val="24"/>
          <w:szCs w:val="24"/>
          <w:lang w:val="fr-FR"/>
        </w:rPr>
        <w:t xml:space="preserve"> à l’</w:t>
      </w:r>
      <w:r w:rsidRPr="00333A62">
        <w:rPr>
          <w:rFonts w:ascii="Times New Roman" w:hAnsi="Times New Roman" w:cs="Times New Roman"/>
          <w:sz w:val="24"/>
          <w:szCs w:val="24"/>
          <w:lang w:val="fr-FR"/>
        </w:rPr>
        <w:t xml:space="preserve">Enfant. </w:t>
      </w:r>
    </w:p>
    <w:p w14:paraId="18EA95D6" w14:textId="77777777" w:rsidR="0077743F" w:rsidRPr="00333A62" w:rsidRDefault="0077743F" w:rsidP="00333A62">
      <w:pPr>
        <w:spacing w:before="120" w:after="120" w:line="276" w:lineRule="auto"/>
        <w:rPr>
          <w:rFonts w:ascii="Times New Roman" w:hAnsi="Times New Roman" w:cs="Times New Roman"/>
          <w:sz w:val="24"/>
          <w:szCs w:val="24"/>
          <w:lang w:val="fr-FR"/>
        </w:rPr>
      </w:pPr>
    </w:p>
    <w:p w14:paraId="4EE04D1B" w14:textId="77777777" w:rsidR="00EA583D" w:rsidRPr="009A04F0" w:rsidRDefault="00EA583D" w:rsidP="00333A62">
      <w:pPr>
        <w:pStyle w:val="Titre3"/>
        <w:spacing w:before="120" w:after="120" w:line="276" w:lineRule="auto"/>
        <w:rPr>
          <w:rFonts w:ascii="Times New Roman" w:hAnsi="Times New Roman" w:cs="Times New Roman"/>
          <w:b/>
          <w:color w:val="0070C0"/>
        </w:rPr>
      </w:pPr>
      <w:bookmarkStart w:id="87" w:name="_Toc1573815"/>
      <w:r w:rsidRPr="009A04F0">
        <w:rPr>
          <w:rFonts w:ascii="Times New Roman" w:hAnsi="Times New Roman" w:cs="Times New Roman"/>
          <w:b/>
          <w:color w:val="0070C0"/>
        </w:rPr>
        <w:t>Couverture des accouchements assistés par un personnel qualifié</w:t>
      </w:r>
      <w:bookmarkEnd w:id="87"/>
      <w:r w:rsidRPr="009A04F0">
        <w:rPr>
          <w:rFonts w:ascii="Times New Roman" w:hAnsi="Times New Roman" w:cs="Times New Roman"/>
          <w:b/>
          <w:color w:val="0070C0"/>
        </w:rPr>
        <w:t xml:space="preserve"> </w:t>
      </w:r>
    </w:p>
    <w:p w14:paraId="6F39010A" w14:textId="77777777" w:rsidR="00EA583D" w:rsidRPr="00333A62" w:rsidRDefault="00EA583D" w:rsidP="00333A62">
      <w:pPr>
        <w:pStyle w:val="Default"/>
        <w:spacing w:before="120" w:after="120" w:line="276" w:lineRule="auto"/>
        <w:jc w:val="both"/>
        <w:rPr>
          <w:lang w:val="fr-CA"/>
        </w:rPr>
      </w:pPr>
      <w:r w:rsidRPr="00333A62">
        <w:rPr>
          <w:rFonts w:eastAsiaTheme="majorEastAsia"/>
        </w:rPr>
        <w:t xml:space="preserve">Une amélioration du recours aux services de santé a été observée avec une proportion des mères qui ont accouché avec l’assistance d’un personnel qualifié de 59,4% en 2012 à 73,6% en 2016 </w:t>
      </w:r>
      <w:r w:rsidRPr="00333A62">
        <w:rPr>
          <w:lang w:val="fr-CA"/>
        </w:rPr>
        <w:t>(MICS 2016). Cette couverture est en voie d’atteindre l’objectif national fixé par le plan national de développement sanitaire (PNDS) 2016-2020.</w:t>
      </w:r>
    </w:p>
    <w:p w14:paraId="3A37E40D" w14:textId="6EC900B0" w:rsidR="00EA583D" w:rsidRPr="00333A62" w:rsidRDefault="00EA583D" w:rsidP="00333A62">
      <w:pPr>
        <w:pStyle w:val="Default"/>
        <w:spacing w:before="120" w:after="120" w:line="276" w:lineRule="auto"/>
        <w:jc w:val="both"/>
        <w:rPr>
          <w:rFonts w:eastAsiaTheme="majorEastAsia"/>
        </w:rPr>
      </w:pPr>
      <w:r w:rsidRPr="00333A62">
        <w:rPr>
          <w:rFonts w:eastAsiaTheme="majorEastAsia"/>
        </w:rPr>
        <w:t>Le recrutement annuel de personnel de santé en cours depuis 2007 a permis d’accroitre la disponibilité de Sage-femme (SF) exerçant dans le secteur sanitaire public avec un ratio national à une (01) sage-f</w:t>
      </w:r>
      <w:r w:rsidR="005B4FCE">
        <w:rPr>
          <w:rFonts w:eastAsiaTheme="majorEastAsia"/>
        </w:rPr>
        <w:t>emme en service de soins pour 1</w:t>
      </w:r>
      <w:r w:rsidRPr="00333A62">
        <w:rPr>
          <w:rFonts w:eastAsiaTheme="majorEastAsia"/>
        </w:rPr>
        <w:t>333 femmes en âge de procréer (RASS 2017).</w:t>
      </w:r>
    </w:p>
    <w:p w14:paraId="35571920" w14:textId="77777777" w:rsidR="00EA583D" w:rsidRPr="00333A62" w:rsidRDefault="00EA583D" w:rsidP="00333A62">
      <w:pPr>
        <w:pStyle w:val="Default"/>
        <w:spacing w:before="120" w:after="120" w:line="276" w:lineRule="auto"/>
        <w:jc w:val="both"/>
      </w:pPr>
      <w:r w:rsidRPr="00333A62">
        <w:t xml:space="preserve">Cette disponibilité est nuancée par les disparités dans le déploiement des ressources humaines inégalement réparties sur le territoire national. La plupart des sages-femmes exercent dans les zones urbaines de même que les gynécologue-obstétriciens qui sont en nombre insuffisant. </w:t>
      </w:r>
    </w:p>
    <w:p w14:paraId="696BB61E" w14:textId="7998A25B" w:rsidR="00EA583D" w:rsidRPr="00333A62" w:rsidRDefault="00EA583D" w:rsidP="00333A62">
      <w:pPr>
        <w:pStyle w:val="Default"/>
        <w:spacing w:before="120" w:after="120" w:line="276" w:lineRule="auto"/>
        <w:jc w:val="both"/>
      </w:pPr>
      <w:r w:rsidRPr="00333A62">
        <w:t>Par ailleurs, le nombre de personnel de santé qu</w:t>
      </w:r>
      <w:r w:rsidR="005B4FCE">
        <w:t>alifié déployé dans les ESPC (1 sage -</w:t>
      </w:r>
      <w:r w:rsidRPr="00333A62">
        <w:t>femme/maternité, un infirmier/dispensaire) est un frein à la délivrance de soins par du personnel qualifié de façon continue.</w:t>
      </w:r>
    </w:p>
    <w:p w14:paraId="64368067" w14:textId="77777777" w:rsidR="00EA583D" w:rsidRPr="00333A62" w:rsidRDefault="00EA583D" w:rsidP="00333A62">
      <w:pPr>
        <w:spacing w:before="120" w:after="120" w:line="276" w:lineRule="auto"/>
        <w:jc w:val="both"/>
        <w:rPr>
          <w:rFonts w:ascii="Times New Roman" w:eastAsiaTheme="majorEastAsia" w:hAnsi="Times New Roman" w:cs="Times New Roman"/>
          <w:sz w:val="24"/>
          <w:szCs w:val="24"/>
        </w:rPr>
      </w:pPr>
      <w:r w:rsidRPr="00333A62">
        <w:rPr>
          <w:rFonts w:ascii="Times New Roman" w:hAnsi="Times New Roman" w:cs="Times New Roman"/>
          <w:sz w:val="24"/>
          <w:szCs w:val="24"/>
        </w:rPr>
        <w:t>Un autre facteur à relever est la qualité insuffisante dans l’assistance à l’accouchement due aux lacunes liées aux compétences des prestataires (Partogramme pas toujours correctement renseigné), au mauvais accueil et aux attitudes néfastes auxquelles viennent s’ajouter les lacunes au niveau du système de santé telles que l’approvisionnement en médicaments et équipements et le manque de supervision des soins.</w:t>
      </w:r>
    </w:p>
    <w:p w14:paraId="0112F226" w14:textId="77777777" w:rsidR="00EA583D" w:rsidRPr="00333A62" w:rsidRDefault="00EA583D" w:rsidP="002E25ED">
      <w:pPr>
        <w:rPr>
          <w:rFonts w:ascii="Times New Roman" w:hAnsi="Times New Roman" w:cs="Times New Roman"/>
        </w:rPr>
      </w:pPr>
    </w:p>
    <w:p w14:paraId="0D9C27C7" w14:textId="77777777" w:rsidR="00F1177D" w:rsidRPr="009A04F0" w:rsidRDefault="00825055" w:rsidP="00333A62">
      <w:pPr>
        <w:pStyle w:val="Titre3"/>
        <w:spacing w:before="120" w:after="120" w:line="276" w:lineRule="auto"/>
        <w:rPr>
          <w:rFonts w:ascii="Times New Roman" w:hAnsi="Times New Roman" w:cs="Times New Roman"/>
          <w:b/>
          <w:color w:val="0070C0"/>
        </w:rPr>
      </w:pPr>
      <w:bookmarkStart w:id="88" w:name="_Toc1573816"/>
      <w:r w:rsidRPr="009A04F0">
        <w:rPr>
          <w:rFonts w:ascii="Times New Roman" w:hAnsi="Times New Roman" w:cs="Times New Roman"/>
          <w:b/>
          <w:color w:val="0070C0"/>
        </w:rPr>
        <w:lastRenderedPageBreak/>
        <w:t>Couverture des soins postnatals</w:t>
      </w:r>
      <w:bookmarkEnd w:id="88"/>
      <w:r w:rsidRPr="009A04F0">
        <w:rPr>
          <w:rFonts w:ascii="Times New Roman" w:hAnsi="Times New Roman" w:cs="Times New Roman"/>
          <w:b/>
          <w:color w:val="0070C0"/>
        </w:rPr>
        <w:t xml:space="preserve"> </w:t>
      </w:r>
    </w:p>
    <w:p w14:paraId="4DDF0FCD" w14:textId="61691EC6" w:rsidR="00607A2B" w:rsidRPr="00333A62" w:rsidRDefault="00607A2B" w:rsidP="00333A62">
      <w:pPr>
        <w:spacing w:before="120" w:after="120" w:line="276" w:lineRule="auto"/>
        <w:jc w:val="both"/>
        <w:rPr>
          <w:rFonts w:ascii="Times New Roman" w:eastAsiaTheme="majorEastAsia" w:hAnsi="Times New Roman" w:cs="Times New Roman"/>
          <w:iCs/>
          <w:sz w:val="24"/>
          <w:szCs w:val="24"/>
          <w:lang w:val="fr-FR"/>
        </w:rPr>
      </w:pPr>
      <w:r w:rsidRPr="00333A62">
        <w:rPr>
          <w:rFonts w:ascii="Times New Roman" w:eastAsiaTheme="majorEastAsia" w:hAnsi="Times New Roman" w:cs="Times New Roman"/>
          <w:iCs/>
          <w:sz w:val="24"/>
          <w:szCs w:val="24"/>
          <w:lang w:val="fr-FR"/>
        </w:rPr>
        <w:t xml:space="preserve">Les directives </w:t>
      </w:r>
      <w:r w:rsidR="00B250EA" w:rsidRPr="00333A62">
        <w:rPr>
          <w:rFonts w:ascii="Times New Roman" w:eastAsiaTheme="majorEastAsia" w:hAnsi="Times New Roman" w:cs="Times New Roman"/>
          <w:iCs/>
          <w:sz w:val="24"/>
          <w:szCs w:val="24"/>
          <w:lang w:val="fr-FR"/>
        </w:rPr>
        <w:t xml:space="preserve">nationales </w:t>
      </w:r>
      <w:r w:rsidRPr="00333A62">
        <w:rPr>
          <w:rFonts w:ascii="Times New Roman" w:eastAsiaTheme="majorEastAsia" w:hAnsi="Times New Roman" w:cs="Times New Roman"/>
          <w:iCs/>
          <w:sz w:val="24"/>
          <w:szCs w:val="24"/>
          <w:lang w:val="fr-FR"/>
        </w:rPr>
        <w:t xml:space="preserve">pour les soins post-natals, préconisent trois consultations post- natales à J0-J3, J6 et semaine 6. Selon ces directives, la mère et le nouveau-né restent 2 jours dans la structure de santé (maternité) après </w:t>
      </w:r>
      <w:r w:rsidR="000A319C" w:rsidRPr="00333A62">
        <w:rPr>
          <w:rFonts w:ascii="Times New Roman" w:eastAsiaTheme="majorEastAsia" w:hAnsi="Times New Roman" w:cs="Times New Roman"/>
          <w:iCs/>
          <w:sz w:val="24"/>
          <w:szCs w:val="24"/>
          <w:lang w:val="fr-FR"/>
        </w:rPr>
        <w:t>l’</w:t>
      </w:r>
      <w:r w:rsidRPr="00333A62">
        <w:rPr>
          <w:rFonts w:ascii="Times New Roman" w:eastAsiaTheme="majorEastAsia" w:hAnsi="Times New Roman" w:cs="Times New Roman"/>
          <w:iCs/>
          <w:sz w:val="24"/>
          <w:szCs w:val="24"/>
          <w:lang w:val="fr-FR"/>
        </w:rPr>
        <w:t xml:space="preserve">accouchement. </w:t>
      </w:r>
    </w:p>
    <w:p w14:paraId="56ACC358" w14:textId="7E7C1AD2" w:rsidR="00D74FDC" w:rsidRPr="00333A62" w:rsidRDefault="00D74FDC" w:rsidP="00333A62">
      <w:pPr>
        <w:spacing w:before="120" w:after="120" w:line="276" w:lineRule="auto"/>
        <w:jc w:val="both"/>
        <w:rPr>
          <w:rFonts w:ascii="Times New Roman" w:eastAsiaTheme="majorEastAsia" w:hAnsi="Times New Roman" w:cs="Times New Roman"/>
          <w:iCs/>
          <w:sz w:val="24"/>
          <w:szCs w:val="24"/>
          <w:lang w:val="fr-FR"/>
        </w:rPr>
      </w:pPr>
      <w:r w:rsidRPr="00333A62">
        <w:rPr>
          <w:rFonts w:ascii="Times New Roman" w:eastAsiaTheme="majorEastAsia" w:hAnsi="Times New Roman" w:cs="Times New Roman"/>
          <w:iCs/>
          <w:sz w:val="24"/>
          <w:szCs w:val="24"/>
          <w:lang w:val="fr-FR"/>
        </w:rPr>
        <w:t>La couverture nationale en consultation post</w:t>
      </w:r>
      <w:r w:rsidR="000A319C" w:rsidRPr="00333A62">
        <w:rPr>
          <w:rFonts w:ascii="Times New Roman" w:eastAsiaTheme="majorEastAsia" w:hAnsi="Times New Roman" w:cs="Times New Roman"/>
          <w:iCs/>
          <w:sz w:val="24"/>
          <w:szCs w:val="24"/>
          <w:lang w:val="fr-FR"/>
        </w:rPr>
        <w:t>-</w:t>
      </w:r>
      <w:r w:rsidRPr="00333A62">
        <w:rPr>
          <w:rFonts w:ascii="Times New Roman" w:eastAsiaTheme="majorEastAsia" w:hAnsi="Times New Roman" w:cs="Times New Roman"/>
          <w:iCs/>
          <w:sz w:val="24"/>
          <w:szCs w:val="24"/>
          <w:lang w:val="fr-FR"/>
        </w:rPr>
        <w:t>natale</w:t>
      </w:r>
      <w:r w:rsidR="000A319C" w:rsidRPr="00333A62">
        <w:rPr>
          <w:rFonts w:ascii="Times New Roman" w:eastAsiaTheme="majorEastAsia" w:hAnsi="Times New Roman" w:cs="Times New Roman"/>
          <w:iCs/>
          <w:sz w:val="24"/>
          <w:szCs w:val="24"/>
          <w:lang w:val="fr-FR"/>
        </w:rPr>
        <w:t xml:space="preserve"> (CPoN)</w:t>
      </w:r>
      <w:r w:rsidRPr="00333A62">
        <w:rPr>
          <w:rFonts w:ascii="Times New Roman" w:eastAsiaTheme="majorEastAsia" w:hAnsi="Times New Roman" w:cs="Times New Roman"/>
          <w:iCs/>
          <w:sz w:val="24"/>
          <w:szCs w:val="24"/>
          <w:lang w:val="fr-FR"/>
        </w:rPr>
        <w:t xml:space="preserve"> en 2017 </w:t>
      </w:r>
      <w:r w:rsidR="000A319C" w:rsidRPr="00333A62">
        <w:rPr>
          <w:rFonts w:ascii="Times New Roman" w:eastAsiaTheme="majorEastAsia" w:hAnsi="Times New Roman" w:cs="Times New Roman"/>
          <w:iCs/>
          <w:sz w:val="24"/>
          <w:szCs w:val="24"/>
          <w:lang w:val="fr-FR"/>
        </w:rPr>
        <w:t>était</w:t>
      </w:r>
      <w:r w:rsidRPr="00333A62">
        <w:rPr>
          <w:rFonts w:ascii="Times New Roman" w:eastAsiaTheme="majorEastAsia" w:hAnsi="Times New Roman" w:cs="Times New Roman"/>
          <w:iCs/>
          <w:sz w:val="24"/>
          <w:szCs w:val="24"/>
          <w:lang w:val="fr-FR"/>
        </w:rPr>
        <w:t xml:space="preserve"> de 20,2%</w:t>
      </w:r>
      <w:r w:rsidR="00714586" w:rsidRPr="00333A62">
        <w:rPr>
          <w:rFonts w:ascii="Times New Roman" w:eastAsiaTheme="majorEastAsia" w:hAnsi="Times New Roman" w:cs="Times New Roman"/>
          <w:iCs/>
          <w:sz w:val="24"/>
          <w:szCs w:val="24"/>
          <w:lang w:val="fr-FR"/>
        </w:rPr>
        <w:t>.</w:t>
      </w:r>
      <w:r w:rsidRPr="00333A62">
        <w:rPr>
          <w:rFonts w:ascii="Times New Roman" w:eastAsiaTheme="majorEastAsia" w:hAnsi="Times New Roman" w:cs="Times New Roman"/>
          <w:iCs/>
          <w:sz w:val="24"/>
          <w:szCs w:val="24"/>
          <w:lang w:val="fr-FR"/>
        </w:rPr>
        <w:t xml:space="preserve"> Ce taux est inférieur à la cible nationale qui </w:t>
      </w:r>
      <w:r w:rsidR="000A319C" w:rsidRPr="00333A62">
        <w:rPr>
          <w:rFonts w:ascii="Times New Roman" w:eastAsiaTheme="majorEastAsia" w:hAnsi="Times New Roman" w:cs="Times New Roman"/>
          <w:iCs/>
          <w:sz w:val="24"/>
          <w:szCs w:val="24"/>
          <w:lang w:val="fr-FR"/>
        </w:rPr>
        <w:t>était</w:t>
      </w:r>
      <w:r w:rsidRPr="00333A62">
        <w:rPr>
          <w:rFonts w:ascii="Times New Roman" w:eastAsiaTheme="majorEastAsia" w:hAnsi="Times New Roman" w:cs="Times New Roman"/>
          <w:iCs/>
          <w:sz w:val="24"/>
          <w:szCs w:val="24"/>
          <w:lang w:val="fr-FR"/>
        </w:rPr>
        <w:t xml:space="preserve"> de </w:t>
      </w:r>
      <w:r w:rsidR="00714586" w:rsidRPr="00333A62">
        <w:rPr>
          <w:rFonts w:ascii="Times New Roman" w:eastAsiaTheme="majorEastAsia" w:hAnsi="Times New Roman" w:cs="Times New Roman"/>
          <w:iCs/>
          <w:sz w:val="24"/>
          <w:szCs w:val="24"/>
          <w:lang w:val="fr-FR"/>
        </w:rPr>
        <w:t>2</w:t>
      </w:r>
      <w:r w:rsidRPr="00333A62">
        <w:rPr>
          <w:rFonts w:ascii="Times New Roman" w:eastAsiaTheme="majorEastAsia" w:hAnsi="Times New Roman" w:cs="Times New Roman"/>
          <w:iCs/>
          <w:sz w:val="24"/>
          <w:szCs w:val="24"/>
          <w:lang w:val="fr-FR"/>
        </w:rPr>
        <w:t>6%</w:t>
      </w:r>
      <w:r w:rsidR="000A319C" w:rsidRPr="00333A62">
        <w:rPr>
          <w:rFonts w:ascii="Times New Roman" w:eastAsiaTheme="majorEastAsia" w:hAnsi="Times New Roman" w:cs="Times New Roman"/>
          <w:iCs/>
          <w:sz w:val="24"/>
          <w:szCs w:val="24"/>
          <w:lang w:val="fr-FR"/>
        </w:rPr>
        <w:t xml:space="preserve"> (RASS 2017</w:t>
      </w:r>
      <w:r w:rsidR="00714586" w:rsidRPr="00333A62">
        <w:rPr>
          <w:rFonts w:ascii="Times New Roman" w:eastAsiaTheme="majorEastAsia" w:hAnsi="Times New Roman" w:cs="Times New Roman"/>
          <w:iCs/>
          <w:sz w:val="24"/>
          <w:szCs w:val="24"/>
          <w:lang w:val="fr-FR"/>
        </w:rPr>
        <w:t>).</w:t>
      </w:r>
    </w:p>
    <w:p w14:paraId="016E0085" w14:textId="3CCEFD6E" w:rsidR="00607A2B" w:rsidRPr="00333A62" w:rsidRDefault="00607A2B" w:rsidP="00333A62">
      <w:pPr>
        <w:spacing w:before="120" w:after="120" w:line="276" w:lineRule="auto"/>
        <w:jc w:val="both"/>
        <w:rPr>
          <w:rFonts w:ascii="Times New Roman" w:eastAsiaTheme="majorEastAsia" w:hAnsi="Times New Roman" w:cs="Times New Roman"/>
          <w:iCs/>
          <w:sz w:val="24"/>
          <w:szCs w:val="24"/>
          <w:lang w:val="fr-FR"/>
        </w:rPr>
      </w:pPr>
      <w:r w:rsidRPr="00333A62">
        <w:rPr>
          <w:rFonts w:ascii="Times New Roman" w:eastAsiaTheme="majorEastAsia" w:hAnsi="Times New Roman" w:cs="Times New Roman"/>
          <w:iCs/>
          <w:sz w:val="24"/>
          <w:szCs w:val="24"/>
          <w:lang w:val="fr-FR"/>
        </w:rPr>
        <w:t xml:space="preserve">Le taux de couverture de soins post- natals est très bas. Seulement 34% des nouveau-nés ont reçus des soins post natals 2 jours après la naissance dispensés par un agent de santé. Il est à noter que dans la plupart des cas, les femmes accouchées ne restent pas dans les structures de santé pendant les 2 jours règlementaires mais sont sorties 2 heures après l’accouchement si elles ne présentent aucune complication. Pour les soins post- natals dans un délai de 7 jours, seulement 41% des nouveau-nés ont bénéficiés des soins au niveau du centre de santé et au niveau communautaire. </w:t>
      </w:r>
    </w:p>
    <w:p w14:paraId="04A51C70" w14:textId="46323167" w:rsidR="000A319C" w:rsidRPr="00333A62" w:rsidRDefault="00607A2B" w:rsidP="00333A62">
      <w:pPr>
        <w:spacing w:before="120" w:after="120" w:line="276" w:lineRule="auto"/>
        <w:jc w:val="both"/>
        <w:rPr>
          <w:rFonts w:ascii="Times New Roman" w:eastAsiaTheme="majorEastAsia" w:hAnsi="Times New Roman" w:cs="Times New Roman"/>
          <w:iCs/>
          <w:sz w:val="24"/>
          <w:szCs w:val="24"/>
          <w:lang w:val="fr-FR"/>
        </w:rPr>
      </w:pPr>
      <w:r w:rsidRPr="00333A62">
        <w:rPr>
          <w:rFonts w:ascii="Times New Roman" w:eastAsiaTheme="majorEastAsia" w:hAnsi="Times New Roman" w:cs="Times New Roman"/>
          <w:iCs/>
          <w:sz w:val="24"/>
          <w:szCs w:val="24"/>
          <w:lang w:val="fr-FR"/>
        </w:rPr>
        <w:t xml:space="preserve">Cette insuffisance dans la prise en charge post- natale s’avère très néfaste car, selon le Rapport sur la surveillance des décès maternelle en Côte d’Ivoire, la moitié des décès des mères survient en période post- partum immédiat. </w:t>
      </w:r>
    </w:p>
    <w:p w14:paraId="00348AEF" w14:textId="77777777" w:rsidR="00EA583D" w:rsidRPr="00333A62" w:rsidRDefault="00EA583D" w:rsidP="00333A62">
      <w:pPr>
        <w:spacing w:before="120" w:after="120" w:line="276" w:lineRule="auto"/>
        <w:jc w:val="both"/>
        <w:rPr>
          <w:rFonts w:ascii="Times New Roman" w:eastAsiaTheme="majorEastAsia" w:hAnsi="Times New Roman" w:cs="Times New Roman"/>
          <w:iCs/>
          <w:sz w:val="24"/>
          <w:szCs w:val="24"/>
          <w:lang w:val="fr-FR"/>
        </w:rPr>
      </w:pPr>
    </w:p>
    <w:p w14:paraId="5C9D71C5" w14:textId="77777777" w:rsidR="007C5BCC" w:rsidRPr="009A04F0" w:rsidRDefault="00825055" w:rsidP="00333A62">
      <w:pPr>
        <w:pStyle w:val="Titre3"/>
        <w:spacing w:before="120" w:after="120" w:line="276" w:lineRule="auto"/>
        <w:rPr>
          <w:rFonts w:ascii="Times New Roman" w:hAnsi="Times New Roman" w:cs="Times New Roman"/>
          <w:b/>
          <w:color w:val="0070C0"/>
        </w:rPr>
      </w:pPr>
      <w:bookmarkStart w:id="89" w:name="_Toc1573817"/>
      <w:r w:rsidRPr="009A04F0">
        <w:rPr>
          <w:rFonts w:ascii="Times New Roman" w:hAnsi="Times New Roman" w:cs="Times New Roman"/>
          <w:b/>
          <w:color w:val="0070C0"/>
        </w:rPr>
        <w:t xml:space="preserve">Couverture des </w:t>
      </w:r>
      <w:r w:rsidR="00B773BD" w:rsidRPr="009A04F0">
        <w:rPr>
          <w:rFonts w:ascii="Times New Roman" w:hAnsi="Times New Roman" w:cs="Times New Roman"/>
          <w:b/>
          <w:color w:val="0070C0"/>
        </w:rPr>
        <w:t xml:space="preserve">Soins Obstétricaux et </w:t>
      </w:r>
      <w:r w:rsidR="00CE4D05" w:rsidRPr="009A04F0">
        <w:rPr>
          <w:rFonts w:ascii="Times New Roman" w:hAnsi="Times New Roman" w:cs="Times New Roman"/>
          <w:b/>
          <w:color w:val="0070C0"/>
        </w:rPr>
        <w:t>Néonataux</w:t>
      </w:r>
      <w:r w:rsidR="00B773BD" w:rsidRPr="009A04F0">
        <w:rPr>
          <w:rFonts w:ascii="Times New Roman" w:hAnsi="Times New Roman" w:cs="Times New Roman"/>
          <w:b/>
          <w:color w:val="0070C0"/>
        </w:rPr>
        <w:t xml:space="preserve"> d’Urgence (SONU)</w:t>
      </w:r>
      <w:bookmarkEnd w:id="89"/>
    </w:p>
    <w:p w14:paraId="2EB3F277" w14:textId="77777777" w:rsidR="001C7189" w:rsidRPr="00333A62" w:rsidRDefault="001C7189" w:rsidP="00333A62">
      <w:pPr>
        <w:spacing w:before="120" w:after="120" w:line="276" w:lineRule="auto"/>
        <w:jc w:val="both"/>
        <w:rPr>
          <w:rFonts w:ascii="Times New Roman" w:eastAsiaTheme="majorEastAsia" w:hAnsi="Times New Roman" w:cs="Times New Roman"/>
          <w:sz w:val="24"/>
          <w:szCs w:val="24"/>
          <w:lang w:val="fr-FR"/>
        </w:rPr>
      </w:pPr>
      <w:r w:rsidRPr="00333A62">
        <w:rPr>
          <w:rFonts w:ascii="Times New Roman" w:eastAsiaTheme="majorEastAsia" w:hAnsi="Times New Roman" w:cs="Times New Roman"/>
          <w:sz w:val="24"/>
          <w:szCs w:val="24"/>
          <w:lang w:val="fr-FR"/>
        </w:rPr>
        <w:t xml:space="preserve">Les soins obstétricaux et néonatals d’urgence (SONU) sont des soins d’urgence administrés aux femmes qui connaissent des complications lors de l’accouchement. Cette stratégie a pour but de réduire la mortalité maternelle. Leur disponibilité 24H/24 et 7 jours sur 7 permet de prendre en charge à tout moment les éventuelles complications qui pourraient survenir. </w:t>
      </w:r>
    </w:p>
    <w:p w14:paraId="53248E21" w14:textId="6110FF46" w:rsidR="00E628FE" w:rsidRPr="00333A62" w:rsidRDefault="00E628FE" w:rsidP="00333A62">
      <w:pPr>
        <w:spacing w:before="120" w:after="120" w:line="276" w:lineRule="auto"/>
        <w:jc w:val="both"/>
        <w:rPr>
          <w:rFonts w:ascii="Times New Roman" w:eastAsiaTheme="majorEastAsia" w:hAnsi="Times New Roman" w:cs="Times New Roman"/>
          <w:sz w:val="24"/>
          <w:szCs w:val="24"/>
          <w:lang w:val="fr-FR"/>
        </w:rPr>
      </w:pPr>
      <w:r w:rsidRPr="00333A62">
        <w:rPr>
          <w:rFonts w:ascii="Times New Roman" w:eastAsiaTheme="majorEastAsia" w:hAnsi="Times New Roman" w:cs="Times New Roman"/>
          <w:sz w:val="24"/>
          <w:szCs w:val="24"/>
          <w:lang w:val="fr-FR"/>
        </w:rPr>
        <w:t>On distingue les Soins Obstétricaux et néonatals d’urgence de base (SONUB) offerts principalement dans les maternités des structures de santé de premier niveau et les Soins obstétricaux et Néonatals complets (SONUC) offerts dans les structures de santé de référence.</w:t>
      </w:r>
    </w:p>
    <w:p w14:paraId="47EC0662" w14:textId="06520C18" w:rsidR="0077743F" w:rsidRPr="00333A62" w:rsidRDefault="0077743F" w:rsidP="00333A62">
      <w:pPr>
        <w:spacing w:before="120" w:after="120" w:line="276" w:lineRule="auto"/>
        <w:jc w:val="both"/>
        <w:rPr>
          <w:rFonts w:ascii="Times New Roman" w:eastAsiaTheme="majorEastAsia" w:hAnsi="Times New Roman" w:cs="Times New Roman"/>
          <w:sz w:val="24"/>
          <w:szCs w:val="24"/>
        </w:rPr>
      </w:pPr>
      <w:r w:rsidRPr="00333A62">
        <w:rPr>
          <w:rFonts w:ascii="Times New Roman" w:eastAsiaTheme="majorEastAsia" w:hAnsi="Times New Roman" w:cs="Times New Roman"/>
          <w:sz w:val="24"/>
          <w:szCs w:val="24"/>
        </w:rPr>
        <w:t>L’offre de service de santé pour une prise en charge adéquate de complications obstétricales et néonataux demeure problématique. En effet</w:t>
      </w:r>
      <w:r w:rsidR="003B558B" w:rsidRPr="00333A62">
        <w:rPr>
          <w:rFonts w:ascii="Times New Roman" w:eastAsiaTheme="majorEastAsia" w:hAnsi="Times New Roman" w:cs="Times New Roman"/>
          <w:sz w:val="24"/>
          <w:szCs w:val="24"/>
        </w:rPr>
        <w:t>,</w:t>
      </w:r>
      <w:r w:rsidRPr="00333A62">
        <w:rPr>
          <w:rFonts w:ascii="Times New Roman" w:eastAsiaTheme="majorEastAsia" w:hAnsi="Times New Roman" w:cs="Times New Roman"/>
          <w:sz w:val="24"/>
          <w:szCs w:val="24"/>
        </w:rPr>
        <w:t xml:space="preserve"> la couverture en SONUB</w:t>
      </w:r>
      <w:r w:rsidR="001C7189" w:rsidRPr="00333A62">
        <w:rPr>
          <w:rFonts w:ascii="Times New Roman" w:eastAsiaTheme="majorEastAsia" w:hAnsi="Times New Roman" w:cs="Times New Roman"/>
          <w:sz w:val="24"/>
          <w:szCs w:val="24"/>
        </w:rPr>
        <w:t xml:space="preserve"> en 2017 était</w:t>
      </w:r>
      <w:r w:rsidRPr="00333A62">
        <w:rPr>
          <w:rFonts w:ascii="Times New Roman" w:eastAsiaTheme="majorEastAsia" w:hAnsi="Times New Roman" w:cs="Times New Roman"/>
          <w:sz w:val="24"/>
          <w:szCs w:val="24"/>
        </w:rPr>
        <w:t xml:space="preserve"> de </w:t>
      </w:r>
      <w:r w:rsidRPr="00333A62">
        <w:rPr>
          <w:rFonts w:ascii="Times New Roman" w:eastAsiaTheme="majorEastAsia" w:hAnsi="Times New Roman" w:cs="Times New Roman"/>
          <w:sz w:val="24"/>
          <w:szCs w:val="24"/>
          <w:lang w:val="fr-FR"/>
        </w:rPr>
        <w:t xml:space="preserve">4,4% </w:t>
      </w:r>
      <w:r w:rsidRPr="00333A62">
        <w:rPr>
          <w:rFonts w:ascii="Times New Roman" w:eastAsiaTheme="majorEastAsia" w:hAnsi="Times New Roman" w:cs="Times New Roman"/>
          <w:sz w:val="24"/>
          <w:szCs w:val="24"/>
        </w:rPr>
        <w:t xml:space="preserve">et en SONUC </w:t>
      </w:r>
      <w:r w:rsidRPr="00333A62">
        <w:rPr>
          <w:rFonts w:ascii="Times New Roman" w:eastAsiaTheme="majorEastAsia" w:hAnsi="Times New Roman" w:cs="Times New Roman"/>
          <w:sz w:val="24"/>
          <w:szCs w:val="24"/>
          <w:lang w:val="fr-FR"/>
        </w:rPr>
        <w:t>de 11% qui reste très insuffisant.</w:t>
      </w:r>
    </w:p>
    <w:p w14:paraId="3065AEB4" w14:textId="294B5757" w:rsidR="0077743F" w:rsidRPr="00333A62" w:rsidRDefault="0077743F" w:rsidP="00333A62">
      <w:pPr>
        <w:spacing w:before="120" w:after="120" w:line="276" w:lineRule="auto"/>
        <w:jc w:val="both"/>
        <w:rPr>
          <w:rFonts w:ascii="Times New Roman" w:eastAsiaTheme="majorEastAsia" w:hAnsi="Times New Roman" w:cs="Times New Roman"/>
          <w:sz w:val="24"/>
          <w:szCs w:val="24"/>
        </w:rPr>
      </w:pPr>
      <w:r w:rsidRPr="00333A62">
        <w:rPr>
          <w:rFonts w:ascii="Times New Roman" w:eastAsiaTheme="majorEastAsia" w:hAnsi="Times New Roman" w:cs="Times New Roman"/>
          <w:sz w:val="24"/>
          <w:szCs w:val="24"/>
        </w:rPr>
        <w:t>Le taux d’accouchement par césarienne a connu une hausse, il est de 3,3% en 2016 (MICS 2016) contre 2,7% en 2012 (EDS-MICS 2012).</w:t>
      </w:r>
    </w:p>
    <w:p w14:paraId="3629FE94" w14:textId="3D79FDD6" w:rsidR="001C7189" w:rsidRDefault="001C7189" w:rsidP="00333A62">
      <w:pPr>
        <w:spacing w:before="120" w:after="120" w:line="276" w:lineRule="auto"/>
        <w:jc w:val="both"/>
        <w:rPr>
          <w:rFonts w:ascii="Times New Roman" w:eastAsiaTheme="majorEastAsia" w:hAnsi="Times New Roman" w:cs="Times New Roman"/>
          <w:sz w:val="24"/>
          <w:szCs w:val="24"/>
          <w:lang w:val="fr-FR"/>
        </w:rPr>
      </w:pPr>
      <w:r w:rsidRPr="00333A62">
        <w:rPr>
          <w:rFonts w:ascii="Times New Roman" w:eastAsiaTheme="majorEastAsia" w:hAnsi="Times New Roman" w:cs="Times New Roman"/>
          <w:sz w:val="24"/>
          <w:szCs w:val="24"/>
          <w:lang w:val="fr-FR"/>
        </w:rPr>
        <w:t>Dans l'ensemble, les SONU sont disponibles 24H/24 et 7 jours sur 7 dans 94% des structures sanitaires visitées. La proportion la plus faible est observée dans la région du Poro Tchologo Bagoue où les SONU sont disponibles 24H/24 et 7 jours sur 7 dans seulement</w:t>
      </w:r>
      <w:r w:rsidR="003B558B" w:rsidRPr="00333A62">
        <w:rPr>
          <w:rFonts w:ascii="Times New Roman" w:eastAsiaTheme="majorEastAsia" w:hAnsi="Times New Roman" w:cs="Times New Roman"/>
          <w:sz w:val="24"/>
          <w:szCs w:val="24"/>
          <w:lang w:val="fr-FR"/>
        </w:rPr>
        <w:t xml:space="preserve"> 39% des structures sanitaires.</w:t>
      </w:r>
    </w:p>
    <w:p w14:paraId="302C4DB5" w14:textId="77777777" w:rsidR="005B4FCE" w:rsidRPr="00333A62" w:rsidRDefault="005B4FCE" w:rsidP="00333A62">
      <w:pPr>
        <w:spacing w:before="120" w:after="120" w:line="276" w:lineRule="auto"/>
        <w:jc w:val="both"/>
        <w:rPr>
          <w:rFonts w:ascii="Times New Roman" w:eastAsiaTheme="majorEastAsia" w:hAnsi="Times New Roman" w:cs="Times New Roman"/>
          <w:sz w:val="24"/>
          <w:szCs w:val="24"/>
          <w:lang w:val="fr-FR"/>
        </w:rPr>
      </w:pPr>
    </w:p>
    <w:p w14:paraId="1F227267" w14:textId="77777777" w:rsidR="008948DB" w:rsidRPr="009A04F0" w:rsidRDefault="00825055" w:rsidP="00333A62">
      <w:pPr>
        <w:pStyle w:val="Titre3"/>
        <w:spacing w:before="120" w:after="120" w:line="276" w:lineRule="auto"/>
        <w:rPr>
          <w:rFonts w:ascii="Times New Roman" w:hAnsi="Times New Roman" w:cs="Times New Roman"/>
          <w:b/>
          <w:color w:val="0070C0"/>
        </w:rPr>
      </w:pPr>
      <w:bookmarkStart w:id="90" w:name="_Toc1573818"/>
      <w:r w:rsidRPr="009A04F0">
        <w:rPr>
          <w:rFonts w:ascii="Times New Roman" w:hAnsi="Times New Roman" w:cs="Times New Roman"/>
          <w:b/>
          <w:color w:val="0070C0"/>
        </w:rPr>
        <w:t>P</w:t>
      </w:r>
      <w:r w:rsidR="006011D9" w:rsidRPr="009A04F0">
        <w:rPr>
          <w:rFonts w:ascii="Times New Roman" w:hAnsi="Times New Roman" w:cs="Times New Roman"/>
          <w:b/>
          <w:color w:val="0070C0"/>
        </w:rPr>
        <w:t xml:space="preserve">rise en </w:t>
      </w:r>
      <w:r w:rsidRPr="009A04F0">
        <w:rPr>
          <w:rFonts w:ascii="Times New Roman" w:hAnsi="Times New Roman" w:cs="Times New Roman"/>
          <w:b/>
          <w:color w:val="0070C0"/>
        </w:rPr>
        <w:t>C</w:t>
      </w:r>
      <w:r w:rsidR="006011D9" w:rsidRPr="009A04F0">
        <w:rPr>
          <w:rFonts w:ascii="Times New Roman" w:hAnsi="Times New Roman" w:cs="Times New Roman"/>
          <w:b/>
          <w:color w:val="0070C0"/>
        </w:rPr>
        <w:t xml:space="preserve">harge </w:t>
      </w:r>
      <w:r w:rsidRPr="009A04F0">
        <w:rPr>
          <w:rFonts w:ascii="Times New Roman" w:hAnsi="Times New Roman" w:cs="Times New Roman"/>
          <w:b/>
          <w:color w:val="0070C0"/>
        </w:rPr>
        <w:t>I</w:t>
      </w:r>
      <w:r w:rsidR="006011D9" w:rsidRPr="009A04F0">
        <w:rPr>
          <w:rFonts w:ascii="Times New Roman" w:hAnsi="Times New Roman" w:cs="Times New Roman"/>
          <w:b/>
          <w:color w:val="0070C0"/>
        </w:rPr>
        <w:t xml:space="preserve">ntégrée de la </w:t>
      </w:r>
      <w:r w:rsidRPr="009A04F0">
        <w:rPr>
          <w:rFonts w:ascii="Times New Roman" w:hAnsi="Times New Roman" w:cs="Times New Roman"/>
          <w:b/>
          <w:color w:val="0070C0"/>
        </w:rPr>
        <w:t>M</w:t>
      </w:r>
      <w:r w:rsidR="006011D9" w:rsidRPr="009A04F0">
        <w:rPr>
          <w:rFonts w:ascii="Times New Roman" w:hAnsi="Times New Roman" w:cs="Times New Roman"/>
          <w:b/>
          <w:color w:val="0070C0"/>
        </w:rPr>
        <w:t xml:space="preserve">ère du Nouveau-né </w:t>
      </w:r>
      <w:r w:rsidR="008C697C" w:rsidRPr="009A04F0">
        <w:rPr>
          <w:rFonts w:ascii="Times New Roman" w:hAnsi="Times New Roman" w:cs="Times New Roman"/>
          <w:b/>
          <w:color w:val="0070C0"/>
        </w:rPr>
        <w:t>et de l’</w:t>
      </w:r>
      <w:r w:rsidRPr="009A04F0">
        <w:rPr>
          <w:rFonts w:ascii="Times New Roman" w:hAnsi="Times New Roman" w:cs="Times New Roman"/>
          <w:b/>
          <w:color w:val="0070C0"/>
        </w:rPr>
        <w:t>E</w:t>
      </w:r>
      <w:r w:rsidR="008C697C" w:rsidRPr="009A04F0">
        <w:rPr>
          <w:rFonts w:ascii="Times New Roman" w:hAnsi="Times New Roman" w:cs="Times New Roman"/>
          <w:b/>
          <w:color w:val="0070C0"/>
        </w:rPr>
        <w:t>nfant (PCIMNE)</w:t>
      </w:r>
      <w:bookmarkEnd w:id="90"/>
    </w:p>
    <w:p w14:paraId="2AF97647" w14:textId="77777777" w:rsidR="0079042B" w:rsidRPr="00333A62" w:rsidRDefault="0079042B"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La stratégie de la PCIMNE tient une place centrale dans la survie et le développement de l'enfant. La stratégie repose sur les droits humains qui garantissent des soins de santé à tous les enfants, quel que soit l'endroit où ils vivent. Elle est mise en œuvre en comblant les lacunes dans les connaissances, </w:t>
      </w:r>
      <w:r w:rsidRPr="00333A62">
        <w:rPr>
          <w:rFonts w:ascii="Times New Roman" w:hAnsi="Times New Roman" w:cs="Times New Roman"/>
          <w:sz w:val="24"/>
          <w:szCs w:val="24"/>
          <w:lang w:val="fr-FR"/>
        </w:rPr>
        <w:lastRenderedPageBreak/>
        <w:t>compétences et pratiques communautaires se rapportant à la santé de l'enfant, la reconnaissance de maladies, la prise en charge à domicile d'enfants malades et le comportement de consultation des services de santé. La stratégie de la PCIMNE comprend trois grandes composantes : 1. Prise en charge intégrée des enfants et Nouveau-né malades dans les établissements et dans les centres de santé 2. Renforcement des systèmes de santé, notamment l'approvisionnement en médicaments et le soutien logistique 3. PCIME communautaire ou promotion de comportements clés familiaux et communautaires. Combinant la prévention et les soins tout en s’attachant à l’enfant et le Nouveau-né entier et pas seulement aux maladies prises individuellement, la PCIMNE fonctionne mieux lorsque les familles et les communautés sont reliées à l'établissement de premier niveau qui, à son tour, est bien relié au niveau de référence.</w:t>
      </w:r>
    </w:p>
    <w:p w14:paraId="3F3B3BA3" w14:textId="3CED221A" w:rsidR="0079042B" w:rsidRPr="00333A62" w:rsidRDefault="0079042B"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La couverture nationale des principales causes de mortalité des enfants que sont le Paludisme, les IRA et la diarrhée faisant parti de la PCIMNE reste faible.  En effet, selon le MICS 2016, pour le paludisme, le pourcentage national d’enfants soignés au moyen d’une combinaison thérapeutique </w:t>
      </w:r>
      <w:r w:rsidR="00FA3E14" w:rsidRPr="00333A62">
        <w:rPr>
          <w:rFonts w:ascii="Times New Roman" w:hAnsi="Times New Roman" w:cs="Times New Roman"/>
          <w:sz w:val="24"/>
          <w:szCs w:val="24"/>
          <w:lang w:val="fr-FR"/>
        </w:rPr>
        <w:t>à</w:t>
      </w:r>
      <w:r w:rsidRPr="00333A62">
        <w:rPr>
          <w:rFonts w:ascii="Times New Roman" w:hAnsi="Times New Roman" w:cs="Times New Roman"/>
          <w:sz w:val="24"/>
          <w:szCs w:val="24"/>
          <w:lang w:val="fr-FR"/>
        </w:rPr>
        <w:t xml:space="preserve"> base d’Artemisine dans les 48 heures suivant l’accès de fièvre est de xxx %. Concernant les IRA, la couverture nationale est estimée à 30% pour les enfants de 0 à 59 mois présumés atteint de pneumonie 1) pour lesquels un traitement a été sollicité par un agent de santé communautaire et 2) s’étant vu administrer un antibiotique approprié par un professionnel de la santé. Ce pourcentage est encore plus faible dans le centre (13%), Nord-Est (16%), Abidjan (26%) et le Nord (27%). La couverture nationale de la prise en charge de la diarrhée par administration de Zinc est de 18%, elle est de 11% dans le Sud-Ouest, 9% dans le Nord-Ouest, 15% à l’Ouest et au Centre Ouest et 16% dans le Nord. La couverture de la prise en charge de la malnutrition aigüe sévère n’est pas en reste. En effet, le pourcentage au niveau national d’enfants souffrants d’émacie grave (&lt;-3Z) recevant une alimentation thérapeutique est de 17%. Cette couverture est encore plus faible dans le Centre (12%), le Centre-Ouest (8%), le Nord-Ouest et le Sud-Ouest (13%), le Sud sans Abidjan (14%) et le Nord (15%).</w:t>
      </w:r>
    </w:p>
    <w:p w14:paraId="5E6BBEBE" w14:textId="77777777" w:rsidR="0079042B" w:rsidRPr="00333A62" w:rsidRDefault="0079042B"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La PCIME-communautaire quant à elle, comporte deux paquets d’intervention, i) un paquet promotionnel pour les Pratiques Familiales essentielles et ii) un paquet curatif pour essentiellement la prise en charge des trois principales maladies (Paludisme, diarrhée et Pneumonie). Elle est assurée par des ASC qui sont bénévoles jusqu'à ce jour, contrairement à d’autres acteurs communautaires qui sont payées par les partenaires. Pas de financement d’Etat dans la rémunération. Prévue pour une couverture nationale des 86 districts sanitaires, la PCIME-C ne couvre actuellement que 42 districts soutenu essentiellement par le programme National de lutte contre le Paludisme. </w:t>
      </w:r>
    </w:p>
    <w:p w14:paraId="7F3C003E" w14:textId="77777777" w:rsidR="00A9400C" w:rsidRPr="00333A62" w:rsidRDefault="00A9400C" w:rsidP="00333A62">
      <w:pPr>
        <w:spacing w:before="120" w:after="120" w:line="276" w:lineRule="auto"/>
        <w:ind w:firstLine="708"/>
        <w:rPr>
          <w:rFonts w:ascii="Times New Roman" w:hAnsi="Times New Roman" w:cs="Times New Roman"/>
          <w:sz w:val="24"/>
          <w:szCs w:val="24"/>
        </w:rPr>
      </w:pPr>
    </w:p>
    <w:p w14:paraId="078B991C" w14:textId="77777777" w:rsidR="008948DB" w:rsidRPr="009A04F0" w:rsidRDefault="00825055" w:rsidP="00333A62">
      <w:pPr>
        <w:pStyle w:val="Titre2"/>
        <w:spacing w:before="120" w:after="120" w:line="276" w:lineRule="auto"/>
        <w:rPr>
          <w:rFonts w:ascii="Times New Roman" w:hAnsi="Times New Roman" w:cs="Times New Roman"/>
          <w:b/>
          <w:color w:val="0070C0"/>
          <w:sz w:val="24"/>
          <w:szCs w:val="24"/>
        </w:rPr>
      </w:pPr>
      <w:bookmarkStart w:id="91" w:name="_Toc1573819"/>
      <w:r w:rsidRPr="009A04F0">
        <w:rPr>
          <w:rFonts w:ascii="Times New Roman" w:hAnsi="Times New Roman" w:cs="Times New Roman"/>
          <w:b/>
          <w:color w:val="0070C0"/>
          <w:sz w:val="24"/>
          <w:szCs w:val="24"/>
        </w:rPr>
        <w:t>Analyse situationnelle de l’enregistrement et statistiques d’État civil</w:t>
      </w:r>
      <w:r w:rsidR="00EF0B70" w:rsidRPr="009A04F0">
        <w:rPr>
          <w:rFonts w:ascii="Times New Roman" w:hAnsi="Times New Roman" w:cs="Times New Roman"/>
          <w:b/>
          <w:color w:val="0070C0"/>
          <w:sz w:val="24"/>
          <w:szCs w:val="24"/>
        </w:rPr>
        <w:t xml:space="preserve"> (ESEC)</w:t>
      </w:r>
      <w:bookmarkEnd w:id="91"/>
    </w:p>
    <w:p w14:paraId="15A4563C" w14:textId="77777777" w:rsidR="00EC2C00" w:rsidRPr="00333A62" w:rsidRDefault="00EC2C00"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L’enregistrement des faits d’état-civil et les données qui en découlent sont fondamentaux pour la vie des individus et des pays. Outre les aspects légaux associés à l’enregistrement à l’état civil des décès et causes de décès, celui-ci permettrait la production de données statistique nationales sur ceux-ci, avec un meilleur suivi et connaissances des tendances, et par conséquent une meilleure planification des politiques publiques.</w:t>
      </w:r>
    </w:p>
    <w:p w14:paraId="29397A45" w14:textId="446B3FF3" w:rsidR="00EC2C00" w:rsidRPr="00333A62" w:rsidRDefault="00EC2C00" w:rsidP="00333A62">
      <w:pPr>
        <w:pStyle w:val="Paragraphedeliste"/>
        <w:spacing w:before="120" w:after="120" w:line="276" w:lineRule="auto"/>
        <w:ind w:left="0"/>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Selon les résultats de la MICS-5 2016, 28% des enfants de moins de cinq ne sont pas enregistrés à l’état civil. Comparée à 2006, la situation de l’enregistrement des naissances s’est améliorée. En effet, </w:t>
      </w:r>
      <w:r w:rsidRPr="00333A62">
        <w:rPr>
          <w:rFonts w:ascii="Times New Roman" w:hAnsi="Times New Roman" w:cs="Times New Roman"/>
          <w:sz w:val="24"/>
          <w:szCs w:val="24"/>
          <w:lang w:val="fr-FR"/>
        </w:rPr>
        <w:lastRenderedPageBreak/>
        <w:t xml:space="preserve">le taux d’enfants de moins de 5 ans non enregistrés à l’état-civil était de 45% en 2006 (MICS 2006). Les données de routine du Ministère de l’Intérieur et de la Sécurité </w:t>
      </w:r>
      <w:r w:rsidR="00EA583D" w:rsidRPr="00333A62">
        <w:rPr>
          <w:rFonts w:ascii="Times New Roman" w:hAnsi="Times New Roman" w:cs="Times New Roman"/>
          <w:sz w:val="24"/>
          <w:szCs w:val="24"/>
          <w:lang w:val="fr-FR"/>
        </w:rPr>
        <w:t>démontrent</w:t>
      </w:r>
      <w:r w:rsidRPr="00333A62">
        <w:rPr>
          <w:rFonts w:ascii="Times New Roman" w:hAnsi="Times New Roman" w:cs="Times New Roman"/>
          <w:sz w:val="24"/>
          <w:szCs w:val="24"/>
          <w:lang w:val="fr-FR"/>
        </w:rPr>
        <w:t xml:space="preserve"> également une amélioration du taux global de l’enregistrement des naissances à l’état civil. Ces données, sous-tendues par une évolution positive de la situation générale, semblent davantage dues aux effets des opérations spéciales de rattrapage qu’à un changement de comportements des populations relatif à la déclaration des naissances. </w:t>
      </w:r>
    </w:p>
    <w:p w14:paraId="1D147F29" w14:textId="77777777" w:rsidR="00EC2C00" w:rsidRPr="00333A62" w:rsidRDefault="00EC2C00" w:rsidP="00333A62">
      <w:pPr>
        <w:pStyle w:val="Paragraphedeliste"/>
        <w:spacing w:before="120" w:after="120" w:line="276" w:lineRule="auto"/>
        <w:ind w:left="0"/>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En effet, l’analyse des données de routine du Ministère de l’Intérieur sur l’enregistrement des nouvelles naissances au cours des quatre dernières années montre que près de la moitié des enfants nés entre 2012 et 2014 n’ont pas été déclarés à l’état-civil dans les délais légaux. Plus de la moitié des naissances enregistrées de 2012 à 2014 (54 %) ont été déclarées grâce à des mécanismes dérogatoires (loi spéciale, jugements supplétifs). On constate sur l'ensemble du territoire national, une baisse du taux de déclaration des naissances dans les délais qui a chuté de 70% (2014) à 54% (2017).</w:t>
      </w:r>
    </w:p>
    <w:p w14:paraId="5518662A" w14:textId="77777777" w:rsidR="009A30D8" w:rsidRPr="00333A62" w:rsidRDefault="009A30D8" w:rsidP="009A30D8">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Cette situation démontre également les disparités liées aux régions, milieux de vie, niveau économique des populations et au sexe. </w:t>
      </w:r>
    </w:p>
    <w:p w14:paraId="365F166C" w14:textId="77777777" w:rsidR="00EC2C00" w:rsidRPr="00333A62" w:rsidRDefault="00EC2C00" w:rsidP="00333A62">
      <w:pPr>
        <w:pStyle w:val="Paragraphedeliste"/>
        <w:spacing w:before="120" w:after="120" w:line="276" w:lineRule="auto"/>
        <w:ind w:left="0"/>
        <w:jc w:val="both"/>
        <w:rPr>
          <w:rFonts w:ascii="Times New Roman" w:hAnsi="Times New Roman" w:cs="Times New Roman"/>
          <w:sz w:val="24"/>
          <w:szCs w:val="24"/>
          <w:lang w:val="fr-FR"/>
        </w:rPr>
      </w:pPr>
    </w:p>
    <w:p w14:paraId="78EBEE7E" w14:textId="77777777" w:rsidR="00EC2C00" w:rsidRPr="00333A62" w:rsidRDefault="00EC2C00" w:rsidP="00333A62">
      <w:pPr>
        <w:pStyle w:val="Paragraphedeliste"/>
        <w:spacing w:before="120" w:after="120" w:line="276" w:lineRule="auto"/>
        <w:ind w:left="0"/>
        <w:jc w:val="both"/>
        <w:rPr>
          <w:rFonts w:ascii="Times New Roman" w:hAnsi="Times New Roman" w:cs="Times New Roman"/>
          <w:sz w:val="24"/>
          <w:szCs w:val="24"/>
          <w:lang w:val="fr-FR"/>
        </w:rPr>
      </w:pPr>
      <w:r w:rsidRPr="00333A62">
        <w:rPr>
          <w:rFonts w:ascii="Times New Roman" w:hAnsi="Times New Roman" w:cs="Times New Roman"/>
          <w:noProof/>
          <w:sz w:val="24"/>
          <w:szCs w:val="24"/>
          <w:lang w:val="fr-FR" w:eastAsia="fr-FR"/>
        </w:rPr>
        <w:drawing>
          <wp:inline distT="0" distB="0" distL="0" distR="0" wp14:anchorId="1FEC356F" wp14:editId="3C815083">
            <wp:extent cx="6108971" cy="2548255"/>
            <wp:effectExtent l="0" t="0" r="6350" b="4445"/>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3656A45B" w14:textId="3B631E8A" w:rsidR="00C93780" w:rsidRPr="00C93780" w:rsidRDefault="00C93780" w:rsidP="00C93780">
      <w:pPr>
        <w:pStyle w:val="Titre7"/>
        <w:numPr>
          <w:ilvl w:val="0"/>
          <w:numId w:val="0"/>
        </w:numPr>
        <w:spacing w:before="120" w:after="120" w:line="276" w:lineRule="auto"/>
        <w:ind w:left="1296" w:hanging="1296"/>
        <w:rPr>
          <w:rFonts w:ascii="Times New Roman" w:eastAsia="Times New Roman" w:hAnsi="Times New Roman" w:cs="Times New Roman"/>
          <w:b/>
          <w:i w:val="0"/>
          <w:color w:val="auto"/>
          <w:sz w:val="24"/>
          <w:szCs w:val="24"/>
          <w:u w:color="000000"/>
          <w:lang w:val="fr-FR"/>
        </w:rPr>
      </w:pPr>
      <w:bookmarkStart w:id="92" w:name="_Toc1588496"/>
      <w:r w:rsidRPr="00C93780">
        <w:rPr>
          <w:rFonts w:ascii="Times New Roman" w:hAnsi="Times New Roman" w:cs="Times New Roman"/>
          <w:b/>
          <w:i w:val="0"/>
          <w:color w:val="auto"/>
          <w:sz w:val="24"/>
          <w:szCs w:val="24"/>
        </w:rPr>
        <w:t xml:space="preserve">Graphique </w:t>
      </w:r>
      <w:r w:rsidRPr="00C93780">
        <w:rPr>
          <w:rFonts w:ascii="Times New Roman" w:hAnsi="Times New Roman" w:cs="Times New Roman"/>
          <w:b/>
          <w:i w:val="0"/>
          <w:color w:val="auto"/>
          <w:sz w:val="24"/>
          <w:szCs w:val="24"/>
        </w:rPr>
        <w:fldChar w:fldCharType="begin"/>
      </w:r>
      <w:r w:rsidRPr="00C93780">
        <w:rPr>
          <w:rFonts w:ascii="Times New Roman" w:hAnsi="Times New Roman" w:cs="Times New Roman"/>
          <w:b/>
          <w:i w:val="0"/>
          <w:color w:val="auto"/>
          <w:sz w:val="24"/>
          <w:szCs w:val="24"/>
        </w:rPr>
        <w:instrText xml:space="preserve"> SEQ Graphique \* ARABIC </w:instrText>
      </w:r>
      <w:r w:rsidRPr="00C93780">
        <w:rPr>
          <w:rFonts w:ascii="Times New Roman" w:hAnsi="Times New Roman" w:cs="Times New Roman"/>
          <w:b/>
          <w:i w:val="0"/>
          <w:color w:val="auto"/>
          <w:sz w:val="24"/>
          <w:szCs w:val="24"/>
        </w:rPr>
        <w:fldChar w:fldCharType="separate"/>
      </w:r>
      <w:r w:rsidR="009A04F0">
        <w:rPr>
          <w:rFonts w:ascii="Times New Roman" w:hAnsi="Times New Roman" w:cs="Times New Roman"/>
          <w:b/>
          <w:i w:val="0"/>
          <w:noProof/>
          <w:color w:val="auto"/>
          <w:sz w:val="24"/>
          <w:szCs w:val="24"/>
        </w:rPr>
        <w:t>20</w:t>
      </w:r>
      <w:r w:rsidRPr="00C93780">
        <w:rPr>
          <w:rFonts w:ascii="Times New Roman" w:hAnsi="Times New Roman" w:cs="Times New Roman"/>
          <w:b/>
          <w:i w:val="0"/>
          <w:color w:val="auto"/>
          <w:sz w:val="24"/>
          <w:szCs w:val="24"/>
        </w:rPr>
        <w:fldChar w:fldCharType="end"/>
      </w:r>
      <w:r w:rsidRPr="00C93780">
        <w:rPr>
          <w:rFonts w:ascii="Times New Roman" w:hAnsi="Times New Roman" w:cs="Times New Roman"/>
          <w:b/>
          <w:i w:val="0"/>
          <w:color w:val="auto"/>
          <w:sz w:val="24"/>
          <w:szCs w:val="24"/>
          <w:lang w:val="fr-FR"/>
        </w:rPr>
        <w:t> : Évolution de</w:t>
      </w:r>
      <w:r w:rsidR="00790D53">
        <w:rPr>
          <w:rFonts w:ascii="Times New Roman" w:hAnsi="Times New Roman" w:cs="Times New Roman"/>
          <w:b/>
          <w:i w:val="0"/>
          <w:color w:val="auto"/>
          <w:sz w:val="24"/>
          <w:szCs w:val="24"/>
          <w:lang w:val="fr-FR"/>
        </w:rPr>
        <w:t xml:space="preserve"> l’enregistrement des naissances</w:t>
      </w:r>
      <w:r w:rsidRPr="00C93780">
        <w:rPr>
          <w:rFonts w:ascii="Times New Roman" w:hAnsi="Times New Roman" w:cs="Times New Roman"/>
          <w:b/>
          <w:i w:val="0"/>
          <w:color w:val="auto"/>
          <w:sz w:val="24"/>
          <w:szCs w:val="24"/>
          <w:lang w:val="fr-FR"/>
        </w:rPr>
        <w:t xml:space="preserve"> en Côte d’Ivoire </w:t>
      </w:r>
      <w:r w:rsidR="007B5676">
        <w:rPr>
          <w:rFonts w:ascii="Times New Roman" w:hAnsi="Times New Roman" w:cs="Times New Roman"/>
          <w:b/>
          <w:i w:val="0"/>
          <w:color w:val="auto"/>
          <w:sz w:val="24"/>
          <w:szCs w:val="24"/>
          <w:lang w:val="fr-FR"/>
        </w:rPr>
        <w:t>de 2014 à 2017</w:t>
      </w:r>
      <w:bookmarkEnd w:id="92"/>
    </w:p>
    <w:p w14:paraId="0E295FFF" w14:textId="2283D387" w:rsidR="00EC2C00" w:rsidRPr="00333A62" w:rsidRDefault="00EC2C00" w:rsidP="00C93780">
      <w:pPr>
        <w:pStyle w:val="Lgende"/>
        <w:rPr>
          <w:sz w:val="24"/>
          <w:szCs w:val="24"/>
        </w:rPr>
      </w:pPr>
    </w:p>
    <w:p w14:paraId="05AAC92F" w14:textId="77777777" w:rsidR="00EC2C00" w:rsidRPr="00333A62" w:rsidRDefault="00EC2C00"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Les données de la MICS-5 2016 révèlent en effet que l’enregistrement des naissances des enfants est plus faible dans certaines régions du pays telles que le centre-ouest (49,6%), le sud-ouest (59%), l’ouest (61,8%), et le nord-Est (68,5%). Les enfants vivant en milieu rural et dans les ménages les plus pauvres sont moins déclarés à l’état-civil que ceux des villes (taux d’enregistrement de 60,1% en zone rurale contre 89,8% en zone urbaine) et des ménages les plus riches (taux d’enregistrement de 47,6% dans le quintile le plus pauvre contre 95,4% dans le quintile le plus riche). Bien que dans l’ensemble, les disparités entre filles et garçons, ne soient pas très prononcées (70,9% contre 72,5%), les données indiquent des écarts plus ou moins importants, entre les tranches d’âge. Pour les 0-11 ans (75,7%) contre 71,1% pour les 12-23 ans et 73,9% pour les 24-35 ans.  </w:t>
      </w:r>
    </w:p>
    <w:p w14:paraId="5EE7F670" w14:textId="77777777" w:rsidR="00EC2C00" w:rsidRPr="00333A62" w:rsidRDefault="00EC2C00"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lastRenderedPageBreak/>
        <w:t xml:space="preserve">Le faible taux de déclaration des nouvelles naissances risque d’entraîner une baisse du taux d’enregistrement des naissances dans les années à venir et poser des problèmes d’accès à l’identité pour les enfants non déclarés. </w:t>
      </w:r>
    </w:p>
    <w:p w14:paraId="03E61031" w14:textId="77777777" w:rsidR="00EC2C00" w:rsidRPr="00333A62" w:rsidRDefault="00EC2C00"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S’agissant des décès, le taux d’enregistrement à l’état civil n’est pas précisément établi en Côte d’Ivoire. Si l’on se réfère à un taux brut de mortalité de 10/1000 habitants, le nombre attendu de décès est estimé à 220.000 par an.  Ce que l’on sait c’est que moins de 50.000 décès par an ont été enregistrés à l’état civil respectivement en 2015 (47,065) et en 2016 (45,995)</w:t>
      </w:r>
      <w:r w:rsidRPr="00333A62">
        <w:rPr>
          <w:rFonts w:ascii="Times New Roman" w:hAnsi="Times New Roman" w:cs="Times New Roman"/>
          <w:sz w:val="24"/>
          <w:szCs w:val="24"/>
        </w:rPr>
        <w:footnoteReference w:id="33"/>
      </w:r>
      <w:r w:rsidRPr="00333A62">
        <w:rPr>
          <w:rFonts w:ascii="Times New Roman" w:hAnsi="Times New Roman" w:cs="Times New Roman"/>
          <w:sz w:val="24"/>
          <w:szCs w:val="24"/>
          <w:lang w:val="fr-FR"/>
        </w:rPr>
        <w:t xml:space="preserve"> . </w:t>
      </w:r>
    </w:p>
    <w:p w14:paraId="43041505" w14:textId="77777777" w:rsidR="00EC2C00" w:rsidRPr="00333A62" w:rsidRDefault="00EC2C00"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L’enregistrement systématique des naissances à l’état-civil est freiné par des facteurs de divers ordres notamment la demande des services d’état-civil et l’offre de service d’état civil. En effet, le faible recours des populations, aux services d’état-civil, pour la déclaration des naissances dans les délais est un des facteurs clés qui entrave l’enregistrement universel. Ce comportement s’explique pour plusieurs raisons qui agissent négativement sur la demande de services d’état-civil. Au nombre de ces causes sous-jacentes pour lesquels des disparités importantes existent entre les femmes et les hommes, figure l’ignorance des dispositions légales relatives à la déclaration des naissances à l’état civil, les pratiques culturelles ainsi que la demande opportuniste des populations. </w:t>
      </w:r>
    </w:p>
    <w:p w14:paraId="3F00E208" w14:textId="77777777" w:rsidR="00EC2C00" w:rsidRPr="00333A62" w:rsidRDefault="00EC2C00"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Le second groupe de facteur est lié à l’offre de service d’état-civil c’est-à-dire à certains dysfonctionnements et pratiques en cours au niveau des centres d’état-civil. Les pratiques non conformes aux dispositions légales des services dissuadent dans certains cas la déclaration des naissances à l’état-civil. En effet, les résultats de l’étude susmentionnée indiquent que 61% des usagers des services d’état-civil ont été soumis à une exigence de présentation de pièces d’identité des parents au moment de la déclaration. En plus, 13% des requérants ont été soumis au paiement de frais autres que les frais de timbres au moment de la déclaration. Outre les pratiques non conformes aux dispositions légales, les autres goulots d’étranglement résident dans l’éloignement des centres d’état civil, les ruptures en intrants nécessaires à l’enregistrement des naissances (respectivement 26% et 32% des centres de la zone cible du PBF phase 1 ont connu des ruptures en registres de naissances et imprimés d’actes de naissance en 2014)</w:t>
      </w:r>
      <w:r w:rsidRPr="00333A62">
        <w:rPr>
          <w:rFonts w:ascii="Times New Roman" w:hAnsi="Times New Roman" w:cs="Times New Roman"/>
          <w:sz w:val="24"/>
          <w:szCs w:val="24"/>
          <w:lang w:val="fr-FR"/>
        </w:rPr>
        <w:footnoteReference w:id="34"/>
      </w:r>
      <w:r w:rsidRPr="00333A62">
        <w:rPr>
          <w:rFonts w:ascii="Times New Roman" w:hAnsi="Times New Roman" w:cs="Times New Roman"/>
          <w:sz w:val="24"/>
          <w:szCs w:val="24"/>
          <w:lang w:val="fr-FR"/>
        </w:rPr>
        <w:t>, la faible qualification du personnel des services d’état-civil (seulement 36% du personnel de l’état-civil des zones du PBF phase 1 ont reçu une formation sur la pratique de l’état-civil en formation initiale ou continue</w:t>
      </w:r>
      <w:r w:rsidRPr="00333A62">
        <w:rPr>
          <w:rFonts w:ascii="Times New Roman" w:hAnsi="Times New Roman" w:cs="Times New Roman"/>
          <w:sz w:val="24"/>
          <w:szCs w:val="24"/>
          <w:lang w:val="fr-FR"/>
        </w:rPr>
        <w:footnoteReference w:id="35"/>
      </w:r>
      <w:r w:rsidRPr="00333A62">
        <w:rPr>
          <w:rFonts w:ascii="Times New Roman" w:hAnsi="Times New Roman" w:cs="Times New Roman"/>
          <w:sz w:val="24"/>
          <w:szCs w:val="24"/>
          <w:lang w:val="fr-FR"/>
        </w:rPr>
        <w:t>) ainsi que la faible supervision des services par la tutelle et l’autorité judiciaire.</w:t>
      </w:r>
    </w:p>
    <w:p w14:paraId="3BE24B7A" w14:textId="77777777" w:rsidR="00A9400C" w:rsidRPr="00333A62" w:rsidRDefault="00A9400C" w:rsidP="00333A62">
      <w:pPr>
        <w:spacing w:before="120" w:after="120" w:line="276" w:lineRule="auto"/>
        <w:rPr>
          <w:rFonts w:ascii="Times New Roman" w:hAnsi="Times New Roman" w:cs="Times New Roman"/>
          <w:sz w:val="24"/>
          <w:szCs w:val="24"/>
        </w:rPr>
      </w:pPr>
    </w:p>
    <w:p w14:paraId="1B28107C" w14:textId="77777777" w:rsidR="001E6397" w:rsidRDefault="001E6397">
      <w:pPr>
        <w:rPr>
          <w:rFonts w:ascii="Times New Roman" w:eastAsiaTheme="majorEastAsia" w:hAnsi="Times New Roman" w:cs="Times New Roman"/>
          <w:b/>
          <w:color w:val="0070C0"/>
          <w:sz w:val="24"/>
          <w:szCs w:val="24"/>
        </w:rPr>
      </w:pPr>
      <w:r>
        <w:rPr>
          <w:rFonts w:ascii="Times New Roman" w:hAnsi="Times New Roman" w:cs="Times New Roman"/>
          <w:b/>
          <w:color w:val="0070C0"/>
          <w:sz w:val="24"/>
          <w:szCs w:val="24"/>
        </w:rPr>
        <w:br w:type="page"/>
      </w:r>
    </w:p>
    <w:p w14:paraId="3D9E490F" w14:textId="130753D7" w:rsidR="00503843" w:rsidRPr="009A04F0" w:rsidRDefault="00603EA1" w:rsidP="00333A62">
      <w:pPr>
        <w:pStyle w:val="Titre1"/>
        <w:spacing w:before="120" w:after="120" w:line="276" w:lineRule="auto"/>
        <w:rPr>
          <w:rFonts w:ascii="Times New Roman" w:hAnsi="Times New Roman" w:cs="Times New Roman"/>
          <w:b/>
          <w:color w:val="0070C0"/>
          <w:sz w:val="24"/>
          <w:szCs w:val="24"/>
        </w:rPr>
      </w:pPr>
      <w:bookmarkStart w:id="93" w:name="_Toc1573820"/>
      <w:r w:rsidRPr="009A04F0">
        <w:rPr>
          <w:rFonts w:ascii="Times New Roman" w:hAnsi="Times New Roman" w:cs="Times New Roman"/>
          <w:b/>
          <w:color w:val="0070C0"/>
          <w:sz w:val="24"/>
          <w:szCs w:val="24"/>
        </w:rPr>
        <w:lastRenderedPageBreak/>
        <w:t>GOULOTS D’ÉTRANGLEMENT À L’UTILISATION EFFECTIVE DES SERVICES DE LA SRMNEA ET DE L’ESEC</w:t>
      </w:r>
      <w:bookmarkEnd w:id="93"/>
    </w:p>
    <w:p w14:paraId="638F7A5B" w14:textId="2B5F5666" w:rsidR="00503843" w:rsidRPr="00A944AA" w:rsidRDefault="00503843" w:rsidP="00A944AA">
      <w:pPr>
        <w:pStyle w:val="Titre2"/>
        <w:rPr>
          <w:rFonts w:ascii="Times New Roman" w:hAnsi="Times New Roman" w:cs="Times New Roman"/>
          <w:b/>
          <w:color w:val="0070C0"/>
          <w:sz w:val="24"/>
          <w:szCs w:val="24"/>
        </w:rPr>
      </w:pPr>
      <w:bookmarkStart w:id="94" w:name="_Toc1573821"/>
      <w:r w:rsidRPr="00A944AA">
        <w:rPr>
          <w:rFonts w:ascii="Times New Roman" w:hAnsi="Times New Roman" w:cs="Times New Roman"/>
          <w:b/>
          <w:color w:val="0070C0"/>
          <w:sz w:val="24"/>
          <w:szCs w:val="24"/>
        </w:rPr>
        <w:t>Méthodologie</w:t>
      </w:r>
      <w:bookmarkEnd w:id="94"/>
      <w:r w:rsidRPr="00A944AA">
        <w:rPr>
          <w:rFonts w:ascii="Times New Roman" w:hAnsi="Times New Roman" w:cs="Times New Roman"/>
          <w:b/>
          <w:color w:val="0070C0"/>
          <w:sz w:val="24"/>
          <w:szCs w:val="24"/>
        </w:rPr>
        <w:t xml:space="preserve"> </w:t>
      </w:r>
    </w:p>
    <w:p w14:paraId="1255EF6B" w14:textId="77777777" w:rsidR="00503843" w:rsidRPr="00333A62" w:rsidRDefault="00503843"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L’analyse des goulots d’étranglement a été réalisée avec l’outil EQUIST dont l’approche est basée sur le facteur de l’équité et selon les trois modes de prestations de soins à savoir les pratiques familiales essentielles, les soins préventifs et les soins curatifs. On aboutit en fin d’analyse à un impact coût-efficacité en fonction du scénario décrit pour le pays.  Pour chacun des paquets d’activités, les sept déterminants de couverture ont été passés en revue en choisissant pour chaque paquet une ou deux interventions-traceurs. Les interventions-traceurs sont des interventions clés, dont l’analyse des goulots peut être généralisée à leur paquet de soins. L’outil indique par un code couleur la gravité du goulot d’étranglement. Ainsi plus un goulot est rouge, plus il entrave l’atteinte des résultats de couverture.</w:t>
      </w:r>
    </w:p>
    <w:p w14:paraId="05CEA71A" w14:textId="77777777" w:rsidR="00503843" w:rsidRPr="00333A62" w:rsidRDefault="00503843" w:rsidP="00C93780">
      <w:pPr>
        <w:spacing w:before="120" w:after="120" w:line="276" w:lineRule="auto"/>
        <w:ind w:right="50"/>
        <w:rPr>
          <w:rFonts w:ascii="Times New Roman" w:hAnsi="Times New Roman" w:cs="Times New Roman"/>
          <w:sz w:val="24"/>
          <w:szCs w:val="24"/>
        </w:rPr>
      </w:pPr>
      <w:r w:rsidRPr="00333A62">
        <w:rPr>
          <w:rFonts w:ascii="Times New Roman" w:hAnsi="Times New Roman" w:cs="Times New Roman"/>
          <w:noProof/>
          <w:sz w:val="24"/>
          <w:szCs w:val="24"/>
          <w:lang w:val="fr-FR" w:eastAsia="fr-FR"/>
        </w:rPr>
        <w:drawing>
          <wp:inline distT="0" distB="0" distL="0" distR="0" wp14:anchorId="77BFD6A4" wp14:editId="66695788">
            <wp:extent cx="6288449" cy="2511846"/>
            <wp:effectExtent l="19050" t="19050" r="17145" b="22225"/>
            <wp:docPr id="199" name="Imag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364882" cy="2542376"/>
                    </a:xfrm>
                    <a:prstGeom prst="rect">
                      <a:avLst/>
                    </a:prstGeom>
                    <a:noFill/>
                    <a:ln w="19050">
                      <a:solidFill>
                        <a:srgbClr val="00B0F0"/>
                      </a:solidFill>
                    </a:ln>
                  </pic:spPr>
                </pic:pic>
              </a:graphicData>
            </a:graphic>
          </wp:inline>
        </w:drawing>
      </w:r>
    </w:p>
    <w:p w14:paraId="63ED5201" w14:textId="22254E63" w:rsidR="00503843" w:rsidRPr="00C93780" w:rsidRDefault="00503843" w:rsidP="00C93780">
      <w:pPr>
        <w:pStyle w:val="Lgende"/>
        <w:rPr>
          <w:sz w:val="28"/>
          <w:szCs w:val="24"/>
        </w:rPr>
      </w:pPr>
      <w:r w:rsidRPr="00C93780">
        <w:rPr>
          <w:sz w:val="28"/>
          <w:szCs w:val="24"/>
        </w:rPr>
        <w:t xml:space="preserve"> </w:t>
      </w:r>
      <w:bookmarkStart w:id="95" w:name="_Toc1588389"/>
      <w:r w:rsidR="00C93780" w:rsidRPr="00C93780">
        <w:rPr>
          <w:sz w:val="22"/>
        </w:rPr>
        <w:t xml:space="preserve">Figure </w:t>
      </w:r>
      <w:r w:rsidR="00C93780" w:rsidRPr="00C93780">
        <w:rPr>
          <w:sz w:val="22"/>
        </w:rPr>
        <w:fldChar w:fldCharType="begin"/>
      </w:r>
      <w:r w:rsidR="00C93780" w:rsidRPr="00C93780">
        <w:rPr>
          <w:sz w:val="22"/>
        </w:rPr>
        <w:instrText xml:space="preserve"> SEQ Figure \* ARABIC </w:instrText>
      </w:r>
      <w:r w:rsidR="00C93780" w:rsidRPr="00C93780">
        <w:rPr>
          <w:sz w:val="22"/>
        </w:rPr>
        <w:fldChar w:fldCharType="separate"/>
      </w:r>
      <w:r w:rsidR="008F4009">
        <w:rPr>
          <w:noProof/>
          <w:sz w:val="22"/>
        </w:rPr>
        <w:t>2</w:t>
      </w:r>
      <w:r w:rsidR="00C93780" w:rsidRPr="00C93780">
        <w:rPr>
          <w:sz w:val="22"/>
        </w:rPr>
        <w:fldChar w:fldCharType="end"/>
      </w:r>
      <w:r w:rsidR="00C93780" w:rsidRPr="00C93780">
        <w:rPr>
          <w:sz w:val="22"/>
        </w:rPr>
        <w:t> : Modes de prestations de soins Equist</w:t>
      </w:r>
      <w:bookmarkEnd w:id="95"/>
    </w:p>
    <w:p w14:paraId="79CABB10" w14:textId="77777777" w:rsidR="009A30D8" w:rsidRPr="00333A62" w:rsidRDefault="009A30D8" w:rsidP="00333A62">
      <w:pPr>
        <w:spacing w:before="120" w:after="120" w:line="276" w:lineRule="auto"/>
        <w:rPr>
          <w:rFonts w:ascii="Times New Roman" w:hAnsi="Times New Roman" w:cs="Times New Roman"/>
          <w:sz w:val="24"/>
          <w:szCs w:val="24"/>
        </w:rPr>
      </w:pPr>
    </w:p>
    <w:p w14:paraId="226FEE18" w14:textId="3B52C4A5" w:rsidR="00503843" w:rsidRPr="00C85634" w:rsidRDefault="00503843" w:rsidP="006C0B89">
      <w:pPr>
        <w:pStyle w:val="Titre2"/>
        <w:rPr>
          <w:rFonts w:ascii="Times New Roman" w:hAnsi="Times New Roman" w:cs="Times New Roman"/>
          <w:b/>
          <w:color w:val="0070C0"/>
        </w:rPr>
      </w:pPr>
      <w:bookmarkStart w:id="96" w:name="_Toc1573822"/>
      <w:r w:rsidRPr="00C85634">
        <w:rPr>
          <w:rFonts w:ascii="Times New Roman" w:hAnsi="Times New Roman" w:cs="Times New Roman"/>
          <w:b/>
          <w:color w:val="0070C0"/>
        </w:rPr>
        <w:t>Défis liés à la demande (SRMNEA)</w:t>
      </w:r>
      <w:bookmarkEnd w:id="96"/>
    </w:p>
    <w:p w14:paraId="1E6ED555" w14:textId="77777777" w:rsidR="00503843" w:rsidRPr="00333A62" w:rsidRDefault="00503843"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 xml:space="preserve">Les principaux goulots liés à la demande sont en rapport avec l’acceptabilité socio-culturelle, l’accessibilité financière et la continuité. </w:t>
      </w:r>
    </w:p>
    <w:p w14:paraId="1CFADFBE" w14:textId="77777777" w:rsidR="00503843" w:rsidRPr="00333A62" w:rsidRDefault="00503843"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Concernant l’acceptabilité socioculturelle, le goulot concerne essentiellement les soins préventifs et les pratiques familiales, tandis que les soins curatifs sont relativement bien accueillis par les populations. Les causes sont :</w:t>
      </w:r>
    </w:p>
    <w:p w14:paraId="5F6648E6" w14:textId="77777777" w:rsidR="00503843" w:rsidRPr="00333A62" w:rsidRDefault="00503843" w:rsidP="00333A62">
      <w:pPr>
        <w:pStyle w:val="Paragraphedeliste"/>
        <w:numPr>
          <w:ilvl w:val="0"/>
          <w:numId w:val="3"/>
        </w:num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L’ignorance des populations vis-à-vis de certaines attitudes mauvaises pour la santé comme la défécation à l’air libre;</w:t>
      </w:r>
    </w:p>
    <w:p w14:paraId="72078754" w14:textId="77777777" w:rsidR="00503843" w:rsidRPr="00333A62" w:rsidRDefault="00503843" w:rsidP="00333A62">
      <w:pPr>
        <w:pStyle w:val="Paragraphedeliste"/>
        <w:numPr>
          <w:ilvl w:val="0"/>
          <w:numId w:val="3"/>
        </w:num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Les fausses idées vis-à-vis des interventions sanitaires par exemple les préjugés sur la contraception et la vaccination dans certaines régions;</w:t>
      </w:r>
    </w:p>
    <w:p w14:paraId="25DF9150" w14:textId="77777777" w:rsidR="00503843" w:rsidRPr="00333A62" w:rsidRDefault="00503843" w:rsidP="00333A62">
      <w:pPr>
        <w:pStyle w:val="Paragraphedeliste"/>
        <w:numPr>
          <w:ilvl w:val="0"/>
          <w:numId w:val="3"/>
        </w:num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 xml:space="preserve">Le faible soutien social par les autorités administratives en faveur des pratiques sanitaires souhaitables. Ainsi le poids des croyances traditionnelles et normes sociales reste encore </w:t>
      </w:r>
      <w:r w:rsidRPr="00333A62">
        <w:rPr>
          <w:rFonts w:ascii="Times New Roman" w:hAnsi="Times New Roman" w:cs="Times New Roman"/>
          <w:sz w:val="24"/>
          <w:szCs w:val="24"/>
        </w:rPr>
        <w:lastRenderedPageBreak/>
        <w:t xml:space="preserve">déterminant dans la manière dont les populations conçoivent leur santé. Il faut également signaler les défauts de communication interpersonnelle entre les prestataires et leurs patients. </w:t>
      </w:r>
    </w:p>
    <w:p w14:paraId="0CD65DD7" w14:textId="58D18D8E" w:rsidR="00503843" w:rsidRPr="00333A62" w:rsidRDefault="00503843"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 xml:space="preserve">L’accessibilité financière </w:t>
      </w:r>
      <w:r w:rsidR="00777C54">
        <w:rPr>
          <w:rFonts w:ascii="Times New Roman" w:hAnsi="Times New Roman" w:cs="Times New Roman"/>
          <w:sz w:val="24"/>
          <w:szCs w:val="24"/>
        </w:rPr>
        <w:t>constitue</w:t>
      </w:r>
      <w:r w:rsidRPr="00333A62">
        <w:rPr>
          <w:rFonts w:ascii="Times New Roman" w:hAnsi="Times New Roman" w:cs="Times New Roman"/>
          <w:sz w:val="24"/>
          <w:szCs w:val="24"/>
        </w:rPr>
        <w:t xml:space="preserve"> une barrière dans </w:t>
      </w:r>
      <w:r w:rsidR="00777C54">
        <w:rPr>
          <w:rFonts w:ascii="Times New Roman" w:hAnsi="Times New Roman" w:cs="Times New Roman"/>
          <w:sz w:val="24"/>
          <w:szCs w:val="24"/>
        </w:rPr>
        <w:t>toutes</w:t>
      </w:r>
      <w:r w:rsidRPr="00333A62">
        <w:rPr>
          <w:rFonts w:ascii="Times New Roman" w:hAnsi="Times New Roman" w:cs="Times New Roman"/>
          <w:sz w:val="24"/>
          <w:szCs w:val="24"/>
        </w:rPr>
        <w:t xml:space="preserve"> </w:t>
      </w:r>
      <w:r w:rsidR="00777C54">
        <w:rPr>
          <w:rFonts w:ascii="Times New Roman" w:hAnsi="Times New Roman" w:cs="Times New Roman"/>
          <w:sz w:val="24"/>
          <w:szCs w:val="24"/>
        </w:rPr>
        <w:t xml:space="preserve">ses </w:t>
      </w:r>
      <w:r w:rsidRPr="00333A62">
        <w:rPr>
          <w:rFonts w:ascii="Times New Roman" w:hAnsi="Times New Roman" w:cs="Times New Roman"/>
          <w:sz w:val="24"/>
          <w:szCs w:val="24"/>
        </w:rPr>
        <w:t>composante</w:t>
      </w:r>
      <w:r w:rsidR="00777C54">
        <w:rPr>
          <w:rFonts w:ascii="Times New Roman" w:hAnsi="Times New Roman" w:cs="Times New Roman"/>
          <w:sz w:val="24"/>
          <w:szCs w:val="24"/>
        </w:rPr>
        <w:t>s</w:t>
      </w:r>
      <w:r w:rsidRPr="00333A62">
        <w:rPr>
          <w:rFonts w:ascii="Times New Roman" w:hAnsi="Times New Roman" w:cs="Times New Roman"/>
          <w:sz w:val="24"/>
          <w:szCs w:val="24"/>
        </w:rPr>
        <w:t xml:space="preserve"> de coûts </w:t>
      </w:r>
      <w:r w:rsidR="00777C54">
        <w:rPr>
          <w:rFonts w:ascii="Times New Roman" w:hAnsi="Times New Roman" w:cs="Times New Roman"/>
          <w:sz w:val="24"/>
          <w:szCs w:val="24"/>
        </w:rPr>
        <w:t xml:space="preserve">directs et </w:t>
      </w:r>
      <w:r w:rsidRPr="00333A62">
        <w:rPr>
          <w:rFonts w:ascii="Times New Roman" w:hAnsi="Times New Roman" w:cs="Times New Roman"/>
          <w:sz w:val="24"/>
          <w:szCs w:val="24"/>
        </w:rPr>
        <w:t xml:space="preserve">indirects. </w:t>
      </w:r>
      <w:r w:rsidR="00777C54" w:rsidRPr="000528E9">
        <w:rPr>
          <w:rFonts w:ascii="Times New Roman" w:hAnsi="Times New Roman" w:cs="Times New Roman"/>
          <w:sz w:val="24"/>
          <w:szCs w:val="24"/>
        </w:rPr>
        <w:t>Les patients paient pour les consultations, les examens paramédicaux, les médicaments, les actes et les séjours hospitaliers, au point de prestation des services, à l'exception des services inclus dans le paquet gratuité (santé maternelle et infantile, paludisme et urgences). C’est ainsi qu’en 2016, les paiements directs constituaient la principale source de financement du système de santé, représentant 48% du total des dépenses de santé. Comparée à d’autres pays, les ivoiriens sont considérablement exposés à un risque accru d’appauvrissement en raison de dépenses liées à un problème de santé. Ainsi, en 2015, 17% de la population s'est enfoncée davantage dans la pauvreté en raison de dépenses directes de santé, avec un effet plus important chez les plus pauvres (18% dans le quintile le plus pauvre contre 6% dans le quintile le plus riche).</w:t>
      </w:r>
      <w:r w:rsidR="00777C54">
        <w:rPr>
          <w:rFonts w:ascii="Times New Roman" w:hAnsi="Times New Roman" w:cs="Times New Roman"/>
          <w:sz w:val="24"/>
          <w:szCs w:val="24"/>
        </w:rPr>
        <w:t xml:space="preserve"> De plus, </w:t>
      </w:r>
      <w:r w:rsidRPr="00333A62">
        <w:rPr>
          <w:rFonts w:ascii="Times New Roman" w:hAnsi="Times New Roman" w:cs="Times New Roman"/>
          <w:sz w:val="24"/>
          <w:szCs w:val="24"/>
        </w:rPr>
        <w:t xml:space="preserve">la demande d’un acte de santé mobilise des ressources souvent précieuses pour les populations comme les frais de transport ou une journée de travail. </w:t>
      </w:r>
    </w:p>
    <w:p w14:paraId="16DAC84A" w14:textId="77777777" w:rsidR="00503843" w:rsidRPr="00333A62" w:rsidRDefault="00503843"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La conséquence de ces deux situations est la faible continuité dans l’utilisation des services de santé.</w:t>
      </w:r>
    </w:p>
    <w:p w14:paraId="6D6B9426" w14:textId="77777777" w:rsidR="00195B50" w:rsidRPr="00195B50" w:rsidRDefault="00A944AA" w:rsidP="006C0B89">
      <w:pPr>
        <w:pStyle w:val="Titre2"/>
        <w:rPr>
          <w:rFonts w:ascii="Times New Roman" w:hAnsi="Times New Roman" w:cs="Times New Roman"/>
        </w:rPr>
      </w:pPr>
      <w:r w:rsidRPr="006C0B89">
        <w:rPr>
          <w:rFonts w:ascii="Times New Roman" w:hAnsi="Times New Roman" w:cs="Times New Roman"/>
          <w:b/>
          <w:color w:val="0070C0"/>
          <w:sz w:val="24"/>
          <w:szCs w:val="24"/>
        </w:rPr>
        <w:t xml:space="preserve"> </w:t>
      </w:r>
      <w:bookmarkStart w:id="97" w:name="_Toc1573823"/>
      <w:r w:rsidR="00503843" w:rsidRPr="00195B50">
        <w:rPr>
          <w:rFonts w:ascii="Times New Roman" w:hAnsi="Times New Roman" w:cs="Times New Roman"/>
          <w:b/>
          <w:color w:val="0070C0"/>
          <w:sz w:val="24"/>
          <w:szCs w:val="24"/>
        </w:rPr>
        <w:t>Défis liés à l’offre (SRMNEA)</w:t>
      </w:r>
      <w:bookmarkEnd w:id="97"/>
      <w:r w:rsidR="00C27761" w:rsidRPr="00195B50">
        <w:rPr>
          <w:rFonts w:ascii="Times New Roman" w:hAnsi="Times New Roman" w:cs="Times New Roman"/>
          <w:color w:val="0070C0"/>
          <w:sz w:val="24"/>
          <w:szCs w:val="24"/>
        </w:rPr>
        <w:t xml:space="preserve"> </w:t>
      </w:r>
    </w:p>
    <w:p w14:paraId="6BE6F163" w14:textId="77777777" w:rsidR="00503843" w:rsidRPr="00333A62" w:rsidRDefault="00503843"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 xml:space="preserve">Les goulots d’étranglement liés à l’offre se retrouvent au niveau de tous les déterminants.  </w:t>
      </w:r>
    </w:p>
    <w:p w14:paraId="15C74B58" w14:textId="6A51CC69" w:rsidR="00503843" w:rsidRPr="00333A62" w:rsidRDefault="00503843" w:rsidP="00E97CB5">
      <w:pPr>
        <w:pStyle w:val="Paragraphedeliste"/>
        <w:numPr>
          <w:ilvl w:val="0"/>
          <w:numId w:val="12"/>
        </w:numPr>
        <w:spacing w:before="120" w:after="120" w:line="276" w:lineRule="auto"/>
        <w:ind w:left="426" w:hanging="426"/>
        <w:jc w:val="both"/>
        <w:rPr>
          <w:rFonts w:ascii="Times New Roman" w:hAnsi="Times New Roman" w:cs="Times New Roman"/>
          <w:sz w:val="24"/>
          <w:szCs w:val="24"/>
        </w:rPr>
      </w:pPr>
      <w:r w:rsidRPr="00333A62">
        <w:rPr>
          <w:rFonts w:ascii="Times New Roman" w:hAnsi="Times New Roman" w:cs="Times New Roman"/>
          <w:sz w:val="24"/>
          <w:szCs w:val="24"/>
        </w:rPr>
        <w:t>Disponibilité des intrants et de l’offre de soins : ce déterminant est un goulot de haute gravité dans les soins curatifs. Il se situe surtout au niveau local et relève essentiellement de l’approvisionnement retardé ou insuffisant des intrants, du manque de capacités en matière de gestion de l’approvisionnement, et la distribution au niveau local.</w:t>
      </w:r>
      <w:r w:rsidR="006E36F4">
        <w:rPr>
          <w:rFonts w:ascii="Times New Roman" w:hAnsi="Times New Roman" w:cs="Times New Roman"/>
          <w:sz w:val="24"/>
          <w:szCs w:val="24"/>
        </w:rPr>
        <w:t xml:space="preserve"> </w:t>
      </w:r>
      <w:r w:rsidR="006E36F4" w:rsidRPr="000528E9">
        <w:rPr>
          <w:rFonts w:ascii="Times New Roman" w:hAnsi="Times New Roman" w:cs="Times New Roman"/>
          <w:sz w:val="24"/>
          <w:szCs w:val="24"/>
        </w:rPr>
        <w:t>Selon une étude de l’OMS</w:t>
      </w:r>
      <w:r w:rsidR="006E36F4">
        <w:rPr>
          <w:rStyle w:val="Appelnotedebasdep"/>
          <w:rFonts w:ascii="Times New Roman" w:hAnsi="Times New Roman" w:cs="Times New Roman"/>
          <w:sz w:val="24"/>
          <w:szCs w:val="24"/>
        </w:rPr>
        <w:footnoteReference w:id="36"/>
      </w:r>
      <w:r w:rsidR="006E36F4" w:rsidRPr="000528E9">
        <w:rPr>
          <w:rFonts w:ascii="Times New Roman" w:hAnsi="Times New Roman" w:cs="Times New Roman"/>
          <w:sz w:val="24"/>
          <w:szCs w:val="24"/>
        </w:rPr>
        <w:t>, le marché privé constitue une importance source d’approvisionnement en médicament, étant donné que seulement 32% des médicaments essentiels sont disponibles dans le secteur public, contre 57% dans ce secteur. La faible disponibilité des médicaments concerne aussi bien les marques que les génériques. La même étude note que les six traceurs (fer + acide folique, ORS + Zinc, kits d'accouchement, antibiotiques et ACT) ont présenté des ruptures de stock total de près de deux mois (59 jours), bien plus dans les hôpitaux tertiaires (jusqu'à 79 jours). Seuls 22% des établissements disposaient de tous les éléments nécessaires à la prévention des infections, notamment des seringues, des désinfectants et d’autres équipements de prévention des infections; seules 4% des installations disposaient de tout le matériel nécessaire au diagnostic.</w:t>
      </w:r>
      <w:r w:rsidRPr="00333A62">
        <w:rPr>
          <w:rFonts w:ascii="Times New Roman" w:hAnsi="Times New Roman" w:cs="Times New Roman"/>
          <w:sz w:val="24"/>
          <w:szCs w:val="24"/>
        </w:rPr>
        <w:tab/>
      </w:r>
    </w:p>
    <w:p w14:paraId="1A099631" w14:textId="56A11260" w:rsidR="00C85634" w:rsidRPr="00C85634" w:rsidRDefault="006D5283" w:rsidP="00E97CB5">
      <w:pPr>
        <w:pStyle w:val="Paragraphedeliste"/>
        <w:numPr>
          <w:ilvl w:val="0"/>
          <w:numId w:val="12"/>
        </w:numPr>
        <w:spacing w:before="120" w:after="120" w:line="276" w:lineRule="auto"/>
        <w:ind w:left="426" w:hanging="426"/>
        <w:jc w:val="both"/>
        <w:rPr>
          <w:rFonts w:ascii="Times New Roman" w:hAnsi="Times New Roman" w:cs="Times New Roman"/>
          <w:sz w:val="24"/>
          <w:szCs w:val="24"/>
        </w:rPr>
      </w:pPr>
      <w:r w:rsidRPr="00333A62">
        <w:rPr>
          <w:rFonts w:ascii="Times New Roman" w:hAnsi="Times New Roman" w:cs="Times New Roman"/>
          <w:sz w:val="24"/>
          <w:szCs w:val="24"/>
          <w:lang w:val="fr-FR"/>
        </w:rPr>
        <w:t xml:space="preserve">L’effectif global des Ressources Humaines de Santé en Côte d’Ivoire était estimé en 2017 à 31 392 agents dont 30 308 en fonction au Ministère de la Santé et de l’Hygiène Publique et 1 084 professionnels de santé en activité dans des structures sanitaires appartenant à d’autres départements ministériels. On enregistrait une densité de </w:t>
      </w:r>
      <w:r w:rsidRPr="00333A62">
        <w:rPr>
          <w:rFonts w:ascii="Times New Roman" w:eastAsia="Times New Roman" w:hAnsi="Times New Roman" w:cs="Times New Roman"/>
          <w:bCs/>
          <w:color w:val="000000"/>
          <w:sz w:val="24"/>
          <w:szCs w:val="24"/>
          <w:lang w:val="fr-FR"/>
        </w:rPr>
        <w:t>0,78</w:t>
      </w:r>
      <w:r w:rsidRPr="00333A62">
        <w:rPr>
          <w:rFonts w:ascii="Times New Roman" w:hAnsi="Times New Roman" w:cs="Times New Roman"/>
          <w:sz w:val="24"/>
          <w:szCs w:val="24"/>
          <w:lang w:val="fr-FR"/>
        </w:rPr>
        <w:t xml:space="preserve"> prestataires de soins pour 1000 habitants, ce qui est en deçà de la norme de 2,3 personnels pour 1000 habitants définie par l’OMS.</w:t>
      </w:r>
      <w:r w:rsidR="006E36F4">
        <w:rPr>
          <w:rFonts w:ascii="Times New Roman" w:hAnsi="Times New Roman" w:cs="Times New Roman"/>
          <w:sz w:val="24"/>
          <w:szCs w:val="24"/>
          <w:lang w:val="fr-FR"/>
        </w:rPr>
        <w:t xml:space="preserve"> </w:t>
      </w:r>
      <w:r w:rsidR="006E36F4" w:rsidRPr="00C85634">
        <w:rPr>
          <w:rFonts w:ascii="Times New Roman" w:hAnsi="Times New Roman" w:cs="Times New Roman"/>
          <w:sz w:val="24"/>
          <w:szCs w:val="24"/>
        </w:rPr>
        <w:t xml:space="preserve">De plus, le déploiement de ces prestataires sur l’étendue du territoire est inégal, rendant certaines populations plus défavorisées que d’autres. </w:t>
      </w:r>
      <w:r w:rsidR="006E36F4" w:rsidRPr="000528E9">
        <w:rPr>
          <w:rFonts w:ascii="Times New Roman" w:hAnsi="Times New Roman" w:cs="Times New Roman"/>
          <w:sz w:val="24"/>
          <w:szCs w:val="24"/>
          <w:lang w:val="fr-FR"/>
        </w:rPr>
        <w:t>Les inégalités sont plus criardes pour les médecins (généralistes), la majorité des médecins se concentrant dans les zones urbaines d’Abidjan et la majorité des autres régions du pays sont au-dessous des normes de l’OMS.</w:t>
      </w:r>
    </w:p>
    <w:p w14:paraId="19A2237F" w14:textId="7A306B5B" w:rsidR="00503843" w:rsidRPr="00C85634" w:rsidRDefault="00503843" w:rsidP="00E97CB5">
      <w:pPr>
        <w:pStyle w:val="Paragraphedeliste"/>
        <w:numPr>
          <w:ilvl w:val="0"/>
          <w:numId w:val="12"/>
        </w:numPr>
        <w:spacing w:before="120" w:after="120" w:line="276" w:lineRule="auto"/>
        <w:ind w:left="426" w:hanging="426"/>
        <w:jc w:val="both"/>
        <w:rPr>
          <w:rFonts w:ascii="Times New Roman" w:hAnsi="Times New Roman" w:cs="Times New Roman"/>
          <w:sz w:val="24"/>
          <w:szCs w:val="24"/>
        </w:rPr>
      </w:pPr>
      <w:r w:rsidRPr="00C85634">
        <w:rPr>
          <w:rFonts w:ascii="Times New Roman" w:hAnsi="Times New Roman" w:cs="Times New Roman"/>
          <w:sz w:val="24"/>
          <w:szCs w:val="24"/>
        </w:rPr>
        <w:lastRenderedPageBreak/>
        <w:t>Disponibilité des ressources humaines : les ressources humaines qualifiées aussi bien pour la prévention que le curatif sont insuffisantes pour couvrir les besoins des populations. Peu de personnels soignants sont formés à la prise en charge de la population cible en particulier dans le cas des SONU.</w:t>
      </w:r>
      <w:r w:rsidR="006E36F4">
        <w:rPr>
          <w:rFonts w:ascii="Times New Roman" w:hAnsi="Times New Roman" w:cs="Times New Roman"/>
          <w:sz w:val="24"/>
          <w:szCs w:val="24"/>
        </w:rPr>
        <w:t xml:space="preserve"> </w:t>
      </w:r>
      <w:r w:rsidR="006E36F4" w:rsidRPr="00F61D94">
        <w:rPr>
          <w:rFonts w:ascii="Times New Roman" w:hAnsi="Times New Roman" w:cs="Times New Roman"/>
          <w:sz w:val="24"/>
          <w:szCs w:val="24"/>
          <w:lang w:val="fr-FR"/>
        </w:rPr>
        <w:t>Les ressources humaines pour la santé dans le pays ne sont pas directement gérées par le ministère de la Santé, mais par la fonction publique, et les districts ou établissements de santé ne disposent pas d'autorité d'embauche ou de licenciement, ce qui limite la réactivité aux problèmes potentiels de qualité au niveau des établissements.</w:t>
      </w:r>
      <w:r w:rsidRPr="00C85634">
        <w:rPr>
          <w:rFonts w:ascii="Times New Roman" w:hAnsi="Times New Roman" w:cs="Times New Roman"/>
          <w:sz w:val="24"/>
          <w:szCs w:val="24"/>
        </w:rPr>
        <w:t xml:space="preserve">  </w:t>
      </w:r>
    </w:p>
    <w:p w14:paraId="7C387F46" w14:textId="124B0638" w:rsidR="00503843" w:rsidRPr="00333A62" w:rsidRDefault="00503843" w:rsidP="00E97CB5">
      <w:pPr>
        <w:pStyle w:val="Paragraphedeliste"/>
        <w:numPr>
          <w:ilvl w:val="0"/>
          <w:numId w:val="12"/>
        </w:numPr>
        <w:spacing w:before="120" w:after="120" w:line="276" w:lineRule="auto"/>
        <w:ind w:left="426" w:hanging="426"/>
        <w:jc w:val="both"/>
        <w:rPr>
          <w:rFonts w:ascii="Times New Roman" w:hAnsi="Times New Roman" w:cs="Times New Roman"/>
          <w:sz w:val="24"/>
          <w:szCs w:val="24"/>
        </w:rPr>
      </w:pPr>
      <w:r w:rsidRPr="00333A62">
        <w:rPr>
          <w:rFonts w:ascii="Times New Roman" w:hAnsi="Times New Roman" w:cs="Times New Roman"/>
          <w:sz w:val="24"/>
          <w:szCs w:val="24"/>
        </w:rPr>
        <w:t xml:space="preserve">Accessibilité géographique : </w:t>
      </w:r>
      <w:r w:rsidR="006E36F4">
        <w:rPr>
          <w:rFonts w:ascii="Times New Roman" w:hAnsi="Times New Roman" w:cs="Times New Roman"/>
          <w:sz w:val="24"/>
          <w:szCs w:val="24"/>
        </w:rPr>
        <w:t>l</w:t>
      </w:r>
      <w:r w:rsidR="006E36F4" w:rsidRPr="000528E9">
        <w:rPr>
          <w:rFonts w:ascii="Times New Roman" w:hAnsi="Times New Roman" w:cs="Times New Roman"/>
          <w:sz w:val="24"/>
          <w:szCs w:val="24"/>
        </w:rPr>
        <w:t>es longues distances pour accéder aux formations sanitaires les plus proches</w:t>
      </w:r>
      <w:r w:rsidR="00BB7E08">
        <w:rPr>
          <w:rFonts w:ascii="Times New Roman" w:hAnsi="Times New Roman" w:cs="Times New Roman"/>
          <w:sz w:val="24"/>
          <w:szCs w:val="24"/>
        </w:rPr>
        <w:t>, l’inégale distribution de</w:t>
      </w:r>
      <w:r w:rsidR="006E36F4">
        <w:rPr>
          <w:rFonts w:ascii="Times New Roman" w:hAnsi="Times New Roman" w:cs="Times New Roman"/>
          <w:sz w:val="24"/>
          <w:szCs w:val="24"/>
        </w:rPr>
        <w:t xml:space="preserve"> ces formations sanitaires</w:t>
      </w:r>
      <w:r w:rsidR="006E36F4" w:rsidRPr="000528E9">
        <w:rPr>
          <w:rFonts w:ascii="Times New Roman" w:hAnsi="Times New Roman" w:cs="Times New Roman"/>
          <w:sz w:val="24"/>
          <w:szCs w:val="24"/>
        </w:rPr>
        <w:t xml:space="preserve"> </w:t>
      </w:r>
      <w:r w:rsidR="006E36F4" w:rsidRPr="00333A62">
        <w:rPr>
          <w:rFonts w:ascii="Times New Roman" w:hAnsi="Times New Roman" w:cs="Times New Roman"/>
          <w:sz w:val="24"/>
          <w:szCs w:val="24"/>
        </w:rPr>
        <w:t>sur l’étendue du territoire nationale</w:t>
      </w:r>
      <w:r w:rsidR="006E36F4">
        <w:rPr>
          <w:rFonts w:ascii="Times New Roman" w:hAnsi="Times New Roman" w:cs="Times New Roman"/>
          <w:sz w:val="24"/>
          <w:szCs w:val="24"/>
        </w:rPr>
        <w:t>,</w:t>
      </w:r>
      <w:r w:rsidR="006E36F4" w:rsidRPr="00333A62">
        <w:rPr>
          <w:rFonts w:ascii="Times New Roman" w:hAnsi="Times New Roman" w:cs="Times New Roman"/>
          <w:sz w:val="24"/>
          <w:szCs w:val="24"/>
        </w:rPr>
        <w:t xml:space="preserve"> </w:t>
      </w:r>
      <w:r w:rsidR="006E36F4" w:rsidRPr="000528E9">
        <w:rPr>
          <w:rFonts w:ascii="Times New Roman" w:hAnsi="Times New Roman" w:cs="Times New Roman"/>
          <w:sz w:val="24"/>
          <w:szCs w:val="24"/>
        </w:rPr>
        <w:t xml:space="preserve">et la faiblesse du système de référence contre-référence constituent </w:t>
      </w:r>
      <w:r w:rsidR="006E36F4">
        <w:rPr>
          <w:rFonts w:ascii="Times New Roman" w:hAnsi="Times New Roman" w:cs="Times New Roman"/>
          <w:sz w:val="24"/>
          <w:szCs w:val="24"/>
        </w:rPr>
        <w:t>des</w:t>
      </w:r>
      <w:r w:rsidR="006E36F4" w:rsidRPr="000528E9">
        <w:rPr>
          <w:rFonts w:ascii="Times New Roman" w:hAnsi="Times New Roman" w:cs="Times New Roman"/>
          <w:sz w:val="24"/>
          <w:szCs w:val="24"/>
        </w:rPr>
        <w:t xml:space="preserve"> obstacle</w:t>
      </w:r>
      <w:r w:rsidR="006E36F4">
        <w:rPr>
          <w:rFonts w:ascii="Times New Roman" w:hAnsi="Times New Roman" w:cs="Times New Roman"/>
          <w:sz w:val="24"/>
          <w:szCs w:val="24"/>
        </w:rPr>
        <w:t>s</w:t>
      </w:r>
      <w:r w:rsidR="006E36F4" w:rsidRPr="000528E9">
        <w:rPr>
          <w:rFonts w:ascii="Times New Roman" w:hAnsi="Times New Roman" w:cs="Times New Roman"/>
          <w:sz w:val="24"/>
          <w:szCs w:val="24"/>
        </w:rPr>
        <w:t xml:space="preserve"> majeur</w:t>
      </w:r>
      <w:r w:rsidR="006E36F4">
        <w:rPr>
          <w:rFonts w:ascii="Times New Roman" w:hAnsi="Times New Roman" w:cs="Times New Roman"/>
          <w:sz w:val="24"/>
          <w:szCs w:val="24"/>
        </w:rPr>
        <w:t>s</w:t>
      </w:r>
      <w:r w:rsidR="006E36F4" w:rsidRPr="000528E9">
        <w:rPr>
          <w:rFonts w:ascii="Times New Roman" w:hAnsi="Times New Roman" w:cs="Times New Roman"/>
          <w:sz w:val="24"/>
          <w:szCs w:val="24"/>
        </w:rPr>
        <w:t xml:space="preserve"> à l’accès aux soins de santé de qualité. En effet, </w:t>
      </w:r>
      <w:r w:rsidRPr="00333A62">
        <w:rPr>
          <w:rFonts w:ascii="Times New Roman" w:hAnsi="Times New Roman" w:cs="Times New Roman"/>
          <w:sz w:val="24"/>
          <w:szCs w:val="24"/>
        </w:rPr>
        <w:t>seulement 66,9% de la population vit à moins de 5 km d’un établissement sanitaire.</w:t>
      </w:r>
    </w:p>
    <w:p w14:paraId="1E778CDA" w14:textId="50ABD765" w:rsidR="00503843" w:rsidRPr="00333A62" w:rsidRDefault="006E36F4" w:rsidP="00E97CB5">
      <w:pPr>
        <w:pStyle w:val="Paragraphedeliste"/>
        <w:numPr>
          <w:ilvl w:val="0"/>
          <w:numId w:val="12"/>
        </w:numPr>
        <w:spacing w:before="120" w:after="120" w:line="276" w:lineRule="auto"/>
        <w:ind w:left="426" w:hanging="426"/>
        <w:jc w:val="both"/>
        <w:rPr>
          <w:rFonts w:ascii="Times New Roman" w:hAnsi="Times New Roman" w:cs="Times New Roman"/>
          <w:sz w:val="24"/>
          <w:szCs w:val="24"/>
        </w:rPr>
      </w:pPr>
      <w:r w:rsidRPr="00D92F67">
        <w:rPr>
          <w:rFonts w:ascii="Times New Roman" w:hAnsi="Times New Roman" w:cs="Times New Roman"/>
          <w:sz w:val="24"/>
          <w:szCs w:val="24"/>
        </w:rPr>
        <w:t xml:space="preserve">Financement de l’offre des soins : </w:t>
      </w:r>
      <w:r w:rsidRPr="000528E9">
        <w:rPr>
          <w:rFonts w:ascii="Times New Roman" w:hAnsi="Times New Roman" w:cs="Times New Roman"/>
          <w:sz w:val="24"/>
          <w:szCs w:val="24"/>
        </w:rPr>
        <w:t>Avec environ 5% de son budget national et environ 1% de son PIB affecté aux dépenses de santé publique qui sont restées plus ou moins constantes au fil du temps, la Côte d’Ivoire dépense nettement moins que les autres pays à revenu intermédiaire. De plus, le niveau des soins de santé primaires ne représente qu'une très petite part des dépenses publiques, surtout par rapport à l'utilisation. En 2017</w:t>
      </w:r>
      <w:r w:rsidRPr="00D92F67">
        <w:rPr>
          <w:rFonts w:ascii="Times New Roman" w:hAnsi="Times New Roman" w:cs="Times New Roman"/>
          <w:sz w:val="24"/>
          <w:szCs w:val="24"/>
        </w:rPr>
        <w:t xml:space="preserve"> et 2018</w:t>
      </w:r>
      <w:r w:rsidRPr="000528E9">
        <w:rPr>
          <w:rFonts w:ascii="Times New Roman" w:hAnsi="Times New Roman" w:cs="Times New Roman"/>
          <w:sz w:val="24"/>
          <w:szCs w:val="24"/>
        </w:rPr>
        <w:t xml:space="preserve">, </w:t>
      </w:r>
      <w:r w:rsidRPr="00D92F67">
        <w:rPr>
          <w:rFonts w:ascii="Times New Roman" w:hAnsi="Times New Roman" w:cs="Times New Roman"/>
          <w:sz w:val="24"/>
          <w:szCs w:val="24"/>
        </w:rPr>
        <w:t xml:space="preserve">respectivement </w:t>
      </w:r>
      <w:r w:rsidRPr="000528E9">
        <w:rPr>
          <w:rFonts w:ascii="Times New Roman" w:hAnsi="Times New Roman" w:cs="Times New Roman"/>
          <w:sz w:val="24"/>
          <w:szCs w:val="24"/>
        </w:rPr>
        <w:t>26%</w:t>
      </w:r>
      <w:r w:rsidRPr="00D92F67">
        <w:rPr>
          <w:rFonts w:ascii="Times New Roman" w:hAnsi="Times New Roman" w:cs="Times New Roman"/>
          <w:sz w:val="24"/>
          <w:szCs w:val="24"/>
        </w:rPr>
        <w:t xml:space="preserve"> et 25%</w:t>
      </w:r>
      <w:r w:rsidRPr="000528E9">
        <w:rPr>
          <w:rFonts w:ascii="Times New Roman" w:hAnsi="Times New Roman" w:cs="Times New Roman"/>
          <w:sz w:val="24"/>
          <w:szCs w:val="24"/>
        </w:rPr>
        <w:t xml:space="preserve"> des dépenses de santé étaient destinées aux soins de santé primaires. En 2017, moins de 5% de toutes les dépenses d'infrastructure publique ont été effectuées au niveau des soins primaires, ce qui contraste avec le fait que 79% des consultations externes ont eu lieu au niveau des soins primaires. Cela indique qu’au cours d’une année donnée, une formation sanitaire </w:t>
      </w:r>
      <w:r w:rsidR="00BB7E08" w:rsidRPr="000528E9">
        <w:rPr>
          <w:rFonts w:ascii="Times New Roman" w:hAnsi="Times New Roman" w:cs="Times New Roman"/>
          <w:sz w:val="24"/>
          <w:szCs w:val="24"/>
        </w:rPr>
        <w:t>primaire</w:t>
      </w:r>
      <w:r w:rsidRPr="000528E9">
        <w:rPr>
          <w:rFonts w:ascii="Times New Roman" w:hAnsi="Times New Roman" w:cs="Times New Roman"/>
          <w:sz w:val="24"/>
          <w:szCs w:val="24"/>
        </w:rPr>
        <w:t xml:space="preserve"> disposait en moyenne 3 million de FCFA pour couvrir ses coûts de fonctionnement, entraînant des déficits de financement importants.</w:t>
      </w:r>
      <w:r w:rsidRPr="00D92F67">
        <w:rPr>
          <w:rFonts w:ascii="Times New Roman" w:hAnsi="Times New Roman" w:cs="Times New Roman"/>
          <w:sz w:val="24"/>
          <w:szCs w:val="24"/>
        </w:rPr>
        <w:t xml:space="preserve"> De plus, </w:t>
      </w:r>
      <w:r>
        <w:rPr>
          <w:rFonts w:ascii="Times New Roman" w:hAnsi="Times New Roman" w:cs="Times New Roman"/>
          <w:sz w:val="24"/>
          <w:szCs w:val="24"/>
        </w:rPr>
        <w:t>l</w:t>
      </w:r>
      <w:r w:rsidR="00503843" w:rsidRPr="00333A62">
        <w:rPr>
          <w:rFonts w:ascii="Times New Roman" w:hAnsi="Times New Roman" w:cs="Times New Roman"/>
          <w:sz w:val="24"/>
          <w:szCs w:val="24"/>
        </w:rPr>
        <w:t xml:space="preserve">e coût lié aux interventions payantes freine les populations dans le recours aux soins. Également, les problèmes des stocks en médicaments essentiels ou la déviance de certains agents de santé occasionnent un coût direct aux interventions normalement gratuites. </w:t>
      </w:r>
    </w:p>
    <w:p w14:paraId="6B635ABD" w14:textId="706CAAD1" w:rsidR="00503843" w:rsidRPr="00333A62" w:rsidRDefault="00503843" w:rsidP="00E97CB5">
      <w:pPr>
        <w:pStyle w:val="Paragraphedeliste"/>
        <w:numPr>
          <w:ilvl w:val="0"/>
          <w:numId w:val="13"/>
        </w:numPr>
        <w:spacing w:before="120" w:after="120" w:line="276" w:lineRule="auto"/>
        <w:ind w:left="426" w:hanging="426"/>
        <w:jc w:val="both"/>
        <w:rPr>
          <w:rFonts w:ascii="Times New Roman" w:hAnsi="Times New Roman" w:cs="Times New Roman"/>
          <w:sz w:val="24"/>
          <w:szCs w:val="24"/>
        </w:rPr>
      </w:pPr>
      <w:r w:rsidRPr="00333A62">
        <w:rPr>
          <w:rFonts w:ascii="Times New Roman" w:hAnsi="Times New Roman" w:cs="Times New Roman"/>
          <w:sz w:val="24"/>
          <w:szCs w:val="24"/>
        </w:rPr>
        <w:t xml:space="preserve">Acceptabilité socioculturelle et continuité </w:t>
      </w:r>
      <w:r w:rsidR="00C27761" w:rsidRPr="00333A62">
        <w:rPr>
          <w:rFonts w:ascii="Times New Roman" w:hAnsi="Times New Roman" w:cs="Times New Roman"/>
          <w:sz w:val="24"/>
          <w:szCs w:val="24"/>
        </w:rPr>
        <w:t>: L’insuffisance</w:t>
      </w:r>
      <w:r w:rsidRPr="00333A62">
        <w:rPr>
          <w:rFonts w:ascii="Times New Roman" w:hAnsi="Times New Roman" w:cs="Times New Roman"/>
          <w:sz w:val="24"/>
          <w:szCs w:val="24"/>
        </w:rPr>
        <w:t xml:space="preserve"> de communication et de campagnes pour le changement de comportement des ménages a pour conséquence la faible recherche rapide des soins et du suivi. Aussi le mauvais accueil de certains agents dans les centres de santé dissuade les populations et leur font perdre confiance dans le système de soins.</w:t>
      </w:r>
    </w:p>
    <w:p w14:paraId="5D9CF2CE" w14:textId="6C4E1E3A" w:rsidR="00503843" w:rsidRDefault="00503843" w:rsidP="00E97CB5">
      <w:pPr>
        <w:pStyle w:val="Paragraphedeliste"/>
        <w:numPr>
          <w:ilvl w:val="0"/>
          <w:numId w:val="12"/>
        </w:numPr>
        <w:spacing w:before="120" w:after="120" w:line="276" w:lineRule="auto"/>
        <w:ind w:left="426" w:hanging="426"/>
        <w:jc w:val="both"/>
        <w:rPr>
          <w:rFonts w:ascii="Times New Roman" w:hAnsi="Times New Roman" w:cs="Times New Roman"/>
          <w:sz w:val="24"/>
          <w:szCs w:val="24"/>
        </w:rPr>
      </w:pPr>
      <w:r w:rsidRPr="00333A62">
        <w:rPr>
          <w:rFonts w:ascii="Times New Roman" w:hAnsi="Times New Roman" w:cs="Times New Roman"/>
          <w:sz w:val="24"/>
          <w:szCs w:val="24"/>
        </w:rPr>
        <w:t xml:space="preserve">Qualité : </w:t>
      </w:r>
      <w:r w:rsidR="006E36F4">
        <w:rPr>
          <w:rFonts w:ascii="Times New Roman" w:hAnsi="Times New Roman" w:cs="Times New Roman"/>
          <w:sz w:val="24"/>
          <w:szCs w:val="24"/>
        </w:rPr>
        <w:t>s</w:t>
      </w:r>
      <w:r w:rsidR="006E36F4" w:rsidRPr="000528E9">
        <w:rPr>
          <w:rFonts w:ascii="Times New Roman" w:hAnsi="Times New Roman" w:cs="Times New Roman"/>
          <w:sz w:val="24"/>
          <w:szCs w:val="24"/>
        </w:rPr>
        <w:t>elon l'indice de l'accès et de la qualité des soins de santé (HAQ) d'IHME, la Côte d'Ivoire se classe au 187ème rang des 195 pays les moins bien classés en termes de prévalence des décès évitables, c'est-à-dire des décès qui ne devraient pas se produire en présence de soins efficaces</w:t>
      </w:r>
      <w:r w:rsidR="006E36F4" w:rsidRPr="000528E9">
        <w:footnoteReference w:id="37"/>
      </w:r>
      <w:r w:rsidR="006E36F4" w:rsidRPr="000528E9">
        <w:rPr>
          <w:rFonts w:ascii="Times New Roman" w:hAnsi="Times New Roman" w:cs="Times New Roman"/>
          <w:sz w:val="24"/>
          <w:szCs w:val="24"/>
        </w:rPr>
        <w:t xml:space="preserve">. Une autre étude récente a classé la Côte d’Ivoire parmi les pays où la prévalence de la mortalité évitable est la plus élevée en Afrique subsaharienne; spécifiquement, en 2015, il y a eu 51 029 décès excédentaires pouvant faire l'objet de soins de santé, dont 29 117 dus à la mauvaise qualité des soins et 21 912 dus à la non utilisation. Le taux de 128 décès de mauvaise qualité sur 100 000 habitants en Côte d’Ivoire est supérieur à celui de la plupart des pays </w:t>
      </w:r>
      <w:r w:rsidR="006E36F4" w:rsidRPr="000528E9">
        <w:rPr>
          <w:rFonts w:ascii="Times New Roman" w:hAnsi="Times New Roman" w:cs="Times New Roman"/>
          <w:sz w:val="24"/>
          <w:szCs w:val="24"/>
        </w:rPr>
        <w:lastRenderedPageBreak/>
        <w:t>d’Afrique de l’Ouest, y compris des pays plus pauvres comme le Libéria</w:t>
      </w:r>
      <w:r w:rsidR="006E36F4" w:rsidRPr="000528E9">
        <w:footnoteReference w:id="38"/>
      </w:r>
      <w:r w:rsidR="006E36F4" w:rsidRPr="000528E9">
        <w:rPr>
          <w:rFonts w:ascii="Times New Roman" w:hAnsi="Times New Roman" w:cs="Times New Roman"/>
          <w:sz w:val="24"/>
          <w:szCs w:val="24"/>
        </w:rPr>
        <w:t>.</w:t>
      </w:r>
      <w:r w:rsidR="006E36F4" w:rsidRPr="004B6102">
        <w:rPr>
          <w:rFonts w:ascii="Times New Roman" w:hAnsi="Times New Roman" w:cs="Times New Roman"/>
          <w:sz w:val="24"/>
          <w:szCs w:val="24"/>
        </w:rPr>
        <w:t xml:space="preserve"> </w:t>
      </w:r>
      <w:r w:rsidR="006E36F4">
        <w:rPr>
          <w:rFonts w:ascii="Times New Roman" w:hAnsi="Times New Roman" w:cs="Times New Roman"/>
          <w:sz w:val="24"/>
          <w:szCs w:val="24"/>
        </w:rPr>
        <w:t>A titre d’exemple, b</w:t>
      </w:r>
      <w:r w:rsidR="006E36F4" w:rsidRPr="000528E9">
        <w:rPr>
          <w:rFonts w:ascii="Times New Roman" w:hAnsi="Times New Roman" w:cs="Times New Roman"/>
          <w:sz w:val="24"/>
          <w:szCs w:val="24"/>
        </w:rPr>
        <w:t>ien que 85% des formations sanitaires effectuent des accouchements, aucune ne dispose de l'ensemble des 21 indicateurs de suivi pour les soins obstétricaux de base, et la disponibilité pour le traitement des complications liées à l'accouchement est beaucoup plus limitée. Seuls 62% des établissements de santé surveillent et gèrent le travail à l'aide d'un partogramme, et 25% des formations sanitaires offrent une administration d'anticonvulsivants par voie parentérale.</w:t>
      </w:r>
      <w:r w:rsidR="006E36F4">
        <w:rPr>
          <w:rFonts w:ascii="Times New Roman" w:hAnsi="Times New Roman" w:cs="Times New Roman"/>
          <w:sz w:val="24"/>
          <w:szCs w:val="24"/>
        </w:rPr>
        <w:t xml:space="preserve"> En outre, l</w:t>
      </w:r>
      <w:r w:rsidRPr="00333A62">
        <w:rPr>
          <w:rFonts w:ascii="Times New Roman" w:hAnsi="Times New Roman" w:cs="Times New Roman"/>
          <w:sz w:val="24"/>
          <w:szCs w:val="24"/>
        </w:rPr>
        <w:t xml:space="preserve">a qualité des soins au niveau communautaire et au niveau établissement sanitaire est </w:t>
      </w:r>
      <w:r w:rsidR="009A30D8" w:rsidRPr="00333A62">
        <w:rPr>
          <w:rFonts w:ascii="Times New Roman" w:hAnsi="Times New Roman" w:cs="Times New Roman"/>
          <w:sz w:val="24"/>
          <w:szCs w:val="24"/>
        </w:rPr>
        <w:t>affectée</w:t>
      </w:r>
      <w:r w:rsidRPr="00333A62">
        <w:rPr>
          <w:rFonts w:ascii="Times New Roman" w:hAnsi="Times New Roman" w:cs="Times New Roman"/>
          <w:sz w:val="24"/>
          <w:szCs w:val="24"/>
        </w:rPr>
        <w:t xml:space="preserve"> par   la faible compétence des agents, du manque de supervision formative et de motivation. De même, l’intégration limitée des soins est également un obstacle du fait des abandons par la population (rendez-vous manqués, inobservance …)</w:t>
      </w:r>
      <w:r w:rsidR="005B4FCE">
        <w:rPr>
          <w:rFonts w:ascii="Times New Roman" w:hAnsi="Times New Roman" w:cs="Times New Roman"/>
          <w:sz w:val="24"/>
          <w:szCs w:val="24"/>
        </w:rPr>
        <w:t>.</w:t>
      </w:r>
    </w:p>
    <w:p w14:paraId="2EADF6A4" w14:textId="77777777" w:rsidR="005B4FCE" w:rsidRPr="00333A62" w:rsidRDefault="005B4FCE" w:rsidP="00E97CB5">
      <w:pPr>
        <w:pStyle w:val="Paragraphedeliste"/>
        <w:numPr>
          <w:ilvl w:val="0"/>
          <w:numId w:val="12"/>
        </w:numPr>
        <w:spacing w:before="120" w:after="120" w:line="276" w:lineRule="auto"/>
        <w:ind w:left="426" w:hanging="426"/>
        <w:jc w:val="both"/>
        <w:rPr>
          <w:rFonts w:ascii="Times New Roman" w:hAnsi="Times New Roman" w:cs="Times New Roman"/>
          <w:sz w:val="24"/>
          <w:szCs w:val="24"/>
        </w:rPr>
        <w:sectPr w:rsidR="005B4FCE" w:rsidRPr="00333A62" w:rsidSect="001543CF">
          <w:footerReference w:type="default" r:id="rId32"/>
          <w:pgSz w:w="12240" w:h="15840"/>
          <w:pgMar w:top="1134" w:right="1134" w:bottom="1134" w:left="1418" w:header="708" w:footer="708" w:gutter="0"/>
          <w:pgNumType w:start="1"/>
          <w:cols w:space="708"/>
          <w:docGrid w:linePitch="360"/>
        </w:sectPr>
      </w:pPr>
    </w:p>
    <w:p w14:paraId="6453977C" w14:textId="3A85D7B0" w:rsidR="00503843" w:rsidRPr="006C0B89" w:rsidRDefault="00503843" w:rsidP="006C0B89">
      <w:pPr>
        <w:pStyle w:val="Titre2"/>
        <w:rPr>
          <w:rFonts w:ascii="Times New Roman" w:hAnsi="Times New Roman" w:cs="Times New Roman"/>
          <w:b/>
          <w:color w:val="0070C0"/>
          <w:sz w:val="24"/>
          <w:szCs w:val="24"/>
        </w:rPr>
      </w:pPr>
      <w:bookmarkStart w:id="98" w:name="_Toc1573824"/>
      <w:r w:rsidRPr="006C0B89">
        <w:rPr>
          <w:rFonts w:ascii="Times New Roman" w:hAnsi="Times New Roman" w:cs="Times New Roman"/>
          <w:b/>
          <w:color w:val="0070C0"/>
          <w:sz w:val="24"/>
          <w:szCs w:val="24"/>
        </w:rPr>
        <w:lastRenderedPageBreak/>
        <w:t>Synthèse des goulots par mode de prestation</w:t>
      </w:r>
      <w:bookmarkEnd w:id="98"/>
    </w:p>
    <w:p w14:paraId="1C2E6282" w14:textId="77777777" w:rsidR="006C0B89" w:rsidRPr="00A944AA" w:rsidRDefault="006C0B89" w:rsidP="006C0B89">
      <w:pPr>
        <w:rPr>
          <w:rFonts w:ascii="Times New Roman" w:hAnsi="Times New Roman" w:cs="Times New Roman"/>
          <w:b/>
          <w:color w:val="0070C0"/>
        </w:rPr>
      </w:pPr>
    </w:p>
    <w:p w14:paraId="75E74ED4" w14:textId="2C62AE4E" w:rsidR="00503843" w:rsidRPr="00333A62" w:rsidRDefault="00A944AA" w:rsidP="006C0B89">
      <w:pPr>
        <w:rPr>
          <w:rFonts w:ascii="Times New Roman" w:hAnsi="Times New Roman" w:cs="Times New Roman"/>
          <w:sz w:val="24"/>
          <w:szCs w:val="24"/>
        </w:rPr>
      </w:pPr>
      <w:r w:rsidRPr="00333A62">
        <w:rPr>
          <w:rFonts w:ascii="Times New Roman" w:hAnsi="Times New Roman" w:cs="Times New Roman"/>
          <w:noProof/>
          <w:sz w:val="24"/>
          <w:szCs w:val="24"/>
          <w:lang w:val="fr-FR" w:eastAsia="fr-FR"/>
        </w:rPr>
        <w:drawing>
          <wp:inline distT="0" distB="0" distL="0" distR="0" wp14:anchorId="60C5A460" wp14:editId="70A63A2B">
            <wp:extent cx="8437880" cy="3457428"/>
            <wp:effectExtent l="19050" t="19050" r="20320" b="10160"/>
            <wp:docPr id="200" name="Imag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3">
                      <a:extLst>
                        <a:ext uri="{28A0092B-C50C-407E-A947-70E740481C1C}">
                          <a14:useLocalDpi xmlns:a14="http://schemas.microsoft.com/office/drawing/2010/main" val="0"/>
                        </a:ext>
                      </a:extLst>
                    </a:blip>
                    <a:srcRect l="2345" r="1772"/>
                    <a:stretch/>
                  </pic:blipFill>
                  <pic:spPr bwMode="auto">
                    <a:xfrm>
                      <a:off x="0" y="0"/>
                      <a:ext cx="8437880" cy="3457428"/>
                    </a:xfrm>
                    <a:prstGeom prst="rect">
                      <a:avLst/>
                    </a:prstGeom>
                    <a:noFill/>
                    <a:ln w="19050" cap="flat" cmpd="sng" algn="ctr">
                      <a:solidFill>
                        <a:srgbClr val="00B0F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45C8129A" w14:textId="77777777" w:rsidR="00503843" w:rsidRPr="00333A62" w:rsidRDefault="00503843" w:rsidP="00333A62">
      <w:pPr>
        <w:spacing w:before="120" w:after="120" w:line="276" w:lineRule="auto"/>
        <w:rPr>
          <w:rFonts w:ascii="Times New Roman" w:hAnsi="Times New Roman" w:cs="Times New Roman"/>
          <w:b/>
          <w:sz w:val="24"/>
          <w:szCs w:val="24"/>
        </w:rPr>
      </w:pPr>
      <w:r w:rsidRPr="00333A62">
        <w:rPr>
          <w:rFonts w:ascii="Times New Roman" w:hAnsi="Times New Roman" w:cs="Times New Roman"/>
          <w:b/>
          <w:sz w:val="24"/>
          <w:szCs w:val="24"/>
        </w:rPr>
        <w:t xml:space="preserve">Pratiques familiales </w:t>
      </w:r>
    </w:p>
    <w:p w14:paraId="277E73E4" w14:textId="3F73232C" w:rsidR="00503843" w:rsidRPr="00333A62" w:rsidRDefault="00503843" w:rsidP="00333A62">
      <w:pPr>
        <w:spacing w:before="120" w:after="120" w:line="276" w:lineRule="auto"/>
        <w:rPr>
          <w:rFonts w:ascii="Times New Roman" w:hAnsi="Times New Roman" w:cs="Times New Roman"/>
          <w:sz w:val="24"/>
          <w:szCs w:val="24"/>
        </w:rPr>
      </w:pPr>
    </w:p>
    <w:p w14:paraId="0C3CFCBE" w14:textId="0593DB16" w:rsidR="00C93780" w:rsidRPr="00C93780" w:rsidRDefault="00C93780" w:rsidP="00C93780">
      <w:pPr>
        <w:pStyle w:val="Lgende"/>
        <w:rPr>
          <w:sz w:val="28"/>
          <w:szCs w:val="24"/>
        </w:rPr>
      </w:pPr>
      <w:bookmarkStart w:id="99" w:name="_Toc1588390"/>
      <w:r w:rsidRPr="00C93780">
        <w:rPr>
          <w:sz w:val="22"/>
        </w:rPr>
        <w:t xml:space="preserve">Figure </w:t>
      </w:r>
      <w:r w:rsidRPr="00C93780">
        <w:rPr>
          <w:sz w:val="22"/>
        </w:rPr>
        <w:fldChar w:fldCharType="begin"/>
      </w:r>
      <w:r w:rsidRPr="00C93780">
        <w:rPr>
          <w:sz w:val="22"/>
        </w:rPr>
        <w:instrText xml:space="preserve"> SEQ Figure \* ARABIC </w:instrText>
      </w:r>
      <w:r w:rsidRPr="00C93780">
        <w:rPr>
          <w:sz w:val="22"/>
        </w:rPr>
        <w:fldChar w:fldCharType="separate"/>
      </w:r>
      <w:r w:rsidR="008F4009">
        <w:rPr>
          <w:noProof/>
          <w:sz w:val="22"/>
        </w:rPr>
        <w:t>3</w:t>
      </w:r>
      <w:r w:rsidRPr="00C93780">
        <w:rPr>
          <w:sz w:val="22"/>
        </w:rPr>
        <w:fldChar w:fldCharType="end"/>
      </w:r>
      <w:r w:rsidRPr="00C93780">
        <w:rPr>
          <w:sz w:val="22"/>
        </w:rPr>
        <w:t> : Synthèse des goulots d’étranglement des pratiques familiales</w:t>
      </w:r>
      <w:bookmarkEnd w:id="99"/>
    </w:p>
    <w:p w14:paraId="3930B26B" w14:textId="77777777" w:rsidR="00503843" w:rsidRPr="00333A62" w:rsidRDefault="00503843" w:rsidP="00333A62">
      <w:pPr>
        <w:spacing w:before="120" w:after="120" w:line="276" w:lineRule="auto"/>
        <w:rPr>
          <w:rFonts w:ascii="Times New Roman" w:hAnsi="Times New Roman" w:cs="Times New Roman"/>
          <w:sz w:val="24"/>
          <w:szCs w:val="24"/>
        </w:rPr>
      </w:pPr>
      <w:r w:rsidRPr="00333A62">
        <w:rPr>
          <w:rFonts w:ascii="Times New Roman" w:hAnsi="Times New Roman" w:cs="Times New Roman"/>
          <w:sz w:val="24"/>
          <w:szCs w:val="24"/>
        </w:rPr>
        <w:t>Dans les pratiques familiales, les goulots d’étranglements sont globalement de gravité faible à moyenne. Ils se retrouvent surtout dans la continuité et la qualité. Le paquet de soins le plus concerné est l’alimentation et soins des nouveau-nés et des nourrissons. Les causes sont liées pratiques traditionnelles dans la prise en charge des moins d’un an, le travail des mères qui ne facilite pas l’allaitement, l’ignorance dans la diversification alimentaire des nourrissons.</w:t>
      </w:r>
    </w:p>
    <w:p w14:paraId="1C397C61" w14:textId="77777777" w:rsidR="00503843" w:rsidRPr="00333A62" w:rsidRDefault="00503843" w:rsidP="00333A62">
      <w:pPr>
        <w:spacing w:before="120" w:after="120" w:line="276" w:lineRule="auto"/>
        <w:rPr>
          <w:rFonts w:ascii="Times New Roman" w:hAnsi="Times New Roman" w:cs="Times New Roman"/>
          <w:b/>
          <w:sz w:val="24"/>
          <w:szCs w:val="24"/>
        </w:rPr>
      </w:pPr>
    </w:p>
    <w:p w14:paraId="33B40C39" w14:textId="77777777" w:rsidR="009A30D8" w:rsidRDefault="009A30D8">
      <w:pPr>
        <w:rPr>
          <w:rFonts w:ascii="Times New Roman" w:hAnsi="Times New Roman" w:cs="Times New Roman"/>
          <w:b/>
          <w:sz w:val="24"/>
          <w:szCs w:val="24"/>
        </w:rPr>
      </w:pPr>
      <w:r>
        <w:rPr>
          <w:rFonts w:ascii="Times New Roman" w:hAnsi="Times New Roman" w:cs="Times New Roman"/>
          <w:b/>
          <w:sz w:val="24"/>
          <w:szCs w:val="24"/>
        </w:rPr>
        <w:br w:type="page"/>
      </w:r>
    </w:p>
    <w:p w14:paraId="64654FFB" w14:textId="39635B58" w:rsidR="00503843" w:rsidRPr="00333A62" w:rsidRDefault="00503843" w:rsidP="00333A62">
      <w:pPr>
        <w:spacing w:before="120" w:after="120" w:line="276" w:lineRule="auto"/>
        <w:rPr>
          <w:rFonts w:ascii="Times New Roman" w:hAnsi="Times New Roman" w:cs="Times New Roman"/>
          <w:b/>
          <w:sz w:val="24"/>
          <w:szCs w:val="24"/>
        </w:rPr>
      </w:pPr>
      <w:r w:rsidRPr="00333A62">
        <w:rPr>
          <w:rFonts w:ascii="Times New Roman" w:hAnsi="Times New Roman" w:cs="Times New Roman"/>
          <w:b/>
          <w:sz w:val="24"/>
          <w:szCs w:val="24"/>
        </w:rPr>
        <w:lastRenderedPageBreak/>
        <w:t>Soins préventifs</w:t>
      </w:r>
    </w:p>
    <w:p w14:paraId="1DBA399C" w14:textId="77777777" w:rsidR="00503843" w:rsidRPr="00333A62" w:rsidRDefault="00503843" w:rsidP="00333A62">
      <w:pPr>
        <w:spacing w:before="120" w:after="120" w:line="276" w:lineRule="auto"/>
        <w:rPr>
          <w:rFonts w:ascii="Times New Roman" w:hAnsi="Times New Roman" w:cs="Times New Roman"/>
          <w:sz w:val="24"/>
          <w:szCs w:val="24"/>
        </w:rPr>
      </w:pPr>
      <w:r w:rsidRPr="00333A62">
        <w:rPr>
          <w:rFonts w:ascii="Times New Roman" w:hAnsi="Times New Roman" w:cs="Times New Roman"/>
          <w:noProof/>
          <w:sz w:val="24"/>
          <w:szCs w:val="24"/>
          <w:lang w:val="fr-FR" w:eastAsia="fr-FR"/>
        </w:rPr>
        <w:drawing>
          <wp:inline distT="0" distB="0" distL="0" distR="0" wp14:anchorId="13F4AC03" wp14:editId="47121603">
            <wp:extent cx="8772525" cy="3274695"/>
            <wp:effectExtent l="19050" t="19050" r="28575" b="20955"/>
            <wp:docPr id="201" name="Imag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34">
                      <a:extLst>
                        <a:ext uri="{28A0092B-C50C-407E-A947-70E740481C1C}">
                          <a14:useLocalDpi xmlns:a14="http://schemas.microsoft.com/office/drawing/2010/main" val="0"/>
                        </a:ext>
                      </a:extLst>
                    </a:blip>
                    <a:srcRect l="2655" r="919"/>
                    <a:stretch/>
                  </pic:blipFill>
                  <pic:spPr bwMode="auto">
                    <a:xfrm>
                      <a:off x="0" y="0"/>
                      <a:ext cx="8833933" cy="3297618"/>
                    </a:xfrm>
                    <a:prstGeom prst="rect">
                      <a:avLst/>
                    </a:prstGeom>
                    <a:noFill/>
                    <a:ln w="19050" cap="flat" cmpd="sng" algn="ctr">
                      <a:solidFill>
                        <a:srgbClr val="00B0F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0C40DEF5" w14:textId="6DBA84F4" w:rsidR="00503843" w:rsidRPr="00C93780" w:rsidRDefault="00C93780" w:rsidP="00C93780">
      <w:pPr>
        <w:pStyle w:val="Lgende"/>
        <w:rPr>
          <w:sz w:val="24"/>
          <w:szCs w:val="24"/>
        </w:rPr>
      </w:pPr>
      <w:bookmarkStart w:id="100" w:name="_Toc1588391"/>
      <w:r w:rsidRPr="00C93780">
        <w:rPr>
          <w:sz w:val="24"/>
          <w:szCs w:val="24"/>
        </w:rPr>
        <w:t xml:space="preserve">Figure </w:t>
      </w:r>
      <w:r w:rsidRPr="00C93780">
        <w:rPr>
          <w:sz w:val="24"/>
          <w:szCs w:val="24"/>
        </w:rPr>
        <w:fldChar w:fldCharType="begin"/>
      </w:r>
      <w:r w:rsidRPr="00C93780">
        <w:rPr>
          <w:sz w:val="24"/>
          <w:szCs w:val="24"/>
        </w:rPr>
        <w:instrText xml:space="preserve"> SEQ Figure \* ARABIC </w:instrText>
      </w:r>
      <w:r w:rsidRPr="00C93780">
        <w:rPr>
          <w:sz w:val="24"/>
          <w:szCs w:val="24"/>
        </w:rPr>
        <w:fldChar w:fldCharType="separate"/>
      </w:r>
      <w:r w:rsidR="008F4009">
        <w:rPr>
          <w:noProof/>
          <w:sz w:val="24"/>
          <w:szCs w:val="24"/>
        </w:rPr>
        <w:t>4</w:t>
      </w:r>
      <w:r w:rsidRPr="00C93780">
        <w:rPr>
          <w:sz w:val="24"/>
          <w:szCs w:val="24"/>
        </w:rPr>
        <w:fldChar w:fldCharType="end"/>
      </w:r>
      <w:r w:rsidRPr="00C93780">
        <w:rPr>
          <w:sz w:val="24"/>
          <w:szCs w:val="24"/>
        </w:rPr>
        <w:t> : Synthèse des goulots d’étranglement des soins préventifs</w:t>
      </w:r>
      <w:bookmarkEnd w:id="100"/>
    </w:p>
    <w:p w14:paraId="2FB602D8" w14:textId="2FA3E962" w:rsidR="00503843" w:rsidRPr="00333A62" w:rsidRDefault="00503843" w:rsidP="00333A62">
      <w:pPr>
        <w:spacing w:before="120" w:after="120" w:line="276" w:lineRule="auto"/>
        <w:rPr>
          <w:rFonts w:ascii="Times New Roman" w:hAnsi="Times New Roman" w:cs="Times New Roman"/>
          <w:sz w:val="24"/>
          <w:szCs w:val="24"/>
        </w:rPr>
      </w:pPr>
      <w:r w:rsidRPr="00333A62">
        <w:rPr>
          <w:rFonts w:ascii="Times New Roman" w:hAnsi="Times New Roman" w:cs="Times New Roman"/>
          <w:sz w:val="24"/>
          <w:szCs w:val="24"/>
        </w:rPr>
        <w:t xml:space="preserve">Les goulots d’étranglement dans les soins préventifs sont de gravité moyenne à intense. Ils concernent surtout l’accessibilité aux ressources humaines, l’acceptabilité par les populations et la disponibilité des intrants. L’utilisation des contraceptifs reste un sujet difficile à aborder et même parfois tabous car l’organisation </w:t>
      </w:r>
      <w:r w:rsidR="009A30D8" w:rsidRPr="00333A62">
        <w:rPr>
          <w:rFonts w:ascii="Times New Roman" w:hAnsi="Times New Roman" w:cs="Times New Roman"/>
          <w:sz w:val="24"/>
          <w:szCs w:val="24"/>
        </w:rPr>
        <w:t>traditionnelle</w:t>
      </w:r>
      <w:r w:rsidRPr="00333A62">
        <w:rPr>
          <w:rFonts w:ascii="Times New Roman" w:hAnsi="Times New Roman" w:cs="Times New Roman"/>
          <w:sz w:val="24"/>
          <w:szCs w:val="24"/>
        </w:rPr>
        <w:t xml:space="preserve"> des sociétés ne permet pas aux femmes de décider par elles-mêmes. La couverture en soins prénatals reste insuffisante car doublement influencée par la rareté du personnel qualifié et les modes de vie traditionnels. La vaccination est encore victime de préjugés mais aussi de l’insuffisance dans la mise en œuvre des stratégies vaccinales..  Des problèmes de gestion et de stockage des intrants nécessaires aux interventions préventives sont parfois à l’origine du défaut de disponibilité des intrants. </w:t>
      </w:r>
    </w:p>
    <w:p w14:paraId="7497E7E4" w14:textId="77777777" w:rsidR="00503843" w:rsidRPr="00333A62" w:rsidRDefault="00503843" w:rsidP="00333A62">
      <w:pPr>
        <w:spacing w:before="120" w:after="120" w:line="276" w:lineRule="auto"/>
        <w:rPr>
          <w:rFonts w:ascii="Times New Roman" w:hAnsi="Times New Roman" w:cs="Times New Roman"/>
          <w:b/>
          <w:sz w:val="24"/>
          <w:szCs w:val="24"/>
        </w:rPr>
      </w:pPr>
    </w:p>
    <w:p w14:paraId="02A8045A" w14:textId="77777777" w:rsidR="00503843" w:rsidRPr="00333A62" w:rsidRDefault="00503843" w:rsidP="00333A62">
      <w:pPr>
        <w:spacing w:before="120" w:after="120" w:line="276" w:lineRule="auto"/>
        <w:rPr>
          <w:rFonts w:ascii="Times New Roman" w:hAnsi="Times New Roman" w:cs="Times New Roman"/>
          <w:b/>
          <w:sz w:val="24"/>
          <w:szCs w:val="24"/>
        </w:rPr>
      </w:pPr>
    </w:p>
    <w:p w14:paraId="02BBA12E" w14:textId="77777777" w:rsidR="00503843" w:rsidRPr="00333A62" w:rsidRDefault="00503843" w:rsidP="00333A62">
      <w:pPr>
        <w:spacing w:before="120" w:after="120" w:line="276" w:lineRule="auto"/>
        <w:rPr>
          <w:rFonts w:ascii="Times New Roman" w:hAnsi="Times New Roman" w:cs="Times New Roman"/>
          <w:b/>
          <w:sz w:val="24"/>
          <w:szCs w:val="24"/>
        </w:rPr>
      </w:pPr>
    </w:p>
    <w:p w14:paraId="732302D4" w14:textId="77777777" w:rsidR="00503843" w:rsidRPr="00333A62" w:rsidRDefault="00503843" w:rsidP="00333A62">
      <w:pPr>
        <w:spacing w:before="120" w:after="120" w:line="276" w:lineRule="auto"/>
        <w:rPr>
          <w:rFonts w:ascii="Times New Roman" w:hAnsi="Times New Roman" w:cs="Times New Roman"/>
          <w:sz w:val="24"/>
          <w:szCs w:val="24"/>
        </w:rPr>
      </w:pPr>
      <w:r w:rsidRPr="00333A62">
        <w:rPr>
          <w:rFonts w:ascii="Times New Roman" w:hAnsi="Times New Roman" w:cs="Times New Roman"/>
          <w:b/>
          <w:sz w:val="24"/>
          <w:szCs w:val="24"/>
        </w:rPr>
        <w:lastRenderedPageBreak/>
        <w:t xml:space="preserve">Soins curatifs </w:t>
      </w:r>
    </w:p>
    <w:p w14:paraId="21307ACB" w14:textId="77777777" w:rsidR="00503843" w:rsidRPr="00333A62" w:rsidRDefault="00503843" w:rsidP="00333A62">
      <w:pPr>
        <w:spacing w:before="120" w:after="120" w:line="276" w:lineRule="auto"/>
        <w:ind w:left="-284"/>
        <w:rPr>
          <w:rFonts w:ascii="Times New Roman" w:hAnsi="Times New Roman" w:cs="Times New Roman"/>
          <w:sz w:val="24"/>
          <w:szCs w:val="24"/>
        </w:rPr>
      </w:pPr>
      <w:r w:rsidRPr="00333A62">
        <w:rPr>
          <w:rFonts w:ascii="Times New Roman" w:hAnsi="Times New Roman" w:cs="Times New Roman"/>
          <w:noProof/>
          <w:sz w:val="24"/>
          <w:szCs w:val="24"/>
          <w:lang w:val="fr-FR" w:eastAsia="fr-FR"/>
        </w:rPr>
        <w:drawing>
          <wp:inline distT="0" distB="0" distL="0" distR="0" wp14:anchorId="060036B4" wp14:editId="72771997">
            <wp:extent cx="8562975" cy="5034280"/>
            <wp:effectExtent l="19050" t="19050" r="28575" b="13970"/>
            <wp:docPr id="202" name="Imag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35">
                      <a:extLst>
                        <a:ext uri="{28A0092B-C50C-407E-A947-70E740481C1C}">
                          <a14:useLocalDpi xmlns:a14="http://schemas.microsoft.com/office/drawing/2010/main" val="0"/>
                        </a:ext>
                      </a:extLst>
                    </a:blip>
                    <a:srcRect l="1700" r="1244"/>
                    <a:stretch/>
                  </pic:blipFill>
                  <pic:spPr bwMode="auto">
                    <a:xfrm>
                      <a:off x="0" y="0"/>
                      <a:ext cx="8593389" cy="5052161"/>
                    </a:xfrm>
                    <a:prstGeom prst="rect">
                      <a:avLst/>
                    </a:prstGeom>
                    <a:noFill/>
                    <a:ln w="19050" cap="flat" cmpd="sng" algn="ctr">
                      <a:solidFill>
                        <a:srgbClr val="00B0F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E505029" w14:textId="7811346B" w:rsidR="00C93780" w:rsidRPr="00C93780" w:rsidRDefault="00C93780" w:rsidP="00C93780">
      <w:pPr>
        <w:pStyle w:val="Lgende"/>
        <w:rPr>
          <w:sz w:val="24"/>
          <w:szCs w:val="24"/>
        </w:rPr>
      </w:pPr>
      <w:bookmarkStart w:id="101" w:name="_Toc1588392"/>
      <w:r w:rsidRPr="00C93780">
        <w:rPr>
          <w:sz w:val="24"/>
          <w:szCs w:val="24"/>
        </w:rPr>
        <w:t xml:space="preserve">Figure </w:t>
      </w:r>
      <w:r w:rsidRPr="00C93780">
        <w:rPr>
          <w:sz w:val="24"/>
          <w:szCs w:val="24"/>
        </w:rPr>
        <w:fldChar w:fldCharType="begin"/>
      </w:r>
      <w:r w:rsidRPr="00C93780">
        <w:rPr>
          <w:sz w:val="24"/>
          <w:szCs w:val="24"/>
        </w:rPr>
        <w:instrText xml:space="preserve"> SEQ Figure \* ARABIC </w:instrText>
      </w:r>
      <w:r w:rsidRPr="00C93780">
        <w:rPr>
          <w:sz w:val="24"/>
          <w:szCs w:val="24"/>
        </w:rPr>
        <w:fldChar w:fldCharType="separate"/>
      </w:r>
      <w:r w:rsidR="008F4009">
        <w:rPr>
          <w:noProof/>
          <w:sz w:val="24"/>
          <w:szCs w:val="24"/>
        </w:rPr>
        <w:t>5</w:t>
      </w:r>
      <w:r w:rsidRPr="00C93780">
        <w:rPr>
          <w:sz w:val="24"/>
          <w:szCs w:val="24"/>
        </w:rPr>
        <w:fldChar w:fldCharType="end"/>
      </w:r>
      <w:r w:rsidRPr="00C93780">
        <w:rPr>
          <w:sz w:val="24"/>
          <w:szCs w:val="24"/>
        </w:rPr>
        <w:t> : Synthèse des goulots d’étranglement des soins curatifs</w:t>
      </w:r>
      <w:bookmarkEnd w:id="101"/>
    </w:p>
    <w:p w14:paraId="5BE392CA" w14:textId="77777777" w:rsidR="00503843" w:rsidRPr="00333A62" w:rsidRDefault="00503843" w:rsidP="00333A62">
      <w:pPr>
        <w:spacing w:before="120" w:after="120" w:line="276" w:lineRule="auto"/>
        <w:ind w:left="-284"/>
        <w:rPr>
          <w:rFonts w:ascii="Times New Roman" w:hAnsi="Times New Roman" w:cs="Times New Roman"/>
          <w:sz w:val="24"/>
          <w:szCs w:val="24"/>
        </w:rPr>
      </w:pPr>
      <w:r w:rsidRPr="00333A62">
        <w:rPr>
          <w:rFonts w:ascii="Times New Roman" w:hAnsi="Times New Roman" w:cs="Times New Roman"/>
          <w:sz w:val="24"/>
          <w:szCs w:val="24"/>
        </w:rPr>
        <w:t xml:space="preserve">En dehors de l’acceptabilité, tous les déterminants des soins curatifs présentent des goulots de gravité importantes. Le point de départ de cette situation est la rareté de l’offre de soins. En effet, peu d’établissements offrent les paquets de soins (destinés à la mère et à l’enfant) inclus dans cette rubrique. </w:t>
      </w:r>
    </w:p>
    <w:p w14:paraId="44832F71" w14:textId="77777777" w:rsidR="00503843" w:rsidRPr="00333A62" w:rsidRDefault="00503843" w:rsidP="00333A62">
      <w:pPr>
        <w:spacing w:before="120" w:after="120" w:line="276" w:lineRule="auto"/>
        <w:rPr>
          <w:rFonts w:ascii="Times New Roman" w:hAnsi="Times New Roman" w:cs="Times New Roman"/>
          <w:sz w:val="24"/>
          <w:szCs w:val="24"/>
        </w:rPr>
        <w:sectPr w:rsidR="00503843" w:rsidRPr="00333A62" w:rsidSect="009054EF">
          <w:footerReference w:type="default" r:id="rId36"/>
          <w:pgSz w:w="15840" w:h="12240" w:orient="landscape"/>
          <w:pgMar w:top="1134" w:right="1134" w:bottom="1134" w:left="1418" w:header="709" w:footer="709" w:gutter="0"/>
          <w:cols w:space="708"/>
          <w:docGrid w:linePitch="360"/>
        </w:sectPr>
      </w:pPr>
    </w:p>
    <w:p w14:paraId="05C3E67A" w14:textId="77777777" w:rsidR="008948DB" w:rsidRPr="00A944AA" w:rsidRDefault="00825055" w:rsidP="00333A62">
      <w:pPr>
        <w:pStyle w:val="Titre1"/>
        <w:spacing w:before="120" w:after="120" w:line="276" w:lineRule="auto"/>
        <w:rPr>
          <w:rFonts w:ascii="Times New Roman" w:hAnsi="Times New Roman" w:cs="Times New Roman"/>
          <w:b/>
          <w:color w:val="0070C0"/>
          <w:sz w:val="24"/>
          <w:szCs w:val="24"/>
        </w:rPr>
      </w:pPr>
      <w:bookmarkStart w:id="102" w:name="_Toc1573825"/>
      <w:r w:rsidRPr="00A944AA">
        <w:rPr>
          <w:rFonts w:ascii="Times New Roman" w:hAnsi="Times New Roman" w:cs="Times New Roman"/>
          <w:b/>
          <w:color w:val="0070C0"/>
          <w:sz w:val="24"/>
          <w:szCs w:val="24"/>
        </w:rPr>
        <w:lastRenderedPageBreak/>
        <w:t xml:space="preserve">LA REPONSE </w:t>
      </w:r>
      <w:bookmarkStart w:id="103" w:name="_Hlk532827017"/>
      <w:r w:rsidRPr="00A944AA">
        <w:rPr>
          <w:rFonts w:ascii="Times New Roman" w:hAnsi="Times New Roman" w:cs="Times New Roman"/>
          <w:b/>
          <w:color w:val="0070C0"/>
          <w:sz w:val="24"/>
          <w:szCs w:val="24"/>
        </w:rPr>
        <w:t>A LA MORTALITE MATERNELLE, NEONATALE, INFANTO-JUVENILE ET A LA SANTE DE REPRODUCTION DES JEUNES/ADOLESCENTS</w:t>
      </w:r>
      <w:bookmarkEnd w:id="102"/>
      <w:r w:rsidRPr="00A944AA">
        <w:rPr>
          <w:rFonts w:ascii="Times New Roman" w:hAnsi="Times New Roman" w:cs="Times New Roman"/>
          <w:b/>
          <w:color w:val="0070C0"/>
          <w:sz w:val="24"/>
          <w:szCs w:val="24"/>
        </w:rPr>
        <w:t xml:space="preserve"> </w:t>
      </w:r>
      <w:bookmarkEnd w:id="103"/>
    </w:p>
    <w:p w14:paraId="476D8347" w14:textId="3498436F" w:rsidR="008948DB" w:rsidRPr="00A944AA" w:rsidRDefault="00825055" w:rsidP="00333A62">
      <w:pPr>
        <w:pStyle w:val="Titre2"/>
        <w:spacing w:before="120" w:after="120" w:line="276" w:lineRule="auto"/>
        <w:rPr>
          <w:rFonts w:ascii="Times New Roman" w:hAnsi="Times New Roman" w:cs="Times New Roman"/>
          <w:b/>
          <w:color w:val="0070C0"/>
          <w:sz w:val="24"/>
          <w:szCs w:val="24"/>
        </w:rPr>
      </w:pPr>
      <w:bookmarkStart w:id="104" w:name="_Toc1573826"/>
      <w:r w:rsidRPr="00A944AA">
        <w:rPr>
          <w:rFonts w:ascii="Times New Roman" w:hAnsi="Times New Roman" w:cs="Times New Roman"/>
          <w:b/>
          <w:color w:val="0070C0"/>
          <w:sz w:val="24"/>
          <w:szCs w:val="24"/>
        </w:rPr>
        <w:t>Vis</w:t>
      </w:r>
      <w:r w:rsidR="008233A2" w:rsidRPr="00A944AA">
        <w:rPr>
          <w:rFonts w:ascii="Times New Roman" w:hAnsi="Times New Roman" w:cs="Times New Roman"/>
          <w:b/>
          <w:color w:val="0070C0"/>
          <w:sz w:val="24"/>
          <w:szCs w:val="24"/>
        </w:rPr>
        <w:t>ion</w:t>
      </w:r>
      <w:r w:rsidR="00742C55" w:rsidRPr="00A944AA">
        <w:rPr>
          <w:rFonts w:ascii="Times New Roman" w:hAnsi="Times New Roman" w:cs="Times New Roman"/>
          <w:b/>
          <w:color w:val="0070C0"/>
          <w:sz w:val="24"/>
          <w:szCs w:val="24"/>
        </w:rPr>
        <w:t xml:space="preserve"> pour l’amélioration de la santé de la mère et de l’enfant</w:t>
      </w:r>
      <w:bookmarkEnd w:id="104"/>
    </w:p>
    <w:p w14:paraId="505FC839" w14:textId="6D0CF710" w:rsidR="00D24E1B" w:rsidRPr="00333A62" w:rsidRDefault="00090B5F" w:rsidP="00333A62">
      <w:pPr>
        <w:spacing w:before="120" w:after="120" w:line="276" w:lineRule="auto"/>
        <w:rPr>
          <w:rFonts w:ascii="Times New Roman" w:hAnsi="Times New Roman" w:cs="Times New Roman"/>
          <w:sz w:val="24"/>
          <w:szCs w:val="24"/>
          <w:highlight w:val="yellow"/>
        </w:rPr>
      </w:pPr>
      <w:r w:rsidRPr="00333A62">
        <w:rPr>
          <w:rFonts w:ascii="Times New Roman" w:hAnsi="Times New Roman" w:cs="Times New Roman"/>
          <w:sz w:val="24"/>
          <w:szCs w:val="24"/>
        </w:rPr>
        <w:t xml:space="preserve">Une Côte d’Ivoire où aucune femme ne meurt </w:t>
      </w:r>
      <w:r w:rsidR="00007929" w:rsidRPr="00333A62">
        <w:rPr>
          <w:rFonts w:ascii="Times New Roman" w:hAnsi="Times New Roman" w:cs="Times New Roman"/>
          <w:sz w:val="24"/>
          <w:szCs w:val="24"/>
        </w:rPr>
        <w:t xml:space="preserve">plus </w:t>
      </w:r>
      <w:r w:rsidRPr="00333A62">
        <w:rPr>
          <w:rFonts w:ascii="Times New Roman" w:hAnsi="Times New Roman" w:cs="Times New Roman"/>
          <w:sz w:val="24"/>
          <w:szCs w:val="24"/>
        </w:rPr>
        <w:t>en donnant la vie et où chaque enfant nait en bonne santé et vit sainement</w:t>
      </w:r>
      <w:r w:rsidR="002D124B" w:rsidRPr="00333A62">
        <w:rPr>
          <w:rFonts w:ascii="Times New Roman" w:hAnsi="Times New Roman" w:cs="Times New Roman"/>
          <w:sz w:val="24"/>
          <w:szCs w:val="24"/>
        </w:rPr>
        <w:t>.</w:t>
      </w:r>
    </w:p>
    <w:p w14:paraId="00C82F8D" w14:textId="77777777" w:rsidR="00E31095" w:rsidRPr="00333A62" w:rsidRDefault="00E31095" w:rsidP="00333A62">
      <w:pPr>
        <w:spacing w:before="120" w:after="120" w:line="276" w:lineRule="auto"/>
        <w:rPr>
          <w:rFonts w:ascii="Times New Roman" w:hAnsi="Times New Roman" w:cs="Times New Roman"/>
          <w:sz w:val="24"/>
          <w:szCs w:val="24"/>
          <w:highlight w:val="yellow"/>
        </w:rPr>
      </w:pPr>
    </w:p>
    <w:p w14:paraId="0209B125" w14:textId="41EB8190" w:rsidR="008948DB" w:rsidRPr="00A944AA" w:rsidRDefault="00825055" w:rsidP="00333A62">
      <w:pPr>
        <w:pStyle w:val="Titre2"/>
        <w:spacing w:before="120" w:after="120" w:line="276" w:lineRule="auto"/>
        <w:rPr>
          <w:rFonts w:ascii="Times New Roman" w:hAnsi="Times New Roman" w:cs="Times New Roman"/>
          <w:b/>
          <w:color w:val="0070C0"/>
          <w:sz w:val="24"/>
          <w:szCs w:val="24"/>
        </w:rPr>
      </w:pPr>
      <w:bookmarkStart w:id="105" w:name="_Toc1573827"/>
      <w:r w:rsidRPr="00A944AA">
        <w:rPr>
          <w:rFonts w:ascii="Times New Roman" w:hAnsi="Times New Roman" w:cs="Times New Roman"/>
          <w:b/>
          <w:color w:val="0070C0"/>
          <w:sz w:val="24"/>
          <w:szCs w:val="24"/>
        </w:rPr>
        <w:t>Principes directe</w:t>
      </w:r>
      <w:r w:rsidR="008233A2" w:rsidRPr="00A944AA">
        <w:rPr>
          <w:rFonts w:ascii="Times New Roman" w:hAnsi="Times New Roman" w:cs="Times New Roman"/>
          <w:b/>
          <w:color w:val="0070C0"/>
          <w:sz w:val="24"/>
          <w:szCs w:val="24"/>
        </w:rPr>
        <w:t>urs</w:t>
      </w:r>
      <w:bookmarkEnd w:id="105"/>
      <w:r w:rsidR="008233A2" w:rsidRPr="00A944AA">
        <w:rPr>
          <w:rFonts w:ascii="Times New Roman" w:hAnsi="Times New Roman" w:cs="Times New Roman"/>
          <w:b/>
          <w:color w:val="0070C0"/>
          <w:sz w:val="24"/>
          <w:szCs w:val="24"/>
        </w:rPr>
        <w:t xml:space="preserve"> </w:t>
      </w:r>
    </w:p>
    <w:p w14:paraId="1E438B66" w14:textId="77777777" w:rsidR="002D124B" w:rsidRPr="00333A62" w:rsidRDefault="002D124B" w:rsidP="00333A62">
      <w:pPr>
        <w:autoSpaceDE w:val="0"/>
        <w:autoSpaceDN w:val="0"/>
        <w:adjustRightInd w:val="0"/>
        <w:spacing w:before="120" w:after="120" w:line="276" w:lineRule="auto"/>
        <w:rPr>
          <w:rFonts w:ascii="Times New Roman" w:hAnsi="Times New Roman" w:cs="Times New Roman"/>
          <w:color w:val="000000"/>
          <w:sz w:val="24"/>
          <w:szCs w:val="24"/>
          <w:lang w:val="fr-FR"/>
        </w:rPr>
      </w:pPr>
      <w:r w:rsidRPr="00333A62">
        <w:rPr>
          <w:rFonts w:ascii="Times New Roman" w:hAnsi="Times New Roman" w:cs="Times New Roman"/>
          <w:color w:val="000000"/>
          <w:sz w:val="24"/>
          <w:szCs w:val="24"/>
          <w:lang w:val="fr-FR"/>
        </w:rPr>
        <w:t xml:space="preserve">Le dossier d’investissement va s’articuler autour des principes directeurs suivants : </w:t>
      </w:r>
    </w:p>
    <w:p w14:paraId="20479409" w14:textId="39FA7236" w:rsidR="002D124B" w:rsidRPr="00AE1DFE" w:rsidRDefault="002D124B" w:rsidP="00D418FF">
      <w:pPr>
        <w:pStyle w:val="Paragraphedeliste"/>
        <w:numPr>
          <w:ilvl w:val="0"/>
          <w:numId w:val="16"/>
        </w:numPr>
        <w:autoSpaceDE w:val="0"/>
        <w:autoSpaceDN w:val="0"/>
        <w:adjustRightInd w:val="0"/>
        <w:spacing w:before="120" w:after="120" w:line="276" w:lineRule="auto"/>
        <w:ind w:left="426" w:hanging="284"/>
        <w:jc w:val="both"/>
        <w:rPr>
          <w:rFonts w:ascii="Times New Roman" w:hAnsi="Times New Roman" w:cs="Times New Roman"/>
          <w:color w:val="000000"/>
          <w:sz w:val="24"/>
          <w:szCs w:val="24"/>
          <w:lang w:val="fr-FR"/>
        </w:rPr>
      </w:pPr>
      <w:r w:rsidRPr="00AE1DFE">
        <w:rPr>
          <w:rFonts w:ascii="Times New Roman" w:hAnsi="Times New Roman" w:cs="Times New Roman"/>
          <w:color w:val="000000"/>
          <w:sz w:val="24"/>
          <w:szCs w:val="24"/>
          <w:lang w:val="fr-FR"/>
        </w:rPr>
        <w:t xml:space="preserve">Un leadership proactif pour améliorer la coordination intra sectorielle des acteurs dans un contexte de décentralisation et la collaboration intersectorielle en vue d’agir plus effacement sur les principaux déterminants de la santé ; </w:t>
      </w:r>
    </w:p>
    <w:p w14:paraId="7506D7C9" w14:textId="57FC674B" w:rsidR="002D124B" w:rsidRPr="00AE1DFE" w:rsidRDefault="002D124B" w:rsidP="00D418FF">
      <w:pPr>
        <w:pStyle w:val="Paragraphedeliste"/>
        <w:numPr>
          <w:ilvl w:val="0"/>
          <w:numId w:val="16"/>
        </w:numPr>
        <w:autoSpaceDE w:val="0"/>
        <w:autoSpaceDN w:val="0"/>
        <w:adjustRightInd w:val="0"/>
        <w:spacing w:before="120" w:after="120" w:line="276" w:lineRule="auto"/>
        <w:ind w:left="426" w:hanging="284"/>
        <w:jc w:val="both"/>
        <w:rPr>
          <w:rFonts w:ascii="Times New Roman" w:hAnsi="Times New Roman" w:cs="Times New Roman"/>
          <w:color w:val="000000"/>
          <w:sz w:val="24"/>
          <w:szCs w:val="24"/>
          <w:lang w:val="fr-FR"/>
        </w:rPr>
      </w:pPr>
      <w:r w:rsidRPr="00AE1DFE">
        <w:rPr>
          <w:rFonts w:ascii="Times New Roman" w:hAnsi="Times New Roman" w:cs="Times New Roman"/>
          <w:color w:val="000000"/>
          <w:sz w:val="24"/>
          <w:szCs w:val="24"/>
          <w:lang w:val="fr-FR"/>
        </w:rPr>
        <w:t xml:space="preserve">La gestion axée sur les résultats pour améliorer l’efficience des investissements ; </w:t>
      </w:r>
    </w:p>
    <w:p w14:paraId="229134E7" w14:textId="091394BF" w:rsidR="002D124B" w:rsidRPr="00AE1DFE" w:rsidRDefault="002D124B" w:rsidP="00D418FF">
      <w:pPr>
        <w:pStyle w:val="Paragraphedeliste"/>
        <w:numPr>
          <w:ilvl w:val="0"/>
          <w:numId w:val="16"/>
        </w:numPr>
        <w:autoSpaceDE w:val="0"/>
        <w:autoSpaceDN w:val="0"/>
        <w:adjustRightInd w:val="0"/>
        <w:spacing w:before="120" w:after="120" w:line="276" w:lineRule="auto"/>
        <w:ind w:left="426" w:hanging="284"/>
        <w:jc w:val="both"/>
        <w:rPr>
          <w:rFonts w:ascii="Times New Roman" w:hAnsi="Times New Roman" w:cs="Times New Roman"/>
          <w:color w:val="000000"/>
          <w:sz w:val="24"/>
          <w:szCs w:val="24"/>
          <w:lang w:val="fr-FR"/>
        </w:rPr>
      </w:pPr>
      <w:r w:rsidRPr="00AE1DFE">
        <w:rPr>
          <w:rFonts w:ascii="Times New Roman" w:hAnsi="Times New Roman" w:cs="Times New Roman"/>
          <w:color w:val="000000"/>
          <w:sz w:val="24"/>
          <w:szCs w:val="24"/>
          <w:lang w:val="fr-FR"/>
        </w:rPr>
        <w:t xml:space="preserve">L’approche intégrée des prestations autour des étapes du cycle de vie pour éviter la fragmentation-duplication et améliorer la cohérence des interventions SRMNEA-N ; </w:t>
      </w:r>
    </w:p>
    <w:p w14:paraId="37A75790" w14:textId="4F3E1776" w:rsidR="002D124B" w:rsidRPr="00AE1DFE" w:rsidRDefault="002D124B" w:rsidP="00D418FF">
      <w:pPr>
        <w:pStyle w:val="Paragraphedeliste"/>
        <w:numPr>
          <w:ilvl w:val="0"/>
          <w:numId w:val="16"/>
        </w:numPr>
        <w:autoSpaceDE w:val="0"/>
        <w:autoSpaceDN w:val="0"/>
        <w:adjustRightInd w:val="0"/>
        <w:spacing w:before="120" w:after="120" w:line="276" w:lineRule="auto"/>
        <w:ind w:left="426" w:hanging="284"/>
        <w:jc w:val="both"/>
        <w:rPr>
          <w:rFonts w:ascii="Times New Roman" w:hAnsi="Times New Roman" w:cs="Times New Roman"/>
          <w:color w:val="000000"/>
          <w:sz w:val="24"/>
          <w:szCs w:val="24"/>
          <w:lang w:val="fr-FR"/>
        </w:rPr>
      </w:pPr>
      <w:r w:rsidRPr="00AE1DFE">
        <w:rPr>
          <w:rFonts w:ascii="Times New Roman" w:hAnsi="Times New Roman" w:cs="Times New Roman"/>
          <w:color w:val="000000"/>
          <w:sz w:val="24"/>
          <w:szCs w:val="24"/>
          <w:lang w:val="fr-FR"/>
        </w:rPr>
        <w:t xml:space="preserve">L’équité, le genre et la prise en compte des besoins prioritaires et des ressources disponibles ; </w:t>
      </w:r>
    </w:p>
    <w:p w14:paraId="29D6FA64" w14:textId="2F13A7EC" w:rsidR="002D124B" w:rsidRPr="00AE1DFE" w:rsidRDefault="002D124B" w:rsidP="00D418FF">
      <w:pPr>
        <w:pStyle w:val="Paragraphedeliste"/>
        <w:numPr>
          <w:ilvl w:val="0"/>
          <w:numId w:val="16"/>
        </w:numPr>
        <w:autoSpaceDE w:val="0"/>
        <w:autoSpaceDN w:val="0"/>
        <w:adjustRightInd w:val="0"/>
        <w:spacing w:before="120" w:after="120" w:line="276" w:lineRule="auto"/>
        <w:ind w:left="426" w:hanging="284"/>
        <w:jc w:val="both"/>
        <w:rPr>
          <w:rFonts w:ascii="Times New Roman" w:hAnsi="Times New Roman" w:cs="Times New Roman"/>
          <w:color w:val="000000"/>
          <w:sz w:val="24"/>
          <w:szCs w:val="24"/>
          <w:lang w:val="fr-FR"/>
        </w:rPr>
      </w:pPr>
      <w:r w:rsidRPr="00AE1DFE">
        <w:rPr>
          <w:rFonts w:ascii="Times New Roman" w:hAnsi="Times New Roman" w:cs="Times New Roman"/>
          <w:color w:val="000000"/>
          <w:sz w:val="24"/>
          <w:szCs w:val="24"/>
          <w:lang w:val="fr-FR"/>
        </w:rPr>
        <w:t xml:space="preserve">Le focus sur la mise en </w:t>
      </w:r>
      <w:r w:rsidR="00964564" w:rsidRPr="00AE1DFE">
        <w:rPr>
          <w:rFonts w:ascii="Times New Roman" w:hAnsi="Times New Roman" w:cs="Times New Roman"/>
          <w:color w:val="000000"/>
          <w:sz w:val="24"/>
          <w:szCs w:val="24"/>
          <w:lang w:val="fr-FR"/>
        </w:rPr>
        <w:t>œuvre</w:t>
      </w:r>
      <w:r w:rsidRPr="00AE1DFE">
        <w:rPr>
          <w:rFonts w:ascii="Times New Roman" w:hAnsi="Times New Roman" w:cs="Times New Roman"/>
          <w:color w:val="000000"/>
          <w:sz w:val="24"/>
          <w:szCs w:val="24"/>
          <w:lang w:val="fr-FR"/>
        </w:rPr>
        <w:t>, le</w:t>
      </w:r>
      <w:r w:rsidR="00964564" w:rsidRPr="00AE1DFE">
        <w:rPr>
          <w:rFonts w:ascii="Times New Roman" w:hAnsi="Times New Roman" w:cs="Times New Roman"/>
          <w:color w:val="000000"/>
          <w:sz w:val="24"/>
          <w:szCs w:val="24"/>
          <w:lang w:val="fr-FR"/>
        </w:rPr>
        <w:t xml:space="preserve"> long terme et la redevabilité ;</w:t>
      </w:r>
    </w:p>
    <w:p w14:paraId="201DCBCC" w14:textId="64E53789" w:rsidR="00964564" w:rsidRPr="00AE1DFE" w:rsidRDefault="00964564" w:rsidP="00D418FF">
      <w:pPr>
        <w:pStyle w:val="Paragraphedeliste"/>
        <w:numPr>
          <w:ilvl w:val="0"/>
          <w:numId w:val="16"/>
        </w:numPr>
        <w:autoSpaceDE w:val="0"/>
        <w:autoSpaceDN w:val="0"/>
        <w:adjustRightInd w:val="0"/>
        <w:spacing w:before="120" w:after="120" w:line="276" w:lineRule="auto"/>
        <w:ind w:left="426" w:hanging="284"/>
        <w:jc w:val="both"/>
        <w:rPr>
          <w:rFonts w:ascii="Times New Roman" w:hAnsi="Times New Roman" w:cs="Times New Roman"/>
          <w:color w:val="000000"/>
          <w:sz w:val="24"/>
          <w:szCs w:val="24"/>
          <w:lang w:val="fr-FR"/>
        </w:rPr>
      </w:pPr>
      <w:r w:rsidRPr="00AE1DFE">
        <w:rPr>
          <w:rFonts w:ascii="Times New Roman" w:hAnsi="Times New Roman" w:cs="Times New Roman"/>
          <w:color w:val="000000"/>
          <w:sz w:val="24"/>
          <w:szCs w:val="24"/>
          <w:lang w:val="fr-FR"/>
        </w:rPr>
        <w:t>Le partenariat public privé ;</w:t>
      </w:r>
    </w:p>
    <w:p w14:paraId="489069A5" w14:textId="1B6E58D0" w:rsidR="00964564" w:rsidRPr="00AE1DFE" w:rsidRDefault="00964564" w:rsidP="00D418FF">
      <w:pPr>
        <w:pStyle w:val="Paragraphedeliste"/>
        <w:numPr>
          <w:ilvl w:val="0"/>
          <w:numId w:val="16"/>
        </w:numPr>
        <w:autoSpaceDE w:val="0"/>
        <w:autoSpaceDN w:val="0"/>
        <w:adjustRightInd w:val="0"/>
        <w:spacing w:before="120" w:after="120" w:line="276" w:lineRule="auto"/>
        <w:ind w:left="426" w:hanging="284"/>
        <w:jc w:val="both"/>
        <w:rPr>
          <w:rFonts w:ascii="Times New Roman" w:hAnsi="Times New Roman" w:cs="Times New Roman"/>
          <w:color w:val="000000"/>
          <w:sz w:val="24"/>
          <w:szCs w:val="24"/>
          <w:lang w:val="fr-FR"/>
        </w:rPr>
      </w:pPr>
      <w:r w:rsidRPr="00AE1DFE">
        <w:rPr>
          <w:rFonts w:ascii="Times New Roman" w:hAnsi="Times New Roman" w:cs="Times New Roman"/>
          <w:color w:val="000000"/>
          <w:sz w:val="24"/>
          <w:szCs w:val="24"/>
          <w:lang w:val="fr-FR"/>
        </w:rPr>
        <w:t>La synergie et l’inclusion pour l’intégration de la société civile.</w:t>
      </w:r>
    </w:p>
    <w:p w14:paraId="47EE1232" w14:textId="77777777" w:rsidR="002D124B" w:rsidRPr="00333A62" w:rsidRDefault="002D124B" w:rsidP="00333A62">
      <w:pPr>
        <w:spacing w:before="120" w:after="120" w:line="276" w:lineRule="auto"/>
        <w:rPr>
          <w:rFonts w:ascii="Times New Roman" w:hAnsi="Times New Roman" w:cs="Times New Roman"/>
          <w:sz w:val="24"/>
          <w:szCs w:val="24"/>
          <w:highlight w:val="yellow"/>
        </w:rPr>
      </w:pPr>
    </w:p>
    <w:p w14:paraId="7869EFBB" w14:textId="4C64E0D2" w:rsidR="008948DB" w:rsidRPr="00A944AA" w:rsidRDefault="00825055" w:rsidP="00333A62">
      <w:pPr>
        <w:pStyle w:val="Titre2"/>
        <w:spacing w:before="120" w:after="120" w:line="276" w:lineRule="auto"/>
        <w:rPr>
          <w:rFonts w:ascii="Times New Roman" w:hAnsi="Times New Roman" w:cs="Times New Roman"/>
          <w:color w:val="auto"/>
          <w:sz w:val="24"/>
          <w:szCs w:val="24"/>
        </w:rPr>
      </w:pPr>
      <w:bookmarkStart w:id="106" w:name="_Toc1573828"/>
      <w:r w:rsidRPr="00A944AA">
        <w:rPr>
          <w:rFonts w:ascii="Times New Roman" w:hAnsi="Times New Roman" w:cs="Times New Roman"/>
          <w:b/>
          <w:color w:val="0070C0"/>
          <w:sz w:val="24"/>
          <w:szCs w:val="24"/>
        </w:rPr>
        <w:t>Dynamique de changem</w:t>
      </w:r>
      <w:r w:rsidR="008233A2" w:rsidRPr="00A944AA">
        <w:rPr>
          <w:rFonts w:ascii="Times New Roman" w:hAnsi="Times New Roman" w:cs="Times New Roman"/>
          <w:b/>
          <w:color w:val="0070C0"/>
          <w:sz w:val="24"/>
          <w:szCs w:val="24"/>
        </w:rPr>
        <w:t>ent</w:t>
      </w:r>
      <w:bookmarkEnd w:id="106"/>
    </w:p>
    <w:p w14:paraId="5E89A1A6" w14:textId="77777777" w:rsidR="00964564" w:rsidRPr="00AB7166" w:rsidRDefault="00964564" w:rsidP="00964564">
      <w:pPr>
        <w:shd w:val="clear" w:color="auto" w:fill="FFFFFF"/>
        <w:jc w:val="both"/>
        <w:rPr>
          <w:rFonts w:ascii="Times New Roman" w:hAnsi="Times New Roman"/>
          <w:sz w:val="24"/>
          <w:szCs w:val="24"/>
        </w:rPr>
      </w:pPr>
      <w:r w:rsidRPr="00AB7166">
        <w:rPr>
          <w:rFonts w:ascii="Times New Roman" w:hAnsi="Times New Roman"/>
          <w:sz w:val="24"/>
          <w:szCs w:val="24"/>
        </w:rPr>
        <w:t>Les éléments du dossier d’investissement décrivent un ensemble de processus cohérents en termes de « quoi » investir (les interventions à haut impact), « pour qui » investir (la mère, le nouveau-né, l’enfant, l’adolescent), « où » investir (dans les régions prioritaires), et « comment » investir (les stratégies innovantes), tel que le montre la figure ci-dessous. Le DI est une opportunité importante pour la Côte d’Ivoire d’améliorer la santé et le bienêtre de ses populations les plus vulnérables, d’utiliser ses ressources plus efficacement et d’améliorer la coordination de tous les acteurs engagés dans le système de santé.</w:t>
      </w:r>
    </w:p>
    <w:p w14:paraId="2871681D" w14:textId="77777777" w:rsidR="00964564" w:rsidRDefault="00964564" w:rsidP="00964564">
      <w:pPr>
        <w:shd w:val="clear" w:color="auto" w:fill="FFFFFF"/>
      </w:pPr>
    </w:p>
    <w:p w14:paraId="21B3DA28" w14:textId="77777777" w:rsidR="00964564" w:rsidRDefault="00964564" w:rsidP="00964564">
      <w:pPr>
        <w:shd w:val="clear" w:color="auto" w:fill="FFFFFF"/>
      </w:pPr>
    </w:p>
    <w:p w14:paraId="0BC4FE29" w14:textId="77777777" w:rsidR="00964564" w:rsidRDefault="00964564" w:rsidP="00964564">
      <w:pPr>
        <w:shd w:val="clear" w:color="auto" w:fill="FFFFFF"/>
      </w:pPr>
    </w:p>
    <w:p w14:paraId="66AA5C5A" w14:textId="77777777" w:rsidR="00AE1DFE" w:rsidRDefault="00AE1DFE" w:rsidP="00964564">
      <w:pPr>
        <w:shd w:val="clear" w:color="auto" w:fill="FFFFFF"/>
      </w:pPr>
    </w:p>
    <w:p w14:paraId="30A5CB3A" w14:textId="77777777" w:rsidR="00AE1DFE" w:rsidRDefault="00AE1DFE" w:rsidP="00964564">
      <w:pPr>
        <w:shd w:val="clear" w:color="auto" w:fill="FFFFFF"/>
      </w:pPr>
    </w:p>
    <w:p w14:paraId="63724470" w14:textId="77777777" w:rsidR="00AE1DFE" w:rsidRDefault="00AE1DFE" w:rsidP="00964564">
      <w:pPr>
        <w:shd w:val="clear" w:color="auto" w:fill="FFFFFF"/>
      </w:pPr>
    </w:p>
    <w:p w14:paraId="31B86AC2" w14:textId="77777777" w:rsidR="00AE1DFE" w:rsidRDefault="00AE1DFE" w:rsidP="00964564">
      <w:pPr>
        <w:shd w:val="clear" w:color="auto" w:fill="FFFFFF"/>
      </w:pPr>
    </w:p>
    <w:p w14:paraId="0AE467CD" w14:textId="77777777" w:rsidR="00AE1DFE" w:rsidRDefault="00AE1DFE" w:rsidP="00964564">
      <w:pPr>
        <w:shd w:val="clear" w:color="auto" w:fill="FFFFFF"/>
      </w:pPr>
    </w:p>
    <w:p w14:paraId="610B3E43" w14:textId="77777777" w:rsidR="00964564" w:rsidRDefault="00964564" w:rsidP="00964564">
      <w:pPr>
        <w:shd w:val="clear" w:color="auto" w:fill="FFFFFF"/>
      </w:pPr>
      <w:r>
        <w:rPr>
          <w:noProof/>
          <w:lang w:val="fr-FR" w:eastAsia="fr-FR"/>
        </w:rPr>
        <w:lastRenderedPageBreak/>
        <mc:AlternateContent>
          <mc:Choice Requires="wpg">
            <w:drawing>
              <wp:anchor distT="0" distB="0" distL="114300" distR="114300" simplePos="0" relativeHeight="251662848" behindDoc="0" locked="0" layoutInCell="1" allowOverlap="1" wp14:anchorId="3F5FC247" wp14:editId="47EA92BA">
                <wp:simplePos x="0" y="0"/>
                <wp:positionH relativeFrom="column">
                  <wp:posOffset>171450</wp:posOffset>
                </wp:positionH>
                <wp:positionV relativeFrom="paragraph">
                  <wp:posOffset>287655</wp:posOffset>
                </wp:positionV>
                <wp:extent cx="5642610" cy="5276850"/>
                <wp:effectExtent l="0" t="0" r="0" b="19050"/>
                <wp:wrapNone/>
                <wp:docPr id="26" name="Groupe 26"/>
                <wp:cNvGraphicFramePr/>
                <a:graphic xmlns:a="http://schemas.openxmlformats.org/drawingml/2006/main">
                  <a:graphicData uri="http://schemas.microsoft.com/office/word/2010/wordprocessingGroup">
                    <wpg:wgp>
                      <wpg:cNvGrpSpPr/>
                      <wpg:grpSpPr>
                        <a:xfrm>
                          <a:off x="0" y="0"/>
                          <a:ext cx="5642610" cy="5276850"/>
                          <a:chOff x="0" y="0"/>
                          <a:chExt cx="5642610" cy="5276850"/>
                        </a:xfrm>
                      </wpg:grpSpPr>
                      <wps:wsp>
                        <wps:cNvPr id="30" name="Pentagone 4"/>
                        <wps:cNvSpPr/>
                        <wps:spPr>
                          <a:xfrm>
                            <a:off x="1165860" y="1318260"/>
                            <a:ext cx="3333750" cy="2773680"/>
                          </a:xfrm>
                          <a:prstGeom prst="pentagon">
                            <a:avLst/>
                          </a:prstGeom>
                          <a:solidFill>
                            <a:schemeClr val="accent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AA8422E" w14:textId="77777777" w:rsidR="00C742EB" w:rsidRDefault="00C742EB" w:rsidP="00964564">
                              <w:pPr>
                                <w:spacing w:after="0" w:line="240" w:lineRule="auto"/>
                                <w:jc w:val="center"/>
                              </w:pPr>
                              <w:r>
                                <w:rPr>
                                  <w:noProof/>
                                  <w:lang w:val="fr-FR" w:eastAsia="fr-FR"/>
                                </w:rPr>
                                <w:drawing>
                                  <wp:inline distT="0" distB="0" distL="0" distR="0" wp14:anchorId="55A4C616" wp14:editId="2D501D93">
                                    <wp:extent cx="727177" cy="776605"/>
                                    <wp:effectExtent l="0" t="0" r="0" b="444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752181" cy="803308"/>
                                            </a:xfrm>
                                            <a:prstGeom prst="rect">
                                              <a:avLst/>
                                            </a:prstGeom>
                                          </pic:spPr>
                                        </pic:pic>
                                      </a:graphicData>
                                    </a:graphic>
                                  </wp:inline>
                                </w:drawing>
                              </w:r>
                              <w:r>
                                <w:rPr>
                                  <w:noProof/>
                                  <w:lang w:val="fr-FR" w:eastAsia="fr-FR"/>
                                </w:rPr>
                                <w:drawing>
                                  <wp:inline distT="0" distB="0" distL="0" distR="0" wp14:anchorId="758B533C" wp14:editId="7D0525E5">
                                    <wp:extent cx="582505" cy="781685"/>
                                    <wp:effectExtent l="0" t="0" r="825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621622" cy="834178"/>
                                            </a:xfrm>
                                            <a:prstGeom prst="rect">
                                              <a:avLst/>
                                            </a:prstGeom>
                                          </pic:spPr>
                                        </pic:pic>
                                      </a:graphicData>
                                    </a:graphic>
                                  </wp:inline>
                                </w:drawing>
                              </w:r>
                            </w:p>
                            <w:p w14:paraId="03FFD759" w14:textId="77777777" w:rsidR="00C742EB" w:rsidRPr="00E5552D" w:rsidRDefault="00C742EB" w:rsidP="00964564">
                              <w:pPr>
                                <w:spacing w:after="0" w:line="240" w:lineRule="auto"/>
                                <w:jc w:val="center"/>
                                <w:rPr>
                                  <w:b/>
                                  <w:color w:val="385623" w:themeColor="accent6" w:themeShade="80"/>
                                </w:rPr>
                              </w:pPr>
                              <w:r w:rsidRPr="00E5552D">
                                <w:rPr>
                                  <w:b/>
                                  <w:color w:val="385623" w:themeColor="accent6" w:themeShade="80"/>
                                </w:rPr>
                                <w:t xml:space="preserve">Mères, Nouveau-nés, </w:t>
                              </w:r>
                            </w:p>
                            <w:p w14:paraId="08F535BF" w14:textId="77777777" w:rsidR="00C742EB" w:rsidRDefault="00C742EB" w:rsidP="00964564">
                              <w:pPr>
                                <w:spacing w:after="0" w:line="240" w:lineRule="auto"/>
                                <w:jc w:val="center"/>
                              </w:pPr>
                              <w:r w:rsidRPr="00E5552D">
                                <w:rPr>
                                  <w:b/>
                                  <w:color w:val="385623" w:themeColor="accent6" w:themeShade="80"/>
                                </w:rPr>
                                <w:t>Enfants et Adolescents</w:t>
                              </w:r>
                              <w:r w:rsidRPr="00E5552D">
                                <w:rPr>
                                  <w:color w:val="385623" w:themeColor="accent6" w:themeShade="80"/>
                                </w:rPr>
                                <w:t xml:space="preserve"> </w:t>
                              </w:r>
                            </w:p>
                            <w:p w14:paraId="421B8DA5" w14:textId="77777777" w:rsidR="00C742EB" w:rsidRDefault="00C742EB" w:rsidP="00964564">
                              <w:pPr>
                                <w:spacing w:after="0" w:line="240" w:lineRule="auto"/>
                                <w:jc w:val="center"/>
                              </w:pPr>
                              <w:r>
                                <w:rPr>
                                  <w:noProof/>
                                  <w:lang w:val="fr-FR" w:eastAsia="fr-FR"/>
                                </w:rPr>
                                <w:drawing>
                                  <wp:inline distT="0" distB="0" distL="0" distR="0" wp14:anchorId="498BC132" wp14:editId="117F7083">
                                    <wp:extent cx="628650" cy="831272"/>
                                    <wp:effectExtent l="0" t="0" r="0" b="6985"/>
                                    <wp:docPr id="229" name="Imag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656326" cy="867869"/>
                                            </a:xfrm>
                                            <a:prstGeom prst="rect">
                                              <a:avLst/>
                                            </a:prstGeom>
                                          </pic:spPr>
                                        </pic:pic>
                                      </a:graphicData>
                                    </a:graphic>
                                  </wp:inline>
                                </w:drawing>
                              </w:r>
                              <w:r>
                                <w:rPr>
                                  <w:noProof/>
                                  <w:lang w:val="fr-FR" w:eastAsia="fr-FR"/>
                                </w:rPr>
                                <w:drawing>
                                  <wp:inline distT="0" distB="0" distL="0" distR="0" wp14:anchorId="610C00CB" wp14:editId="24875639">
                                    <wp:extent cx="727177" cy="837565"/>
                                    <wp:effectExtent l="0" t="0" r="0" b="635"/>
                                    <wp:docPr id="230" name="Imag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753135" cy="867463"/>
                                            </a:xfrm>
                                            <a:prstGeom prst="rect">
                                              <a:avLst/>
                                            </a:prstGeom>
                                          </pic:spPr>
                                        </pic:pic>
                                      </a:graphicData>
                                    </a:graphic>
                                  </wp:inline>
                                </w:drawing>
                              </w:r>
                            </w:p>
                            <w:p w14:paraId="3615C1B1" w14:textId="77777777" w:rsidR="00C742EB" w:rsidRDefault="00C742EB" w:rsidP="0096456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 name="Légende : flèche vers le bas 12"/>
                        <wps:cNvSpPr/>
                        <wps:spPr>
                          <a:xfrm rot="19651474">
                            <a:off x="1066800" y="788670"/>
                            <a:ext cx="1131570" cy="1196340"/>
                          </a:xfrm>
                          <a:prstGeom prst="downArrowCallout">
                            <a:avLst>
                              <a:gd name="adj1" fmla="val 32634"/>
                              <a:gd name="adj2" fmla="val 25000"/>
                              <a:gd name="adj3" fmla="val 25000"/>
                              <a:gd name="adj4" fmla="val 37430"/>
                            </a:avLst>
                          </a:pr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7038073" w14:textId="77777777" w:rsidR="00C742EB" w:rsidRPr="00E170AD" w:rsidRDefault="00C742EB" w:rsidP="00964564">
                              <w:pPr>
                                <w:jc w:val="center"/>
                                <w:rPr>
                                  <w:color w:val="000000" w:themeColor="text1"/>
                                </w:rPr>
                              </w:pPr>
                              <w:r w:rsidRPr="00E170AD">
                                <w:rPr>
                                  <w:color w:val="000000" w:themeColor="text1"/>
                                </w:rPr>
                                <w:t>Interventions à haut impact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4" name="Légende : flèche vers le bas 13"/>
                        <wps:cNvSpPr/>
                        <wps:spPr>
                          <a:xfrm rot="1940905">
                            <a:off x="3383280" y="769620"/>
                            <a:ext cx="1131570" cy="1158240"/>
                          </a:xfrm>
                          <a:prstGeom prst="downArrowCallout">
                            <a:avLst>
                              <a:gd name="adj1" fmla="val 32634"/>
                              <a:gd name="adj2" fmla="val 25000"/>
                              <a:gd name="adj3" fmla="val 25000"/>
                              <a:gd name="adj4" fmla="val 39430"/>
                            </a:avLst>
                          </a:pr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9FE549E" w14:textId="77777777" w:rsidR="00C742EB" w:rsidRPr="00E170AD" w:rsidRDefault="00C742EB" w:rsidP="00964564">
                              <w:pPr>
                                <w:jc w:val="center"/>
                                <w:rPr>
                                  <w:color w:val="000000" w:themeColor="text1"/>
                                </w:rPr>
                              </w:pPr>
                              <w:r w:rsidRPr="00E170AD">
                                <w:rPr>
                                  <w:color w:val="000000" w:themeColor="text1"/>
                                </w:rPr>
                                <w:t>Interventions à haut impact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Légende : flèche vers le bas 14"/>
                        <wps:cNvSpPr/>
                        <wps:spPr>
                          <a:xfrm rot="14945970">
                            <a:off x="415290" y="2967990"/>
                            <a:ext cx="1131570" cy="1154430"/>
                          </a:xfrm>
                          <a:prstGeom prst="downArrowCallout">
                            <a:avLst>
                              <a:gd name="adj1" fmla="val 32634"/>
                              <a:gd name="adj2" fmla="val 25000"/>
                              <a:gd name="adj3" fmla="val 25000"/>
                              <a:gd name="adj4" fmla="val 37566"/>
                            </a:avLst>
                          </a:pr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E99F825" w14:textId="77777777" w:rsidR="00C742EB" w:rsidRPr="00E170AD" w:rsidRDefault="00C742EB" w:rsidP="00964564">
                              <w:pPr>
                                <w:jc w:val="center"/>
                                <w:rPr>
                                  <w:color w:val="000000" w:themeColor="text1"/>
                                </w:rPr>
                              </w:pPr>
                              <w:r w:rsidRPr="00E170AD">
                                <w:rPr>
                                  <w:color w:val="000000" w:themeColor="text1"/>
                                </w:rPr>
                                <w:t>Interventions à haut impact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6" name="Légende : flèche vers le bas 15"/>
                        <wps:cNvSpPr/>
                        <wps:spPr>
                          <a:xfrm rot="6615079">
                            <a:off x="4198620" y="2842260"/>
                            <a:ext cx="1131570" cy="1256030"/>
                          </a:xfrm>
                          <a:prstGeom prst="downArrowCallout">
                            <a:avLst>
                              <a:gd name="adj1" fmla="val 32634"/>
                              <a:gd name="adj2" fmla="val 25000"/>
                              <a:gd name="adj3" fmla="val 25000"/>
                              <a:gd name="adj4" fmla="val 37998"/>
                            </a:avLst>
                          </a:pr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347CCCA" w14:textId="77777777" w:rsidR="00C742EB" w:rsidRPr="00E170AD" w:rsidRDefault="00C742EB" w:rsidP="00964564">
                              <w:pPr>
                                <w:jc w:val="center"/>
                                <w:rPr>
                                  <w:color w:val="000000" w:themeColor="text1"/>
                                </w:rPr>
                              </w:pPr>
                              <w:r w:rsidRPr="00E170AD">
                                <w:rPr>
                                  <w:color w:val="000000" w:themeColor="text1"/>
                                </w:rPr>
                                <w:t>Interventions à haut impact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 name="Légende : flèche vers le bas 16"/>
                        <wps:cNvSpPr/>
                        <wps:spPr>
                          <a:xfrm rot="10800000">
                            <a:off x="2335530" y="4091940"/>
                            <a:ext cx="1131570" cy="1184910"/>
                          </a:xfrm>
                          <a:prstGeom prst="downArrowCallout">
                            <a:avLst>
                              <a:gd name="adj1" fmla="val 32634"/>
                              <a:gd name="adj2" fmla="val 25000"/>
                              <a:gd name="adj3" fmla="val 25000"/>
                              <a:gd name="adj4" fmla="val 37777"/>
                            </a:avLst>
                          </a:prstGeom>
                          <a:solidFill>
                            <a:schemeClr val="accent6">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A601F5B" w14:textId="77777777" w:rsidR="00C742EB" w:rsidRPr="00E170AD" w:rsidRDefault="00C742EB" w:rsidP="00964564">
                              <w:pPr>
                                <w:jc w:val="center"/>
                                <w:rPr>
                                  <w:color w:val="000000" w:themeColor="text1"/>
                                </w:rPr>
                              </w:pPr>
                              <w:r w:rsidRPr="00E170AD">
                                <w:rPr>
                                  <w:color w:val="000000" w:themeColor="text1"/>
                                </w:rPr>
                                <w:t>Interventions à haut impact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8" name="Rectangle 198"/>
                        <wps:cNvSpPr/>
                        <wps:spPr>
                          <a:xfrm rot="19629261">
                            <a:off x="1310640" y="1817370"/>
                            <a:ext cx="1375410" cy="2933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CF0E93" w14:textId="77777777" w:rsidR="00C742EB" w:rsidRPr="00AB7166" w:rsidRDefault="00C742EB" w:rsidP="00964564">
                              <w:pPr>
                                <w:jc w:val="center"/>
                                <w:rPr>
                                  <w:color w:val="C00000"/>
                                </w:rPr>
                              </w:pPr>
                              <w:r w:rsidRPr="00AB7166">
                                <w:rPr>
                                  <w:color w:val="C00000"/>
                                </w:rPr>
                                <w:t>Régions prioritaires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 name="Rectangle 208"/>
                        <wps:cNvSpPr/>
                        <wps:spPr>
                          <a:xfrm rot="1969823">
                            <a:off x="2956560" y="1767840"/>
                            <a:ext cx="1375410" cy="2933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1DCF313" w14:textId="77777777" w:rsidR="00C742EB" w:rsidRPr="00AB7166" w:rsidRDefault="00C742EB" w:rsidP="00964564">
                              <w:pPr>
                                <w:jc w:val="center"/>
                                <w:rPr>
                                  <w:color w:val="C00000"/>
                                </w:rPr>
                              </w:pPr>
                              <w:r w:rsidRPr="00AB7166">
                                <w:rPr>
                                  <w:color w:val="C00000"/>
                                </w:rPr>
                                <w:t>Régions prioritaires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 name="Rectangle 209"/>
                        <wps:cNvSpPr/>
                        <wps:spPr>
                          <a:xfrm rot="4174034">
                            <a:off x="918210" y="3173730"/>
                            <a:ext cx="1375410" cy="2933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59571EE" w14:textId="77777777" w:rsidR="00C742EB" w:rsidRPr="00AB7166" w:rsidRDefault="00C742EB" w:rsidP="00964564">
                              <w:pPr>
                                <w:jc w:val="center"/>
                                <w:rPr>
                                  <w:color w:val="C00000"/>
                                </w:rPr>
                              </w:pPr>
                              <w:r w:rsidRPr="00AB7166">
                                <w:rPr>
                                  <w:color w:val="C00000"/>
                                </w:rPr>
                                <w:t>Régions prioritaires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 name="Rectangle 210"/>
                        <wps:cNvSpPr/>
                        <wps:spPr>
                          <a:xfrm rot="17359741">
                            <a:off x="3394710" y="3120390"/>
                            <a:ext cx="1375410" cy="2933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5D95FBA" w14:textId="77777777" w:rsidR="00C742EB" w:rsidRPr="00AB7166" w:rsidRDefault="00C742EB" w:rsidP="00964564">
                              <w:pPr>
                                <w:jc w:val="center"/>
                                <w:rPr>
                                  <w:color w:val="C00000"/>
                                </w:rPr>
                              </w:pPr>
                              <w:r w:rsidRPr="00AB7166">
                                <w:rPr>
                                  <w:color w:val="C00000"/>
                                </w:rPr>
                                <w:t>Régions prioritaires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1" name="Rectangle 211"/>
                        <wps:cNvSpPr/>
                        <wps:spPr>
                          <a:xfrm>
                            <a:off x="2247900" y="3890010"/>
                            <a:ext cx="1375410" cy="2933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FFCD818" w14:textId="77777777" w:rsidR="00C742EB" w:rsidRPr="00AB7166" w:rsidRDefault="00C742EB" w:rsidP="00964564">
                              <w:pPr>
                                <w:jc w:val="center"/>
                                <w:rPr>
                                  <w:color w:val="C00000"/>
                                </w:rPr>
                              </w:pPr>
                              <w:r w:rsidRPr="00AB7166">
                                <w:rPr>
                                  <w:color w:val="C00000"/>
                                </w:rPr>
                                <w:t>Régions prioritaires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 name="Flèche : droite 23"/>
                        <wps:cNvSpPr/>
                        <wps:spPr>
                          <a:xfrm rot="10800000">
                            <a:off x="0" y="11430"/>
                            <a:ext cx="2807970" cy="60579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3" name="Flèche : droite 22"/>
                        <wps:cNvSpPr/>
                        <wps:spPr>
                          <a:xfrm>
                            <a:off x="308610" y="0"/>
                            <a:ext cx="5334000" cy="62865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3BFEDC8" w14:textId="77777777" w:rsidR="00C742EB" w:rsidRPr="002004C9" w:rsidRDefault="00C742EB" w:rsidP="00964564">
                              <w:pPr>
                                <w:jc w:val="center"/>
                                <w:rPr>
                                  <w:rFonts w:ascii="Times New Roman" w:hAnsi="Times New Roman"/>
                                  <w:b/>
                                  <w:sz w:val="28"/>
                                </w:rPr>
                              </w:pPr>
                              <w:r w:rsidRPr="002004C9">
                                <w:rPr>
                                  <w:rFonts w:ascii="Times New Roman" w:hAnsi="Times New Roman"/>
                                  <w:b/>
                                  <w:sz w:val="28"/>
                                </w:rPr>
                                <w:t>Principes directeurs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 name="Rectangle 214"/>
                        <wps:cNvSpPr/>
                        <wps:spPr>
                          <a:xfrm rot="18274003">
                            <a:off x="3383280" y="1230630"/>
                            <a:ext cx="907026" cy="50782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5F3182" w14:textId="77777777" w:rsidR="00C742EB" w:rsidRPr="00DA27DE" w:rsidRDefault="00C742EB" w:rsidP="00964564">
                              <w:pPr>
                                <w:spacing w:after="0" w:line="240" w:lineRule="auto"/>
                                <w:jc w:val="center"/>
                                <w:rPr>
                                  <w:color w:val="0070C0"/>
                                  <w:sz w:val="20"/>
                                </w:rPr>
                              </w:pPr>
                              <w:r w:rsidRPr="00DA27DE">
                                <w:rPr>
                                  <w:color w:val="0070C0"/>
                                  <w:sz w:val="20"/>
                                </w:rPr>
                                <w:t xml:space="preserve">Stratégies innovantes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5" name="Rectangle 215"/>
                        <wps:cNvSpPr/>
                        <wps:spPr>
                          <a:xfrm rot="14375805">
                            <a:off x="1253490" y="1295400"/>
                            <a:ext cx="907026" cy="50782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73F365A" w14:textId="77777777" w:rsidR="00C742EB" w:rsidRPr="00DA27DE" w:rsidRDefault="00C742EB" w:rsidP="00964564">
                              <w:pPr>
                                <w:spacing w:after="0" w:line="240" w:lineRule="auto"/>
                                <w:jc w:val="center"/>
                                <w:rPr>
                                  <w:color w:val="0070C0"/>
                                  <w:sz w:val="20"/>
                                </w:rPr>
                              </w:pPr>
                              <w:r w:rsidRPr="00DA27DE">
                                <w:rPr>
                                  <w:color w:val="0070C0"/>
                                  <w:sz w:val="20"/>
                                </w:rPr>
                                <w:t xml:space="preserve">Stratégies innovantes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 name="Rectangle 216"/>
                        <wps:cNvSpPr/>
                        <wps:spPr>
                          <a:xfrm rot="20265976">
                            <a:off x="689610" y="3227070"/>
                            <a:ext cx="907026" cy="50782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2EA5273" w14:textId="77777777" w:rsidR="00C742EB" w:rsidRPr="00DA27DE" w:rsidRDefault="00C742EB" w:rsidP="00964564">
                              <w:pPr>
                                <w:spacing w:after="0" w:line="240" w:lineRule="auto"/>
                                <w:jc w:val="center"/>
                                <w:rPr>
                                  <w:color w:val="0070C0"/>
                                  <w:sz w:val="20"/>
                                </w:rPr>
                              </w:pPr>
                              <w:r w:rsidRPr="00DA27DE">
                                <w:rPr>
                                  <w:color w:val="0070C0"/>
                                  <w:sz w:val="20"/>
                                </w:rPr>
                                <w:t xml:space="preserve">Stratégies innovantes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Rectangle 217"/>
                        <wps:cNvSpPr/>
                        <wps:spPr>
                          <a:xfrm rot="16200000">
                            <a:off x="2436495" y="4234815"/>
                            <a:ext cx="907026" cy="50782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1E2AB83" w14:textId="77777777" w:rsidR="00C742EB" w:rsidRPr="00DA27DE" w:rsidRDefault="00C742EB" w:rsidP="00964564">
                              <w:pPr>
                                <w:spacing w:after="0" w:line="240" w:lineRule="auto"/>
                                <w:jc w:val="center"/>
                                <w:rPr>
                                  <w:color w:val="0070C0"/>
                                  <w:sz w:val="20"/>
                                </w:rPr>
                              </w:pPr>
                              <w:r w:rsidRPr="00DA27DE">
                                <w:rPr>
                                  <w:color w:val="0070C0"/>
                                  <w:sz w:val="20"/>
                                </w:rPr>
                                <w:t xml:space="preserve">Stratégies innovantes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 name="Rectangle 218"/>
                        <wps:cNvSpPr/>
                        <wps:spPr>
                          <a:xfrm rot="1195889">
                            <a:off x="4130040" y="3131820"/>
                            <a:ext cx="907026" cy="50782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6941E3" w14:textId="77777777" w:rsidR="00C742EB" w:rsidRPr="00DA27DE" w:rsidRDefault="00C742EB" w:rsidP="00964564">
                              <w:pPr>
                                <w:spacing w:after="0" w:line="240" w:lineRule="auto"/>
                                <w:jc w:val="center"/>
                                <w:rPr>
                                  <w:color w:val="0070C0"/>
                                  <w:sz w:val="20"/>
                                </w:rPr>
                              </w:pPr>
                              <w:r w:rsidRPr="00DA27DE">
                                <w:rPr>
                                  <w:color w:val="0070C0"/>
                                  <w:sz w:val="20"/>
                                </w:rPr>
                                <w:t xml:space="preserve">Stratégies innovantes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F5FC247" id="Groupe 26" o:spid="_x0000_s1026" style="position:absolute;margin-left:13.5pt;margin-top:22.65pt;width:444.3pt;height:415.5pt;z-index:251662848;mso-width-relative:margin;mso-height-relative:margin" coordsize="56426,52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">
                <v:shapetype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Pentagone 4" o:spid="_x0000_s1027" type="#_x0000_t56" style="position:absolute;left:11658;top:13182;width:33338;height:277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9lDcEA&#10;AADbAAAADwAAAGRycy9kb3ducmV2LnhtbERPz2vCMBS+D/Y/hDfYbaZ1Q7QzighCcafVInh7a55N&#10;sXkpTWzrf78cBjt+fL/X28m2YqDeN44VpLMEBHHldMO1gvJ0eFuC8AFZY+uYFDzIw3bz/LTGTLuR&#10;v2koQi1iCPsMFZgQukxKXxmy6GeuI47c1fUWQ4R9LXWPYwy3rZwnyUJabDg2GOxob6i6FXer4Gu+&#10;K3/S7lre8sMlPfPH0azMQqnXl2n3CSLQFP7Ff+5cK3iP6+OX+AP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zfZQ3BAAAA2wAAAA8AAAAAAAAAAAAAAAAAmAIAAGRycy9kb3du&#10;cmV2LnhtbFBLBQYAAAAABAAEAPUAAACGAwAAAAA=&#10;" fillcolor="#f4b083 [1941]" strokecolor="#1f3763 [1604]" strokeweight="1pt">
                  <v:textbox>
                    <w:txbxContent>
                      <w:p w14:paraId="5AA8422E" w14:textId="77777777" w:rsidR="00C742EB" w:rsidRDefault="00C742EB" w:rsidP="00964564">
                        <w:pPr>
                          <w:spacing w:after="0" w:line="240" w:lineRule="auto"/>
                          <w:jc w:val="center"/>
                        </w:pPr>
                        <w:r>
                          <w:rPr>
                            <w:noProof/>
                            <w:lang w:val="fr-FR" w:eastAsia="fr-FR"/>
                          </w:rPr>
                          <w:drawing>
                            <wp:inline distT="0" distB="0" distL="0" distR="0" wp14:anchorId="55A4C616" wp14:editId="2D501D93">
                              <wp:extent cx="727177" cy="776605"/>
                              <wp:effectExtent l="0" t="0" r="0" b="444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752181" cy="803308"/>
                                      </a:xfrm>
                                      <a:prstGeom prst="rect">
                                        <a:avLst/>
                                      </a:prstGeom>
                                    </pic:spPr>
                                  </pic:pic>
                                </a:graphicData>
                              </a:graphic>
                            </wp:inline>
                          </w:drawing>
                        </w:r>
                        <w:r>
                          <w:rPr>
                            <w:noProof/>
                            <w:lang w:val="fr-FR" w:eastAsia="fr-FR"/>
                          </w:rPr>
                          <w:drawing>
                            <wp:inline distT="0" distB="0" distL="0" distR="0" wp14:anchorId="758B533C" wp14:editId="7D0525E5">
                              <wp:extent cx="582505" cy="781685"/>
                              <wp:effectExtent l="0" t="0" r="825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21622" cy="834178"/>
                                      </a:xfrm>
                                      <a:prstGeom prst="rect">
                                        <a:avLst/>
                                      </a:prstGeom>
                                    </pic:spPr>
                                  </pic:pic>
                                </a:graphicData>
                              </a:graphic>
                            </wp:inline>
                          </w:drawing>
                        </w:r>
                      </w:p>
                      <w:p w14:paraId="03FFD759" w14:textId="77777777" w:rsidR="00C742EB" w:rsidRPr="00E5552D" w:rsidRDefault="00C742EB" w:rsidP="00964564">
                        <w:pPr>
                          <w:spacing w:after="0" w:line="240" w:lineRule="auto"/>
                          <w:jc w:val="center"/>
                          <w:rPr>
                            <w:b/>
                            <w:color w:val="385623" w:themeColor="accent6" w:themeShade="80"/>
                          </w:rPr>
                        </w:pPr>
                        <w:r w:rsidRPr="00E5552D">
                          <w:rPr>
                            <w:b/>
                            <w:color w:val="385623" w:themeColor="accent6" w:themeShade="80"/>
                          </w:rPr>
                          <w:t xml:space="preserve">Mères, Nouveau-nés, </w:t>
                        </w:r>
                      </w:p>
                      <w:p w14:paraId="08F535BF" w14:textId="77777777" w:rsidR="00C742EB" w:rsidRDefault="00C742EB" w:rsidP="00964564">
                        <w:pPr>
                          <w:spacing w:after="0" w:line="240" w:lineRule="auto"/>
                          <w:jc w:val="center"/>
                        </w:pPr>
                        <w:r w:rsidRPr="00E5552D">
                          <w:rPr>
                            <w:b/>
                            <w:color w:val="385623" w:themeColor="accent6" w:themeShade="80"/>
                          </w:rPr>
                          <w:t>Enfants et Adolescents</w:t>
                        </w:r>
                        <w:r w:rsidRPr="00E5552D">
                          <w:rPr>
                            <w:color w:val="385623" w:themeColor="accent6" w:themeShade="80"/>
                          </w:rPr>
                          <w:t xml:space="preserve"> </w:t>
                        </w:r>
                      </w:p>
                      <w:p w14:paraId="421B8DA5" w14:textId="77777777" w:rsidR="00C742EB" w:rsidRDefault="00C742EB" w:rsidP="00964564">
                        <w:pPr>
                          <w:spacing w:after="0" w:line="240" w:lineRule="auto"/>
                          <w:jc w:val="center"/>
                        </w:pPr>
                        <w:r>
                          <w:rPr>
                            <w:noProof/>
                            <w:lang w:val="fr-FR" w:eastAsia="fr-FR"/>
                          </w:rPr>
                          <w:drawing>
                            <wp:inline distT="0" distB="0" distL="0" distR="0" wp14:anchorId="498BC132" wp14:editId="117F7083">
                              <wp:extent cx="628650" cy="831272"/>
                              <wp:effectExtent l="0" t="0" r="0" b="6985"/>
                              <wp:docPr id="229" name="Imag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56326" cy="867869"/>
                                      </a:xfrm>
                                      <a:prstGeom prst="rect">
                                        <a:avLst/>
                                      </a:prstGeom>
                                    </pic:spPr>
                                  </pic:pic>
                                </a:graphicData>
                              </a:graphic>
                            </wp:inline>
                          </w:drawing>
                        </w:r>
                        <w:r>
                          <w:rPr>
                            <w:noProof/>
                            <w:lang w:val="fr-FR" w:eastAsia="fr-FR"/>
                          </w:rPr>
                          <w:drawing>
                            <wp:inline distT="0" distB="0" distL="0" distR="0" wp14:anchorId="610C00CB" wp14:editId="24875639">
                              <wp:extent cx="727177" cy="837565"/>
                              <wp:effectExtent l="0" t="0" r="0" b="635"/>
                              <wp:docPr id="230" name="Imag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753135" cy="867463"/>
                                      </a:xfrm>
                                      <a:prstGeom prst="rect">
                                        <a:avLst/>
                                      </a:prstGeom>
                                    </pic:spPr>
                                  </pic:pic>
                                </a:graphicData>
                              </a:graphic>
                            </wp:inline>
                          </w:drawing>
                        </w:r>
                      </w:p>
                      <w:p w14:paraId="3615C1B1" w14:textId="77777777" w:rsidR="00C742EB" w:rsidRDefault="00C742EB" w:rsidP="00964564">
                        <w:pPr>
                          <w:jc w:val="center"/>
                        </w:pPr>
                      </w:p>
                    </w:txbxContent>
                  </v:textbox>
                </v:shape>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Légende : flèche vers le bas 12" o:spid="_x0000_s1028" type="#_x0000_t80" style="position:absolute;left:10668;top:7886;width:11315;height:11964;rotation:-212831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xfHMIA&#10;AADcAAAADwAAAGRycy9kb3ducmV2LnhtbERPS2vCQBC+F/wPywi91Y0pSI2uIpaS3mrj4zxkx2ww&#10;O5tmt5r8e7dQ8DYf33OW69424kqdrx0rmE4SEMSl0zVXCg77j5c3ED4ga2wck4KBPKxXo6clZtrd&#10;+JuuRahEDGGfoQITQptJ6UtDFv3EtcSRO7vOYoiwq6Tu8BbDbSPTJJlJizXHBoMtbQ2Vl+LXKnj/&#10;Om7MT1o0Q+539ewkX/N0yJV6HvebBYhAfXiI/92fOs6fp/D3TLxAr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vF8cwgAAANwAAAAPAAAAAAAAAAAAAAAAAJgCAABkcnMvZG93&#10;bnJldi54bWxQSwUGAAAAAAQABAD1AAAAhwMAAAAA&#10;" adj="8085,,16492,7276" fillcolor="#a8d08d [1945]" strokecolor="#1f3763 [1604]" strokeweight="1pt">
                  <v:textbox>
                    <w:txbxContent>
                      <w:p w14:paraId="77038073" w14:textId="77777777" w:rsidR="00C742EB" w:rsidRPr="00E170AD" w:rsidRDefault="00C742EB" w:rsidP="00964564">
                        <w:pPr>
                          <w:jc w:val="center"/>
                          <w:rPr>
                            <w:color w:val="000000" w:themeColor="text1"/>
                          </w:rPr>
                        </w:pPr>
                        <w:r w:rsidRPr="00E170AD">
                          <w:rPr>
                            <w:color w:val="000000" w:themeColor="text1"/>
                          </w:rPr>
                          <w:t>Interventions à haut impact</w:t>
                        </w:r>
                      </w:p>
                    </w:txbxContent>
                  </v:textbox>
                </v:shape>
                <v:shape id="Légende : flèche vers le bas 13" o:spid="_x0000_s1029" type="#_x0000_t80" style="position:absolute;left:33832;top:7696;width:11316;height:11582;rotation:2119986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K/DMQA&#10;AADcAAAADwAAAGRycy9kb3ducmV2LnhtbERPS2vCQBC+C/6HZQRvdWOxoqmrSEWpFKSmvfQ2ZMck&#10;mp0N2c3Df98tFLzNx/ec1aY3pWipdoVlBdNJBII4tbrgTMH31/5pAcJ5ZI2lZVJwJweb9XCwwljb&#10;js/UJj4TIYRdjApy76tYSpfmZNBNbEUcuIutDfoA60zqGrsQbkr5HEVzabDg0JBjRW85pbekMQoa&#10;c+raw7w4XZPm5/ax/6x2L+ejUuNRv30F4an3D/G/+12H+csZ/D0TLp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SvwzEAAAA3AAAAA8AAAAAAAAAAAAAAAAAmAIAAGRycy9k&#10;b3ducmV2LnhtbFBLBQYAAAAABAAEAPUAAACJAwAAAAA=&#10;" adj="8517,,16324,7276" fillcolor="#a8d08d [1945]" strokecolor="#1f3763 [1604]" strokeweight="1pt">
                  <v:textbox>
                    <w:txbxContent>
                      <w:p w14:paraId="79FE549E" w14:textId="77777777" w:rsidR="00C742EB" w:rsidRPr="00E170AD" w:rsidRDefault="00C742EB" w:rsidP="00964564">
                        <w:pPr>
                          <w:jc w:val="center"/>
                          <w:rPr>
                            <w:color w:val="000000" w:themeColor="text1"/>
                          </w:rPr>
                        </w:pPr>
                        <w:r w:rsidRPr="00E170AD">
                          <w:rPr>
                            <w:color w:val="000000" w:themeColor="text1"/>
                          </w:rPr>
                          <w:t>Interventions à haut impact</w:t>
                        </w:r>
                      </w:p>
                    </w:txbxContent>
                  </v:textbox>
                </v:shape>
                <v:shape id="Légende : flèche vers le bas 14" o:spid="_x0000_s1030" type="#_x0000_t80" style="position:absolute;left:4152;top:29680;width:11315;height:11544;rotation:-7267975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TUMAA&#10;AADcAAAADwAAAGRycy9kb3ducmV2LnhtbERPy6rCMBDdC/5DGOHuNFVQajWKypXrxoWPhcuxGdtq&#10;MylNrta/N4Lgbg7nOdN5Y0pxp9oVlhX0exEI4tTqgjMFx8O6G4NwHlljaZkUPMnBfNZuTTHR9sE7&#10;uu99JkIIuwQV5N5XiZQuzcmg69mKOHAXWxv0AdaZ1DU+Qrgp5SCKRtJgwaEhx4pWOaW3/b9RUJrf&#10;Zsfx9W8TX07nJZHT2yhV6qfTLCYgPDX+K/64NzrMHw/h/Uy4QM5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TUMAAAADcAAAADwAAAAAAAAAAAAAAAACYAgAAZHJzL2Rvd25y&#10;ZXYueG1sUEsFBgAAAAAEAAQA9QAAAIUDAAAAAA==&#10;" adj="8114,,16307,7276" fillcolor="#a8d08d [1945]" strokecolor="#1f3763 [1604]" strokeweight="1pt">
                  <v:textbox>
                    <w:txbxContent>
                      <w:p w14:paraId="1E99F825" w14:textId="77777777" w:rsidR="00C742EB" w:rsidRPr="00E170AD" w:rsidRDefault="00C742EB" w:rsidP="00964564">
                        <w:pPr>
                          <w:jc w:val="center"/>
                          <w:rPr>
                            <w:color w:val="000000" w:themeColor="text1"/>
                          </w:rPr>
                        </w:pPr>
                        <w:r w:rsidRPr="00E170AD">
                          <w:rPr>
                            <w:color w:val="000000" w:themeColor="text1"/>
                          </w:rPr>
                          <w:t>Interventions à haut impact</w:t>
                        </w:r>
                      </w:p>
                    </w:txbxContent>
                  </v:textbox>
                </v:shape>
                <v:shape id="Légende : flèche vers le bas 15" o:spid="_x0000_s1031" type="#_x0000_t80" style="position:absolute;left:41986;top:28421;width:11316;height:12561;rotation:722543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T08EA&#10;AADcAAAADwAAAGRycy9kb3ducmV2LnhtbERPTYvCMBC9L/gfwgje1lQRWatRRBD1aN3DHodmbKrN&#10;pCZR6783Cwt7m8f7nMWqs414kA+1YwWjYQaCuHS65krB92n7+QUiRGSNjWNS8KIAq2XvY4G5dk8+&#10;0qOIlUghHHJUYGJscylDachiGLqWOHFn5y3GBH0ltcdnCreNHGfZVFqsOTUYbGljqLwWd6vgx+92&#10;l/tkO76tTXeYHU6vsJ8USg363XoOIlIX/8V/7r1O82dT+H0mXSCX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yqU9PBAAAA3AAAAA8AAAAAAAAAAAAAAAAAmAIAAGRycy9kb3du&#10;cmV2LnhtbFBLBQYAAAAABAAEAPUAAACGAwAAAAA=&#10;" adj="8208,,16735,7276" fillcolor="#a8d08d [1945]" strokecolor="#1f3763 [1604]" strokeweight="1pt">
                  <v:textbox>
                    <w:txbxContent>
                      <w:p w14:paraId="6347CCCA" w14:textId="77777777" w:rsidR="00C742EB" w:rsidRPr="00E170AD" w:rsidRDefault="00C742EB" w:rsidP="00964564">
                        <w:pPr>
                          <w:jc w:val="center"/>
                          <w:rPr>
                            <w:color w:val="000000" w:themeColor="text1"/>
                          </w:rPr>
                        </w:pPr>
                        <w:r w:rsidRPr="00E170AD">
                          <w:rPr>
                            <w:color w:val="000000" w:themeColor="text1"/>
                          </w:rPr>
                          <w:t>Interventions à haut impact</w:t>
                        </w:r>
                      </w:p>
                    </w:txbxContent>
                  </v:textbox>
                </v:shape>
                <v:shape id="Légende : flèche vers le bas 16" o:spid="_x0000_s1032" type="#_x0000_t80" style="position:absolute;left:23355;top:40919;width:11316;height:11849;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cja8IA&#10;AADcAAAADwAAAGRycy9kb3ducmV2LnhtbERPyYrCQBC9D/gPTQnexo4eXKKtaED0MMzg8gFlurJg&#10;ujqk2xjn6+2BAW/1eGst152pREuNKy0rGA0jEMSp1SXnCi7n3ecMhPPIGivLpOBJDtar3scSY20f&#10;fKT25HMRQtjFqKDwvo6ldGlBBt3Q1sSBy2xj0AfY5FI3+AjhppLjKJpIgyWHhgJrSgpKb6e7UZDv&#10;Zr/Jl81Qbg/zZP99/WnNPlNq0O82CxCeOv8W/7sPOsyfT+HvmXCBX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lyNrwgAAANwAAAAPAAAAAAAAAAAAAAAAAJgCAABkcnMvZG93&#10;bnJldi54bWxQSwUGAAAAAAQABAD1AAAAhwMAAAAA&#10;" adj="8160,,16443,7276" fillcolor="#a8d08d [1945]" strokecolor="#1f3763 [1604]" strokeweight="1pt">
                  <v:textbox>
                    <w:txbxContent>
                      <w:p w14:paraId="0A601F5B" w14:textId="77777777" w:rsidR="00C742EB" w:rsidRPr="00E170AD" w:rsidRDefault="00C742EB" w:rsidP="00964564">
                        <w:pPr>
                          <w:jc w:val="center"/>
                          <w:rPr>
                            <w:color w:val="000000" w:themeColor="text1"/>
                          </w:rPr>
                        </w:pPr>
                        <w:r w:rsidRPr="00E170AD">
                          <w:rPr>
                            <w:color w:val="000000" w:themeColor="text1"/>
                          </w:rPr>
                          <w:t>Interventions à haut impact</w:t>
                        </w:r>
                      </w:p>
                    </w:txbxContent>
                  </v:textbox>
                </v:shape>
                <v:rect id="Rectangle 198" o:spid="_x0000_s1033" style="position:absolute;left:13106;top:18173;width:13754;height:2934;rotation:-215257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7NwMcA&#10;AADcAAAADwAAAGRycy9kb3ducmV2LnhtbESPS2/CMBCE70j9D9Yi9YLAaQ+IphiEKvV5Kg+hHrfx&#10;Ng7E6xC7JPx79lCpt13N7My382Xva3WmNlaBDdxNMlDERbAVlwZ22+fxDFRMyBbrwGTgQhGWi5vB&#10;HHMbOl7TeZNKJSEcczTgUmpyrWPhyGOchIZYtJ/QekyytqW2LXYS7mt9n2VT7bFiaXDY0JOj4rj5&#10;9QaOUzd7OXWrw/frydP7brT//PjaG3M77FePoBL16d/8d/1mBf9BaOUZmUAv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zcDHAAAA3AAAAA8AAAAAAAAAAAAAAAAAmAIAAGRy&#10;cy9kb3ducmV2LnhtbFBLBQYAAAAABAAEAPUAAACMAwAAAAA=&#10;" filled="f" stroked="f" strokeweight="1pt">
                  <v:textbox>
                    <w:txbxContent>
                      <w:p w14:paraId="19CF0E93" w14:textId="77777777" w:rsidR="00C742EB" w:rsidRPr="00AB7166" w:rsidRDefault="00C742EB" w:rsidP="00964564">
                        <w:pPr>
                          <w:jc w:val="center"/>
                          <w:rPr>
                            <w:color w:val="C00000"/>
                          </w:rPr>
                        </w:pPr>
                        <w:r w:rsidRPr="00AB7166">
                          <w:rPr>
                            <w:color w:val="C00000"/>
                          </w:rPr>
                          <w:t>Régions prioritaires</w:t>
                        </w:r>
                      </w:p>
                    </w:txbxContent>
                  </v:textbox>
                </v:rect>
                <v:rect id="Rectangle 208" o:spid="_x0000_s1034" style="position:absolute;left:29565;top:17678;width:13754;height:2934;rotation:2151572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Hx1MIA&#10;AADcAAAADwAAAGRycy9kb3ducmV2LnhtbERPS27CMBDdV+IO1iB1UxG7EaogxSCE1A8LFgQOMI2n&#10;cWg8jmI3pLfHC6Qun95/tRldKwbqQ+NZw3OmQBBX3jRcazif3mYLECEiG2w9k4Y/CrBZTx5WWBh/&#10;5SMNZaxFCuFQoAYbY1dIGSpLDkPmO+LEffveYUywr6Xp8ZrCXStzpV6kw4ZTg8WOdpaqn/LXadgv&#10;t5dhd7HqK3/yqjkc/Md7Odf6cTpuX0FEGuO/+O7+NBpyldamM+kIyP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wfHUwgAAANwAAAAPAAAAAAAAAAAAAAAAAJgCAABkcnMvZG93&#10;bnJldi54bWxQSwUGAAAAAAQABAD1AAAAhwMAAAAA&#10;" filled="f" stroked="f" strokeweight="1pt">
                  <v:textbox>
                    <w:txbxContent>
                      <w:p w14:paraId="31DCF313" w14:textId="77777777" w:rsidR="00C742EB" w:rsidRPr="00AB7166" w:rsidRDefault="00C742EB" w:rsidP="00964564">
                        <w:pPr>
                          <w:jc w:val="center"/>
                          <w:rPr>
                            <w:color w:val="C00000"/>
                          </w:rPr>
                        </w:pPr>
                        <w:r w:rsidRPr="00AB7166">
                          <w:rPr>
                            <w:color w:val="C00000"/>
                          </w:rPr>
                          <w:t>Régions prioritaires</w:t>
                        </w:r>
                      </w:p>
                    </w:txbxContent>
                  </v:textbox>
                </v:rect>
                <v:rect id="Rectangle 209" o:spid="_x0000_s1035" style="position:absolute;left:9182;top:31737;width:13754;height:2934;rotation:4559158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UTrsMA&#10;AADcAAAADwAAAGRycy9kb3ducmV2LnhtbESPQWvCQBSE74X+h+UVvNWNgqFNXUUsgnipje39kX1m&#10;g9m3YXebxH/fFQSPw8x8wyzXo21FTz40jhXMphkI4srphmsFP6fd6xuIEJE1to5JwZUCrFfPT0ss&#10;tBv4m/oy1iJBOBSowMTYFVKGypDFMHUdcfLOzluMSfpaao9DgttWzrMslxYbTgsGO9oaqi7ln1VQ&#10;LfblzOSHT9r6/msz5Dt9pF+lJi/j5gNEpDE+wvf2XiuYZ+9wO5OO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nUTrsMAAADcAAAADwAAAAAAAAAAAAAAAACYAgAAZHJzL2Rv&#10;d25yZXYueG1sUEsFBgAAAAAEAAQA9QAAAIgDAAAAAA==&#10;" filled="f" stroked="f" strokeweight="1pt">
                  <v:textbox>
                    <w:txbxContent>
                      <w:p w14:paraId="559571EE" w14:textId="77777777" w:rsidR="00C742EB" w:rsidRPr="00AB7166" w:rsidRDefault="00C742EB" w:rsidP="00964564">
                        <w:pPr>
                          <w:jc w:val="center"/>
                          <w:rPr>
                            <w:color w:val="C00000"/>
                          </w:rPr>
                        </w:pPr>
                        <w:r w:rsidRPr="00AB7166">
                          <w:rPr>
                            <w:color w:val="C00000"/>
                          </w:rPr>
                          <w:t>Régions prioritaires</w:t>
                        </w:r>
                      </w:p>
                    </w:txbxContent>
                  </v:textbox>
                </v:rect>
                <v:rect id="Rectangle 210" o:spid="_x0000_s1036" style="position:absolute;left:33947;top:31203;width:13754;height:2934;rotation:-4631494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39+MEA&#10;AADcAAAADwAAAGRycy9kb3ducmV2LnhtbERPy4rCMBTdC/MP4Q7MTtPKILYaxRkRBB+gI7O+NLcP&#10;bG5KE239e7MQXB7Oe77sTS3u1LrKsoJ4FIEgzqyuuFBw+dsMpyCcR9ZYWyYFD3KwXHwM5phq2/GJ&#10;7mdfiBDCLkUFpfdNKqXLSjLoRrYhDlxuW4M+wLaQusUuhJtajqNoIg1WHBpKbOi3pOx6vhkFcqPX&#10;u2vSxQkd/7/z/HL42W8PSn199qsZCE+9f4tf7q1WMI7D/HAmHAG5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9/fjBAAAA3AAAAA8AAAAAAAAAAAAAAAAAmAIAAGRycy9kb3du&#10;cmV2LnhtbFBLBQYAAAAABAAEAPUAAACGAwAAAAA=&#10;" filled="f" stroked="f" strokeweight="1pt">
                  <v:textbox>
                    <w:txbxContent>
                      <w:p w14:paraId="05D95FBA" w14:textId="77777777" w:rsidR="00C742EB" w:rsidRPr="00AB7166" w:rsidRDefault="00C742EB" w:rsidP="00964564">
                        <w:pPr>
                          <w:jc w:val="center"/>
                          <w:rPr>
                            <w:color w:val="C00000"/>
                          </w:rPr>
                        </w:pPr>
                        <w:r w:rsidRPr="00AB7166">
                          <w:rPr>
                            <w:color w:val="C00000"/>
                          </w:rPr>
                          <w:t>Régions prioritaires</w:t>
                        </w:r>
                      </w:p>
                    </w:txbxContent>
                  </v:textbox>
                </v:rect>
                <v:rect id="Rectangle 211" o:spid="_x0000_s1037" style="position:absolute;left:22479;top:38900;width:13754;height:29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AArMMA&#10;AADcAAAADwAAAGRycy9kb3ducmV2LnhtbESPQWsCMRSE7wX/Q3iCt5pdDyKrUaogtniQqr2/Js/d&#10;pZuXJYm76783hUKPw8x8w6w2g21ERz7UjhXk0wwEsXam5lLB9bJ/XYAIEdlg45gUPCjAZj16WWFh&#10;XM+f1J1jKRKEQ4EKqhjbQsqgK7IYpq4lTt7NeYsxSV9K47FPcNvIWZbNpcWa00KFLe0q0j/nu1Xw&#10;5W7b3upv/ugep/p+OHqtF0elJuPhbQki0hD/w3/td6NglufweyYdAb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AArMMAAADcAAAADwAAAAAAAAAAAAAAAACYAgAAZHJzL2Rv&#10;d25yZXYueG1sUEsFBgAAAAAEAAQA9QAAAIgDAAAAAA==&#10;" filled="f" stroked="f" strokeweight="1pt">
                  <v:textbox>
                    <w:txbxContent>
                      <w:p w14:paraId="6FFCD818" w14:textId="77777777" w:rsidR="00C742EB" w:rsidRPr="00AB7166" w:rsidRDefault="00C742EB" w:rsidP="00964564">
                        <w:pPr>
                          <w:jc w:val="center"/>
                          <w:rPr>
                            <w:color w:val="C00000"/>
                          </w:rPr>
                        </w:pPr>
                        <w:r w:rsidRPr="00AB7166">
                          <w:rPr>
                            <w:color w:val="C00000"/>
                          </w:rPr>
                          <w:t>Régions prioritaires</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 droite 23" o:spid="_x0000_s1038" type="#_x0000_t13" style="position:absolute;top:114;width:28079;height:6058;rotation:1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HT8cIA&#10;AADcAAAADwAAAGRycy9kb3ducmV2LnhtbESPQYvCMBSE78L+h/AWvGlqV8StRhFhYT30YPUHPJq3&#10;TbF5KU1W4783guBxmJlvmPU22k5cafCtYwWzaQaCuHa65UbB+fQzWYLwAVlj55gU3MnDdvMxWmOh&#10;3Y2PdK1CIxKEfYEKTAh9IaWvDVn0U9cTJ+/PDRZDkkMj9YC3BLedzLNsIS22nBYM9rQ3VF+qf6tA&#10;mlO8fy0OZbmL/nteuXIfOq3U+DPuViACxfAOv9q/WkE+y+F5Jh0BuX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MdPxwgAAANwAAAAPAAAAAAAAAAAAAAAAAJgCAABkcnMvZG93&#10;bnJldi54bWxQSwUGAAAAAAQABAD1AAAAhwMAAAAA&#10;" adj="19270" fillcolor="#4472c4 [3204]" stroked="f" strokeweight="1pt"/>
                <v:shape id="Flèche : droite 22" o:spid="_x0000_s1039" type="#_x0000_t13" style="position:absolute;left:3086;width:53340;height:628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BjAsUA&#10;AADcAAAADwAAAGRycy9kb3ducmV2LnhtbESPzWrDMBCE74G8g9hAL6GRnUBJ3SihtA3kUCj+eYDF&#10;2lim1spYiu2+fVQo9DjMzDfM4TTbTow0+NaxgnSTgCCunW65UVCV58c9CB+QNXaOScEPeTgdl4sD&#10;ZtpNnNNYhEZECPsMFZgQ+kxKXxuy6DeuJ47e1Q0WQ5RDI/WAU4TbTm6T5ElabDkuGOzpzVD9Xdys&#10;gvP7upzzT2OvpUl3t49WPvfVl1IPq/n1BUSgOfyH/9oXrWCb7uD3TDwC8n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cGMCxQAAANwAAAAPAAAAAAAAAAAAAAAAAJgCAABkcnMv&#10;ZG93bnJldi54bWxQSwUGAAAAAAQABAD1AAAAigMAAAAA&#10;" adj="20327" fillcolor="#4472c4 [3204]" stroked="f" strokeweight="1pt">
                  <v:textbox>
                    <w:txbxContent>
                      <w:p w14:paraId="23BFEDC8" w14:textId="77777777" w:rsidR="00C742EB" w:rsidRPr="002004C9" w:rsidRDefault="00C742EB" w:rsidP="00964564">
                        <w:pPr>
                          <w:jc w:val="center"/>
                          <w:rPr>
                            <w:rFonts w:ascii="Times New Roman" w:hAnsi="Times New Roman"/>
                            <w:b/>
                            <w:sz w:val="28"/>
                          </w:rPr>
                        </w:pPr>
                        <w:r w:rsidRPr="002004C9">
                          <w:rPr>
                            <w:rFonts w:ascii="Times New Roman" w:hAnsi="Times New Roman"/>
                            <w:b/>
                            <w:sz w:val="28"/>
                          </w:rPr>
                          <w:t>Principes directeurs</w:t>
                        </w:r>
                      </w:p>
                    </w:txbxContent>
                  </v:textbox>
                </v:shape>
                <v:rect id="Rectangle 214" o:spid="_x0000_s1040" style="position:absolute;left:33833;top:12305;width:9070;height:5079;rotation:-3632876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xOLcUA&#10;AADcAAAADwAAAGRycy9kb3ducmV2LnhtbESPQWsCMRSE74X+h/AEb5pVa5GtUdpqi+Beql68PTav&#10;u4ubl5BEXf99Iwg9DjPzDTNfdqYVF/KhsaxgNMxAEJdWN1wpOOy/BjMQISJrbC2TghsFWC6en+aY&#10;a3vlH7rsYiUShEOOCuoYXS5lKGsyGIbWESfv13qDMUlfSe3xmuCmleMse5UGG04LNTr6rKk87c5G&#10;gW+yliffq1AU7uO4ndymm2LtlOr3uvc3EJG6+B9+tDdawXj0Avcz6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E4txQAAANwAAAAPAAAAAAAAAAAAAAAAAJgCAABkcnMv&#10;ZG93bnJldi54bWxQSwUGAAAAAAQABAD1AAAAigMAAAAA&#10;" filled="f" stroked="f" strokeweight="1pt">
                  <v:textbox>
                    <w:txbxContent>
                      <w:p w14:paraId="695F3182" w14:textId="77777777" w:rsidR="00C742EB" w:rsidRPr="00DA27DE" w:rsidRDefault="00C742EB" w:rsidP="00964564">
                        <w:pPr>
                          <w:spacing w:after="0" w:line="240" w:lineRule="auto"/>
                          <w:jc w:val="center"/>
                          <w:rPr>
                            <w:color w:val="0070C0"/>
                            <w:sz w:val="20"/>
                          </w:rPr>
                        </w:pPr>
                        <w:r w:rsidRPr="00DA27DE">
                          <w:rPr>
                            <w:color w:val="0070C0"/>
                            <w:sz w:val="20"/>
                          </w:rPr>
                          <w:t xml:space="preserve">Stratégies innovantes </w:t>
                        </w:r>
                      </w:p>
                    </w:txbxContent>
                  </v:textbox>
                </v:rect>
                <v:rect id="Rectangle 215" o:spid="_x0000_s1041" style="position:absolute;left:12534;top:12953;width:9071;height:5079;rotation:-7890747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18vsUA&#10;AADcAAAADwAAAGRycy9kb3ducmV2LnhtbESPX2vCQBDE3wv9DscWfKsXFaVNPaX4BxV9aK3Q1yW3&#10;TUJzuzF3avz2nlDo4zAzv2HG09ZV6kyNL4UN9LoJKOJMbMm5gcPX8vkFlA/IFithMnAlD9PJ48MY&#10;UysX/qTzPuQqQtinaKAIoU619llBDn1XauLo/UjjMETZ5No2eIlwV+l+koy0w5LjQoE1zQrKfvcn&#10;Z2Azqr+3Az2XzevisNrpD+FjK8Z0ntr3N1CB2vAf/muvrYF+bwj3M/EI6M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3Xy+xQAAANwAAAAPAAAAAAAAAAAAAAAAAJgCAABkcnMv&#10;ZG93bnJldi54bWxQSwUGAAAAAAQABAD1AAAAigMAAAAA&#10;" filled="f" stroked="f" strokeweight="1pt">
                  <v:textbox>
                    <w:txbxContent>
                      <w:p w14:paraId="573F365A" w14:textId="77777777" w:rsidR="00C742EB" w:rsidRPr="00DA27DE" w:rsidRDefault="00C742EB" w:rsidP="00964564">
                        <w:pPr>
                          <w:spacing w:after="0" w:line="240" w:lineRule="auto"/>
                          <w:jc w:val="center"/>
                          <w:rPr>
                            <w:color w:val="0070C0"/>
                            <w:sz w:val="20"/>
                          </w:rPr>
                        </w:pPr>
                        <w:r w:rsidRPr="00DA27DE">
                          <w:rPr>
                            <w:color w:val="0070C0"/>
                            <w:sz w:val="20"/>
                          </w:rPr>
                          <w:t xml:space="preserve">Stratégies innovantes </w:t>
                        </w:r>
                      </w:p>
                    </w:txbxContent>
                  </v:textbox>
                </v:rect>
                <v:rect id="Rectangle 216" o:spid="_x0000_s1042" style="position:absolute;left:6896;top:32270;width:9070;height:5078;rotation:-145711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VcMA&#10;AADcAAAADwAAAGRycy9kb3ducmV2LnhtbESP0YrCMBRE3wX/IVzBN03tgyvVtIgiLCiI1Q+4NNe2&#10;2tyUJqvVrzcLC/s4zMwZZpX1phEP6lxtWcFsGoEgLqyuuVRwOe8mCxDOI2tsLJOCFznI0uFghYm2&#10;Tz7RI/elCBB2CSqovG8TKV1RkUE3tS1x8K62M+iD7EqpO3wGuGlkHEVzabDmsFBhS5uKinv+YxQs&#10;zGm32Vqz/3rFt/hMx7w5vHOlxqN+vQThqff/4b/2t1YQz+bweyYcAZ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4++VcMAAADcAAAADwAAAAAAAAAAAAAAAACYAgAAZHJzL2Rv&#10;d25yZXYueG1sUEsFBgAAAAAEAAQA9QAAAIgDAAAAAA==&#10;" filled="f" stroked="f" strokeweight="1pt">
                  <v:textbox>
                    <w:txbxContent>
                      <w:p w14:paraId="52EA5273" w14:textId="77777777" w:rsidR="00C742EB" w:rsidRPr="00DA27DE" w:rsidRDefault="00C742EB" w:rsidP="00964564">
                        <w:pPr>
                          <w:spacing w:after="0" w:line="240" w:lineRule="auto"/>
                          <w:jc w:val="center"/>
                          <w:rPr>
                            <w:color w:val="0070C0"/>
                            <w:sz w:val="20"/>
                          </w:rPr>
                        </w:pPr>
                        <w:r w:rsidRPr="00DA27DE">
                          <w:rPr>
                            <w:color w:val="0070C0"/>
                            <w:sz w:val="20"/>
                          </w:rPr>
                          <w:t xml:space="preserve">Stratégies innovantes </w:t>
                        </w:r>
                      </w:p>
                    </w:txbxContent>
                  </v:textbox>
                </v:rect>
                <v:rect id="Rectangle 217" o:spid="_x0000_s1043" style="position:absolute;left:24365;top:42347;width:9070;height:507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Jh28AA&#10;AADcAAAADwAAAGRycy9kb3ducmV2LnhtbESPzYrCMBSF94LvEK7gTlNdOKUaRQXB2ShWH+DSXNti&#10;c1OSVDtvb4QBl4fz83FWm9404knO15YVzKYJCOLC6ppLBbfrYZKC8AFZY2OZFPyRh816OFhhpu2L&#10;L/TMQyniCPsMFVQhtJmUvqjIoJ/aljh6d+sMhihdKbXDVxw3jZwnyUIarDkSKmxpX1HxyDsTuZyj&#10;d+ful8zpuEjPSb1Lu71S41G/XYII1Idv+L991Armsx/4nIlHQK7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FJh28AAAADcAAAADwAAAAAAAAAAAAAAAACYAgAAZHJzL2Rvd25y&#10;ZXYueG1sUEsFBgAAAAAEAAQA9QAAAIUDAAAAAA==&#10;" filled="f" stroked="f" strokeweight="1pt">
                  <v:textbox>
                    <w:txbxContent>
                      <w:p w14:paraId="31E2AB83" w14:textId="77777777" w:rsidR="00C742EB" w:rsidRPr="00DA27DE" w:rsidRDefault="00C742EB" w:rsidP="00964564">
                        <w:pPr>
                          <w:spacing w:after="0" w:line="240" w:lineRule="auto"/>
                          <w:jc w:val="center"/>
                          <w:rPr>
                            <w:color w:val="0070C0"/>
                            <w:sz w:val="20"/>
                          </w:rPr>
                        </w:pPr>
                        <w:r w:rsidRPr="00DA27DE">
                          <w:rPr>
                            <w:color w:val="0070C0"/>
                            <w:sz w:val="20"/>
                          </w:rPr>
                          <w:t xml:space="preserve">Stratégies innovantes </w:t>
                        </w:r>
                      </w:p>
                    </w:txbxContent>
                  </v:textbox>
                </v:rect>
                <v:rect id="Rectangle 218" o:spid="_x0000_s1044" style="position:absolute;left:41300;top:31318;width:9070;height:5078;rotation:130623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ws+cIA&#10;AADcAAAADwAAAGRycy9kb3ducmV2LnhtbERPz2vCMBS+C/sfwht407SKMjqjjImwi2CrjB4fyVvb&#10;rXkpTWbrf28OgseP7/dmN9pWXKn3jWMF6TwBQaydabhScDkfZm8gfEA22DomBTfysNu+TDaYGTdw&#10;TtciVCKGsM9QQR1Cl0npdU0W/dx1xJH7cb3FEGFfSdPjEMNtKxdJspYWG44NNXb0WZP+K/6tgtwP&#10;+5Neprm+fa+ScDo2ZflbKDV9HT/eQQQaw1P8cH8ZBYs0ro1n4hGQ2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fCz5wgAAANwAAAAPAAAAAAAAAAAAAAAAAJgCAABkcnMvZG93&#10;bnJldi54bWxQSwUGAAAAAAQABAD1AAAAhwMAAAAA&#10;" filled="f" stroked="f" strokeweight="1pt">
                  <v:textbox>
                    <w:txbxContent>
                      <w:p w14:paraId="5F6941E3" w14:textId="77777777" w:rsidR="00C742EB" w:rsidRPr="00DA27DE" w:rsidRDefault="00C742EB" w:rsidP="00964564">
                        <w:pPr>
                          <w:spacing w:after="0" w:line="240" w:lineRule="auto"/>
                          <w:jc w:val="center"/>
                          <w:rPr>
                            <w:color w:val="0070C0"/>
                            <w:sz w:val="20"/>
                          </w:rPr>
                        </w:pPr>
                        <w:r w:rsidRPr="00DA27DE">
                          <w:rPr>
                            <w:color w:val="0070C0"/>
                            <w:sz w:val="20"/>
                          </w:rPr>
                          <w:t xml:space="preserve">Stratégies innovantes </w:t>
                        </w:r>
                      </w:p>
                    </w:txbxContent>
                  </v:textbox>
                </v:rect>
              </v:group>
            </w:pict>
          </mc:Fallback>
        </mc:AlternateContent>
      </w:r>
    </w:p>
    <w:p w14:paraId="07606BD5" w14:textId="77777777" w:rsidR="00964564" w:rsidRDefault="00964564" w:rsidP="00964564">
      <w:pPr>
        <w:shd w:val="clear" w:color="auto" w:fill="FFFFFF"/>
      </w:pPr>
    </w:p>
    <w:p w14:paraId="68D3DAE1" w14:textId="77777777" w:rsidR="00964564" w:rsidRDefault="00964564" w:rsidP="00964564">
      <w:pPr>
        <w:shd w:val="clear" w:color="auto" w:fill="FFFFFF"/>
      </w:pPr>
    </w:p>
    <w:p w14:paraId="2280E5D2" w14:textId="77777777" w:rsidR="00964564" w:rsidRDefault="00964564" w:rsidP="00964564">
      <w:pPr>
        <w:shd w:val="clear" w:color="auto" w:fill="FFFFFF"/>
      </w:pPr>
    </w:p>
    <w:p w14:paraId="45FD7B56" w14:textId="77777777" w:rsidR="00964564" w:rsidRDefault="00964564" w:rsidP="00964564">
      <w:pPr>
        <w:shd w:val="clear" w:color="auto" w:fill="FFFFFF"/>
      </w:pPr>
    </w:p>
    <w:p w14:paraId="1915758A" w14:textId="77777777" w:rsidR="00964564" w:rsidRDefault="00964564" w:rsidP="00964564">
      <w:pPr>
        <w:shd w:val="clear" w:color="auto" w:fill="FFFFFF"/>
      </w:pPr>
    </w:p>
    <w:p w14:paraId="674AFA95" w14:textId="77777777" w:rsidR="00964564" w:rsidRDefault="00964564" w:rsidP="00964564">
      <w:pPr>
        <w:shd w:val="clear" w:color="auto" w:fill="FFFFFF"/>
      </w:pPr>
    </w:p>
    <w:p w14:paraId="427C22F6" w14:textId="77777777" w:rsidR="00964564" w:rsidRDefault="00964564" w:rsidP="00964564">
      <w:pPr>
        <w:shd w:val="clear" w:color="auto" w:fill="FFFFFF"/>
        <w:rPr>
          <w:rFonts w:eastAsia="Times New Roman"/>
          <w:lang w:val="fr-FR" w:eastAsia="fr-FR"/>
        </w:rPr>
      </w:pPr>
    </w:p>
    <w:p w14:paraId="2F56025F" w14:textId="77777777" w:rsidR="00964564" w:rsidRDefault="00964564" w:rsidP="00964564">
      <w:pPr>
        <w:shd w:val="clear" w:color="auto" w:fill="FFFFFF"/>
        <w:rPr>
          <w:rFonts w:eastAsia="Times New Roman"/>
          <w:noProof/>
          <w:lang w:val="fr-FR" w:eastAsia="fr-FR"/>
        </w:rPr>
      </w:pPr>
    </w:p>
    <w:p w14:paraId="11A5C989" w14:textId="77777777" w:rsidR="00964564" w:rsidRDefault="00964564" w:rsidP="00964564">
      <w:pPr>
        <w:shd w:val="clear" w:color="auto" w:fill="FFFFFF"/>
        <w:rPr>
          <w:rFonts w:eastAsia="Times New Roman"/>
          <w:lang w:val="fr-FR" w:eastAsia="fr-FR"/>
        </w:rPr>
      </w:pPr>
    </w:p>
    <w:p w14:paraId="20314A23" w14:textId="77777777" w:rsidR="00964564" w:rsidRDefault="00964564" w:rsidP="00964564">
      <w:pPr>
        <w:shd w:val="clear" w:color="auto" w:fill="FFFFFF"/>
        <w:rPr>
          <w:rFonts w:eastAsia="Times New Roman"/>
          <w:lang w:val="fr-FR" w:eastAsia="fr-FR"/>
        </w:rPr>
      </w:pPr>
    </w:p>
    <w:p w14:paraId="1DF5F17D" w14:textId="77777777" w:rsidR="00964564" w:rsidRDefault="00964564" w:rsidP="00964564">
      <w:pPr>
        <w:shd w:val="clear" w:color="auto" w:fill="FFFFFF"/>
        <w:rPr>
          <w:rFonts w:eastAsia="Times New Roman"/>
          <w:lang w:val="fr-FR" w:eastAsia="fr-FR"/>
        </w:rPr>
      </w:pPr>
    </w:p>
    <w:p w14:paraId="7F3E1AE7" w14:textId="77777777" w:rsidR="00964564" w:rsidRDefault="00964564" w:rsidP="00964564">
      <w:pPr>
        <w:shd w:val="clear" w:color="auto" w:fill="FFFFFF"/>
        <w:rPr>
          <w:rFonts w:eastAsia="Times New Roman"/>
          <w:lang w:val="fr-FR" w:eastAsia="fr-FR"/>
        </w:rPr>
      </w:pPr>
    </w:p>
    <w:p w14:paraId="0C9B0F99" w14:textId="77777777" w:rsidR="00964564" w:rsidRDefault="00964564" w:rsidP="00964564">
      <w:pPr>
        <w:shd w:val="clear" w:color="auto" w:fill="FFFFFF"/>
        <w:rPr>
          <w:rFonts w:eastAsia="Times New Roman"/>
          <w:lang w:val="fr-FR" w:eastAsia="fr-FR"/>
        </w:rPr>
      </w:pPr>
    </w:p>
    <w:p w14:paraId="33B227D7" w14:textId="77777777" w:rsidR="00964564" w:rsidRDefault="00964564" w:rsidP="00964564">
      <w:pPr>
        <w:shd w:val="clear" w:color="auto" w:fill="FFFFFF"/>
        <w:rPr>
          <w:rFonts w:eastAsia="Times New Roman"/>
          <w:lang w:val="fr-FR" w:eastAsia="fr-FR"/>
        </w:rPr>
      </w:pPr>
    </w:p>
    <w:p w14:paraId="54AF32FA" w14:textId="77777777" w:rsidR="00964564" w:rsidRDefault="00964564" w:rsidP="00964564">
      <w:pPr>
        <w:shd w:val="clear" w:color="auto" w:fill="FFFFFF"/>
        <w:rPr>
          <w:noProof/>
        </w:rPr>
      </w:pPr>
    </w:p>
    <w:p w14:paraId="604392C9" w14:textId="77777777" w:rsidR="00964564" w:rsidRDefault="00964564" w:rsidP="00964564">
      <w:pPr>
        <w:shd w:val="clear" w:color="auto" w:fill="FFFFFF"/>
        <w:rPr>
          <w:rFonts w:eastAsia="Times New Roman"/>
          <w:lang w:val="fr-FR" w:eastAsia="fr-FR"/>
        </w:rPr>
      </w:pPr>
    </w:p>
    <w:p w14:paraId="1B630D6D" w14:textId="77777777" w:rsidR="00964564" w:rsidRPr="00CD3A45" w:rsidRDefault="00964564" w:rsidP="00964564">
      <w:pPr>
        <w:shd w:val="clear" w:color="auto" w:fill="FFFFFF"/>
        <w:rPr>
          <w:rFonts w:eastAsia="Times New Roman"/>
          <w:lang w:val="fr-FR" w:eastAsia="fr-FR"/>
        </w:rPr>
      </w:pPr>
      <w:r>
        <w:rPr>
          <w:rFonts w:eastAsia="Times New Roman"/>
          <w:lang w:val="fr-FR" w:eastAsia="fr-FR"/>
        </w:rPr>
        <w:t xml:space="preserve">  </w:t>
      </w:r>
    </w:p>
    <w:p w14:paraId="4206D15C" w14:textId="77777777" w:rsidR="00964564" w:rsidRDefault="00964564" w:rsidP="00964564">
      <w:pPr>
        <w:shd w:val="clear" w:color="auto" w:fill="FFFFFF"/>
        <w:rPr>
          <w:noProof/>
          <w:lang w:eastAsia="fr-CA"/>
        </w:rPr>
      </w:pPr>
    </w:p>
    <w:p w14:paraId="1A9A8A32" w14:textId="77777777" w:rsidR="00964564" w:rsidRDefault="00964564" w:rsidP="00964564">
      <w:pPr>
        <w:shd w:val="clear" w:color="auto" w:fill="FFFFFF"/>
      </w:pPr>
    </w:p>
    <w:p w14:paraId="35B4567D" w14:textId="77777777" w:rsidR="00964564" w:rsidRPr="00CD3A45" w:rsidRDefault="00964564" w:rsidP="00964564">
      <w:pPr>
        <w:shd w:val="clear" w:color="auto" w:fill="FFFFFF"/>
      </w:pPr>
    </w:p>
    <w:p w14:paraId="6266C755" w14:textId="77777777" w:rsidR="00964564" w:rsidRPr="00AB7166" w:rsidRDefault="00964564" w:rsidP="00964564">
      <w:pPr>
        <w:shd w:val="clear" w:color="auto" w:fill="FFFFFF"/>
        <w:jc w:val="both"/>
        <w:rPr>
          <w:rFonts w:ascii="Times New Roman" w:hAnsi="Times New Roman"/>
          <w:sz w:val="24"/>
          <w:szCs w:val="24"/>
        </w:rPr>
      </w:pPr>
      <w:r w:rsidRPr="00AB7166">
        <w:rPr>
          <w:rFonts w:ascii="Times New Roman" w:hAnsi="Times New Roman"/>
          <w:sz w:val="24"/>
          <w:szCs w:val="24"/>
        </w:rPr>
        <w:t xml:space="preserve">Chacune de ces pièces est donc étroitement liée aux autres, et la mise en œuvre des interventions sera basée sur des approches intégrées à chaque niveau du système de santé, plutôt que des approches verticales et isolées. </w:t>
      </w:r>
    </w:p>
    <w:p w14:paraId="1BFA047D" w14:textId="75CBF7A2" w:rsidR="00964564" w:rsidRPr="00AB7166" w:rsidRDefault="00964564" w:rsidP="00964564">
      <w:pPr>
        <w:shd w:val="clear" w:color="auto" w:fill="FFFFFF"/>
        <w:jc w:val="both"/>
        <w:rPr>
          <w:rFonts w:ascii="Times New Roman" w:eastAsia="Times New Roman" w:hAnsi="Times New Roman"/>
          <w:sz w:val="24"/>
          <w:szCs w:val="24"/>
          <w:lang w:val="fr-FR" w:eastAsia="fr-FR"/>
        </w:rPr>
      </w:pPr>
      <w:r w:rsidRPr="00AB7166">
        <w:rPr>
          <w:rFonts w:ascii="Times New Roman" w:hAnsi="Times New Roman"/>
          <w:b/>
          <w:sz w:val="24"/>
          <w:szCs w:val="24"/>
        </w:rPr>
        <w:t>Au niveau communautaire</w:t>
      </w:r>
      <w:r w:rsidRPr="00AB7166">
        <w:rPr>
          <w:rFonts w:ascii="Times New Roman" w:hAnsi="Times New Roman"/>
          <w:sz w:val="24"/>
          <w:szCs w:val="24"/>
        </w:rPr>
        <w:t>, les agents de santé communautaire sont essentiels pour accroitre la demande des différentes interventions à haut impact. La mise en œuvre de chaque intervention à haut impact se fera à travers les agents de santé communautaires polyvalents, pouvant couvrir plusieurs interventions, plutôt que des agents de santé communautaires distincts pour chaque intervention. Les approches promotionnelles comme les visites à domicile, par exemple, seront aussi holistiques et comprendront un ensemble d’interventions générales telles que la nutrition, l’eau et l’assainissement, la santé de la reproduction, de la mère, de l’enfant et des adolescents.</w:t>
      </w:r>
      <w:r w:rsidR="00DC56FC">
        <w:rPr>
          <w:rFonts w:ascii="Times New Roman" w:hAnsi="Times New Roman"/>
          <w:sz w:val="24"/>
          <w:szCs w:val="24"/>
        </w:rPr>
        <w:t xml:space="preserve"> </w:t>
      </w:r>
      <w:r w:rsidR="00DC56FC" w:rsidRPr="00FD2609">
        <w:rPr>
          <w:rFonts w:ascii="Times New Roman" w:hAnsi="Times New Roman"/>
          <w:sz w:val="24"/>
          <w:szCs w:val="24"/>
        </w:rPr>
        <w:t>Le paquet d’intervention des agents de santé communautaires est harmonisé et intégré.</w:t>
      </w:r>
    </w:p>
    <w:p w14:paraId="618AE582" w14:textId="77777777" w:rsidR="00964564" w:rsidRPr="00AB7166" w:rsidRDefault="00964564" w:rsidP="00964564">
      <w:pPr>
        <w:shd w:val="clear" w:color="auto" w:fill="FFFFFF"/>
        <w:jc w:val="both"/>
        <w:rPr>
          <w:rFonts w:ascii="Times New Roman" w:eastAsia="Times New Roman" w:hAnsi="Times New Roman"/>
          <w:sz w:val="24"/>
          <w:szCs w:val="24"/>
          <w:lang w:val="fr-FR" w:eastAsia="fr-FR"/>
        </w:rPr>
      </w:pPr>
      <w:r w:rsidRPr="00AB7166">
        <w:rPr>
          <w:rFonts w:ascii="Times New Roman" w:hAnsi="Times New Roman"/>
          <w:b/>
          <w:sz w:val="24"/>
          <w:szCs w:val="24"/>
        </w:rPr>
        <w:lastRenderedPageBreak/>
        <w:t>Au niveau des formations sanitaires publiques et privées des niveaux primaires, secondaires et tertiaires</w:t>
      </w:r>
      <w:r w:rsidRPr="00AB7166">
        <w:rPr>
          <w:rFonts w:ascii="Times New Roman" w:hAnsi="Times New Roman"/>
          <w:sz w:val="24"/>
          <w:szCs w:val="24"/>
        </w:rPr>
        <w:t>, un paquet de services essentiels mais globaux sera fourni à travers des équipes de prestataires de santé qualifiés. La qualité, la disponibilité et l’accessibilité des services seront renforcées à travers le Financement Basé sur la Performance, la CMU, et d‘autres approches innovantes.</w:t>
      </w:r>
    </w:p>
    <w:p w14:paraId="28938B9D" w14:textId="77777777" w:rsidR="00964564" w:rsidRPr="00AB7166" w:rsidRDefault="00964564" w:rsidP="00964564">
      <w:pPr>
        <w:shd w:val="clear" w:color="auto" w:fill="FFFFFF"/>
        <w:jc w:val="both"/>
        <w:rPr>
          <w:rFonts w:ascii="Times New Roman" w:eastAsia="Times New Roman" w:hAnsi="Times New Roman"/>
          <w:sz w:val="24"/>
          <w:szCs w:val="24"/>
          <w:lang w:val="fr-FR" w:eastAsia="fr-FR"/>
        </w:rPr>
      </w:pPr>
      <w:r w:rsidRPr="00AB7166">
        <w:rPr>
          <w:rFonts w:ascii="Times New Roman" w:hAnsi="Times New Roman"/>
          <w:b/>
          <w:sz w:val="24"/>
          <w:szCs w:val="24"/>
        </w:rPr>
        <w:t>Au niveau des acteurs institutionnels, tout se fera à travers l’</w:t>
      </w:r>
      <w:r w:rsidRPr="00AB7166">
        <w:rPr>
          <w:rFonts w:ascii="Times New Roman" w:hAnsi="Times New Roman"/>
          <w:sz w:val="24"/>
          <w:szCs w:val="24"/>
        </w:rPr>
        <w:t>équipe de gestion polyvalente à tous les niveaux du système de santé (district, régional et central). Des dispositions seront prises pour le renforcement des capacités techniques de ces équipes ainsi que des moyens logistiques pour qu’elles puissent assurer la supervision, le contrôle et la coordination des activités à leur niveau respectif. Basé sur des termes de références prédéfinis, des contrats de performances seront élaborés avec ces équipes et des mécanismes d’incitation liés à la performance seront mis en place.</w:t>
      </w:r>
    </w:p>
    <w:p w14:paraId="5511C130" w14:textId="77777777" w:rsidR="00964564" w:rsidRPr="00333A62" w:rsidRDefault="00964564" w:rsidP="00333A62">
      <w:pPr>
        <w:spacing w:before="120" w:after="120" w:line="276" w:lineRule="auto"/>
        <w:rPr>
          <w:rFonts w:ascii="Times New Roman" w:hAnsi="Times New Roman" w:cs="Times New Roman"/>
          <w:sz w:val="24"/>
          <w:szCs w:val="24"/>
          <w:highlight w:val="yellow"/>
        </w:rPr>
      </w:pPr>
    </w:p>
    <w:p w14:paraId="1B25DD79" w14:textId="305EB2D5" w:rsidR="00503843" w:rsidRDefault="009A30D8" w:rsidP="006C0B89">
      <w:pPr>
        <w:pStyle w:val="Titre2"/>
        <w:rPr>
          <w:rFonts w:ascii="Times New Roman" w:hAnsi="Times New Roman" w:cs="Times New Roman"/>
          <w:b/>
          <w:color w:val="0070C0"/>
          <w:sz w:val="24"/>
          <w:szCs w:val="24"/>
          <w:lang w:val="fr-CI"/>
        </w:rPr>
      </w:pPr>
      <w:bookmarkStart w:id="107" w:name="_Toc1573829"/>
      <w:r w:rsidRPr="00A944AA">
        <w:rPr>
          <w:rFonts w:ascii="Times New Roman" w:hAnsi="Times New Roman" w:cs="Times New Roman"/>
          <w:b/>
          <w:color w:val="0070C0"/>
          <w:sz w:val="24"/>
          <w:szCs w:val="24"/>
          <w:lang w:val="fr-CI"/>
        </w:rPr>
        <w:t xml:space="preserve">Choix </w:t>
      </w:r>
      <w:r w:rsidR="00503843" w:rsidRPr="00A944AA">
        <w:rPr>
          <w:rFonts w:ascii="Times New Roman" w:hAnsi="Times New Roman" w:cs="Times New Roman"/>
          <w:b/>
          <w:color w:val="0070C0"/>
          <w:sz w:val="24"/>
          <w:szCs w:val="24"/>
          <w:lang w:val="fr-CI"/>
        </w:rPr>
        <w:t>des domaines et régions prioritaires, cibles, scenarii et impacts (vies sauvées et décès évités)</w:t>
      </w:r>
      <w:bookmarkEnd w:id="107"/>
    </w:p>
    <w:p w14:paraId="415581DD" w14:textId="77777777" w:rsidR="00AD55BF" w:rsidRPr="00AD55BF" w:rsidRDefault="00AD55BF" w:rsidP="00AD55BF">
      <w:pPr>
        <w:rPr>
          <w:rFonts w:ascii="Times New Roman" w:hAnsi="Times New Roman" w:cs="Times New Roman"/>
          <w:sz w:val="6"/>
          <w:lang w:val="fr-CI"/>
        </w:rPr>
      </w:pPr>
    </w:p>
    <w:p w14:paraId="34812F94" w14:textId="32255EBB" w:rsidR="00503843" w:rsidRPr="00AD55BF" w:rsidRDefault="00AD55BF" w:rsidP="00AD55BF">
      <w:pPr>
        <w:pStyle w:val="Titre3"/>
        <w:rPr>
          <w:rFonts w:ascii="Times New Roman" w:hAnsi="Times New Roman" w:cs="Times New Roman"/>
          <w:b/>
          <w:color w:val="0070C0"/>
          <w:lang w:val="fr-CI"/>
        </w:rPr>
      </w:pPr>
      <w:r w:rsidRPr="00AD55BF">
        <w:rPr>
          <w:rFonts w:ascii="Times New Roman" w:hAnsi="Times New Roman" w:cs="Times New Roman"/>
          <w:b/>
          <w:color w:val="0070C0"/>
          <w:lang w:val="fr-CI"/>
        </w:rPr>
        <w:t xml:space="preserve"> </w:t>
      </w:r>
      <w:bookmarkStart w:id="108" w:name="_Toc1573830"/>
      <w:r w:rsidR="00503843" w:rsidRPr="00AD55BF">
        <w:rPr>
          <w:rFonts w:ascii="Times New Roman" w:hAnsi="Times New Roman" w:cs="Times New Roman"/>
          <w:b/>
          <w:color w:val="0070C0"/>
          <w:lang w:val="fr-CI"/>
        </w:rPr>
        <w:t>Méthode de priorisation</w:t>
      </w:r>
      <w:bookmarkEnd w:id="108"/>
    </w:p>
    <w:p w14:paraId="5B0B112A" w14:textId="10783F21" w:rsidR="00503843" w:rsidRPr="00333A62" w:rsidRDefault="009A30D8" w:rsidP="00AD55BF">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Le </w:t>
      </w:r>
      <w:r w:rsidR="00503843" w:rsidRPr="00333A62">
        <w:rPr>
          <w:rFonts w:ascii="Times New Roman" w:hAnsi="Times New Roman" w:cs="Times New Roman"/>
          <w:sz w:val="24"/>
          <w:szCs w:val="24"/>
          <w:lang w:val="fr-CI"/>
        </w:rPr>
        <w:t xml:space="preserve">processus de priorisation des régions </w:t>
      </w:r>
      <w:r w:rsidR="004F71E8" w:rsidRPr="00333A62">
        <w:rPr>
          <w:rFonts w:ascii="Times New Roman" w:hAnsi="Times New Roman" w:cs="Times New Roman"/>
          <w:sz w:val="24"/>
          <w:szCs w:val="24"/>
          <w:lang w:val="fr-CI"/>
        </w:rPr>
        <w:t xml:space="preserve">a tenu </w:t>
      </w:r>
      <w:r w:rsidR="00503843" w:rsidRPr="00333A62">
        <w:rPr>
          <w:rFonts w:ascii="Times New Roman" w:hAnsi="Times New Roman" w:cs="Times New Roman"/>
          <w:sz w:val="24"/>
          <w:szCs w:val="24"/>
          <w:lang w:val="fr-CI"/>
        </w:rPr>
        <w:t>compte des résultats de l’analyse situationnelle. Cette démarche de priorisation a été faite à partir de l’identification de critères de sélection d’une part et de détermination de valeurs de référence et de pondération des critères d’autre part.</w:t>
      </w:r>
    </w:p>
    <w:p w14:paraId="529E4E46" w14:textId="77777777" w:rsidR="00503843" w:rsidRPr="00AD55BF" w:rsidRDefault="00503843" w:rsidP="00AD55BF">
      <w:pPr>
        <w:rPr>
          <w:rFonts w:ascii="Times New Roman" w:hAnsi="Times New Roman" w:cs="Times New Roman"/>
          <w:sz w:val="6"/>
          <w:szCs w:val="24"/>
          <w:lang w:val="fr-CI"/>
        </w:rPr>
      </w:pPr>
    </w:p>
    <w:p w14:paraId="1E2DC15A" w14:textId="3BFF7536" w:rsidR="00503843" w:rsidRPr="00A944AA" w:rsidRDefault="00503843" w:rsidP="006C0B89">
      <w:pPr>
        <w:pStyle w:val="Titre3"/>
        <w:rPr>
          <w:rFonts w:ascii="Times New Roman" w:hAnsi="Times New Roman" w:cs="Times New Roman"/>
          <w:b/>
          <w:color w:val="0070C0"/>
          <w:lang w:val="fr-CI"/>
        </w:rPr>
      </w:pPr>
      <w:bookmarkStart w:id="109" w:name="_Toc1573831"/>
      <w:r w:rsidRPr="00A944AA">
        <w:rPr>
          <w:rFonts w:ascii="Times New Roman" w:hAnsi="Times New Roman" w:cs="Times New Roman"/>
          <w:b/>
          <w:color w:val="0070C0"/>
          <w:lang w:val="fr-CI"/>
        </w:rPr>
        <w:t>Identification des critères de sélection</w:t>
      </w:r>
      <w:bookmarkEnd w:id="109"/>
    </w:p>
    <w:p w14:paraId="5C5F5F14" w14:textId="77777777" w:rsidR="00503843" w:rsidRPr="00333A62" w:rsidRDefault="00503843"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Les critères jugés utiles à la priorisation des régions sont basés d’une part sur leur capacité à décrire et expliquer la situation épidémiologique en rapport avec les indicateurs de Santé Reproductive, de la Mère, du Nouveau-né, de l’Enfant et de l’Adolescent (SRMNEA) et d’autre part sur leur capacité à départager significativement les régions du pays. </w:t>
      </w:r>
    </w:p>
    <w:p w14:paraId="1C327C4B" w14:textId="77777777" w:rsidR="00503843" w:rsidRPr="00333A62" w:rsidRDefault="00503843"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lang w:val="fr-CI"/>
        </w:rPr>
        <w:t>Les indicateurs suivants ont été retenus :</w:t>
      </w:r>
      <w:r w:rsidRPr="00333A62">
        <w:rPr>
          <w:rFonts w:ascii="Times New Roman" w:hAnsi="Times New Roman" w:cs="Times New Roman"/>
          <w:sz w:val="24"/>
          <w:szCs w:val="24"/>
        </w:rPr>
        <w:t xml:space="preserve"> </w:t>
      </w:r>
    </w:p>
    <w:p w14:paraId="57D6FDEB" w14:textId="77777777" w:rsidR="00503843" w:rsidRPr="00333A62" w:rsidRDefault="00503843" w:rsidP="00D418FF">
      <w:pPr>
        <w:pStyle w:val="Paragraphedeliste"/>
        <w:numPr>
          <w:ilvl w:val="0"/>
          <w:numId w:val="10"/>
        </w:numPr>
        <w:spacing w:before="120" w:after="120" w:line="276" w:lineRule="auto"/>
        <w:ind w:left="426" w:hanging="284"/>
        <w:jc w:val="both"/>
        <w:rPr>
          <w:rFonts w:ascii="Times New Roman" w:hAnsi="Times New Roman" w:cs="Times New Roman"/>
          <w:sz w:val="24"/>
          <w:szCs w:val="24"/>
          <w:lang w:val="fr-CI"/>
        </w:rPr>
      </w:pPr>
      <w:r w:rsidRPr="00333A62">
        <w:rPr>
          <w:rFonts w:ascii="Times New Roman" w:hAnsi="Times New Roman" w:cs="Times New Roman"/>
          <w:sz w:val="24"/>
          <w:szCs w:val="24"/>
        </w:rPr>
        <w:t xml:space="preserve">Indicateurs d’impact : le </w:t>
      </w:r>
      <w:r w:rsidRPr="00333A62">
        <w:rPr>
          <w:rFonts w:ascii="Times New Roman" w:hAnsi="Times New Roman" w:cs="Times New Roman"/>
          <w:sz w:val="24"/>
          <w:szCs w:val="24"/>
          <w:lang w:val="fr-CI"/>
        </w:rPr>
        <w:t xml:space="preserve">taux de mortalité infanto-juvénile (TMIJ), la contribution au poids de la mortalité des moins de 5 ans (CPM), le retard de croissance modéré et sévère (RCMS) ; </w:t>
      </w:r>
      <w:r w:rsidRPr="00333A62">
        <w:rPr>
          <w:rFonts w:ascii="Times New Roman" w:hAnsi="Times New Roman" w:cs="Times New Roman"/>
          <w:sz w:val="24"/>
          <w:szCs w:val="24"/>
        </w:rPr>
        <w:t>Le taux de mortalité maternel (TMM) (ce taux n’étant pas disponible par région, il a été estimé au travers d’indicateurs proxy choisis)</w:t>
      </w:r>
    </w:p>
    <w:p w14:paraId="6DD814CF" w14:textId="77777777" w:rsidR="00503843" w:rsidRPr="00333A62" w:rsidRDefault="00503843" w:rsidP="00D418FF">
      <w:pPr>
        <w:pStyle w:val="Paragraphedeliste"/>
        <w:numPr>
          <w:ilvl w:val="0"/>
          <w:numId w:val="10"/>
        </w:numPr>
        <w:spacing w:before="120" w:after="120" w:line="276" w:lineRule="auto"/>
        <w:ind w:left="426" w:hanging="284"/>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Indicateurs de processus (proxy TMM) : la proportion d'accouchements assistés par personnel qualifié (PAA) et la couverture en CPN4 (CPN4) ; </w:t>
      </w:r>
    </w:p>
    <w:p w14:paraId="15A32D62" w14:textId="77777777" w:rsidR="00503843" w:rsidRPr="00333A62" w:rsidRDefault="00503843" w:rsidP="00D418FF">
      <w:pPr>
        <w:pStyle w:val="Paragraphedeliste"/>
        <w:numPr>
          <w:ilvl w:val="0"/>
          <w:numId w:val="10"/>
        </w:numPr>
        <w:spacing w:before="120" w:after="120" w:line="276" w:lineRule="auto"/>
        <w:ind w:left="426" w:hanging="284"/>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Indicateurs d’accessibilité aux soins : l’accessibilité géographique aux soins en stratégie fixe (AGSF) ;</w:t>
      </w:r>
    </w:p>
    <w:p w14:paraId="3010B689" w14:textId="77777777" w:rsidR="00503843" w:rsidRDefault="00503843" w:rsidP="00D418FF">
      <w:pPr>
        <w:pStyle w:val="Paragraphedeliste"/>
        <w:numPr>
          <w:ilvl w:val="0"/>
          <w:numId w:val="10"/>
        </w:numPr>
        <w:spacing w:before="120" w:after="120" w:line="276" w:lineRule="auto"/>
        <w:ind w:left="426" w:hanging="284"/>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Indice de pauvreté des ménages par régions (IP) </w:t>
      </w:r>
    </w:p>
    <w:p w14:paraId="701A8863" w14:textId="77777777" w:rsidR="009A30D8" w:rsidRPr="00AD55BF" w:rsidRDefault="009A30D8" w:rsidP="00AD55BF">
      <w:pPr>
        <w:rPr>
          <w:rFonts w:ascii="Times New Roman" w:hAnsi="Times New Roman" w:cs="Times New Roman"/>
          <w:sz w:val="6"/>
          <w:szCs w:val="24"/>
          <w:lang w:val="fr-CI"/>
        </w:rPr>
      </w:pPr>
    </w:p>
    <w:p w14:paraId="0C376683" w14:textId="0F484F19" w:rsidR="00503843" w:rsidRPr="00A944AA" w:rsidRDefault="00503843" w:rsidP="006C0B89">
      <w:pPr>
        <w:pStyle w:val="Titre3"/>
        <w:rPr>
          <w:rFonts w:ascii="Times New Roman" w:hAnsi="Times New Roman" w:cs="Times New Roman"/>
          <w:b/>
          <w:color w:val="0070C0"/>
          <w:lang w:val="fr-CI"/>
        </w:rPr>
      </w:pPr>
      <w:bookmarkStart w:id="110" w:name="_Toc1573832"/>
      <w:r w:rsidRPr="00A944AA">
        <w:rPr>
          <w:rFonts w:ascii="Times New Roman" w:hAnsi="Times New Roman" w:cs="Times New Roman"/>
          <w:b/>
          <w:color w:val="0070C0"/>
          <w:lang w:val="fr-CI"/>
        </w:rPr>
        <w:t>Choix des valeurs de référence et pondération des critères</w:t>
      </w:r>
      <w:bookmarkEnd w:id="110"/>
    </w:p>
    <w:p w14:paraId="59DD58FC" w14:textId="77777777" w:rsidR="00503843" w:rsidRPr="00333A62" w:rsidRDefault="00503843" w:rsidP="006C0B89">
      <w:pPr>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La valeur de chaque indicateur a été exprimée en 3 degrés : critique, moyen et acceptable traduits respectivement par les chiffres 2, 1 et 0. Les valeurs de référence étaient les objectifs nationaux et la </w:t>
      </w:r>
      <w:r w:rsidRPr="00333A62">
        <w:rPr>
          <w:rFonts w:ascii="Times New Roman" w:hAnsi="Times New Roman" w:cs="Times New Roman"/>
          <w:sz w:val="24"/>
          <w:szCs w:val="24"/>
          <w:lang w:val="fr-CI"/>
        </w:rPr>
        <w:lastRenderedPageBreak/>
        <w:t>médiane nationale. En effet en tenant compte des paramètres de dispersion, la médiane était la tendance centrale la plus adaptée.</w:t>
      </w:r>
    </w:p>
    <w:p w14:paraId="1BABA5B9" w14:textId="77777777" w:rsidR="00503843" w:rsidRDefault="00503843" w:rsidP="006C0B89">
      <w:pPr>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Pour déterminer le score des indicateurs par région, les degrés des valeurs ont été affectés par des coefficients multiplicateurs de 3, 2 et 1 attribués respectivement aux indicateurs d’impact, de processus (proxy TMM) et d’accessibilité aux soins. </w:t>
      </w:r>
    </w:p>
    <w:p w14:paraId="2F1D0ECA" w14:textId="77777777" w:rsidR="00566D3C" w:rsidRDefault="00566D3C" w:rsidP="006C0B89">
      <w:pPr>
        <w:rPr>
          <w:rFonts w:ascii="Times New Roman" w:hAnsi="Times New Roman" w:cs="Times New Roman"/>
          <w:sz w:val="24"/>
          <w:szCs w:val="24"/>
        </w:rPr>
      </w:pPr>
    </w:p>
    <w:p w14:paraId="71D41900" w14:textId="3E1E8DF0" w:rsidR="00C93780" w:rsidRPr="004F1AC3" w:rsidRDefault="00C93780" w:rsidP="006C0B89">
      <w:pPr>
        <w:rPr>
          <w:rFonts w:ascii="Times New Roman" w:hAnsi="Times New Roman" w:cs="Times New Roman"/>
          <w:b/>
          <w:sz w:val="24"/>
          <w:szCs w:val="24"/>
          <w:lang w:val="fr-CI"/>
        </w:rPr>
      </w:pPr>
      <w:bookmarkStart w:id="111" w:name="_Toc1588376"/>
      <w:r w:rsidRPr="004F1AC3">
        <w:rPr>
          <w:rFonts w:ascii="Times New Roman" w:hAnsi="Times New Roman" w:cs="Times New Roman"/>
          <w:b/>
          <w:sz w:val="24"/>
          <w:szCs w:val="24"/>
        </w:rPr>
        <w:t xml:space="preserve">Tableau </w:t>
      </w:r>
      <w:r w:rsidRPr="004F1AC3">
        <w:rPr>
          <w:rFonts w:ascii="Times New Roman" w:hAnsi="Times New Roman" w:cs="Times New Roman"/>
          <w:b/>
          <w:sz w:val="24"/>
          <w:szCs w:val="24"/>
        </w:rPr>
        <w:fldChar w:fldCharType="begin"/>
      </w:r>
      <w:r w:rsidRPr="004F1AC3">
        <w:rPr>
          <w:rFonts w:ascii="Times New Roman" w:hAnsi="Times New Roman" w:cs="Times New Roman"/>
          <w:b/>
          <w:sz w:val="24"/>
          <w:szCs w:val="24"/>
        </w:rPr>
        <w:instrText xml:space="preserve"> SEQ Tableau \* ARABIC </w:instrText>
      </w:r>
      <w:r w:rsidRPr="004F1AC3">
        <w:rPr>
          <w:rFonts w:ascii="Times New Roman" w:hAnsi="Times New Roman" w:cs="Times New Roman"/>
          <w:b/>
          <w:sz w:val="24"/>
          <w:szCs w:val="24"/>
        </w:rPr>
        <w:fldChar w:fldCharType="separate"/>
      </w:r>
      <w:r w:rsidR="00400C22">
        <w:rPr>
          <w:rFonts w:ascii="Times New Roman" w:hAnsi="Times New Roman" w:cs="Times New Roman"/>
          <w:b/>
          <w:noProof/>
          <w:sz w:val="24"/>
          <w:szCs w:val="24"/>
        </w:rPr>
        <w:t>2</w:t>
      </w:r>
      <w:r w:rsidRPr="004F1AC3">
        <w:rPr>
          <w:rFonts w:ascii="Times New Roman" w:hAnsi="Times New Roman" w:cs="Times New Roman"/>
          <w:b/>
          <w:sz w:val="24"/>
          <w:szCs w:val="24"/>
        </w:rPr>
        <w:fldChar w:fldCharType="end"/>
      </w:r>
      <w:r w:rsidRPr="004F1AC3">
        <w:rPr>
          <w:rFonts w:ascii="Times New Roman" w:hAnsi="Times New Roman" w:cs="Times New Roman"/>
          <w:b/>
          <w:sz w:val="24"/>
          <w:szCs w:val="24"/>
        </w:rPr>
        <w:t xml:space="preserve"> : </w:t>
      </w:r>
      <w:r w:rsidRPr="004F1AC3">
        <w:rPr>
          <w:rFonts w:ascii="Times New Roman" w:hAnsi="Times New Roman" w:cs="Times New Roman"/>
          <w:b/>
          <w:sz w:val="24"/>
          <w:szCs w:val="24"/>
          <w:lang w:val="fr-CI"/>
        </w:rPr>
        <w:t>Affectation des coefficients multiplicateurs par type d’indicateurs</w:t>
      </w:r>
      <w:bookmarkEnd w:id="111"/>
    </w:p>
    <w:tbl>
      <w:tblPr>
        <w:tblStyle w:val="Grilledutableau"/>
        <w:tblpPr w:leftFromText="180" w:rightFromText="180" w:vertAnchor="text" w:horzAnchor="margin" w:tblpY="145"/>
        <w:tblW w:w="4904" w:type="pct"/>
        <w:tblLook w:val="04A0" w:firstRow="1" w:lastRow="0" w:firstColumn="1" w:lastColumn="0" w:noHBand="0" w:noVBand="1"/>
      </w:tblPr>
      <w:tblGrid>
        <w:gridCol w:w="3206"/>
        <w:gridCol w:w="6286"/>
      </w:tblGrid>
      <w:tr w:rsidR="00503843" w:rsidRPr="00333A62" w14:paraId="00D1CABE" w14:textId="77777777" w:rsidTr="00CA7676">
        <w:tc>
          <w:tcPr>
            <w:tcW w:w="1689" w:type="pct"/>
            <w:shd w:val="clear" w:color="auto" w:fill="FFF2CC" w:themeFill="accent4" w:themeFillTint="33"/>
            <w:vAlign w:val="center"/>
          </w:tcPr>
          <w:p w14:paraId="23016C72" w14:textId="77777777" w:rsidR="00503843" w:rsidRPr="00CA7676" w:rsidRDefault="00503843" w:rsidP="006C0B89">
            <w:pPr>
              <w:rPr>
                <w:rFonts w:ascii="Times New Roman" w:hAnsi="Times New Roman" w:cs="Times New Roman"/>
                <w:b/>
                <w:sz w:val="24"/>
                <w:szCs w:val="24"/>
                <w:lang w:val="fr-CI"/>
              </w:rPr>
            </w:pPr>
            <w:r w:rsidRPr="00CA7676">
              <w:rPr>
                <w:rFonts w:ascii="Times New Roman" w:hAnsi="Times New Roman" w:cs="Times New Roman"/>
                <w:b/>
                <w:sz w:val="24"/>
                <w:szCs w:val="24"/>
                <w:lang w:val="fr-CI"/>
              </w:rPr>
              <w:t>Type d’Indicateurs</w:t>
            </w:r>
          </w:p>
        </w:tc>
        <w:tc>
          <w:tcPr>
            <w:tcW w:w="3311" w:type="pct"/>
            <w:shd w:val="clear" w:color="auto" w:fill="FFF2CC" w:themeFill="accent4" w:themeFillTint="33"/>
            <w:vAlign w:val="center"/>
          </w:tcPr>
          <w:p w14:paraId="08AA1AC6" w14:textId="77777777" w:rsidR="00503843" w:rsidRPr="00CA7676" w:rsidRDefault="00503843" w:rsidP="00823F7B">
            <w:pPr>
              <w:jc w:val="center"/>
              <w:rPr>
                <w:rFonts w:ascii="Times New Roman" w:hAnsi="Times New Roman" w:cs="Times New Roman"/>
                <w:b/>
                <w:sz w:val="24"/>
                <w:szCs w:val="24"/>
                <w:lang w:val="fr-CI"/>
              </w:rPr>
            </w:pPr>
            <w:r w:rsidRPr="00CA7676">
              <w:rPr>
                <w:rFonts w:ascii="Times New Roman" w:hAnsi="Times New Roman" w:cs="Times New Roman"/>
                <w:b/>
                <w:sz w:val="24"/>
                <w:szCs w:val="24"/>
                <w:lang w:val="fr-CI"/>
              </w:rPr>
              <w:t>Coefficient multiplicateur</w:t>
            </w:r>
          </w:p>
        </w:tc>
      </w:tr>
      <w:tr w:rsidR="00503843" w:rsidRPr="00333A62" w14:paraId="190FBC17" w14:textId="77777777" w:rsidTr="00CA7676">
        <w:tc>
          <w:tcPr>
            <w:tcW w:w="1689" w:type="pct"/>
          </w:tcPr>
          <w:p w14:paraId="0B5B7FF7" w14:textId="77777777" w:rsidR="00503843" w:rsidRPr="00333A62" w:rsidRDefault="00503843" w:rsidP="006C0B89">
            <w:pPr>
              <w:rPr>
                <w:rFonts w:ascii="Times New Roman" w:hAnsi="Times New Roman" w:cs="Times New Roman"/>
                <w:sz w:val="24"/>
                <w:szCs w:val="24"/>
                <w:lang w:val="fr-CI"/>
              </w:rPr>
            </w:pPr>
            <w:r w:rsidRPr="00333A62">
              <w:rPr>
                <w:rFonts w:ascii="Times New Roman" w:hAnsi="Times New Roman" w:cs="Times New Roman"/>
                <w:sz w:val="24"/>
                <w:szCs w:val="24"/>
                <w:lang w:val="fr-CI"/>
              </w:rPr>
              <w:t>Impact</w:t>
            </w:r>
          </w:p>
        </w:tc>
        <w:tc>
          <w:tcPr>
            <w:tcW w:w="3311" w:type="pct"/>
            <w:vAlign w:val="center"/>
          </w:tcPr>
          <w:p w14:paraId="5048EF43" w14:textId="77777777" w:rsidR="00503843" w:rsidRPr="00333A62" w:rsidRDefault="00503843" w:rsidP="00823F7B">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3</w:t>
            </w:r>
          </w:p>
        </w:tc>
      </w:tr>
      <w:tr w:rsidR="00503843" w:rsidRPr="00333A62" w14:paraId="0CAB79BB" w14:textId="77777777" w:rsidTr="00CA7676">
        <w:tc>
          <w:tcPr>
            <w:tcW w:w="1689" w:type="pct"/>
          </w:tcPr>
          <w:p w14:paraId="0BAF78F4" w14:textId="77777777" w:rsidR="00503843" w:rsidRPr="00333A62" w:rsidRDefault="00503843" w:rsidP="006C0B89">
            <w:pPr>
              <w:rPr>
                <w:rFonts w:ascii="Times New Roman" w:hAnsi="Times New Roman" w:cs="Times New Roman"/>
                <w:sz w:val="24"/>
                <w:szCs w:val="24"/>
                <w:lang w:val="fr-CI"/>
              </w:rPr>
            </w:pPr>
            <w:r w:rsidRPr="00333A62">
              <w:rPr>
                <w:rFonts w:ascii="Times New Roman" w:hAnsi="Times New Roman" w:cs="Times New Roman"/>
                <w:sz w:val="24"/>
                <w:szCs w:val="24"/>
                <w:lang w:val="fr-CI"/>
              </w:rPr>
              <w:t>Processus</w:t>
            </w:r>
          </w:p>
        </w:tc>
        <w:tc>
          <w:tcPr>
            <w:tcW w:w="3311" w:type="pct"/>
            <w:vAlign w:val="center"/>
          </w:tcPr>
          <w:p w14:paraId="65BFDDC3" w14:textId="77777777" w:rsidR="00503843" w:rsidRPr="00333A62" w:rsidRDefault="00503843" w:rsidP="00823F7B">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2</w:t>
            </w:r>
          </w:p>
        </w:tc>
      </w:tr>
      <w:tr w:rsidR="00503843" w:rsidRPr="00333A62" w14:paraId="5819974F" w14:textId="77777777" w:rsidTr="00CA7676">
        <w:tc>
          <w:tcPr>
            <w:tcW w:w="1689" w:type="pct"/>
          </w:tcPr>
          <w:p w14:paraId="2969A006" w14:textId="77777777" w:rsidR="00503843" w:rsidRPr="00333A62" w:rsidRDefault="00503843" w:rsidP="006C0B89">
            <w:pPr>
              <w:rPr>
                <w:rFonts w:ascii="Times New Roman" w:hAnsi="Times New Roman" w:cs="Times New Roman"/>
                <w:sz w:val="24"/>
                <w:szCs w:val="24"/>
                <w:lang w:val="fr-CI"/>
              </w:rPr>
            </w:pPr>
            <w:r w:rsidRPr="00333A62">
              <w:rPr>
                <w:rFonts w:ascii="Times New Roman" w:hAnsi="Times New Roman" w:cs="Times New Roman"/>
                <w:sz w:val="24"/>
                <w:szCs w:val="24"/>
                <w:lang w:val="fr-CI"/>
              </w:rPr>
              <w:t>Accessibilité aux soins</w:t>
            </w:r>
          </w:p>
        </w:tc>
        <w:tc>
          <w:tcPr>
            <w:tcW w:w="3311" w:type="pct"/>
            <w:vAlign w:val="center"/>
          </w:tcPr>
          <w:p w14:paraId="542CDCA5" w14:textId="77777777" w:rsidR="00503843" w:rsidRPr="00333A62" w:rsidRDefault="00503843" w:rsidP="00823F7B">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1</w:t>
            </w:r>
          </w:p>
        </w:tc>
      </w:tr>
    </w:tbl>
    <w:p w14:paraId="367C9254" w14:textId="77777777" w:rsidR="00C93780" w:rsidRDefault="00C93780" w:rsidP="006C0B89">
      <w:pPr>
        <w:rPr>
          <w:rFonts w:ascii="Times New Roman" w:hAnsi="Times New Roman" w:cs="Times New Roman"/>
          <w:sz w:val="24"/>
          <w:szCs w:val="24"/>
          <w:u w:val="single"/>
          <w:lang w:val="fr-CI"/>
        </w:rPr>
      </w:pPr>
    </w:p>
    <w:p w14:paraId="08476865" w14:textId="61774DB4" w:rsidR="00C93780" w:rsidRPr="00566D3C" w:rsidRDefault="00C93780" w:rsidP="006C0B89">
      <w:pPr>
        <w:rPr>
          <w:rFonts w:ascii="Times New Roman" w:hAnsi="Times New Roman" w:cs="Times New Roman"/>
          <w:sz w:val="24"/>
          <w:szCs w:val="24"/>
          <w:lang w:val="fr-CI"/>
        </w:rPr>
      </w:pPr>
      <w:bookmarkStart w:id="112" w:name="_Toc1588377"/>
      <w:r w:rsidRPr="00566D3C">
        <w:rPr>
          <w:rFonts w:ascii="Times New Roman" w:hAnsi="Times New Roman" w:cs="Times New Roman"/>
          <w:sz w:val="24"/>
          <w:szCs w:val="24"/>
        </w:rPr>
        <w:t xml:space="preserve">Tableau </w:t>
      </w:r>
      <w:r w:rsidRPr="00566D3C">
        <w:rPr>
          <w:rFonts w:ascii="Times New Roman" w:hAnsi="Times New Roman" w:cs="Times New Roman"/>
          <w:sz w:val="24"/>
          <w:szCs w:val="24"/>
        </w:rPr>
        <w:fldChar w:fldCharType="begin"/>
      </w:r>
      <w:r w:rsidRPr="00566D3C">
        <w:rPr>
          <w:rFonts w:ascii="Times New Roman" w:hAnsi="Times New Roman" w:cs="Times New Roman"/>
          <w:sz w:val="24"/>
          <w:szCs w:val="24"/>
        </w:rPr>
        <w:instrText xml:space="preserve"> SEQ Tableau \* ARABIC </w:instrText>
      </w:r>
      <w:r w:rsidRPr="00566D3C">
        <w:rPr>
          <w:rFonts w:ascii="Times New Roman" w:hAnsi="Times New Roman" w:cs="Times New Roman"/>
          <w:sz w:val="24"/>
          <w:szCs w:val="24"/>
        </w:rPr>
        <w:fldChar w:fldCharType="separate"/>
      </w:r>
      <w:r w:rsidR="00400C22">
        <w:rPr>
          <w:rFonts w:ascii="Times New Roman" w:hAnsi="Times New Roman" w:cs="Times New Roman"/>
          <w:noProof/>
          <w:sz w:val="24"/>
          <w:szCs w:val="24"/>
        </w:rPr>
        <w:t>3</w:t>
      </w:r>
      <w:r w:rsidRPr="00566D3C">
        <w:rPr>
          <w:rFonts w:ascii="Times New Roman" w:hAnsi="Times New Roman" w:cs="Times New Roman"/>
          <w:sz w:val="24"/>
          <w:szCs w:val="24"/>
        </w:rPr>
        <w:fldChar w:fldCharType="end"/>
      </w:r>
      <w:r w:rsidRPr="00566D3C">
        <w:rPr>
          <w:rFonts w:ascii="Times New Roman" w:hAnsi="Times New Roman" w:cs="Times New Roman"/>
          <w:sz w:val="24"/>
          <w:szCs w:val="24"/>
        </w:rPr>
        <w:t xml:space="preserve"> : </w:t>
      </w:r>
      <w:r w:rsidRPr="00566D3C">
        <w:rPr>
          <w:rFonts w:ascii="Times New Roman" w:hAnsi="Times New Roman" w:cs="Times New Roman"/>
          <w:sz w:val="24"/>
          <w:szCs w:val="24"/>
          <w:lang w:val="fr-CI"/>
        </w:rPr>
        <w:t>Valeur de l’indicateur selon le degré</w:t>
      </w:r>
      <w:bookmarkEnd w:id="112"/>
    </w:p>
    <w:tbl>
      <w:tblPr>
        <w:tblStyle w:val="Grilledutableau"/>
        <w:tblW w:w="0" w:type="auto"/>
        <w:tblLook w:val="04A0" w:firstRow="1" w:lastRow="0" w:firstColumn="1" w:lastColumn="0" w:noHBand="0" w:noVBand="1"/>
      </w:tblPr>
      <w:tblGrid>
        <w:gridCol w:w="3182"/>
        <w:gridCol w:w="3182"/>
        <w:gridCol w:w="3182"/>
      </w:tblGrid>
      <w:tr w:rsidR="00503843" w:rsidRPr="00333A62" w14:paraId="2DA146B0" w14:textId="77777777" w:rsidTr="00CA7676">
        <w:tc>
          <w:tcPr>
            <w:tcW w:w="3182" w:type="dxa"/>
            <w:shd w:val="clear" w:color="auto" w:fill="FFF2CC" w:themeFill="accent4" w:themeFillTint="33"/>
          </w:tcPr>
          <w:p w14:paraId="387EB347" w14:textId="77777777" w:rsidR="00503843" w:rsidRPr="00CA7676" w:rsidRDefault="00503843" w:rsidP="006C0B89">
            <w:pPr>
              <w:rPr>
                <w:rFonts w:ascii="Times New Roman" w:hAnsi="Times New Roman" w:cs="Times New Roman"/>
                <w:b/>
                <w:sz w:val="24"/>
                <w:szCs w:val="24"/>
                <w:lang w:val="fr-CI"/>
              </w:rPr>
            </w:pPr>
            <w:r w:rsidRPr="00CA7676">
              <w:rPr>
                <w:rFonts w:ascii="Times New Roman" w:hAnsi="Times New Roman" w:cs="Times New Roman"/>
                <w:b/>
                <w:sz w:val="24"/>
                <w:szCs w:val="24"/>
                <w:lang w:val="fr-CI"/>
              </w:rPr>
              <w:t>Niveau d’indicateur</w:t>
            </w:r>
          </w:p>
        </w:tc>
        <w:tc>
          <w:tcPr>
            <w:tcW w:w="3182" w:type="dxa"/>
            <w:shd w:val="clear" w:color="auto" w:fill="FFF2CC" w:themeFill="accent4" w:themeFillTint="33"/>
          </w:tcPr>
          <w:p w14:paraId="6FB07AAA" w14:textId="77777777" w:rsidR="00503843" w:rsidRPr="00CA7676" w:rsidRDefault="00503843" w:rsidP="00823F7B">
            <w:pPr>
              <w:jc w:val="center"/>
              <w:rPr>
                <w:rFonts w:ascii="Times New Roman" w:hAnsi="Times New Roman" w:cs="Times New Roman"/>
                <w:b/>
                <w:sz w:val="24"/>
                <w:szCs w:val="24"/>
                <w:lang w:val="fr-CI"/>
              </w:rPr>
            </w:pPr>
            <w:r w:rsidRPr="00CA7676">
              <w:rPr>
                <w:rFonts w:ascii="Times New Roman" w:hAnsi="Times New Roman" w:cs="Times New Roman"/>
                <w:b/>
                <w:sz w:val="24"/>
                <w:szCs w:val="24"/>
                <w:lang w:val="fr-CI"/>
              </w:rPr>
              <w:t>Degrés</w:t>
            </w:r>
          </w:p>
        </w:tc>
        <w:tc>
          <w:tcPr>
            <w:tcW w:w="3182" w:type="dxa"/>
            <w:shd w:val="clear" w:color="auto" w:fill="FFF2CC" w:themeFill="accent4" w:themeFillTint="33"/>
          </w:tcPr>
          <w:p w14:paraId="605EBDB9" w14:textId="77777777" w:rsidR="00503843" w:rsidRPr="00CA7676" w:rsidRDefault="00503843" w:rsidP="00823F7B">
            <w:pPr>
              <w:jc w:val="center"/>
              <w:rPr>
                <w:rFonts w:ascii="Times New Roman" w:hAnsi="Times New Roman" w:cs="Times New Roman"/>
                <w:b/>
                <w:sz w:val="24"/>
                <w:szCs w:val="24"/>
                <w:lang w:val="fr-CI"/>
              </w:rPr>
            </w:pPr>
            <w:r w:rsidRPr="00CA7676">
              <w:rPr>
                <w:rFonts w:ascii="Times New Roman" w:hAnsi="Times New Roman" w:cs="Times New Roman"/>
                <w:b/>
                <w:sz w:val="24"/>
                <w:szCs w:val="24"/>
                <w:lang w:val="fr-CI"/>
              </w:rPr>
              <w:t>Score</w:t>
            </w:r>
          </w:p>
        </w:tc>
      </w:tr>
      <w:tr w:rsidR="00503843" w:rsidRPr="00333A62" w14:paraId="14D69EE5" w14:textId="77777777" w:rsidTr="0021546E">
        <w:tc>
          <w:tcPr>
            <w:tcW w:w="3182" w:type="dxa"/>
          </w:tcPr>
          <w:p w14:paraId="1F2197AB" w14:textId="77777777" w:rsidR="00503843" w:rsidRPr="00333A62" w:rsidRDefault="00503843" w:rsidP="006C0B89">
            <w:pPr>
              <w:rPr>
                <w:rFonts w:ascii="Times New Roman" w:hAnsi="Times New Roman" w:cs="Times New Roman"/>
                <w:sz w:val="24"/>
                <w:szCs w:val="24"/>
                <w:lang w:val="fr-CI"/>
              </w:rPr>
            </w:pPr>
            <w:r w:rsidRPr="00333A62">
              <w:rPr>
                <w:rFonts w:ascii="Times New Roman" w:hAnsi="Times New Roman" w:cs="Times New Roman"/>
                <w:sz w:val="24"/>
                <w:szCs w:val="24"/>
                <w:lang w:val="fr-CI"/>
              </w:rPr>
              <w:t>Supérieur à l’objectif national</w:t>
            </w:r>
          </w:p>
        </w:tc>
        <w:tc>
          <w:tcPr>
            <w:tcW w:w="3182" w:type="dxa"/>
            <w:vAlign w:val="center"/>
          </w:tcPr>
          <w:p w14:paraId="66C44AC5" w14:textId="77777777" w:rsidR="00503843" w:rsidRPr="00333A62" w:rsidRDefault="00503843" w:rsidP="00823F7B">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Acceptable</w:t>
            </w:r>
          </w:p>
        </w:tc>
        <w:tc>
          <w:tcPr>
            <w:tcW w:w="3182" w:type="dxa"/>
            <w:vAlign w:val="center"/>
          </w:tcPr>
          <w:p w14:paraId="137544A1" w14:textId="63DD7C50" w:rsidR="00503843" w:rsidRPr="00333A62" w:rsidRDefault="00503843" w:rsidP="0021546E">
            <w:pPr>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0*coefficient </w:t>
            </w:r>
            <w:r w:rsidR="0067068B" w:rsidRPr="00333A62">
              <w:rPr>
                <w:rFonts w:ascii="Times New Roman" w:hAnsi="Times New Roman" w:cs="Times New Roman"/>
                <w:sz w:val="24"/>
                <w:szCs w:val="24"/>
                <w:lang w:val="fr-CI"/>
              </w:rPr>
              <w:t>multiplicateur</w:t>
            </w:r>
          </w:p>
        </w:tc>
      </w:tr>
      <w:tr w:rsidR="00503843" w:rsidRPr="00333A62" w14:paraId="02CF1F44" w14:textId="77777777" w:rsidTr="0021546E">
        <w:tc>
          <w:tcPr>
            <w:tcW w:w="3182" w:type="dxa"/>
          </w:tcPr>
          <w:p w14:paraId="089A78D5" w14:textId="77777777" w:rsidR="00503843" w:rsidRPr="00333A62" w:rsidRDefault="00503843" w:rsidP="006C0B89">
            <w:pPr>
              <w:rPr>
                <w:rFonts w:ascii="Times New Roman" w:hAnsi="Times New Roman" w:cs="Times New Roman"/>
                <w:sz w:val="24"/>
                <w:szCs w:val="24"/>
                <w:lang w:val="fr-CI"/>
              </w:rPr>
            </w:pPr>
            <w:r w:rsidRPr="00333A62">
              <w:rPr>
                <w:rFonts w:ascii="Times New Roman" w:hAnsi="Times New Roman" w:cs="Times New Roman"/>
                <w:sz w:val="24"/>
                <w:szCs w:val="24"/>
                <w:lang w:val="fr-CI"/>
              </w:rPr>
              <w:t>Entre objectif national et la médiane nationale</w:t>
            </w:r>
          </w:p>
        </w:tc>
        <w:tc>
          <w:tcPr>
            <w:tcW w:w="3182" w:type="dxa"/>
            <w:vAlign w:val="center"/>
          </w:tcPr>
          <w:p w14:paraId="291A3B5A" w14:textId="295EBA1D" w:rsidR="00503843" w:rsidRPr="00333A62" w:rsidRDefault="00503843" w:rsidP="00823F7B">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Moyen</w:t>
            </w:r>
          </w:p>
        </w:tc>
        <w:tc>
          <w:tcPr>
            <w:tcW w:w="3182" w:type="dxa"/>
            <w:vAlign w:val="center"/>
          </w:tcPr>
          <w:p w14:paraId="6E63B978" w14:textId="77777777" w:rsidR="00503843" w:rsidRPr="00333A62" w:rsidRDefault="00503843" w:rsidP="0021546E">
            <w:pPr>
              <w:rPr>
                <w:rFonts w:ascii="Times New Roman" w:hAnsi="Times New Roman" w:cs="Times New Roman"/>
                <w:sz w:val="24"/>
                <w:szCs w:val="24"/>
                <w:lang w:val="fr-CI"/>
              </w:rPr>
            </w:pPr>
            <w:r w:rsidRPr="00333A62">
              <w:rPr>
                <w:rFonts w:ascii="Times New Roman" w:hAnsi="Times New Roman" w:cs="Times New Roman"/>
                <w:sz w:val="24"/>
                <w:szCs w:val="24"/>
                <w:lang w:val="fr-CI"/>
              </w:rPr>
              <w:t>1*coefficient</w:t>
            </w:r>
          </w:p>
        </w:tc>
      </w:tr>
      <w:tr w:rsidR="00503843" w:rsidRPr="00333A62" w14:paraId="5F572566" w14:textId="77777777" w:rsidTr="0021546E">
        <w:tc>
          <w:tcPr>
            <w:tcW w:w="3182" w:type="dxa"/>
          </w:tcPr>
          <w:p w14:paraId="5EEF321E" w14:textId="77777777" w:rsidR="00503843" w:rsidRPr="00333A62" w:rsidRDefault="00503843" w:rsidP="006C0B89">
            <w:pPr>
              <w:rPr>
                <w:rFonts w:ascii="Times New Roman" w:hAnsi="Times New Roman" w:cs="Times New Roman"/>
                <w:sz w:val="24"/>
                <w:szCs w:val="24"/>
                <w:lang w:val="fr-CI"/>
              </w:rPr>
            </w:pPr>
            <w:r w:rsidRPr="00333A62">
              <w:rPr>
                <w:rFonts w:ascii="Times New Roman" w:hAnsi="Times New Roman" w:cs="Times New Roman"/>
                <w:sz w:val="24"/>
                <w:szCs w:val="24"/>
                <w:lang w:val="fr-CI"/>
              </w:rPr>
              <w:t>Inférieur à la médiane nationale</w:t>
            </w:r>
          </w:p>
        </w:tc>
        <w:tc>
          <w:tcPr>
            <w:tcW w:w="3182" w:type="dxa"/>
            <w:vAlign w:val="center"/>
          </w:tcPr>
          <w:p w14:paraId="19628E82" w14:textId="77777777" w:rsidR="00503843" w:rsidRPr="00333A62" w:rsidRDefault="00503843" w:rsidP="00823F7B">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Critique</w:t>
            </w:r>
          </w:p>
        </w:tc>
        <w:tc>
          <w:tcPr>
            <w:tcW w:w="3182" w:type="dxa"/>
            <w:vAlign w:val="center"/>
          </w:tcPr>
          <w:p w14:paraId="7501C107" w14:textId="77777777" w:rsidR="00503843" w:rsidRPr="00333A62" w:rsidRDefault="00503843" w:rsidP="0021546E">
            <w:pPr>
              <w:rPr>
                <w:rFonts w:ascii="Times New Roman" w:hAnsi="Times New Roman" w:cs="Times New Roman"/>
                <w:sz w:val="24"/>
                <w:szCs w:val="24"/>
                <w:lang w:val="fr-CI"/>
              </w:rPr>
            </w:pPr>
            <w:r w:rsidRPr="00333A62">
              <w:rPr>
                <w:rFonts w:ascii="Times New Roman" w:hAnsi="Times New Roman" w:cs="Times New Roman"/>
                <w:sz w:val="24"/>
                <w:szCs w:val="24"/>
                <w:lang w:val="fr-CI"/>
              </w:rPr>
              <w:t>2*coefficient</w:t>
            </w:r>
          </w:p>
        </w:tc>
      </w:tr>
    </w:tbl>
    <w:p w14:paraId="6FA6390C" w14:textId="77777777" w:rsidR="00503843" w:rsidRPr="00333A62" w:rsidRDefault="00503843" w:rsidP="006C0B89">
      <w:pPr>
        <w:rPr>
          <w:rFonts w:ascii="Times New Roman" w:hAnsi="Times New Roman" w:cs="Times New Roman"/>
          <w:sz w:val="24"/>
          <w:szCs w:val="24"/>
          <w:lang w:val="fr-CI"/>
        </w:rPr>
      </w:pPr>
    </w:p>
    <w:p w14:paraId="56E78276" w14:textId="77777777" w:rsidR="00503843" w:rsidRPr="00333A62" w:rsidRDefault="00503843" w:rsidP="006C0B89">
      <w:pPr>
        <w:rPr>
          <w:rFonts w:ascii="Times New Roman" w:hAnsi="Times New Roman" w:cs="Times New Roman"/>
          <w:sz w:val="24"/>
          <w:szCs w:val="24"/>
          <w:lang w:val="fr-CI"/>
        </w:rPr>
      </w:pPr>
      <w:r w:rsidRPr="00333A62">
        <w:rPr>
          <w:rFonts w:ascii="Times New Roman" w:hAnsi="Times New Roman" w:cs="Times New Roman"/>
          <w:sz w:val="24"/>
          <w:szCs w:val="24"/>
          <w:lang w:val="fr-CI"/>
        </w:rPr>
        <w:t>Pour tenir compte de l’équité en s’assurant que les populations les plus pauvres ont été prises en compte dans la priorisation, l’indice de pauvreté a été utilisé pour la pondération du score global.</w:t>
      </w:r>
    </w:p>
    <w:p w14:paraId="0A84C183" w14:textId="77777777" w:rsidR="00503843" w:rsidRPr="00333A62" w:rsidRDefault="00503843" w:rsidP="006C0B89">
      <w:pPr>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Ainsi, tenant compte de ces critères et valeurs on obtient la formule suivante pour le </w:t>
      </w:r>
      <w:r w:rsidRPr="00333A62">
        <w:rPr>
          <w:rFonts w:ascii="Times New Roman" w:hAnsi="Times New Roman" w:cs="Times New Roman"/>
          <w:b/>
          <w:sz w:val="24"/>
          <w:szCs w:val="24"/>
          <w:lang w:val="fr-CI"/>
        </w:rPr>
        <w:t>Score global</w:t>
      </w:r>
      <w:r w:rsidRPr="00333A62">
        <w:rPr>
          <w:rFonts w:ascii="Times New Roman" w:hAnsi="Times New Roman" w:cs="Times New Roman"/>
          <w:sz w:val="24"/>
          <w:szCs w:val="24"/>
          <w:lang w:val="fr-CI"/>
        </w:rPr>
        <w:t xml:space="preserve"> </w:t>
      </w:r>
      <w:r w:rsidRPr="00333A62">
        <w:rPr>
          <w:rFonts w:ascii="Times New Roman" w:hAnsi="Times New Roman" w:cs="Times New Roman"/>
          <w:b/>
          <w:sz w:val="24"/>
          <w:szCs w:val="24"/>
          <w:lang w:val="fr-CI"/>
        </w:rPr>
        <w:t xml:space="preserve">par région </w:t>
      </w:r>
      <w:r w:rsidRPr="00333A62">
        <w:rPr>
          <w:rFonts w:ascii="Times New Roman" w:hAnsi="Times New Roman" w:cs="Times New Roman"/>
          <w:sz w:val="24"/>
          <w:szCs w:val="24"/>
          <w:lang w:val="fr-CI"/>
        </w:rPr>
        <w:t xml:space="preserve">: </w:t>
      </w:r>
    </w:p>
    <w:p w14:paraId="22006D7F" w14:textId="77777777" w:rsidR="00503843" w:rsidRPr="00333A62" w:rsidRDefault="00503843" w:rsidP="006C0B89">
      <w:pPr>
        <w:rPr>
          <w:rFonts w:ascii="Times New Roman" w:hAnsi="Times New Roman" w:cs="Times New Roman"/>
          <w:sz w:val="24"/>
          <w:szCs w:val="24"/>
          <w:lang w:val="fr-CI"/>
        </w:rPr>
      </w:pPr>
    </w:p>
    <w:p w14:paraId="05756FBE" w14:textId="77777777" w:rsidR="00503843" w:rsidRPr="00333A62" w:rsidRDefault="00503843" w:rsidP="006C0B89">
      <w:pPr>
        <w:rPr>
          <w:rFonts w:ascii="Times New Roman" w:hAnsi="Times New Roman" w:cs="Times New Roman"/>
          <w:sz w:val="24"/>
          <w:szCs w:val="24"/>
          <w:lang w:val="fr-CI"/>
        </w:rPr>
      </w:pPr>
      <w:r w:rsidRPr="00333A62">
        <w:rPr>
          <w:rFonts w:ascii="Times New Roman" w:hAnsi="Times New Roman" w:cs="Times New Roman"/>
          <w:b/>
          <w:sz w:val="24"/>
          <w:szCs w:val="24"/>
          <w:lang w:val="fr-CI"/>
        </w:rPr>
        <w:t>Score global région</w:t>
      </w:r>
      <w:r w:rsidRPr="00333A62">
        <w:rPr>
          <w:rFonts w:ascii="Times New Roman" w:hAnsi="Times New Roman" w:cs="Times New Roman"/>
          <w:sz w:val="24"/>
          <w:szCs w:val="24"/>
          <w:lang w:val="fr-CI"/>
        </w:rPr>
        <w:t xml:space="preserve"> =IP </w:t>
      </w:r>
      <w:r w:rsidRPr="00333A62">
        <w:rPr>
          <w:rFonts w:ascii="Times New Roman" w:hAnsi="Times New Roman" w:cs="Times New Roman"/>
          <w:b/>
          <w:sz w:val="24"/>
          <w:szCs w:val="24"/>
          <w:lang w:val="fr-CI"/>
        </w:rPr>
        <w:t>[</w:t>
      </w:r>
      <w:r w:rsidRPr="00333A62">
        <w:rPr>
          <w:rFonts w:ascii="Times New Roman" w:hAnsi="Times New Roman" w:cs="Times New Roman"/>
          <w:sz w:val="24"/>
          <w:szCs w:val="24"/>
          <w:lang w:val="fr-CI"/>
        </w:rPr>
        <w:t>(TMIJ*3) + (CPM*3) + (RCMS*3) + (PAA*2) + (CPN4*2) + AGSF</w:t>
      </w:r>
      <w:r w:rsidRPr="00333A62">
        <w:rPr>
          <w:rFonts w:ascii="Times New Roman" w:hAnsi="Times New Roman" w:cs="Times New Roman"/>
          <w:b/>
          <w:sz w:val="24"/>
          <w:szCs w:val="24"/>
          <w:lang w:val="fr-CI"/>
        </w:rPr>
        <w:t>]</w:t>
      </w:r>
    </w:p>
    <w:p w14:paraId="054C6DE5" w14:textId="77777777" w:rsidR="00503843" w:rsidRPr="00333A62" w:rsidRDefault="00503843" w:rsidP="006C0B89">
      <w:pPr>
        <w:rPr>
          <w:rFonts w:ascii="Times New Roman" w:hAnsi="Times New Roman" w:cs="Times New Roman"/>
          <w:sz w:val="24"/>
          <w:szCs w:val="24"/>
          <w:lang w:val="fr-CI"/>
        </w:rPr>
      </w:pPr>
    </w:p>
    <w:p w14:paraId="364A97A4" w14:textId="77777777" w:rsidR="000F1E4C" w:rsidRDefault="000F1E4C" w:rsidP="006C0B89">
      <w:pPr>
        <w:rPr>
          <w:rFonts w:ascii="Times New Roman" w:hAnsi="Times New Roman" w:cs="Times New Roman"/>
          <w:sz w:val="24"/>
          <w:szCs w:val="24"/>
          <w:lang w:val="fr-CI"/>
        </w:rPr>
        <w:sectPr w:rsidR="000F1E4C" w:rsidSect="009054EF">
          <w:footerReference w:type="default" r:id="rId41"/>
          <w:pgSz w:w="12240" w:h="15840"/>
          <w:pgMar w:top="1134" w:right="1134" w:bottom="1134" w:left="1418" w:header="708" w:footer="708" w:gutter="0"/>
          <w:cols w:space="708"/>
          <w:docGrid w:linePitch="360"/>
        </w:sectPr>
      </w:pPr>
    </w:p>
    <w:p w14:paraId="25F0937E" w14:textId="640F37EA" w:rsidR="00503843" w:rsidRDefault="00503843" w:rsidP="006C0B89">
      <w:pPr>
        <w:pStyle w:val="Titre3"/>
        <w:rPr>
          <w:rFonts w:ascii="Times New Roman" w:hAnsi="Times New Roman" w:cs="Times New Roman"/>
          <w:b/>
          <w:color w:val="0070C0"/>
          <w:lang w:val="fr-CI"/>
        </w:rPr>
      </w:pPr>
      <w:bookmarkStart w:id="113" w:name="_Toc1573833"/>
      <w:r w:rsidRPr="00A944AA">
        <w:rPr>
          <w:rFonts w:ascii="Times New Roman" w:hAnsi="Times New Roman" w:cs="Times New Roman"/>
          <w:b/>
          <w:color w:val="0070C0"/>
          <w:lang w:val="fr-CI"/>
        </w:rPr>
        <w:lastRenderedPageBreak/>
        <w:t>Résultats de la priorisation des régions</w:t>
      </w:r>
      <w:bookmarkEnd w:id="113"/>
      <w:r w:rsidRPr="00A944AA">
        <w:rPr>
          <w:rFonts w:ascii="Times New Roman" w:hAnsi="Times New Roman" w:cs="Times New Roman"/>
          <w:b/>
          <w:color w:val="0070C0"/>
          <w:lang w:val="fr-CI"/>
        </w:rPr>
        <w:t xml:space="preserve"> </w:t>
      </w:r>
    </w:p>
    <w:p w14:paraId="573CF432" w14:textId="77777777" w:rsidR="00A944AA" w:rsidRPr="00A944AA" w:rsidRDefault="00A944AA" w:rsidP="00A944AA">
      <w:pPr>
        <w:rPr>
          <w:lang w:val="fr-CI"/>
        </w:rPr>
      </w:pPr>
    </w:p>
    <w:p w14:paraId="19571773" w14:textId="4FB262D9" w:rsidR="00503843" w:rsidRPr="00AE1DFE" w:rsidRDefault="00C93780" w:rsidP="00C93780">
      <w:pPr>
        <w:pStyle w:val="Lgende"/>
        <w:rPr>
          <w:sz w:val="24"/>
          <w:szCs w:val="24"/>
        </w:rPr>
      </w:pPr>
      <w:bookmarkStart w:id="114" w:name="_Toc1588378"/>
      <w:r w:rsidRPr="00AE1DFE">
        <w:rPr>
          <w:sz w:val="24"/>
          <w:szCs w:val="24"/>
        </w:rPr>
        <w:t xml:space="preserve">Tableau </w:t>
      </w:r>
      <w:r w:rsidRPr="00AE1DFE">
        <w:rPr>
          <w:sz w:val="24"/>
          <w:szCs w:val="24"/>
        </w:rPr>
        <w:fldChar w:fldCharType="begin"/>
      </w:r>
      <w:r w:rsidRPr="00AE1DFE">
        <w:rPr>
          <w:sz w:val="24"/>
          <w:szCs w:val="24"/>
        </w:rPr>
        <w:instrText xml:space="preserve"> SEQ Tableau \* ARABIC </w:instrText>
      </w:r>
      <w:r w:rsidRPr="00AE1DFE">
        <w:rPr>
          <w:sz w:val="24"/>
          <w:szCs w:val="24"/>
        </w:rPr>
        <w:fldChar w:fldCharType="separate"/>
      </w:r>
      <w:r w:rsidR="00400C22">
        <w:rPr>
          <w:noProof/>
          <w:sz w:val="24"/>
          <w:szCs w:val="24"/>
        </w:rPr>
        <w:t>4</w:t>
      </w:r>
      <w:r w:rsidRPr="00AE1DFE">
        <w:rPr>
          <w:sz w:val="24"/>
          <w:szCs w:val="24"/>
        </w:rPr>
        <w:fldChar w:fldCharType="end"/>
      </w:r>
      <w:r w:rsidR="006A7EAE" w:rsidRPr="00AE1DFE">
        <w:rPr>
          <w:sz w:val="24"/>
          <w:szCs w:val="24"/>
        </w:rPr>
        <w:t xml:space="preserve"> : </w:t>
      </w:r>
      <w:r w:rsidR="00ED1BDC" w:rsidRPr="00AE1DFE">
        <w:rPr>
          <w:sz w:val="24"/>
          <w:szCs w:val="24"/>
        </w:rPr>
        <w:t xml:space="preserve">Scores </w:t>
      </w:r>
      <w:r w:rsidR="006A7EAE" w:rsidRPr="00AE1DFE">
        <w:rPr>
          <w:sz w:val="24"/>
          <w:szCs w:val="24"/>
        </w:rPr>
        <w:t>des régions</w:t>
      </w:r>
      <w:bookmarkEnd w:id="114"/>
      <w:r w:rsidR="006A7EAE" w:rsidRPr="00AE1DFE">
        <w:rPr>
          <w:sz w:val="24"/>
          <w:szCs w:val="24"/>
        </w:rPr>
        <w:t xml:space="preserve"> </w:t>
      </w:r>
    </w:p>
    <w:p w14:paraId="5ACF134E" w14:textId="77777777" w:rsidR="006A7EAE" w:rsidRPr="006A7EAE" w:rsidRDefault="006A7EAE" w:rsidP="006A7EAE">
      <w:pPr>
        <w:rPr>
          <w:rFonts w:ascii="Times New Roman" w:hAnsi="Times New Roman" w:cs="Times New Roman"/>
          <w:sz w:val="10"/>
          <w:szCs w:val="10"/>
          <w:lang w:val="fr-FR" w:eastAsia="en-GB"/>
        </w:rPr>
      </w:pPr>
    </w:p>
    <w:tbl>
      <w:tblPr>
        <w:tblStyle w:val="Grilledutableau"/>
        <w:tblW w:w="13987" w:type="dxa"/>
        <w:tblLayout w:type="fixed"/>
        <w:tblLook w:val="04A0" w:firstRow="1" w:lastRow="0" w:firstColumn="1" w:lastColumn="0" w:noHBand="0" w:noVBand="1"/>
      </w:tblPr>
      <w:tblGrid>
        <w:gridCol w:w="1809"/>
        <w:gridCol w:w="936"/>
        <w:gridCol w:w="1985"/>
        <w:gridCol w:w="1701"/>
        <w:gridCol w:w="1417"/>
        <w:gridCol w:w="2127"/>
        <w:gridCol w:w="1559"/>
        <w:gridCol w:w="1276"/>
        <w:gridCol w:w="1177"/>
      </w:tblGrid>
      <w:tr w:rsidR="00503843" w:rsidRPr="00333A62" w14:paraId="6E90B650" w14:textId="77777777" w:rsidTr="00734A94">
        <w:trPr>
          <w:trHeight w:val="1226"/>
        </w:trPr>
        <w:tc>
          <w:tcPr>
            <w:tcW w:w="1809" w:type="dxa"/>
            <w:shd w:val="clear" w:color="auto" w:fill="FFC000"/>
            <w:noWrap/>
            <w:vAlign w:val="center"/>
            <w:hideMark/>
          </w:tcPr>
          <w:p w14:paraId="3D2B65FA" w14:textId="77777777" w:rsidR="00503843" w:rsidRPr="00333A62" w:rsidRDefault="00503843" w:rsidP="000F1E4C">
            <w:pPr>
              <w:jc w:val="center"/>
              <w:rPr>
                <w:rFonts w:ascii="Times New Roman" w:hAnsi="Times New Roman" w:cs="Times New Roman"/>
                <w:b/>
                <w:sz w:val="24"/>
                <w:szCs w:val="24"/>
              </w:rPr>
            </w:pPr>
            <w:r w:rsidRPr="00333A62">
              <w:rPr>
                <w:rFonts w:ascii="Times New Roman" w:hAnsi="Times New Roman" w:cs="Times New Roman"/>
                <w:b/>
                <w:sz w:val="24"/>
                <w:szCs w:val="24"/>
              </w:rPr>
              <w:t>Régions</w:t>
            </w:r>
          </w:p>
        </w:tc>
        <w:tc>
          <w:tcPr>
            <w:tcW w:w="936" w:type="dxa"/>
            <w:shd w:val="clear" w:color="auto" w:fill="FFC000"/>
            <w:vAlign w:val="center"/>
            <w:hideMark/>
          </w:tcPr>
          <w:p w14:paraId="44F4016F" w14:textId="77777777" w:rsidR="00503843" w:rsidRPr="00333A62" w:rsidRDefault="00503843" w:rsidP="000F1E4C">
            <w:pPr>
              <w:jc w:val="center"/>
              <w:rPr>
                <w:rFonts w:ascii="Times New Roman" w:hAnsi="Times New Roman" w:cs="Times New Roman"/>
                <w:b/>
                <w:bCs/>
                <w:sz w:val="24"/>
                <w:szCs w:val="24"/>
              </w:rPr>
            </w:pPr>
            <w:r w:rsidRPr="00333A62">
              <w:rPr>
                <w:rFonts w:ascii="Times New Roman" w:hAnsi="Times New Roman" w:cs="Times New Roman"/>
                <w:b/>
                <w:bCs/>
                <w:sz w:val="24"/>
                <w:szCs w:val="24"/>
              </w:rPr>
              <w:t>TMIJ</w:t>
            </w:r>
          </w:p>
        </w:tc>
        <w:tc>
          <w:tcPr>
            <w:tcW w:w="1985" w:type="dxa"/>
            <w:shd w:val="clear" w:color="auto" w:fill="FFC000"/>
            <w:vAlign w:val="center"/>
            <w:hideMark/>
          </w:tcPr>
          <w:p w14:paraId="5FE7E274" w14:textId="77777777" w:rsidR="00503843" w:rsidRPr="002B5BD3" w:rsidRDefault="00503843" w:rsidP="000F1E4C">
            <w:pPr>
              <w:jc w:val="center"/>
              <w:rPr>
                <w:rFonts w:ascii="Times New Roman" w:hAnsi="Times New Roman" w:cs="Times New Roman"/>
                <w:b/>
                <w:bCs/>
                <w:sz w:val="24"/>
                <w:szCs w:val="24"/>
                <w:lang w:val="fr-CI"/>
              </w:rPr>
            </w:pPr>
            <w:r w:rsidRPr="002B5BD3">
              <w:rPr>
                <w:rFonts w:ascii="Times New Roman" w:hAnsi="Times New Roman" w:cs="Times New Roman"/>
                <w:b/>
                <w:bCs/>
                <w:sz w:val="24"/>
                <w:szCs w:val="24"/>
                <w:lang w:val="fr-CI"/>
              </w:rPr>
              <w:t>Contribution au poids de la mortalité des moins de 5 ans</w:t>
            </w:r>
          </w:p>
        </w:tc>
        <w:tc>
          <w:tcPr>
            <w:tcW w:w="1701" w:type="dxa"/>
            <w:shd w:val="clear" w:color="auto" w:fill="FFC000"/>
            <w:vAlign w:val="center"/>
            <w:hideMark/>
          </w:tcPr>
          <w:p w14:paraId="5DE761E4" w14:textId="26F0CD3B" w:rsidR="00503843" w:rsidRPr="00333A62" w:rsidRDefault="00503843" w:rsidP="000F1E4C">
            <w:pPr>
              <w:jc w:val="center"/>
              <w:rPr>
                <w:rFonts w:ascii="Times New Roman" w:hAnsi="Times New Roman" w:cs="Times New Roman"/>
                <w:b/>
                <w:bCs/>
                <w:sz w:val="24"/>
                <w:szCs w:val="24"/>
              </w:rPr>
            </w:pPr>
            <w:r w:rsidRPr="00333A62">
              <w:rPr>
                <w:rFonts w:ascii="Times New Roman" w:hAnsi="Times New Roman" w:cs="Times New Roman"/>
                <w:b/>
                <w:bCs/>
                <w:sz w:val="24"/>
                <w:szCs w:val="24"/>
              </w:rPr>
              <w:t>Proportion d'accouche</w:t>
            </w:r>
            <w:r w:rsidR="000F1E4C">
              <w:rPr>
                <w:rFonts w:ascii="Times New Roman" w:hAnsi="Times New Roman" w:cs="Times New Roman"/>
                <w:b/>
                <w:bCs/>
                <w:sz w:val="24"/>
                <w:szCs w:val="24"/>
              </w:rPr>
              <w:t>-</w:t>
            </w:r>
            <w:r w:rsidRPr="00333A62">
              <w:rPr>
                <w:rFonts w:ascii="Times New Roman" w:hAnsi="Times New Roman" w:cs="Times New Roman"/>
                <w:b/>
                <w:bCs/>
                <w:sz w:val="24"/>
                <w:szCs w:val="24"/>
              </w:rPr>
              <w:t>ments assistés</w:t>
            </w:r>
          </w:p>
        </w:tc>
        <w:tc>
          <w:tcPr>
            <w:tcW w:w="1417" w:type="dxa"/>
            <w:shd w:val="clear" w:color="auto" w:fill="FFC000"/>
            <w:vAlign w:val="center"/>
            <w:hideMark/>
          </w:tcPr>
          <w:p w14:paraId="10A35B4C" w14:textId="77777777" w:rsidR="00503843" w:rsidRPr="00333A62" w:rsidRDefault="00503843" w:rsidP="000F1E4C">
            <w:pPr>
              <w:jc w:val="center"/>
              <w:rPr>
                <w:rFonts w:ascii="Times New Roman" w:hAnsi="Times New Roman" w:cs="Times New Roman"/>
                <w:b/>
                <w:bCs/>
                <w:sz w:val="24"/>
                <w:szCs w:val="24"/>
              </w:rPr>
            </w:pPr>
            <w:r w:rsidRPr="00333A62">
              <w:rPr>
                <w:rFonts w:ascii="Times New Roman" w:hAnsi="Times New Roman" w:cs="Times New Roman"/>
                <w:b/>
                <w:bCs/>
                <w:sz w:val="24"/>
                <w:szCs w:val="24"/>
              </w:rPr>
              <w:t>Couverture en CPN4</w:t>
            </w:r>
          </w:p>
        </w:tc>
        <w:tc>
          <w:tcPr>
            <w:tcW w:w="2127" w:type="dxa"/>
            <w:shd w:val="clear" w:color="auto" w:fill="FFC000"/>
            <w:vAlign w:val="center"/>
            <w:hideMark/>
          </w:tcPr>
          <w:p w14:paraId="65F22290" w14:textId="77777777" w:rsidR="00503843" w:rsidRPr="002B5BD3" w:rsidRDefault="00503843" w:rsidP="000F1E4C">
            <w:pPr>
              <w:jc w:val="center"/>
              <w:rPr>
                <w:rFonts w:ascii="Times New Roman" w:hAnsi="Times New Roman" w:cs="Times New Roman"/>
                <w:b/>
                <w:bCs/>
                <w:sz w:val="24"/>
                <w:szCs w:val="24"/>
                <w:lang w:val="fr-CI"/>
              </w:rPr>
            </w:pPr>
            <w:r w:rsidRPr="002B5BD3">
              <w:rPr>
                <w:rFonts w:ascii="Times New Roman" w:hAnsi="Times New Roman" w:cs="Times New Roman"/>
                <w:b/>
                <w:bCs/>
                <w:sz w:val="24"/>
                <w:szCs w:val="24"/>
                <w:lang w:val="fr-CI"/>
              </w:rPr>
              <w:t>Accessibilité géographique aux soins (stratégie fixe &lt;5 km du centre de santé)</w:t>
            </w:r>
          </w:p>
        </w:tc>
        <w:tc>
          <w:tcPr>
            <w:tcW w:w="1559" w:type="dxa"/>
            <w:shd w:val="clear" w:color="auto" w:fill="FFC000"/>
            <w:vAlign w:val="center"/>
            <w:hideMark/>
          </w:tcPr>
          <w:p w14:paraId="1524D1BF" w14:textId="77777777" w:rsidR="00503843" w:rsidRPr="002B5BD3" w:rsidRDefault="00503843" w:rsidP="000F1E4C">
            <w:pPr>
              <w:jc w:val="center"/>
              <w:rPr>
                <w:rFonts w:ascii="Times New Roman" w:hAnsi="Times New Roman" w:cs="Times New Roman"/>
                <w:b/>
                <w:bCs/>
                <w:sz w:val="24"/>
                <w:szCs w:val="24"/>
                <w:lang w:val="fr-CI"/>
              </w:rPr>
            </w:pPr>
            <w:r w:rsidRPr="002B5BD3">
              <w:rPr>
                <w:rFonts w:ascii="Times New Roman" w:hAnsi="Times New Roman" w:cs="Times New Roman"/>
                <w:b/>
                <w:bCs/>
                <w:sz w:val="24"/>
                <w:szCs w:val="24"/>
                <w:lang w:val="fr-CI"/>
              </w:rPr>
              <w:t>Niveau de pauvreté (accessibilité financière)</w:t>
            </w:r>
          </w:p>
        </w:tc>
        <w:tc>
          <w:tcPr>
            <w:tcW w:w="1276" w:type="dxa"/>
            <w:shd w:val="clear" w:color="auto" w:fill="FFC000"/>
            <w:vAlign w:val="center"/>
            <w:hideMark/>
          </w:tcPr>
          <w:p w14:paraId="408F4149" w14:textId="77777777" w:rsidR="00503843" w:rsidRPr="002B5BD3" w:rsidRDefault="00503843" w:rsidP="000F1E4C">
            <w:pPr>
              <w:jc w:val="center"/>
              <w:rPr>
                <w:rFonts w:ascii="Times New Roman" w:hAnsi="Times New Roman" w:cs="Times New Roman"/>
                <w:b/>
                <w:bCs/>
                <w:sz w:val="24"/>
                <w:szCs w:val="24"/>
                <w:lang w:val="fr-CI"/>
              </w:rPr>
            </w:pPr>
            <w:r w:rsidRPr="002B5BD3">
              <w:rPr>
                <w:rFonts w:ascii="Times New Roman" w:hAnsi="Times New Roman" w:cs="Times New Roman"/>
                <w:b/>
                <w:bCs/>
                <w:sz w:val="24"/>
                <w:szCs w:val="24"/>
                <w:lang w:val="fr-CI"/>
              </w:rPr>
              <w:t>Retard de croissance modéré et sévère</w:t>
            </w:r>
          </w:p>
        </w:tc>
        <w:tc>
          <w:tcPr>
            <w:tcW w:w="1177" w:type="dxa"/>
            <w:shd w:val="clear" w:color="auto" w:fill="FFC000"/>
            <w:vAlign w:val="center"/>
            <w:hideMark/>
          </w:tcPr>
          <w:p w14:paraId="52C87080" w14:textId="77777777" w:rsidR="00503843" w:rsidRPr="00333A62" w:rsidRDefault="00503843" w:rsidP="000F1E4C">
            <w:pPr>
              <w:jc w:val="center"/>
              <w:rPr>
                <w:rFonts w:ascii="Times New Roman" w:hAnsi="Times New Roman" w:cs="Times New Roman"/>
                <w:b/>
                <w:bCs/>
                <w:sz w:val="24"/>
                <w:szCs w:val="24"/>
              </w:rPr>
            </w:pPr>
            <w:r w:rsidRPr="00333A62">
              <w:rPr>
                <w:rFonts w:ascii="Times New Roman" w:hAnsi="Times New Roman" w:cs="Times New Roman"/>
                <w:b/>
                <w:bCs/>
                <w:sz w:val="24"/>
                <w:szCs w:val="24"/>
              </w:rPr>
              <w:t>TOTAL</w:t>
            </w:r>
          </w:p>
        </w:tc>
      </w:tr>
      <w:tr w:rsidR="00503843" w:rsidRPr="00333A62" w14:paraId="2F93FE27" w14:textId="77777777" w:rsidTr="00734A94">
        <w:trPr>
          <w:trHeight w:val="382"/>
        </w:trPr>
        <w:tc>
          <w:tcPr>
            <w:tcW w:w="1809" w:type="dxa"/>
            <w:hideMark/>
          </w:tcPr>
          <w:p w14:paraId="40AF16C5"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Abidjan</w:t>
            </w:r>
          </w:p>
        </w:tc>
        <w:tc>
          <w:tcPr>
            <w:tcW w:w="936" w:type="dxa"/>
            <w:noWrap/>
            <w:vAlign w:val="center"/>
            <w:hideMark/>
          </w:tcPr>
          <w:p w14:paraId="18095936"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985" w:type="dxa"/>
            <w:noWrap/>
            <w:vAlign w:val="center"/>
            <w:hideMark/>
          </w:tcPr>
          <w:p w14:paraId="39B037B2"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701" w:type="dxa"/>
            <w:noWrap/>
            <w:vAlign w:val="center"/>
            <w:hideMark/>
          </w:tcPr>
          <w:p w14:paraId="385581A7"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417" w:type="dxa"/>
            <w:noWrap/>
            <w:vAlign w:val="center"/>
            <w:hideMark/>
          </w:tcPr>
          <w:p w14:paraId="435BC347"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2127" w:type="dxa"/>
            <w:noWrap/>
            <w:vAlign w:val="center"/>
            <w:hideMark/>
          </w:tcPr>
          <w:p w14:paraId="325F4BF1"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559" w:type="dxa"/>
            <w:noWrap/>
            <w:vAlign w:val="center"/>
            <w:hideMark/>
          </w:tcPr>
          <w:p w14:paraId="0CF12B87"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22,7</w:t>
            </w:r>
          </w:p>
        </w:tc>
        <w:tc>
          <w:tcPr>
            <w:tcW w:w="1276" w:type="dxa"/>
            <w:noWrap/>
            <w:vAlign w:val="center"/>
            <w:hideMark/>
          </w:tcPr>
          <w:p w14:paraId="1B1F9EC1"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177" w:type="dxa"/>
            <w:noWrap/>
            <w:vAlign w:val="center"/>
            <w:hideMark/>
          </w:tcPr>
          <w:p w14:paraId="271A1B3F"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136,2</w:t>
            </w:r>
          </w:p>
        </w:tc>
      </w:tr>
      <w:tr w:rsidR="00503843" w:rsidRPr="00333A62" w14:paraId="576D73DD" w14:textId="77777777" w:rsidTr="00734A94">
        <w:trPr>
          <w:trHeight w:val="382"/>
        </w:trPr>
        <w:tc>
          <w:tcPr>
            <w:tcW w:w="1809" w:type="dxa"/>
            <w:hideMark/>
          </w:tcPr>
          <w:p w14:paraId="5B89F5D5"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Centre</w:t>
            </w:r>
          </w:p>
        </w:tc>
        <w:tc>
          <w:tcPr>
            <w:tcW w:w="936" w:type="dxa"/>
            <w:noWrap/>
            <w:vAlign w:val="center"/>
            <w:hideMark/>
          </w:tcPr>
          <w:p w14:paraId="56A8DA26"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985" w:type="dxa"/>
            <w:noWrap/>
            <w:vAlign w:val="center"/>
            <w:hideMark/>
          </w:tcPr>
          <w:p w14:paraId="26C5C19E"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3</w:t>
            </w:r>
          </w:p>
        </w:tc>
        <w:tc>
          <w:tcPr>
            <w:tcW w:w="1701" w:type="dxa"/>
            <w:noWrap/>
            <w:vAlign w:val="center"/>
            <w:hideMark/>
          </w:tcPr>
          <w:p w14:paraId="0BA18DC3"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417" w:type="dxa"/>
            <w:noWrap/>
            <w:vAlign w:val="center"/>
            <w:hideMark/>
          </w:tcPr>
          <w:p w14:paraId="4FC830A1"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2</w:t>
            </w:r>
          </w:p>
        </w:tc>
        <w:tc>
          <w:tcPr>
            <w:tcW w:w="2127" w:type="dxa"/>
            <w:noWrap/>
            <w:vAlign w:val="center"/>
            <w:hideMark/>
          </w:tcPr>
          <w:p w14:paraId="4DFE7292"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1</w:t>
            </w:r>
          </w:p>
        </w:tc>
        <w:tc>
          <w:tcPr>
            <w:tcW w:w="1559" w:type="dxa"/>
            <w:noWrap/>
            <w:vAlign w:val="center"/>
            <w:hideMark/>
          </w:tcPr>
          <w:p w14:paraId="357E1BF6"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54,4</w:t>
            </w:r>
          </w:p>
        </w:tc>
        <w:tc>
          <w:tcPr>
            <w:tcW w:w="1276" w:type="dxa"/>
            <w:noWrap/>
            <w:vAlign w:val="center"/>
            <w:hideMark/>
          </w:tcPr>
          <w:p w14:paraId="42038CC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3</w:t>
            </w:r>
          </w:p>
        </w:tc>
        <w:tc>
          <w:tcPr>
            <w:tcW w:w="1177" w:type="dxa"/>
            <w:noWrap/>
            <w:vAlign w:val="center"/>
            <w:hideMark/>
          </w:tcPr>
          <w:p w14:paraId="1D3D658C"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489,6</w:t>
            </w:r>
          </w:p>
        </w:tc>
      </w:tr>
      <w:tr w:rsidR="00503843" w:rsidRPr="00333A62" w14:paraId="14034ACC" w14:textId="77777777" w:rsidTr="00734A94">
        <w:trPr>
          <w:trHeight w:val="382"/>
        </w:trPr>
        <w:tc>
          <w:tcPr>
            <w:tcW w:w="1809" w:type="dxa"/>
            <w:hideMark/>
          </w:tcPr>
          <w:p w14:paraId="1D02D47B"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Centre-Est</w:t>
            </w:r>
          </w:p>
        </w:tc>
        <w:tc>
          <w:tcPr>
            <w:tcW w:w="936" w:type="dxa"/>
            <w:noWrap/>
            <w:vAlign w:val="center"/>
            <w:hideMark/>
          </w:tcPr>
          <w:p w14:paraId="109E3B71"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3</w:t>
            </w:r>
          </w:p>
        </w:tc>
        <w:tc>
          <w:tcPr>
            <w:tcW w:w="1985" w:type="dxa"/>
            <w:noWrap/>
            <w:vAlign w:val="center"/>
            <w:hideMark/>
          </w:tcPr>
          <w:p w14:paraId="215B1FD7"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701" w:type="dxa"/>
            <w:noWrap/>
            <w:vAlign w:val="center"/>
            <w:hideMark/>
          </w:tcPr>
          <w:p w14:paraId="3FE14104"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417" w:type="dxa"/>
            <w:noWrap/>
            <w:vAlign w:val="center"/>
            <w:hideMark/>
          </w:tcPr>
          <w:p w14:paraId="3F87FBF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2</w:t>
            </w:r>
          </w:p>
        </w:tc>
        <w:tc>
          <w:tcPr>
            <w:tcW w:w="2127" w:type="dxa"/>
            <w:noWrap/>
            <w:vAlign w:val="center"/>
            <w:hideMark/>
          </w:tcPr>
          <w:p w14:paraId="5EDAE1F7"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1</w:t>
            </w:r>
          </w:p>
        </w:tc>
        <w:tc>
          <w:tcPr>
            <w:tcW w:w="1559" w:type="dxa"/>
            <w:noWrap/>
            <w:vAlign w:val="center"/>
            <w:hideMark/>
          </w:tcPr>
          <w:p w14:paraId="0E1B9E65"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48,7</w:t>
            </w:r>
          </w:p>
        </w:tc>
        <w:tc>
          <w:tcPr>
            <w:tcW w:w="1276" w:type="dxa"/>
            <w:noWrap/>
            <w:vAlign w:val="center"/>
            <w:hideMark/>
          </w:tcPr>
          <w:p w14:paraId="54983E1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3</w:t>
            </w:r>
          </w:p>
        </w:tc>
        <w:tc>
          <w:tcPr>
            <w:tcW w:w="1177" w:type="dxa"/>
            <w:noWrap/>
            <w:vAlign w:val="center"/>
            <w:hideMark/>
          </w:tcPr>
          <w:p w14:paraId="6F93CBEE"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438,3</w:t>
            </w:r>
          </w:p>
        </w:tc>
      </w:tr>
      <w:tr w:rsidR="00503843" w:rsidRPr="00333A62" w14:paraId="0DC4F767" w14:textId="77777777" w:rsidTr="00734A94">
        <w:trPr>
          <w:trHeight w:val="382"/>
        </w:trPr>
        <w:tc>
          <w:tcPr>
            <w:tcW w:w="1809" w:type="dxa"/>
            <w:hideMark/>
          </w:tcPr>
          <w:p w14:paraId="5D5925C9"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Centre-Nord</w:t>
            </w:r>
          </w:p>
        </w:tc>
        <w:tc>
          <w:tcPr>
            <w:tcW w:w="936" w:type="dxa"/>
            <w:noWrap/>
            <w:vAlign w:val="center"/>
            <w:hideMark/>
          </w:tcPr>
          <w:p w14:paraId="400B7A45"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3</w:t>
            </w:r>
          </w:p>
        </w:tc>
        <w:tc>
          <w:tcPr>
            <w:tcW w:w="1985" w:type="dxa"/>
            <w:noWrap/>
            <w:vAlign w:val="center"/>
            <w:hideMark/>
          </w:tcPr>
          <w:p w14:paraId="135E7246"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3</w:t>
            </w:r>
          </w:p>
        </w:tc>
        <w:tc>
          <w:tcPr>
            <w:tcW w:w="1701" w:type="dxa"/>
            <w:noWrap/>
            <w:vAlign w:val="center"/>
            <w:hideMark/>
          </w:tcPr>
          <w:p w14:paraId="2952ACAA"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2</w:t>
            </w:r>
          </w:p>
        </w:tc>
        <w:tc>
          <w:tcPr>
            <w:tcW w:w="1417" w:type="dxa"/>
            <w:noWrap/>
            <w:vAlign w:val="center"/>
            <w:hideMark/>
          </w:tcPr>
          <w:p w14:paraId="63B6C94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2127" w:type="dxa"/>
            <w:noWrap/>
            <w:vAlign w:val="center"/>
            <w:hideMark/>
          </w:tcPr>
          <w:p w14:paraId="76557D1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1</w:t>
            </w:r>
          </w:p>
        </w:tc>
        <w:tc>
          <w:tcPr>
            <w:tcW w:w="1559" w:type="dxa"/>
            <w:noWrap/>
            <w:vAlign w:val="center"/>
            <w:hideMark/>
          </w:tcPr>
          <w:p w14:paraId="48ADC230"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55,3</w:t>
            </w:r>
          </w:p>
        </w:tc>
        <w:tc>
          <w:tcPr>
            <w:tcW w:w="1276" w:type="dxa"/>
            <w:noWrap/>
            <w:vAlign w:val="center"/>
            <w:hideMark/>
          </w:tcPr>
          <w:p w14:paraId="4CFF80A1"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177" w:type="dxa"/>
            <w:noWrap/>
            <w:vAlign w:val="center"/>
            <w:hideMark/>
          </w:tcPr>
          <w:p w14:paraId="00F68E7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497,7</w:t>
            </w:r>
          </w:p>
        </w:tc>
      </w:tr>
      <w:tr w:rsidR="00503843" w:rsidRPr="00333A62" w14:paraId="30407F01" w14:textId="77777777" w:rsidTr="00734A94">
        <w:trPr>
          <w:trHeight w:val="382"/>
        </w:trPr>
        <w:tc>
          <w:tcPr>
            <w:tcW w:w="1809" w:type="dxa"/>
            <w:hideMark/>
          </w:tcPr>
          <w:p w14:paraId="5853E16A"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Centre-Ouest</w:t>
            </w:r>
          </w:p>
        </w:tc>
        <w:tc>
          <w:tcPr>
            <w:tcW w:w="936" w:type="dxa"/>
            <w:noWrap/>
            <w:vAlign w:val="center"/>
            <w:hideMark/>
          </w:tcPr>
          <w:p w14:paraId="24FB914A"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985" w:type="dxa"/>
            <w:noWrap/>
            <w:vAlign w:val="center"/>
            <w:hideMark/>
          </w:tcPr>
          <w:p w14:paraId="620183B8"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701" w:type="dxa"/>
            <w:noWrap/>
            <w:vAlign w:val="center"/>
            <w:hideMark/>
          </w:tcPr>
          <w:p w14:paraId="6F2720C1"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w:t>
            </w:r>
          </w:p>
        </w:tc>
        <w:tc>
          <w:tcPr>
            <w:tcW w:w="1417" w:type="dxa"/>
            <w:noWrap/>
            <w:vAlign w:val="center"/>
            <w:hideMark/>
          </w:tcPr>
          <w:p w14:paraId="4B207011"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w:t>
            </w:r>
          </w:p>
        </w:tc>
        <w:tc>
          <w:tcPr>
            <w:tcW w:w="2127" w:type="dxa"/>
            <w:noWrap/>
            <w:vAlign w:val="center"/>
            <w:hideMark/>
          </w:tcPr>
          <w:p w14:paraId="36782201"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2</w:t>
            </w:r>
          </w:p>
        </w:tc>
        <w:tc>
          <w:tcPr>
            <w:tcW w:w="1559" w:type="dxa"/>
            <w:noWrap/>
            <w:vAlign w:val="center"/>
            <w:hideMark/>
          </w:tcPr>
          <w:p w14:paraId="39BD546F"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54,1</w:t>
            </w:r>
          </w:p>
        </w:tc>
        <w:tc>
          <w:tcPr>
            <w:tcW w:w="1276" w:type="dxa"/>
            <w:noWrap/>
            <w:vAlign w:val="center"/>
            <w:hideMark/>
          </w:tcPr>
          <w:p w14:paraId="2F5CF886"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177" w:type="dxa"/>
            <w:noWrap/>
            <w:vAlign w:val="center"/>
            <w:hideMark/>
          </w:tcPr>
          <w:p w14:paraId="1CB6EA20"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1514,8</w:t>
            </w:r>
          </w:p>
        </w:tc>
      </w:tr>
      <w:tr w:rsidR="00503843" w:rsidRPr="00333A62" w14:paraId="1DDC733D" w14:textId="77777777" w:rsidTr="00734A94">
        <w:trPr>
          <w:trHeight w:val="382"/>
        </w:trPr>
        <w:tc>
          <w:tcPr>
            <w:tcW w:w="1809" w:type="dxa"/>
            <w:hideMark/>
          </w:tcPr>
          <w:p w14:paraId="355517BD"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Nord</w:t>
            </w:r>
          </w:p>
        </w:tc>
        <w:tc>
          <w:tcPr>
            <w:tcW w:w="936" w:type="dxa"/>
            <w:noWrap/>
            <w:vAlign w:val="center"/>
            <w:hideMark/>
          </w:tcPr>
          <w:p w14:paraId="1C7C875A"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985" w:type="dxa"/>
            <w:noWrap/>
            <w:vAlign w:val="center"/>
            <w:hideMark/>
          </w:tcPr>
          <w:p w14:paraId="70614B6E"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701" w:type="dxa"/>
            <w:noWrap/>
            <w:vAlign w:val="center"/>
            <w:hideMark/>
          </w:tcPr>
          <w:p w14:paraId="5F979C97"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2</w:t>
            </w:r>
          </w:p>
        </w:tc>
        <w:tc>
          <w:tcPr>
            <w:tcW w:w="1417" w:type="dxa"/>
            <w:noWrap/>
            <w:vAlign w:val="center"/>
            <w:hideMark/>
          </w:tcPr>
          <w:p w14:paraId="565F40C5"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w:t>
            </w:r>
          </w:p>
        </w:tc>
        <w:tc>
          <w:tcPr>
            <w:tcW w:w="2127" w:type="dxa"/>
            <w:noWrap/>
            <w:vAlign w:val="center"/>
            <w:hideMark/>
          </w:tcPr>
          <w:p w14:paraId="1F449F55"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2</w:t>
            </w:r>
          </w:p>
        </w:tc>
        <w:tc>
          <w:tcPr>
            <w:tcW w:w="1559" w:type="dxa"/>
            <w:noWrap/>
            <w:vAlign w:val="center"/>
            <w:hideMark/>
          </w:tcPr>
          <w:p w14:paraId="26A14A96"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60,8</w:t>
            </w:r>
          </w:p>
        </w:tc>
        <w:tc>
          <w:tcPr>
            <w:tcW w:w="1276" w:type="dxa"/>
            <w:noWrap/>
            <w:vAlign w:val="center"/>
            <w:hideMark/>
          </w:tcPr>
          <w:p w14:paraId="14B713A4"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177" w:type="dxa"/>
            <w:noWrap/>
            <w:vAlign w:val="center"/>
            <w:hideMark/>
          </w:tcPr>
          <w:p w14:paraId="4E79486E"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1580,8</w:t>
            </w:r>
          </w:p>
        </w:tc>
      </w:tr>
      <w:tr w:rsidR="00503843" w:rsidRPr="00333A62" w14:paraId="0CEC750E" w14:textId="77777777" w:rsidTr="00734A94">
        <w:trPr>
          <w:trHeight w:val="382"/>
        </w:trPr>
        <w:tc>
          <w:tcPr>
            <w:tcW w:w="1809" w:type="dxa"/>
            <w:hideMark/>
          </w:tcPr>
          <w:p w14:paraId="2D3DA562"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Nord-Est</w:t>
            </w:r>
          </w:p>
        </w:tc>
        <w:tc>
          <w:tcPr>
            <w:tcW w:w="936" w:type="dxa"/>
            <w:noWrap/>
            <w:vAlign w:val="center"/>
            <w:hideMark/>
          </w:tcPr>
          <w:p w14:paraId="30FE5940"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985" w:type="dxa"/>
            <w:noWrap/>
            <w:vAlign w:val="center"/>
            <w:hideMark/>
          </w:tcPr>
          <w:p w14:paraId="28B2AC04"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3</w:t>
            </w:r>
          </w:p>
        </w:tc>
        <w:tc>
          <w:tcPr>
            <w:tcW w:w="1701" w:type="dxa"/>
            <w:noWrap/>
            <w:vAlign w:val="center"/>
            <w:hideMark/>
          </w:tcPr>
          <w:p w14:paraId="697DDF08"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w:t>
            </w:r>
          </w:p>
        </w:tc>
        <w:tc>
          <w:tcPr>
            <w:tcW w:w="1417" w:type="dxa"/>
            <w:noWrap/>
            <w:vAlign w:val="center"/>
            <w:hideMark/>
          </w:tcPr>
          <w:p w14:paraId="1CE21DFC"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2</w:t>
            </w:r>
          </w:p>
        </w:tc>
        <w:tc>
          <w:tcPr>
            <w:tcW w:w="2127" w:type="dxa"/>
            <w:noWrap/>
            <w:vAlign w:val="center"/>
            <w:hideMark/>
          </w:tcPr>
          <w:p w14:paraId="29A50B7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2</w:t>
            </w:r>
          </w:p>
        </w:tc>
        <w:tc>
          <w:tcPr>
            <w:tcW w:w="1559" w:type="dxa"/>
            <w:noWrap/>
            <w:vAlign w:val="center"/>
            <w:hideMark/>
          </w:tcPr>
          <w:p w14:paraId="3BB68411"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54,3</w:t>
            </w:r>
          </w:p>
        </w:tc>
        <w:tc>
          <w:tcPr>
            <w:tcW w:w="1276" w:type="dxa"/>
            <w:noWrap/>
            <w:vAlign w:val="center"/>
            <w:hideMark/>
          </w:tcPr>
          <w:p w14:paraId="63F548DB"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177" w:type="dxa"/>
            <w:noWrap/>
            <w:vAlign w:val="center"/>
            <w:hideMark/>
          </w:tcPr>
          <w:p w14:paraId="53F8DAB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1248,9</w:t>
            </w:r>
          </w:p>
        </w:tc>
      </w:tr>
      <w:tr w:rsidR="00503843" w:rsidRPr="00333A62" w14:paraId="3AA93443" w14:textId="77777777" w:rsidTr="00734A94">
        <w:trPr>
          <w:trHeight w:val="382"/>
        </w:trPr>
        <w:tc>
          <w:tcPr>
            <w:tcW w:w="1809" w:type="dxa"/>
            <w:hideMark/>
          </w:tcPr>
          <w:p w14:paraId="66535F3E"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Nord-Ouest</w:t>
            </w:r>
          </w:p>
        </w:tc>
        <w:tc>
          <w:tcPr>
            <w:tcW w:w="936" w:type="dxa"/>
            <w:noWrap/>
            <w:vAlign w:val="center"/>
            <w:hideMark/>
          </w:tcPr>
          <w:p w14:paraId="2779C077"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985" w:type="dxa"/>
            <w:noWrap/>
            <w:vAlign w:val="center"/>
            <w:hideMark/>
          </w:tcPr>
          <w:p w14:paraId="04D96123"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3</w:t>
            </w:r>
          </w:p>
        </w:tc>
        <w:tc>
          <w:tcPr>
            <w:tcW w:w="1701" w:type="dxa"/>
            <w:noWrap/>
            <w:vAlign w:val="center"/>
            <w:hideMark/>
          </w:tcPr>
          <w:p w14:paraId="22702F45"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w:t>
            </w:r>
          </w:p>
        </w:tc>
        <w:tc>
          <w:tcPr>
            <w:tcW w:w="1417" w:type="dxa"/>
            <w:noWrap/>
            <w:vAlign w:val="center"/>
            <w:hideMark/>
          </w:tcPr>
          <w:p w14:paraId="44D21C58"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w:t>
            </w:r>
          </w:p>
        </w:tc>
        <w:tc>
          <w:tcPr>
            <w:tcW w:w="2127" w:type="dxa"/>
            <w:noWrap/>
            <w:vAlign w:val="center"/>
            <w:hideMark/>
          </w:tcPr>
          <w:p w14:paraId="4B96313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2</w:t>
            </w:r>
          </w:p>
        </w:tc>
        <w:tc>
          <w:tcPr>
            <w:tcW w:w="1559" w:type="dxa"/>
            <w:noWrap/>
            <w:vAlign w:val="center"/>
            <w:hideMark/>
          </w:tcPr>
          <w:p w14:paraId="5BEBBFC2"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61,5</w:t>
            </w:r>
          </w:p>
        </w:tc>
        <w:tc>
          <w:tcPr>
            <w:tcW w:w="1276" w:type="dxa"/>
            <w:noWrap/>
            <w:vAlign w:val="center"/>
            <w:hideMark/>
          </w:tcPr>
          <w:p w14:paraId="7E286411"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177" w:type="dxa"/>
            <w:noWrap/>
            <w:vAlign w:val="center"/>
            <w:hideMark/>
          </w:tcPr>
          <w:p w14:paraId="6E93E446"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1537,5</w:t>
            </w:r>
          </w:p>
        </w:tc>
      </w:tr>
      <w:tr w:rsidR="00503843" w:rsidRPr="00333A62" w14:paraId="07FE0E5A" w14:textId="77777777" w:rsidTr="00734A94">
        <w:trPr>
          <w:trHeight w:val="382"/>
        </w:trPr>
        <w:tc>
          <w:tcPr>
            <w:tcW w:w="1809" w:type="dxa"/>
            <w:hideMark/>
          </w:tcPr>
          <w:p w14:paraId="0846B84C"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Ouest</w:t>
            </w:r>
          </w:p>
        </w:tc>
        <w:tc>
          <w:tcPr>
            <w:tcW w:w="936" w:type="dxa"/>
            <w:noWrap/>
            <w:vAlign w:val="center"/>
            <w:hideMark/>
          </w:tcPr>
          <w:p w14:paraId="1C18F9C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985" w:type="dxa"/>
            <w:noWrap/>
            <w:vAlign w:val="center"/>
            <w:hideMark/>
          </w:tcPr>
          <w:p w14:paraId="0533FE2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701" w:type="dxa"/>
            <w:noWrap/>
            <w:vAlign w:val="center"/>
            <w:hideMark/>
          </w:tcPr>
          <w:p w14:paraId="36AAA983"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w:t>
            </w:r>
          </w:p>
        </w:tc>
        <w:tc>
          <w:tcPr>
            <w:tcW w:w="1417" w:type="dxa"/>
            <w:noWrap/>
            <w:vAlign w:val="center"/>
            <w:hideMark/>
          </w:tcPr>
          <w:p w14:paraId="4C35E406"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w:t>
            </w:r>
          </w:p>
        </w:tc>
        <w:tc>
          <w:tcPr>
            <w:tcW w:w="2127" w:type="dxa"/>
            <w:noWrap/>
            <w:vAlign w:val="center"/>
            <w:hideMark/>
          </w:tcPr>
          <w:p w14:paraId="4A79A76D"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1</w:t>
            </w:r>
          </w:p>
        </w:tc>
        <w:tc>
          <w:tcPr>
            <w:tcW w:w="1559" w:type="dxa"/>
            <w:noWrap/>
            <w:vAlign w:val="center"/>
            <w:hideMark/>
          </w:tcPr>
          <w:p w14:paraId="3818D3FE"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49,9</w:t>
            </w:r>
          </w:p>
        </w:tc>
        <w:tc>
          <w:tcPr>
            <w:tcW w:w="1276" w:type="dxa"/>
            <w:noWrap/>
            <w:vAlign w:val="center"/>
            <w:hideMark/>
          </w:tcPr>
          <w:p w14:paraId="2B89977C"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177" w:type="dxa"/>
            <w:noWrap/>
            <w:vAlign w:val="center"/>
            <w:hideMark/>
          </w:tcPr>
          <w:p w14:paraId="58852C37"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1347,3</w:t>
            </w:r>
          </w:p>
        </w:tc>
      </w:tr>
      <w:tr w:rsidR="00503843" w:rsidRPr="00333A62" w14:paraId="73FBCA69" w14:textId="77777777" w:rsidTr="00734A94">
        <w:trPr>
          <w:trHeight w:val="382"/>
        </w:trPr>
        <w:tc>
          <w:tcPr>
            <w:tcW w:w="1809" w:type="dxa"/>
            <w:hideMark/>
          </w:tcPr>
          <w:p w14:paraId="38795A67"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Sud-Ouest</w:t>
            </w:r>
          </w:p>
        </w:tc>
        <w:tc>
          <w:tcPr>
            <w:tcW w:w="936" w:type="dxa"/>
            <w:noWrap/>
            <w:vAlign w:val="center"/>
            <w:hideMark/>
          </w:tcPr>
          <w:p w14:paraId="228DF4BE"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985" w:type="dxa"/>
            <w:noWrap/>
            <w:vAlign w:val="center"/>
            <w:hideMark/>
          </w:tcPr>
          <w:p w14:paraId="3AF2CFE6"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3</w:t>
            </w:r>
          </w:p>
        </w:tc>
        <w:tc>
          <w:tcPr>
            <w:tcW w:w="1701" w:type="dxa"/>
            <w:noWrap/>
            <w:vAlign w:val="center"/>
            <w:hideMark/>
          </w:tcPr>
          <w:p w14:paraId="101E9136"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w:t>
            </w:r>
          </w:p>
        </w:tc>
        <w:tc>
          <w:tcPr>
            <w:tcW w:w="1417" w:type="dxa"/>
            <w:noWrap/>
            <w:vAlign w:val="center"/>
            <w:hideMark/>
          </w:tcPr>
          <w:p w14:paraId="7FB5723F"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4</w:t>
            </w:r>
          </w:p>
        </w:tc>
        <w:tc>
          <w:tcPr>
            <w:tcW w:w="2127" w:type="dxa"/>
            <w:noWrap/>
            <w:vAlign w:val="center"/>
            <w:hideMark/>
          </w:tcPr>
          <w:p w14:paraId="6EECCC7A"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2</w:t>
            </w:r>
          </w:p>
        </w:tc>
        <w:tc>
          <w:tcPr>
            <w:tcW w:w="1559" w:type="dxa"/>
            <w:noWrap/>
            <w:vAlign w:val="center"/>
            <w:hideMark/>
          </w:tcPr>
          <w:p w14:paraId="0D6D4C40"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39,1</w:t>
            </w:r>
          </w:p>
        </w:tc>
        <w:tc>
          <w:tcPr>
            <w:tcW w:w="1276" w:type="dxa"/>
            <w:noWrap/>
            <w:vAlign w:val="center"/>
            <w:hideMark/>
          </w:tcPr>
          <w:p w14:paraId="3512E454"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177" w:type="dxa"/>
            <w:noWrap/>
            <w:vAlign w:val="center"/>
            <w:hideMark/>
          </w:tcPr>
          <w:p w14:paraId="30CE4362"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508,3</w:t>
            </w:r>
          </w:p>
        </w:tc>
      </w:tr>
      <w:tr w:rsidR="00503843" w:rsidRPr="00333A62" w14:paraId="66AA3828" w14:textId="77777777" w:rsidTr="00734A94">
        <w:trPr>
          <w:trHeight w:val="593"/>
        </w:trPr>
        <w:tc>
          <w:tcPr>
            <w:tcW w:w="1809" w:type="dxa"/>
            <w:hideMark/>
          </w:tcPr>
          <w:p w14:paraId="1D9106BF"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Sud sans Ville d'Abidjan</w:t>
            </w:r>
          </w:p>
        </w:tc>
        <w:tc>
          <w:tcPr>
            <w:tcW w:w="936" w:type="dxa"/>
            <w:noWrap/>
            <w:vAlign w:val="center"/>
            <w:hideMark/>
          </w:tcPr>
          <w:p w14:paraId="5FBC96BD" w14:textId="77777777" w:rsidR="00503843" w:rsidRPr="00333A62" w:rsidRDefault="00503843" w:rsidP="00734A94">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985" w:type="dxa"/>
            <w:noWrap/>
            <w:vAlign w:val="center"/>
            <w:hideMark/>
          </w:tcPr>
          <w:p w14:paraId="60EFCA31" w14:textId="77777777" w:rsidR="00503843" w:rsidRPr="00333A62" w:rsidRDefault="00503843" w:rsidP="00734A94">
            <w:pPr>
              <w:jc w:val="center"/>
              <w:rPr>
                <w:rFonts w:ascii="Times New Roman" w:hAnsi="Times New Roman" w:cs="Times New Roman"/>
                <w:sz w:val="24"/>
                <w:szCs w:val="24"/>
              </w:rPr>
            </w:pPr>
            <w:r w:rsidRPr="00333A62">
              <w:rPr>
                <w:rFonts w:ascii="Times New Roman" w:hAnsi="Times New Roman" w:cs="Times New Roman"/>
                <w:sz w:val="24"/>
                <w:szCs w:val="24"/>
              </w:rPr>
              <w:t>6</w:t>
            </w:r>
          </w:p>
        </w:tc>
        <w:tc>
          <w:tcPr>
            <w:tcW w:w="1701" w:type="dxa"/>
            <w:noWrap/>
            <w:vAlign w:val="center"/>
            <w:hideMark/>
          </w:tcPr>
          <w:p w14:paraId="6A2CAB77" w14:textId="77777777" w:rsidR="00503843" w:rsidRPr="00333A62" w:rsidRDefault="00503843" w:rsidP="00734A94">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1417" w:type="dxa"/>
            <w:noWrap/>
            <w:vAlign w:val="center"/>
            <w:hideMark/>
          </w:tcPr>
          <w:p w14:paraId="4EBAE320" w14:textId="77777777" w:rsidR="00503843" w:rsidRPr="00333A62" w:rsidRDefault="00503843" w:rsidP="00734A94">
            <w:pPr>
              <w:jc w:val="center"/>
              <w:rPr>
                <w:rFonts w:ascii="Times New Roman" w:hAnsi="Times New Roman" w:cs="Times New Roman"/>
                <w:sz w:val="24"/>
                <w:szCs w:val="24"/>
              </w:rPr>
            </w:pPr>
            <w:r w:rsidRPr="00333A62">
              <w:rPr>
                <w:rFonts w:ascii="Times New Roman" w:hAnsi="Times New Roman" w:cs="Times New Roman"/>
                <w:sz w:val="24"/>
                <w:szCs w:val="24"/>
              </w:rPr>
              <w:t>0</w:t>
            </w:r>
          </w:p>
        </w:tc>
        <w:tc>
          <w:tcPr>
            <w:tcW w:w="2127" w:type="dxa"/>
            <w:noWrap/>
            <w:vAlign w:val="center"/>
            <w:hideMark/>
          </w:tcPr>
          <w:p w14:paraId="72A815DE" w14:textId="77777777" w:rsidR="00503843" w:rsidRPr="00333A62" w:rsidRDefault="00503843" w:rsidP="00734A94">
            <w:pPr>
              <w:jc w:val="center"/>
              <w:rPr>
                <w:rFonts w:ascii="Times New Roman" w:hAnsi="Times New Roman" w:cs="Times New Roman"/>
                <w:sz w:val="24"/>
                <w:szCs w:val="24"/>
              </w:rPr>
            </w:pPr>
            <w:r w:rsidRPr="00333A62">
              <w:rPr>
                <w:rFonts w:ascii="Times New Roman" w:hAnsi="Times New Roman" w:cs="Times New Roman"/>
                <w:sz w:val="24"/>
                <w:szCs w:val="24"/>
              </w:rPr>
              <w:t>1</w:t>
            </w:r>
          </w:p>
        </w:tc>
        <w:tc>
          <w:tcPr>
            <w:tcW w:w="1559" w:type="dxa"/>
            <w:noWrap/>
            <w:vAlign w:val="center"/>
            <w:hideMark/>
          </w:tcPr>
          <w:p w14:paraId="355BDE49" w14:textId="77777777" w:rsidR="00503843" w:rsidRPr="00333A62" w:rsidRDefault="00503843" w:rsidP="00734A94">
            <w:pPr>
              <w:jc w:val="center"/>
              <w:rPr>
                <w:rFonts w:ascii="Times New Roman" w:hAnsi="Times New Roman" w:cs="Times New Roman"/>
                <w:sz w:val="24"/>
                <w:szCs w:val="24"/>
              </w:rPr>
            </w:pPr>
            <w:r w:rsidRPr="00333A62">
              <w:rPr>
                <w:rFonts w:ascii="Times New Roman" w:hAnsi="Times New Roman" w:cs="Times New Roman"/>
                <w:sz w:val="24"/>
                <w:szCs w:val="24"/>
              </w:rPr>
              <w:t>49,3</w:t>
            </w:r>
          </w:p>
        </w:tc>
        <w:tc>
          <w:tcPr>
            <w:tcW w:w="1276" w:type="dxa"/>
            <w:noWrap/>
            <w:vAlign w:val="center"/>
            <w:hideMark/>
          </w:tcPr>
          <w:p w14:paraId="206B5B15" w14:textId="77777777" w:rsidR="00503843" w:rsidRPr="00333A62" w:rsidRDefault="00503843" w:rsidP="00734A94">
            <w:pPr>
              <w:jc w:val="center"/>
              <w:rPr>
                <w:rFonts w:ascii="Times New Roman" w:hAnsi="Times New Roman" w:cs="Times New Roman"/>
                <w:sz w:val="24"/>
                <w:szCs w:val="24"/>
              </w:rPr>
            </w:pPr>
            <w:r w:rsidRPr="00333A62">
              <w:rPr>
                <w:rFonts w:ascii="Times New Roman" w:hAnsi="Times New Roman" w:cs="Times New Roman"/>
                <w:sz w:val="24"/>
                <w:szCs w:val="24"/>
              </w:rPr>
              <w:t>3</w:t>
            </w:r>
          </w:p>
        </w:tc>
        <w:tc>
          <w:tcPr>
            <w:tcW w:w="1177" w:type="dxa"/>
            <w:noWrap/>
            <w:vAlign w:val="center"/>
            <w:hideMark/>
          </w:tcPr>
          <w:p w14:paraId="5191EFD2" w14:textId="77777777" w:rsidR="00503843" w:rsidRPr="00333A62" w:rsidRDefault="00503843" w:rsidP="00734A94">
            <w:pPr>
              <w:jc w:val="center"/>
              <w:rPr>
                <w:rFonts w:ascii="Times New Roman" w:hAnsi="Times New Roman" w:cs="Times New Roman"/>
                <w:sz w:val="24"/>
                <w:szCs w:val="24"/>
              </w:rPr>
            </w:pPr>
            <w:r w:rsidRPr="00333A62">
              <w:rPr>
                <w:rFonts w:ascii="Times New Roman" w:hAnsi="Times New Roman" w:cs="Times New Roman"/>
                <w:sz w:val="24"/>
                <w:szCs w:val="24"/>
              </w:rPr>
              <w:t>493</w:t>
            </w:r>
          </w:p>
        </w:tc>
      </w:tr>
      <w:tr w:rsidR="00503843" w:rsidRPr="00333A62" w14:paraId="013527F0" w14:textId="77777777" w:rsidTr="00734A94">
        <w:trPr>
          <w:trHeight w:val="559"/>
        </w:trPr>
        <w:tc>
          <w:tcPr>
            <w:tcW w:w="1809" w:type="dxa"/>
            <w:hideMark/>
          </w:tcPr>
          <w:p w14:paraId="2B3953D0" w14:textId="77777777" w:rsidR="00503843" w:rsidRPr="00333A62" w:rsidRDefault="00503843" w:rsidP="000F1E4C">
            <w:pPr>
              <w:rPr>
                <w:rFonts w:ascii="Times New Roman" w:hAnsi="Times New Roman" w:cs="Times New Roman"/>
                <w:b/>
                <w:bCs/>
                <w:sz w:val="24"/>
                <w:szCs w:val="24"/>
              </w:rPr>
            </w:pPr>
            <w:r w:rsidRPr="00333A62">
              <w:rPr>
                <w:rFonts w:ascii="Times New Roman" w:hAnsi="Times New Roman" w:cs="Times New Roman"/>
                <w:b/>
                <w:bCs/>
                <w:sz w:val="24"/>
                <w:szCs w:val="24"/>
              </w:rPr>
              <w:t>Médiane nationale</w:t>
            </w:r>
          </w:p>
        </w:tc>
        <w:tc>
          <w:tcPr>
            <w:tcW w:w="936" w:type="dxa"/>
            <w:noWrap/>
            <w:vAlign w:val="center"/>
            <w:hideMark/>
          </w:tcPr>
          <w:p w14:paraId="51512103" w14:textId="407CE35E" w:rsidR="00503843" w:rsidRPr="00333A62" w:rsidRDefault="00734A94" w:rsidP="000F1E4C">
            <w:pPr>
              <w:jc w:val="center"/>
              <w:rPr>
                <w:rFonts w:ascii="Times New Roman" w:hAnsi="Times New Roman" w:cs="Times New Roman"/>
                <w:sz w:val="24"/>
                <w:szCs w:val="24"/>
              </w:rPr>
            </w:pPr>
            <w:r>
              <w:rPr>
                <w:rFonts w:ascii="Times New Roman" w:hAnsi="Times New Roman" w:cs="Times New Roman"/>
                <w:sz w:val="24"/>
                <w:szCs w:val="24"/>
              </w:rPr>
              <w:t>88</w:t>
            </w:r>
          </w:p>
        </w:tc>
        <w:tc>
          <w:tcPr>
            <w:tcW w:w="1985" w:type="dxa"/>
            <w:noWrap/>
            <w:vAlign w:val="center"/>
            <w:hideMark/>
          </w:tcPr>
          <w:p w14:paraId="306C50C0"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8,31</w:t>
            </w:r>
          </w:p>
        </w:tc>
        <w:tc>
          <w:tcPr>
            <w:tcW w:w="1701" w:type="dxa"/>
            <w:noWrap/>
            <w:vAlign w:val="center"/>
            <w:hideMark/>
          </w:tcPr>
          <w:p w14:paraId="4662955D" w14:textId="237A27D9" w:rsidR="00503843" w:rsidRPr="00333A62" w:rsidRDefault="00734A94" w:rsidP="000F1E4C">
            <w:pPr>
              <w:jc w:val="center"/>
              <w:rPr>
                <w:rFonts w:ascii="Times New Roman" w:hAnsi="Times New Roman" w:cs="Times New Roman"/>
                <w:sz w:val="24"/>
                <w:szCs w:val="24"/>
              </w:rPr>
            </w:pPr>
            <w:r>
              <w:rPr>
                <w:rFonts w:ascii="Times New Roman" w:hAnsi="Times New Roman" w:cs="Times New Roman"/>
                <w:sz w:val="24"/>
                <w:szCs w:val="24"/>
              </w:rPr>
              <w:t>67,3</w:t>
            </w:r>
          </w:p>
        </w:tc>
        <w:tc>
          <w:tcPr>
            <w:tcW w:w="1417" w:type="dxa"/>
            <w:noWrap/>
            <w:vAlign w:val="center"/>
            <w:hideMark/>
          </w:tcPr>
          <w:p w14:paraId="4F08F2CA" w14:textId="54419718" w:rsidR="00503843" w:rsidRPr="00333A62" w:rsidRDefault="00734A94" w:rsidP="000F1E4C">
            <w:pPr>
              <w:jc w:val="center"/>
              <w:rPr>
                <w:rFonts w:ascii="Times New Roman" w:hAnsi="Times New Roman" w:cs="Times New Roman"/>
                <w:sz w:val="24"/>
                <w:szCs w:val="24"/>
              </w:rPr>
            </w:pPr>
            <w:r>
              <w:rPr>
                <w:rFonts w:ascii="Times New Roman" w:hAnsi="Times New Roman" w:cs="Times New Roman"/>
                <w:sz w:val="24"/>
                <w:szCs w:val="24"/>
              </w:rPr>
              <w:t>45,6</w:t>
            </w:r>
          </w:p>
        </w:tc>
        <w:tc>
          <w:tcPr>
            <w:tcW w:w="2127" w:type="dxa"/>
            <w:noWrap/>
            <w:vAlign w:val="center"/>
            <w:hideMark/>
          </w:tcPr>
          <w:p w14:paraId="25571FB4"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61,97</w:t>
            </w:r>
          </w:p>
        </w:tc>
        <w:tc>
          <w:tcPr>
            <w:tcW w:w="1559" w:type="dxa"/>
            <w:noWrap/>
            <w:vAlign w:val="center"/>
            <w:hideMark/>
          </w:tcPr>
          <w:p w14:paraId="1A67FA95" w14:textId="77777777" w:rsidR="00503843" w:rsidRPr="00333A62" w:rsidRDefault="00503843" w:rsidP="000F1E4C">
            <w:pPr>
              <w:jc w:val="center"/>
              <w:rPr>
                <w:rFonts w:ascii="Times New Roman" w:hAnsi="Times New Roman" w:cs="Times New Roman"/>
                <w:sz w:val="24"/>
                <w:szCs w:val="24"/>
              </w:rPr>
            </w:pPr>
            <w:r w:rsidRPr="00333A62">
              <w:rPr>
                <w:rFonts w:ascii="Times New Roman" w:hAnsi="Times New Roman" w:cs="Times New Roman"/>
                <w:sz w:val="24"/>
                <w:szCs w:val="24"/>
              </w:rPr>
              <w:t>54,10</w:t>
            </w:r>
          </w:p>
        </w:tc>
        <w:tc>
          <w:tcPr>
            <w:tcW w:w="1276" w:type="dxa"/>
            <w:noWrap/>
            <w:vAlign w:val="center"/>
            <w:hideMark/>
          </w:tcPr>
          <w:p w14:paraId="2204F6D4" w14:textId="1EA8F11F" w:rsidR="00503843" w:rsidRPr="00333A62" w:rsidRDefault="00734A94" w:rsidP="000F1E4C">
            <w:pPr>
              <w:jc w:val="center"/>
              <w:rPr>
                <w:rFonts w:ascii="Times New Roman" w:hAnsi="Times New Roman" w:cs="Times New Roman"/>
                <w:sz w:val="24"/>
                <w:szCs w:val="24"/>
              </w:rPr>
            </w:pPr>
            <w:r>
              <w:rPr>
                <w:rFonts w:ascii="Times New Roman" w:hAnsi="Times New Roman" w:cs="Times New Roman"/>
                <w:sz w:val="24"/>
                <w:szCs w:val="24"/>
              </w:rPr>
              <w:t>22</w:t>
            </w:r>
          </w:p>
        </w:tc>
        <w:tc>
          <w:tcPr>
            <w:tcW w:w="1177" w:type="dxa"/>
            <w:shd w:val="clear" w:color="auto" w:fill="BFBFBF" w:themeFill="background1" w:themeFillShade="BF"/>
            <w:noWrap/>
            <w:vAlign w:val="center"/>
            <w:hideMark/>
          </w:tcPr>
          <w:p w14:paraId="337DEE8B" w14:textId="77777777" w:rsidR="00503843" w:rsidRPr="00333A62" w:rsidRDefault="00503843" w:rsidP="000F1E4C">
            <w:pPr>
              <w:jc w:val="center"/>
              <w:rPr>
                <w:rFonts w:ascii="Times New Roman" w:hAnsi="Times New Roman" w:cs="Times New Roman"/>
                <w:sz w:val="24"/>
                <w:szCs w:val="24"/>
              </w:rPr>
            </w:pPr>
          </w:p>
        </w:tc>
      </w:tr>
    </w:tbl>
    <w:p w14:paraId="6F49C2B4" w14:textId="77777777" w:rsidR="00503843" w:rsidRPr="00333A62" w:rsidRDefault="00503843" w:rsidP="00333A62">
      <w:pPr>
        <w:spacing w:before="120" w:after="120" w:line="276" w:lineRule="auto"/>
        <w:rPr>
          <w:rFonts w:ascii="Times New Roman" w:hAnsi="Times New Roman" w:cs="Times New Roman"/>
          <w:sz w:val="24"/>
          <w:szCs w:val="24"/>
          <w:lang w:val="fr-CI"/>
        </w:rPr>
      </w:pPr>
    </w:p>
    <w:p w14:paraId="7BBF6D26" w14:textId="77777777" w:rsidR="00503843" w:rsidRPr="00333A62" w:rsidRDefault="00503843" w:rsidP="00333A62">
      <w:pPr>
        <w:spacing w:before="120" w:after="120" w:line="276" w:lineRule="auto"/>
        <w:rPr>
          <w:rFonts w:ascii="Times New Roman" w:hAnsi="Times New Roman" w:cs="Times New Roman"/>
          <w:sz w:val="24"/>
          <w:szCs w:val="24"/>
          <w:lang w:val="fr-CI"/>
        </w:rPr>
      </w:pPr>
    </w:p>
    <w:p w14:paraId="2373A328" w14:textId="77777777" w:rsidR="00734A94" w:rsidRDefault="00734A94">
      <w:pPr>
        <w:rPr>
          <w:rFonts w:ascii="Times New Roman" w:eastAsiaTheme="majorEastAsia" w:hAnsi="Times New Roman" w:cs="Times New Roman"/>
          <w:color w:val="2F5496" w:themeColor="accent1" w:themeShade="BF"/>
          <w:sz w:val="24"/>
          <w:szCs w:val="24"/>
          <w:lang w:val="fr-CI"/>
        </w:rPr>
      </w:pPr>
      <w:r>
        <w:rPr>
          <w:rFonts w:ascii="Times New Roman" w:hAnsi="Times New Roman" w:cs="Times New Roman"/>
          <w:sz w:val="24"/>
          <w:szCs w:val="24"/>
          <w:lang w:val="fr-CI"/>
        </w:rPr>
        <w:br w:type="page"/>
      </w:r>
    </w:p>
    <w:p w14:paraId="79CB36A0" w14:textId="36E0F0F0" w:rsidR="00503843" w:rsidRDefault="00503843" w:rsidP="006C0B89">
      <w:pPr>
        <w:pStyle w:val="Titre3"/>
        <w:rPr>
          <w:rFonts w:ascii="Times New Roman" w:hAnsi="Times New Roman" w:cs="Times New Roman"/>
          <w:b/>
          <w:color w:val="0070C0"/>
          <w:lang w:val="fr-CI"/>
        </w:rPr>
      </w:pPr>
      <w:bookmarkStart w:id="115" w:name="_Toc1573834"/>
      <w:r w:rsidRPr="00700523">
        <w:rPr>
          <w:rFonts w:ascii="Times New Roman" w:hAnsi="Times New Roman" w:cs="Times New Roman"/>
          <w:b/>
          <w:color w:val="0070C0"/>
          <w:lang w:val="fr-CI"/>
        </w:rPr>
        <w:lastRenderedPageBreak/>
        <w:t>Classification des régions après priorisation</w:t>
      </w:r>
      <w:bookmarkEnd w:id="115"/>
    </w:p>
    <w:p w14:paraId="2C518468" w14:textId="77777777" w:rsidR="00AE1DFE" w:rsidRPr="00AE1DFE" w:rsidRDefault="00AE1DFE" w:rsidP="00AE1DFE">
      <w:pPr>
        <w:rPr>
          <w:lang w:val="fr-CI"/>
        </w:rPr>
      </w:pPr>
    </w:p>
    <w:p w14:paraId="03FB80A7" w14:textId="62B436EE" w:rsidR="00503843" w:rsidRDefault="006A7EAE" w:rsidP="006A7EAE">
      <w:pPr>
        <w:pStyle w:val="Lgende"/>
        <w:rPr>
          <w:sz w:val="24"/>
        </w:rPr>
      </w:pPr>
      <w:bookmarkStart w:id="116" w:name="_Toc1588379"/>
      <w:r w:rsidRPr="006A7EAE">
        <w:rPr>
          <w:sz w:val="24"/>
        </w:rPr>
        <w:t xml:space="preserve">Tableau </w:t>
      </w:r>
      <w:r w:rsidRPr="006A7EAE">
        <w:rPr>
          <w:sz w:val="24"/>
        </w:rPr>
        <w:fldChar w:fldCharType="begin"/>
      </w:r>
      <w:r w:rsidRPr="006A7EAE">
        <w:rPr>
          <w:sz w:val="24"/>
        </w:rPr>
        <w:instrText xml:space="preserve"> SEQ Tableau \* ARABIC </w:instrText>
      </w:r>
      <w:r w:rsidRPr="006A7EAE">
        <w:rPr>
          <w:sz w:val="24"/>
        </w:rPr>
        <w:fldChar w:fldCharType="separate"/>
      </w:r>
      <w:r w:rsidR="00400C22">
        <w:rPr>
          <w:noProof/>
          <w:sz w:val="24"/>
        </w:rPr>
        <w:t>5</w:t>
      </w:r>
      <w:r w:rsidRPr="006A7EAE">
        <w:rPr>
          <w:sz w:val="24"/>
        </w:rPr>
        <w:fldChar w:fldCharType="end"/>
      </w:r>
      <w:r w:rsidRPr="006A7EAE">
        <w:rPr>
          <w:sz w:val="24"/>
        </w:rPr>
        <w:t> : Priorisation des régions</w:t>
      </w:r>
      <w:bookmarkEnd w:id="116"/>
      <w:r w:rsidRPr="006A7EAE">
        <w:rPr>
          <w:sz w:val="24"/>
        </w:rPr>
        <w:t xml:space="preserve"> </w:t>
      </w:r>
    </w:p>
    <w:p w14:paraId="36AC2719" w14:textId="77777777" w:rsidR="006A7EAE" w:rsidRPr="006A7EAE" w:rsidRDefault="006A7EAE" w:rsidP="006A7EAE">
      <w:pPr>
        <w:rPr>
          <w:rFonts w:ascii="Times New Roman" w:hAnsi="Times New Roman" w:cs="Times New Roman"/>
          <w:sz w:val="10"/>
          <w:szCs w:val="10"/>
          <w:lang w:val="fr-FR" w:eastAsia="en-GB"/>
        </w:rPr>
      </w:pPr>
    </w:p>
    <w:tbl>
      <w:tblPr>
        <w:tblW w:w="4859" w:type="pct"/>
        <w:tblInd w:w="212" w:type="dxa"/>
        <w:tblCellMar>
          <w:left w:w="70" w:type="dxa"/>
          <w:right w:w="70" w:type="dxa"/>
        </w:tblCellMar>
        <w:tblLook w:val="04A0" w:firstRow="1" w:lastRow="0" w:firstColumn="1" w:lastColumn="0" w:noHBand="0" w:noVBand="1"/>
      </w:tblPr>
      <w:tblGrid>
        <w:gridCol w:w="5772"/>
        <w:gridCol w:w="3190"/>
        <w:gridCol w:w="4218"/>
      </w:tblGrid>
      <w:tr w:rsidR="00503843" w:rsidRPr="00333A62" w14:paraId="0447EEE1" w14:textId="77777777" w:rsidTr="00CE0117">
        <w:trPr>
          <w:trHeight w:val="384"/>
        </w:trPr>
        <w:tc>
          <w:tcPr>
            <w:tcW w:w="219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834921" w14:textId="77777777" w:rsidR="00503843" w:rsidRPr="00734A94" w:rsidRDefault="00503843" w:rsidP="00734A94">
            <w:pPr>
              <w:spacing w:after="0" w:line="240" w:lineRule="auto"/>
              <w:jc w:val="center"/>
              <w:rPr>
                <w:rFonts w:ascii="Times New Roman" w:hAnsi="Times New Roman" w:cs="Times New Roman"/>
                <w:color w:val="000000"/>
                <w:sz w:val="24"/>
                <w:szCs w:val="24"/>
              </w:rPr>
            </w:pPr>
            <w:r w:rsidRPr="00734A94">
              <w:rPr>
                <w:rFonts w:ascii="Times New Roman" w:hAnsi="Times New Roman" w:cs="Times New Roman"/>
                <w:b/>
                <w:bCs/>
                <w:sz w:val="24"/>
                <w:szCs w:val="24"/>
              </w:rPr>
              <w:t>Régions</w:t>
            </w:r>
          </w:p>
        </w:tc>
        <w:tc>
          <w:tcPr>
            <w:tcW w:w="1210" w:type="pct"/>
            <w:tcBorders>
              <w:top w:val="single" w:sz="4" w:space="0" w:color="auto"/>
              <w:left w:val="nil"/>
              <w:bottom w:val="single" w:sz="4" w:space="0" w:color="auto"/>
              <w:right w:val="single" w:sz="4" w:space="0" w:color="auto"/>
            </w:tcBorders>
            <w:shd w:val="clear" w:color="auto" w:fill="auto"/>
            <w:vAlign w:val="center"/>
            <w:hideMark/>
          </w:tcPr>
          <w:p w14:paraId="6199553F" w14:textId="77777777" w:rsidR="00503843" w:rsidRPr="00734A94" w:rsidRDefault="00503843" w:rsidP="00734A94">
            <w:pPr>
              <w:spacing w:after="0" w:line="240" w:lineRule="auto"/>
              <w:jc w:val="center"/>
              <w:rPr>
                <w:rFonts w:ascii="Times New Roman" w:hAnsi="Times New Roman" w:cs="Times New Roman"/>
                <w:b/>
                <w:bCs/>
                <w:color w:val="000000"/>
                <w:sz w:val="24"/>
                <w:szCs w:val="24"/>
              </w:rPr>
            </w:pPr>
            <w:r w:rsidRPr="00734A94">
              <w:rPr>
                <w:rFonts w:ascii="Times New Roman" w:hAnsi="Times New Roman" w:cs="Times New Roman"/>
                <w:b/>
                <w:bCs/>
                <w:color w:val="000000"/>
                <w:sz w:val="24"/>
                <w:szCs w:val="24"/>
              </w:rPr>
              <w:t>Score global</w:t>
            </w:r>
          </w:p>
        </w:tc>
        <w:tc>
          <w:tcPr>
            <w:tcW w:w="1600" w:type="pct"/>
            <w:tcBorders>
              <w:top w:val="single" w:sz="4" w:space="0" w:color="auto"/>
              <w:left w:val="nil"/>
              <w:bottom w:val="single" w:sz="4" w:space="0" w:color="auto"/>
              <w:right w:val="single" w:sz="4" w:space="0" w:color="auto"/>
            </w:tcBorders>
            <w:shd w:val="clear" w:color="auto" w:fill="auto"/>
            <w:vAlign w:val="center"/>
            <w:hideMark/>
          </w:tcPr>
          <w:p w14:paraId="52683F0E" w14:textId="77777777" w:rsidR="00503843" w:rsidRPr="00734A94" w:rsidRDefault="00503843" w:rsidP="00734A94">
            <w:pPr>
              <w:spacing w:after="0" w:line="240" w:lineRule="auto"/>
              <w:jc w:val="center"/>
              <w:rPr>
                <w:rFonts w:ascii="Times New Roman" w:hAnsi="Times New Roman" w:cs="Times New Roman"/>
                <w:b/>
                <w:bCs/>
                <w:color w:val="000000"/>
                <w:sz w:val="24"/>
                <w:szCs w:val="24"/>
              </w:rPr>
            </w:pPr>
            <w:r w:rsidRPr="00734A94">
              <w:rPr>
                <w:rFonts w:ascii="Times New Roman" w:hAnsi="Times New Roman" w:cs="Times New Roman"/>
                <w:b/>
                <w:bCs/>
                <w:color w:val="000000"/>
                <w:sz w:val="24"/>
                <w:szCs w:val="24"/>
              </w:rPr>
              <w:t>Rang par ordre de priorité</w:t>
            </w:r>
          </w:p>
        </w:tc>
      </w:tr>
      <w:tr w:rsidR="00503843" w:rsidRPr="00333A62" w14:paraId="11647611" w14:textId="77777777" w:rsidTr="00734A94">
        <w:trPr>
          <w:trHeight w:val="346"/>
        </w:trPr>
        <w:tc>
          <w:tcPr>
            <w:tcW w:w="2190" w:type="pct"/>
            <w:tcBorders>
              <w:top w:val="nil"/>
              <w:left w:val="single" w:sz="4" w:space="0" w:color="auto"/>
              <w:bottom w:val="single" w:sz="4" w:space="0" w:color="auto"/>
              <w:right w:val="single" w:sz="4" w:space="0" w:color="auto"/>
            </w:tcBorders>
            <w:shd w:val="clear" w:color="000000" w:fill="FF0000"/>
            <w:hideMark/>
          </w:tcPr>
          <w:p w14:paraId="56A3EBB4" w14:textId="77777777" w:rsidR="00503843" w:rsidRPr="00333A62" w:rsidRDefault="00503843" w:rsidP="00734A94">
            <w:pPr>
              <w:spacing w:after="0" w:line="240" w:lineRule="auto"/>
              <w:rPr>
                <w:rFonts w:ascii="Times New Roman" w:hAnsi="Times New Roman" w:cs="Times New Roman"/>
                <w:b/>
                <w:bCs/>
                <w:sz w:val="24"/>
                <w:szCs w:val="24"/>
              </w:rPr>
            </w:pPr>
            <w:r w:rsidRPr="00333A62">
              <w:rPr>
                <w:rFonts w:ascii="Times New Roman" w:hAnsi="Times New Roman" w:cs="Times New Roman"/>
                <w:b/>
                <w:bCs/>
                <w:sz w:val="24"/>
                <w:szCs w:val="24"/>
              </w:rPr>
              <w:t>Nord</w:t>
            </w:r>
          </w:p>
        </w:tc>
        <w:tc>
          <w:tcPr>
            <w:tcW w:w="1210" w:type="pct"/>
            <w:tcBorders>
              <w:top w:val="nil"/>
              <w:left w:val="nil"/>
              <w:bottom w:val="single" w:sz="4" w:space="0" w:color="auto"/>
              <w:right w:val="single" w:sz="4" w:space="0" w:color="auto"/>
            </w:tcBorders>
            <w:shd w:val="clear" w:color="000000" w:fill="FF0000"/>
            <w:noWrap/>
            <w:vAlign w:val="bottom"/>
            <w:hideMark/>
          </w:tcPr>
          <w:p w14:paraId="69963A8B"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1580,8</w:t>
            </w:r>
          </w:p>
        </w:tc>
        <w:tc>
          <w:tcPr>
            <w:tcW w:w="1600" w:type="pct"/>
            <w:tcBorders>
              <w:top w:val="nil"/>
              <w:left w:val="nil"/>
              <w:bottom w:val="single" w:sz="4" w:space="0" w:color="auto"/>
              <w:right w:val="single" w:sz="4" w:space="0" w:color="auto"/>
            </w:tcBorders>
            <w:shd w:val="clear" w:color="000000" w:fill="FF0000"/>
            <w:noWrap/>
            <w:vAlign w:val="center"/>
            <w:hideMark/>
          </w:tcPr>
          <w:p w14:paraId="4350E4C0"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1</w:t>
            </w:r>
          </w:p>
        </w:tc>
      </w:tr>
      <w:tr w:rsidR="00503843" w:rsidRPr="00333A62" w14:paraId="7EF43126" w14:textId="77777777" w:rsidTr="00734A94">
        <w:trPr>
          <w:trHeight w:val="346"/>
        </w:trPr>
        <w:tc>
          <w:tcPr>
            <w:tcW w:w="2190" w:type="pct"/>
            <w:tcBorders>
              <w:top w:val="nil"/>
              <w:left w:val="single" w:sz="4" w:space="0" w:color="auto"/>
              <w:bottom w:val="single" w:sz="4" w:space="0" w:color="auto"/>
              <w:right w:val="single" w:sz="4" w:space="0" w:color="auto"/>
            </w:tcBorders>
            <w:shd w:val="clear" w:color="000000" w:fill="FF0000"/>
            <w:hideMark/>
          </w:tcPr>
          <w:p w14:paraId="56121542" w14:textId="77777777" w:rsidR="00503843" w:rsidRPr="00333A62" w:rsidRDefault="00503843" w:rsidP="00734A94">
            <w:pPr>
              <w:spacing w:after="0" w:line="240" w:lineRule="auto"/>
              <w:rPr>
                <w:rFonts w:ascii="Times New Roman" w:hAnsi="Times New Roman" w:cs="Times New Roman"/>
                <w:b/>
                <w:bCs/>
                <w:sz w:val="24"/>
                <w:szCs w:val="24"/>
              </w:rPr>
            </w:pPr>
            <w:r w:rsidRPr="00333A62">
              <w:rPr>
                <w:rFonts w:ascii="Times New Roman" w:hAnsi="Times New Roman" w:cs="Times New Roman"/>
                <w:b/>
                <w:bCs/>
                <w:sz w:val="24"/>
                <w:szCs w:val="24"/>
              </w:rPr>
              <w:t>Nord-Ouest</w:t>
            </w:r>
          </w:p>
        </w:tc>
        <w:tc>
          <w:tcPr>
            <w:tcW w:w="1210" w:type="pct"/>
            <w:tcBorders>
              <w:top w:val="nil"/>
              <w:left w:val="nil"/>
              <w:bottom w:val="single" w:sz="4" w:space="0" w:color="auto"/>
              <w:right w:val="single" w:sz="4" w:space="0" w:color="auto"/>
            </w:tcBorders>
            <w:shd w:val="clear" w:color="000000" w:fill="FF0000"/>
            <w:noWrap/>
            <w:vAlign w:val="bottom"/>
            <w:hideMark/>
          </w:tcPr>
          <w:p w14:paraId="0EC66FD4"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1537,5</w:t>
            </w:r>
          </w:p>
        </w:tc>
        <w:tc>
          <w:tcPr>
            <w:tcW w:w="1600" w:type="pct"/>
            <w:tcBorders>
              <w:top w:val="nil"/>
              <w:left w:val="nil"/>
              <w:bottom w:val="single" w:sz="4" w:space="0" w:color="auto"/>
              <w:right w:val="single" w:sz="4" w:space="0" w:color="auto"/>
            </w:tcBorders>
            <w:shd w:val="clear" w:color="000000" w:fill="FF0000"/>
            <w:noWrap/>
            <w:vAlign w:val="center"/>
            <w:hideMark/>
          </w:tcPr>
          <w:p w14:paraId="6DBCCC3D"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2</w:t>
            </w:r>
          </w:p>
        </w:tc>
      </w:tr>
      <w:tr w:rsidR="00503843" w:rsidRPr="00333A62" w14:paraId="2A80C77B" w14:textId="77777777" w:rsidTr="00734A94">
        <w:trPr>
          <w:trHeight w:val="330"/>
        </w:trPr>
        <w:tc>
          <w:tcPr>
            <w:tcW w:w="2190" w:type="pct"/>
            <w:tcBorders>
              <w:top w:val="nil"/>
              <w:left w:val="single" w:sz="4" w:space="0" w:color="auto"/>
              <w:bottom w:val="single" w:sz="4" w:space="0" w:color="auto"/>
              <w:right w:val="single" w:sz="4" w:space="0" w:color="auto"/>
            </w:tcBorders>
            <w:shd w:val="clear" w:color="000000" w:fill="FF0000"/>
            <w:hideMark/>
          </w:tcPr>
          <w:p w14:paraId="790E7BB5" w14:textId="77777777" w:rsidR="00503843" w:rsidRPr="00333A62" w:rsidRDefault="00503843" w:rsidP="00734A94">
            <w:pPr>
              <w:spacing w:after="0" w:line="240" w:lineRule="auto"/>
              <w:rPr>
                <w:rFonts w:ascii="Times New Roman" w:hAnsi="Times New Roman" w:cs="Times New Roman"/>
                <w:b/>
                <w:bCs/>
                <w:sz w:val="24"/>
                <w:szCs w:val="24"/>
              </w:rPr>
            </w:pPr>
            <w:r w:rsidRPr="00333A62">
              <w:rPr>
                <w:rFonts w:ascii="Times New Roman" w:hAnsi="Times New Roman" w:cs="Times New Roman"/>
                <w:b/>
                <w:bCs/>
                <w:sz w:val="24"/>
                <w:szCs w:val="24"/>
              </w:rPr>
              <w:t>Centre-Ouest</w:t>
            </w:r>
          </w:p>
        </w:tc>
        <w:tc>
          <w:tcPr>
            <w:tcW w:w="1210" w:type="pct"/>
            <w:tcBorders>
              <w:top w:val="nil"/>
              <w:left w:val="nil"/>
              <w:bottom w:val="single" w:sz="4" w:space="0" w:color="auto"/>
              <w:right w:val="single" w:sz="4" w:space="0" w:color="auto"/>
            </w:tcBorders>
            <w:shd w:val="clear" w:color="000000" w:fill="FF0000"/>
            <w:noWrap/>
            <w:vAlign w:val="bottom"/>
            <w:hideMark/>
          </w:tcPr>
          <w:p w14:paraId="3BACC72A"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1514,8</w:t>
            </w:r>
          </w:p>
        </w:tc>
        <w:tc>
          <w:tcPr>
            <w:tcW w:w="1600" w:type="pct"/>
            <w:tcBorders>
              <w:top w:val="nil"/>
              <w:left w:val="nil"/>
              <w:bottom w:val="single" w:sz="4" w:space="0" w:color="auto"/>
              <w:right w:val="single" w:sz="4" w:space="0" w:color="auto"/>
            </w:tcBorders>
            <w:shd w:val="clear" w:color="000000" w:fill="FF0000"/>
            <w:noWrap/>
            <w:vAlign w:val="center"/>
            <w:hideMark/>
          </w:tcPr>
          <w:p w14:paraId="6E616C33"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3</w:t>
            </w:r>
          </w:p>
        </w:tc>
      </w:tr>
      <w:tr w:rsidR="00503843" w:rsidRPr="00333A62" w14:paraId="77B4216B" w14:textId="77777777" w:rsidTr="00734A94">
        <w:trPr>
          <w:trHeight w:val="330"/>
        </w:trPr>
        <w:tc>
          <w:tcPr>
            <w:tcW w:w="2190" w:type="pct"/>
            <w:tcBorders>
              <w:top w:val="nil"/>
              <w:left w:val="single" w:sz="4" w:space="0" w:color="auto"/>
              <w:bottom w:val="single" w:sz="4" w:space="0" w:color="auto"/>
              <w:right w:val="single" w:sz="4" w:space="0" w:color="auto"/>
            </w:tcBorders>
            <w:shd w:val="clear" w:color="000000" w:fill="FF0000"/>
            <w:hideMark/>
          </w:tcPr>
          <w:p w14:paraId="29718357" w14:textId="77777777" w:rsidR="00503843" w:rsidRPr="00333A62" w:rsidRDefault="00503843" w:rsidP="00734A94">
            <w:pPr>
              <w:spacing w:after="0" w:line="240" w:lineRule="auto"/>
              <w:rPr>
                <w:rFonts w:ascii="Times New Roman" w:hAnsi="Times New Roman" w:cs="Times New Roman"/>
                <w:b/>
                <w:bCs/>
                <w:sz w:val="24"/>
                <w:szCs w:val="24"/>
              </w:rPr>
            </w:pPr>
            <w:r w:rsidRPr="00333A62">
              <w:rPr>
                <w:rFonts w:ascii="Times New Roman" w:hAnsi="Times New Roman" w:cs="Times New Roman"/>
                <w:b/>
                <w:bCs/>
                <w:sz w:val="24"/>
                <w:szCs w:val="24"/>
              </w:rPr>
              <w:t>Ouest</w:t>
            </w:r>
          </w:p>
        </w:tc>
        <w:tc>
          <w:tcPr>
            <w:tcW w:w="1210" w:type="pct"/>
            <w:tcBorders>
              <w:top w:val="nil"/>
              <w:left w:val="nil"/>
              <w:bottom w:val="single" w:sz="4" w:space="0" w:color="auto"/>
              <w:right w:val="single" w:sz="4" w:space="0" w:color="auto"/>
            </w:tcBorders>
            <w:shd w:val="clear" w:color="000000" w:fill="FF0000"/>
            <w:noWrap/>
            <w:vAlign w:val="bottom"/>
            <w:hideMark/>
          </w:tcPr>
          <w:p w14:paraId="02C8694A"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1347,3</w:t>
            </w:r>
          </w:p>
        </w:tc>
        <w:tc>
          <w:tcPr>
            <w:tcW w:w="1600" w:type="pct"/>
            <w:tcBorders>
              <w:top w:val="nil"/>
              <w:left w:val="nil"/>
              <w:bottom w:val="single" w:sz="4" w:space="0" w:color="auto"/>
              <w:right w:val="single" w:sz="4" w:space="0" w:color="auto"/>
            </w:tcBorders>
            <w:shd w:val="clear" w:color="000000" w:fill="FF0000"/>
            <w:noWrap/>
            <w:vAlign w:val="center"/>
            <w:hideMark/>
          </w:tcPr>
          <w:p w14:paraId="5D7BF6B3"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4</w:t>
            </w:r>
          </w:p>
        </w:tc>
      </w:tr>
      <w:tr w:rsidR="00503843" w:rsidRPr="00333A62" w14:paraId="019EBC0B" w14:textId="77777777" w:rsidTr="00734A94">
        <w:trPr>
          <w:trHeight w:val="330"/>
        </w:trPr>
        <w:tc>
          <w:tcPr>
            <w:tcW w:w="2190" w:type="pct"/>
            <w:tcBorders>
              <w:top w:val="nil"/>
              <w:left w:val="single" w:sz="4" w:space="0" w:color="auto"/>
              <w:bottom w:val="single" w:sz="4" w:space="0" w:color="auto"/>
              <w:right w:val="single" w:sz="4" w:space="0" w:color="auto"/>
            </w:tcBorders>
            <w:shd w:val="clear" w:color="000000" w:fill="FF0000"/>
            <w:hideMark/>
          </w:tcPr>
          <w:p w14:paraId="54730865" w14:textId="77777777" w:rsidR="00503843" w:rsidRPr="00333A62" w:rsidRDefault="00503843" w:rsidP="00734A94">
            <w:pPr>
              <w:spacing w:after="0" w:line="240" w:lineRule="auto"/>
              <w:rPr>
                <w:rFonts w:ascii="Times New Roman" w:hAnsi="Times New Roman" w:cs="Times New Roman"/>
                <w:b/>
                <w:bCs/>
                <w:sz w:val="24"/>
                <w:szCs w:val="24"/>
              </w:rPr>
            </w:pPr>
            <w:r w:rsidRPr="00333A62">
              <w:rPr>
                <w:rFonts w:ascii="Times New Roman" w:hAnsi="Times New Roman" w:cs="Times New Roman"/>
                <w:b/>
                <w:bCs/>
                <w:sz w:val="24"/>
                <w:szCs w:val="24"/>
              </w:rPr>
              <w:t>Nord-Est</w:t>
            </w:r>
          </w:p>
        </w:tc>
        <w:tc>
          <w:tcPr>
            <w:tcW w:w="1210" w:type="pct"/>
            <w:tcBorders>
              <w:top w:val="nil"/>
              <w:left w:val="nil"/>
              <w:bottom w:val="single" w:sz="4" w:space="0" w:color="auto"/>
              <w:right w:val="single" w:sz="4" w:space="0" w:color="auto"/>
            </w:tcBorders>
            <w:shd w:val="clear" w:color="000000" w:fill="FF0000"/>
            <w:noWrap/>
            <w:vAlign w:val="bottom"/>
            <w:hideMark/>
          </w:tcPr>
          <w:p w14:paraId="5C15F4B7"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1248,9</w:t>
            </w:r>
          </w:p>
        </w:tc>
        <w:tc>
          <w:tcPr>
            <w:tcW w:w="1600" w:type="pct"/>
            <w:tcBorders>
              <w:top w:val="nil"/>
              <w:left w:val="nil"/>
              <w:bottom w:val="single" w:sz="4" w:space="0" w:color="auto"/>
              <w:right w:val="single" w:sz="4" w:space="0" w:color="auto"/>
            </w:tcBorders>
            <w:shd w:val="clear" w:color="000000" w:fill="FF0000"/>
            <w:noWrap/>
            <w:vAlign w:val="center"/>
            <w:hideMark/>
          </w:tcPr>
          <w:p w14:paraId="5159EB25"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5</w:t>
            </w:r>
          </w:p>
        </w:tc>
      </w:tr>
      <w:tr w:rsidR="00503843" w:rsidRPr="00333A62" w14:paraId="6986C71A" w14:textId="77777777" w:rsidTr="00734A94">
        <w:trPr>
          <w:trHeight w:val="330"/>
        </w:trPr>
        <w:tc>
          <w:tcPr>
            <w:tcW w:w="2190" w:type="pct"/>
            <w:tcBorders>
              <w:top w:val="nil"/>
              <w:left w:val="single" w:sz="4" w:space="0" w:color="auto"/>
              <w:bottom w:val="single" w:sz="4" w:space="0" w:color="auto"/>
              <w:right w:val="single" w:sz="4" w:space="0" w:color="auto"/>
            </w:tcBorders>
            <w:shd w:val="clear" w:color="auto" w:fill="FFC000"/>
            <w:hideMark/>
          </w:tcPr>
          <w:p w14:paraId="41A09E0E" w14:textId="77777777" w:rsidR="00503843" w:rsidRPr="00333A62" w:rsidRDefault="00503843" w:rsidP="00734A94">
            <w:pPr>
              <w:spacing w:after="0" w:line="240" w:lineRule="auto"/>
              <w:rPr>
                <w:rFonts w:ascii="Times New Roman" w:hAnsi="Times New Roman" w:cs="Times New Roman"/>
                <w:b/>
                <w:bCs/>
                <w:sz w:val="24"/>
                <w:szCs w:val="24"/>
              </w:rPr>
            </w:pPr>
            <w:r w:rsidRPr="00333A62">
              <w:rPr>
                <w:rFonts w:ascii="Times New Roman" w:hAnsi="Times New Roman" w:cs="Times New Roman"/>
                <w:b/>
                <w:bCs/>
                <w:sz w:val="24"/>
                <w:szCs w:val="24"/>
              </w:rPr>
              <w:t>Sud-Ouest</w:t>
            </w:r>
          </w:p>
        </w:tc>
        <w:tc>
          <w:tcPr>
            <w:tcW w:w="1210" w:type="pct"/>
            <w:tcBorders>
              <w:top w:val="nil"/>
              <w:left w:val="nil"/>
              <w:bottom w:val="single" w:sz="4" w:space="0" w:color="auto"/>
              <w:right w:val="single" w:sz="4" w:space="0" w:color="auto"/>
            </w:tcBorders>
            <w:shd w:val="clear" w:color="auto" w:fill="FFC000"/>
            <w:noWrap/>
            <w:vAlign w:val="bottom"/>
            <w:hideMark/>
          </w:tcPr>
          <w:p w14:paraId="49DC516F"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508,3</w:t>
            </w:r>
          </w:p>
        </w:tc>
        <w:tc>
          <w:tcPr>
            <w:tcW w:w="1600" w:type="pct"/>
            <w:tcBorders>
              <w:top w:val="nil"/>
              <w:left w:val="nil"/>
              <w:bottom w:val="single" w:sz="4" w:space="0" w:color="auto"/>
              <w:right w:val="single" w:sz="4" w:space="0" w:color="auto"/>
            </w:tcBorders>
            <w:shd w:val="clear" w:color="auto" w:fill="FFC000"/>
            <w:noWrap/>
            <w:vAlign w:val="center"/>
            <w:hideMark/>
          </w:tcPr>
          <w:p w14:paraId="242CE62B"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6</w:t>
            </w:r>
          </w:p>
        </w:tc>
      </w:tr>
      <w:tr w:rsidR="00503843" w:rsidRPr="00333A62" w14:paraId="2ABC34A2" w14:textId="77777777" w:rsidTr="00734A94">
        <w:trPr>
          <w:trHeight w:val="330"/>
        </w:trPr>
        <w:tc>
          <w:tcPr>
            <w:tcW w:w="2190" w:type="pct"/>
            <w:tcBorders>
              <w:top w:val="nil"/>
              <w:left w:val="single" w:sz="4" w:space="0" w:color="auto"/>
              <w:bottom w:val="single" w:sz="4" w:space="0" w:color="auto"/>
              <w:right w:val="single" w:sz="4" w:space="0" w:color="auto"/>
            </w:tcBorders>
            <w:shd w:val="clear" w:color="auto" w:fill="FFC000"/>
            <w:hideMark/>
          </w:tcPr>
          <w:p w14:paraId="72911539" w14:textId="77777777" w:rsidR="00503843" w:rsidRPr="00333A62" w:rsidRDefault="00503843" w:rsidP="00734A94">
            <w:pPr>
              <w:spacing w:after="0" w:line="240" w:lineRule="auto"/>
              <w:rPr>
                <w:rFonts w:ascii="Times New Roman" w:hAnsi="Times New Roman" w:cs="Times New Roman"/>
                <w:b/>
                <w:bCs/>
                <w:sz w:val="24"/>
                <w:szCs w:val="24"/>
              </w:rPr>
            </w:pPr>
            <w:r w:rsidRPr="00333A62">
              <w:rPr>
                <w:rFonts w:ascii="Times New Roman" w:hAnsi="Times New Roman" w:cs="Times New Roman"/>
                <w:b/>
                <w:bCs/>
                <w:sz w:val="24"/>
                <w:szCs w:val="24"/>
              </w:rPr>
              <w:t>Centre-Nord</w:t>
            </w:r>
          </w:p>
        </w:tc>
        <w:tc>
          <w:tcPr>
            <w:tcW w:w="1210" w:type="pct"/>
            <w:tcBorders>
              <w:top w:val="nil"/>
              <w:left w:val="nil"/>
              <w:bottom w:val="single" w:sz="4" w:space="0" w:color="auto"/>
              <w:right w:val="single" w:sz="4" w:space="0" w:color="auto"/>
            </w:tcBorders>
            <w:shd w:val="clear" w:color="auto" w:fill="FFC000"/>
            <w:noWrap/>
            <w:vAlign w:val="bottom"/>
            <w:hideMark/>
          </w:tcPr>
          <w:p w14:paraId="42E8114F"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497,7</w:t>
            </w:r>
          </w:p>
        </w:tc>
        <w:tc>
          <w:tcPr>
            <w:tcW w:w="1600" w:type="pct"/>
            <w:tcBorders>
              <w:top w:val="nil"/>
              <w:left w:val="nil"/>
              <w:bottom w:val="single" w:sz="4" w:space="0" w:color="auto"/>
              <w:right w:val="single" w:sz="4" w:space="0" w:color="auto"/>
            </w:tcBorders>
            <w:shd w:val="clear" w:color="auto" w:fill="FFC000"/>
            <w:noWrap/>
            <w:vAlign w:val="center"/>
            <w:hideMark/>
          </w:tcPr>
          <w:p w14:paraId="5BECE93A"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7</w:t>
            </w:r>
          </w:p>
        </w:tc>
      </w:tr>
      <w:tr w:rsidR="00503843" w:rsidRPr="00333A62" w14:paraId="26732B2B" w14:textId="77777777" w:rsidTr="00734A94">
        <w:trPr>
          <w:trHeight w:val="330"/>
        </w:trPr>
        <w:tc>
          <w:tcPr>
            <w:tcW w:w="2190" w:type="pct"/>
            <w:tcBorders>
              <w:top w:val="nil"/>
              <w:left w:val="single" w:sz="4" w:space="0" w:color="auto"/>
              <w:bottom w:val="single" w:sz="4" w:space="0" w:color="auto"/>
              <w:right w:val="single" w:sz="4" w:space="0" w:color="auto"/>
            </w:tcBorders>
            <w:shd w:val="clear" w:color="auto" w:fill="FFC000"/>
            <w:hideMark/>
          </w:tcPr>
          <w:p w14:paraId="113BE72C" w14:textId="77777777" w:rsidR="00503843" w:rsidRPr="00333A62" w:rsidRDefault="00503843" w:rsidP="00734A94">
            <w:pPr>
              <w:spacing w:after="0" w:line="240" w:lineRule="auto"/>
              <w:rPr>
                <w:rFonts w:ascii="Times New Roman" w:hAnsi="Times New Roman" w:cs="Times New Roman"/>
                <w:b/>
                <w:bCs/>
                <w:sz w:val="24"/>
                <w:szCs w:val="24"/>
              </w:rPr>
            </w:pPr>
            <w:r w:rsidRPr="00333A62">
              <w:rPr>
                <w:rFonts w:ascii="Times New Roman" w:hAnsi="Times New Roman" w:cs="Times New Roman"/>
                <w:b/>
                <w:bCs/>
                <w:sz w:val="24"/>
                <w:szCs w:val="24"/>
              </w:rPr>
              <w:t>Sud sans Ville d'Abidjan</w:t>
            </w:r>
          </w:p>
        </w:tc>
        <w:tc>
          <w:tcPr>
            <w:tcW w:w="1210" w:type="pct"/>
            <w:tcBorders>
              <w:top w:val="nil"/>
              <w:left w:val="nil"/>
              <w:bottom w:val="single" w:sz="4" w:space="0" w:color="auto"/>
              <w:right w:val="single" w:sz="4" w:space="0" w:color="auto"/>
            </w:tcBorders>
            <w:shd w:val="clear" w:color="auto" w:fill="FFC000"/>
            <w:noWrap/>
            <w:vAlign w:val="bottom"/>
            <w:hideMark/>
          </w:tcPr>
          <w:p w14:paraId="42203EED"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493</w:t>
            </w:r>
          </w:p>
        </w:tc>
        <w:tc>
          <w:tcPr>
            <w:tcW w:w="1600" w:type="pct"/>
            <w:tcBorders>
              <w:top w:val="nil"/>
              <w:left w:val="nil"/>
              <w:bottom w:val="single" w:sz="4" w:space="0" w:color="auto"/>
              <w:right w:val="single" w:sz="4" w:space="0" w:color="auto"/>
            </w:tcBorders>
            <w:shd w:val="clear" w:color="auto" w:fill="FFC000"/>
            <w:noWrap/>
            <w:vAlign w:val="center"/>
            <w:hideMark/>
          </w:tcPr>
          <w:p w14:paraId="6A1AEFEC"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8</w:t>
            </w:r>
          </w:p>
        </w:tc>
      </w:tr>
      <w:tr w:rsidR="00503843" w:rsidRPr="00333A62" w14:paraId="74AF0B38" w14:textId="77777777" w:rsidTr="00734A94">
        <w:trPr>
          <w:trHeight w:val="330"/>
        </w:trPr>
        <w:tc>
          <w:tcPr>
            <w:tcW w:w="2190" w:type="pct"/>
            <w:tcBorders>
              <w:top w:val="nil"/>
              <w:left w:val="single" w:sz="4" w:space="0" w:color="auto"/>
              <w:bottom w:val="single" w:sz="4" w:space="0" w:color="auto"/>
              <w:right w:val="single" w:sz="4" w:space="0" w:color="auto"/>
            </w:tcBorders>
            <w:shd w:val="clear" w:color="000000" w:fill="00B0F0"/>
            <w:hideMark/>
          </w:tcPr>
          <w:p w14:paraId="2B4BE2D2" w14:textId="77777777" w:rsidR="00503843" w:rsidRPr="00333A62" w:rsidRDefault="00503843" w:rsidP="00734A94">
            <w:pPr>
              <w:spacing w:after="0" w:line="240" w:lineRule="auto"/>
              <w:rPr>
                <w:rFonts w:ascii="Times New Roman" w:hAnsi="Times New Roman" w:cs="Times New Roman"/>
                <w:b/>
                <w:bCs/>
                <w:sz w:val="24"/>
                <w:szCs w:val="24"/>
              </w:rPr>
            </w:pPr>
            <w:r w:rsidRPr="00333A62">
              <w:rPr>
                <w:rFonts w:ascii="Times New Roman" w:hAnsi="Times New Roman" w:cs="Times New Roman"/>
                <w:b/>
                <w:bCs/>
                <w:sz w:val="24"/>
                <w:szCs w:val="24"/>
              </w:rPr>
              <w:t>Centre</w:t>
            </w:r>
          </w:p>
        </w:tc>
        <w:tc>
          <w:tcPr>
            <w:tcW w:w="1210" w:type="pct"/>
            <w:tcBorders>
              <w:top w:val="nil"/>
              <w:left w:val="nil"/>
              <w:bottom w:val="single" w:sz="4" w:space="0" w:color="auto"/>
              <w:right w:val="single" w:sz="4" w:space="0" w:color="auto"/>
            </w:tcBorders>
            <w:shd w:val="clear" w:color="000000" w:fill="00B0F0"/>
            <w:noWrap/>
            <w:vAlign w:val="bottom"/>
            <w:hideMark/>
          </w:tcPr>
          <w:p w14:paraId="19494FBC"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489,6</w:t>
            </w:r>
          </w:p>
        </w:tc>
        <w:tc>
          <w:tcPr>
            <w:tcW w:w="1600" w:type="pct"/>
            <w:tcBorders>
              <w:top w:val="nil"/>
              <w:left w:val="nil"/>
              <w:bottom w:val="single" w:sz="4" w:space="0" w:color="auto"/>
              <w:right w:val="single" w:sz="4" w:space="0" w:color="auto"/>
            </w:tcBorders>
            <w:shd w:val="clear" w:color="000000" w:fill="00B0F0"/>
            <w:noWrap/>
            <w:vAlign w:val="center"/>
            <w:hideMark/>
          </w:tcPr>
          <w:p w14:paraId="2C8490AD"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9</w:t>
            </w:r>
          </w:p>
        </w:tc>
      </w:tr>
      <w:tr w:rsidR="00503843" w:rsidRPr="00333A62" w14:paraId="7B8F36B0" w14:textId="77777777" w:rsidTr="00734A94">
        <w:trPr>
          <w:trHeight w:val="330"/>
        </w:trPr>
        <w:tc>
          <w:tcPr>
            <w:tcW w:w="2190" w:type="pct"/>
            <w:tcBorders>
              <w:top w:val="nil"/>
              <w:left w:val="single" w:sz="4" w:space="0" w:color="auto"/>
              <w:bottom w:val="single" w:sz="4" w:space="0" w:color="auto"/>
              <w:right w:val="single" w:sz="4" w:space="0" w:color="auto"/>
            </w:tcBorders>
            <w:shd w:val="clear" w:color="000000" w:fill="00B0F0"/>
            <w:hideMark/>
          </w:tcPr>
          <w:p w14:paraId="7A4E6365" w14:textId="77777777" w:rsidR="00503843" w:rsidRPr="00333A62" w:rsidRDefault="00503843" w:rsidP="00734A94">
            <w:pPr>
              <w:spacing w:after="0" w:line="240" w:lineRule="auto"/>
              <w:rPr>
                <w:rFonts w:ascii="Times New Roman" w:hAnsi="Times New Roman" w:cs="Times New Roman"/>
                <w:b/>
                <w:bCs/>
                <w:sz w:val="24"/>
                <w:szCs w:val="24"/>
              </w:rPr>
            </w:pPr>
            <w:r w:rsidRPr="00333A62">
              <w:rPr>
                <w:rFonts w:ascii="Times New Roman" w:hAnsi="Times New Roman" w:cs="Times New Roman"/>
                <w:b/>
                <w:bCs/>
                <w:sz w:val="24"/>
                <w:szCs w:val="24"/>
              </w:rPr>
              <w:t>Centre-Est</w:t>
            </w:r>
          </w:p>
        </w:tc>
        <w:tc>
          <w:tcPr>
            <w:tcW w:w="1210" w:type="pct"/>
            <w:tcBorders>
              <w:top w:val="nil"/>
              <w:left w:val="nil"/>
              <w:bottom w:val="single" w:sz="4" w:space="0" w:color="auto"/>
              <w:right w:val="single" w:sz="4" w:space="0" w:color="auto"/>
            </w:tcBorders>
            <w:shd w:val="clear" w:color="000000" w:fill="00B0F0"/>
            <w:noWrap/>
            <w:vAlign w:val="bottom"/>
            <w:hideMark/>
          </w:tcPr>
          <w:p w14:paraId="2C4803DE"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438,3</w:t>
            </w:r>
          </w:p>
        </w:tc>
        <w:tc>
          <w:tcPr>
            <w:tcW w:w="1600" w:type="pct"/>
            <w:tcBorders>
              <w:top w:val="nil"/>
              <w:left w:val="nil"/>
              <w:bottom w:val="single" w:sz="4" w:space="0" w:color="auto"/>
              <w:right w:val="single" w:sz="4" w:space="0" w:color="auto"/>
            </w:tcBorders>
            <w:shd w:val="clear" w:color="000000" w:fill="00B0F0"/>
            <w:noWrap/>
            <w:vAlign w:val="center"/>
            <w:hideMark/>
          </w:tcPr>
          <w:p w14:paraId="61C91DF5"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10</w:t>
            </w:r>
          </w:p>
        </w:tc>
      </w:tr>
      <w:tr w:rsidR="00503843" w:rsidRPr="00333A62" w14:paraId="60B89EFE" w14:textId="77777777" w:rsidTr="00734A94">
        <w:trPr>
          <w:trHeight w:val="330"/>
        </w:trPr>
        <w:tc>
          <w:tcPr>
            <w:tcW w:w="2190" w:type="pct"/>
            <w:tcBorders>
              <w:top w:val="nil"/>
              <w:left w:val="single" w:sz="4" w:space="0" w:color="auto"/>
              <w:bottom w:val="single" w:sz="4" w:space="0" w:color="auto"/>
              <w:right w:val="single" w:sz="4" w:space="0" w:color="auto"/>
            </w:tcBorders>
            <w:shd w:val="clear" w:color="000000" w:fill="00B0F0"/>
            <w:hideMark/>
          </w:tcPr>
          <w:p w14:paraId="4031F35A" w14:textId="77777777" w:rsidR="00503843" w:rsidRPr="00333A62" w:rsidRDefault="00503843" w:rsidP="00734A94">
            <w:pPr>
              <w:spacing w:after="0" w:line="240" w:lineRule="auto"/>
              <w:rPr>
                <w:rFonts w:ascii="Times New Roman" w:hAnsi="Times New Roman" w:cs="Times New Roman"/>
                <w:b/>
                <w:bCs/>
                <w:sz w:val="24"/>
                <w:szCs w:val="24"/>
              </w:rPr>
            </w:pPr>
            <w:r w:rsidRPr="00333A62">
              <w:rPr>
                <w:rFonts w:ascii="Times New Roman" w:hAnsi="Times New Roman" w:cs="Times New Roman"/>
                <w:b/>
                <w:bCs/>
                <w:sz w:val="24"/>
                <w:szCs w:val="24"/>
              </w:rPr>
              <w:t>Abidjan</w:t>
            </w:r>
          </w:p>
        </w:tc>
        <w:tc>
          <w:tcPr>
            <w:tcW w:w="1210" w:type="pct"/>
            <w:tcBorders>
              <w:top w:val="nil"/>
              <w:left w:val="nil"/>
              <w:bottom w:val="single" w:sz="4" w:space="0" w:color="auto"/>
              <w:right w:val="single" w:sz="4" w:space="0" w:color="auto"/>
            </w:tcBorders>
            <w:shd w:val="clear" w:color="000000" w:fill="00B0F0"/>
            <w:noWrap/>
            <w:vAlign w:val="bottom"/>
            <w:hideMark/>
          </w:tcPr>
          <w:p w14:paraId="57518F72"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136,2</w:t>
            </w:r>
          </w:p>
        </w:tc>
        <w:tc>
          <w:tcPr>
            <w:tcW w:w="1600" w:type="pct"/>
            <w:tcBorders>
              <w:top w:val="nil"/>
              <w:left w:val="nil"/>
              <w:bottom w:val="single" w:sz="4" w:space="0" w:color="auto"/>
              <w:right w:val="single" w:sz="4" w:space="0" w:color="auto"/>
            </w:tcBorders>
            <w:shd w:val="clear" w:color="000000" w:fill="00B0F0"/>
            <w:noWrap/>
            <w:vAlign w:val="center"/>
            <w:hideMark/>
          </w:tcPr>
          <w:p w14:paraId="6EF8FAC1" w14:textId="77777777" w:rsidR="00503843" w:rsidRPr="00333A62" w:rsidRDefault="00503843" w:rsidP="00734A94">
            <w:pPr>
              <w:spacing w:after="0" w:line="240" w:lineRule="auto"/>
              <w:jc w:val="center"/>
              <w:rPr>
                <w:rFonts w:ascii="Times New Roman" w:hAnsi="Times New Roman" w:cs="Times New Roman"/>
                <w:color w:val="000000"/>
                <w:sz w:val="24"/>
                <w:szCs w:val="24"/>
              </w:rPr>
            </w:pPr>
            <w:r w:rsidRPr="00333A62">
              <w:rPr>
                <w:rFonts w:ascii="Times New Roman" w:hAnsi="Times New Roman" w:cs="Times New Roman"/>
                <w:color w:val="000000"/>
                <w:sz w:val="24"/>
                <w:szCs w:val="24"/>
              </w:rPr>
              <w:t>11</w:t>
            </w:r>
          </w:p>
        </w:tc>
      </w:tr>
    </w:tbl>
    <w:p w14:paraId="25B8713C" w14:textId="77777777" w:rsidR="00503843" w:rsidRPr="00333A62" w:rsidRDefault="00503843" w:rsidP="00333A62">
      <w:pPr>
        <w:spacing w:before="120" w:after="120" w:line="276" w:lineRule="auto"/>
        <w:rPr>
          <w:rFonts w:ascii="Times New Roman" w:hAnsi="Times New Roman" w:cs="Times New Roman"/>
          <w:sz w:val="24"/>
          <w:szCs w:val="24"/>
          <w:lang w:val="fr-CI"/>
        </w:rPr>
      </w:pPr>
    </w:p>
    <w:p w14:paraId="2FDCC10C" w14:textId="77777777" w:rsidR="00503843" w:rsidRPr="00333A62" w:rsidRDefault="00503843"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b/>
          <w:sz w:val="24"/>
          <w:szCs w:val="24"/>
          <w:lang w:val="fr-CI"/>
        </w:rPr>
        <w:t>Remarque</w:t>
      </w:r>
      <w:r w:rsidRPr="00333A62">
        <w:rPr>
          <w:rFonts w:ascii="Times New Roman" w:hAnsi="Times New Roman" w:cs="Times New Roman"/>
          <w:sz w:val="24"/>
          <w:szCs w:val="24"/>
          <w:lang w:val="fr-CI"/>
        </w:rPr>
        <w:t> : Selon le score global obtenu, un code couleur a été attribué aux régions pour la priorisation. Plus le score global est élevé et plus des interventions urgentes doivent être menées afin de relever le niveau des indicateurs de santé maternelle et infantile dans les régions concernées.</w:t>
      </w:r>
    </w:p>
    <w:p w14:paraId="42E6B051" w14:textId="77777777" w:rsidR="00503843" w:rsidRPr="00333A62" w:rsidRDefault="00503843" w:rsidP="00D418FF">
      <w:pPr>
        <w:pStyle w:val="Paragraphedeliste"/>
        <w:numPr>
          <w:ilvl w:val="0"/>
          <w:numId w:val="14"/>
        </w:num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Rouge : régions ayant obtenu un score global supérieur à 1000 (Priorité 1)</w:t>
      </w:r>
    </w:p>
    <w:p w14:paraId="2706EDCB" w14:textId="77777777" w:rsidR="00503843" w:rsidRPr="00333A62" w:rsidRDefault="00503843" w:rsidP="00D418FF">
      <w:pPr>
        <w:pStyle w:val="Paragraphedeliste"/>
        <w:numPr>
          <w:ilvl w:val="0"/>
          <w:numId w:val="14"/>
        </w:num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Orange : régions ayant obtenu un score global compris entre 490 et 1000 (Priorité 2)</w:t>
      </w:r>
    </w:p>
    <w:p w14:paraId="4FDD3A78" w14:textId="77777777" w:rsidR="00503843" w:rsidRPr="00333A62" w:rsidRDefault="00503843" w:rsidP="00D418FF">
      <w:pPr>
        <w:pStyle w:val="Paragraphedeliste"/>
        <w:numPr>
          <w:ilvl w:val="0"/>
          <w:numId w:val="14"/>
        </w:num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Bleu : régions ayant obtenu un score global inférieur à 490 (Priorité 3)</w:t>
      </w:r>
    </w:p>
    <w:p w14:paraId="7518F07F" w14:textId="77777777" w:rsidR="00503843" w:rsidRPr="00333A62" w:rsidRDefault="00503843" w:rsidP="00333A62">
      <w:pPr>
        <w:spacing w:before="120" w:after="120" w:line="276" w:lineRule="auto"/>
        <w:jc w:val="both"/>
        <w:rPr>
          <w:rFonts w:ascii="Times New Roman" w:hAnsi="Times New Roman" w:cs="Times New Roman"/>
          <w:sz w:val="24"/>
          <w:szCs w:val="24"/>
          <w:lang w:val="fr-CI"/>
        </w:rPr>
      </w:pPr>
    </w:p>
    <w:p w14:paraId="2FA2BDE9" w14:textId="77777777" w:rsidR="00734A94" w:rsidRDefault="00734A94" w:rsidP="006C0B89">
      <w:pPr>
        <w:rPr>
          <w:rFonts w:ascii="Times New Roman" w:hAnsi="Times New Roman" w:cs="Times New Roman"/>
          <w:sz w:val="24"/>
          <w:szCs w:val="24"/>
          <w:lang w:val="fr-CI"/>
        </w:rPr>
        <w:sectPr w:rsidR="00734A94" w:rsidSect="000F1E4C">
          <w:footerReference w:type="default" r:id="rId42"/>
          <w:pgSz w:w="15840" w:h="12240" w:orient="landscape"/>
          <w:pgMar w:top="1134" w:right="1134" w:bottom="1418" w:left="1134" w:header="708" w:footer="708" w:gutter="0"/>
          <w:cols w:space="708"/>
          <w:docGrid w:linePitch="360"/>
        </w:sectPr>
      </w:pPr>
    </w:p>
    <w:p w14:paraId="58CF2F59" w14:textId="4C51BBE1" w:rsidR="00503843" w:rsidRPr="00700523" w:rsidRDefault="00503843" w:rsidP="006C0B89">
      <w:pPr>
        <w:pStyle w:val="Titre2"/>
        <w:rPr>
          <w:rFonts w:ascii="Times New Roman" w:hAnsi="Times New Roman" w:cs="Times New Roman"/>
          <w:b/>
          <w:color w:val="0070C0"/>
          <w:sz w:val="24"/>
          <w:szCs w:val="24"/>
          <w:lang w:val="fr-CI"/>
        </w:rPr>
      </w:pPr>
      <w:bookmarkStart w:id="117" w:name="_Toc1573835"/>
      <w:r w:rsidRPr="00700523">
        <w:rPr>
          <w:rFonts w:ascii="Times New Roman" w:hAnsi="Times New Roman" w:cs="Times New Roman"/>
          <w:b/>
          <w:color w:val="0070C0"/>
          <w:sz w:val="24"/>
          <w:szCs w:val="24"/>
          <w:lang w:val="fr-CI"/>
        </w:rPr>
        <w:lastRenderedPageBreak/>
        <w:t>Définition des scénarii</w:t>
      </w:r>
      <w:bookmarkEnd w:id="117"/>
    </w:p>
    <w:p w14:paraId="180A412D" w14:textId="77777777" w:rsidR="00503843" w:rsidRPr="00333A62" w:rsidRDefault="00503843"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Tenant compte des résultats de la priorisation, trois scénarii sont envisageables pour la Côte d’ivoire dans le cadre du présent dossier d’investissement :</w:t>
      </w:r>
    </w:p>
    <w:p w14:paraId="5C731EDB" w14:textId="77777777" w:rsidR="00503843" w:rsidRPr="00333A62" w:rsidRDefault="00503843" w:rsidP="00D418FF">
      <w:pPr>
        <w:pStyle w:val="Paragraphedeliste"/>
        <w:numPr>
          <w:ilvl w:val="0"/>
          <w:numId w:val="11"/>
        </w:numPr>
        <w:spacing w:before="120" w:after="120" w:line="276" w:lineRule="auto"/>
        <w:ind w:left="426" w:hanging="284"/>
        <w:jc w:val="both"/>
        <w:rPr>
          <w:rFonts w:ascii="Times New Roman" w:eastAsia="Times New Roman" w:hAnsi="Times New Roman" w:cs="Times New Roman"/>
          <w:sz w:val="24"/>
          <w:szCs w:val="24"/>
          <w:lang w:val="fr-CI" w:eastAsia="fr-FR"/>
        </w:rPr>
      </w:pPr>
      <w:r w:rsidRPr="00333A62">
        <w:rPr>
          <w:rFonts w:ascii="Times New Roman" w:eastAsia="Times New Roman" w:hAnsi="Times New Roman" w:cs="Times New Roman"/>
          <w:b/>
          <w:sz w:val="24"/>
          <w:szCs w:val="24"/>
          <w:lang w:val="fr-CI" w:eastAsia="fr-FR"/>
        </w:rPr>
        <w:t>Le scénario minimal</w:t>
      </w:r>
      <w:r w:rsidRPr="00333A62">
        <w:rPr>
          <w:rFonts w:ascii="Times New Roman" w:eastAsia="Times New Roman" w:hAnsi="Times New Roman" w:cs="Times New Roman"/>
          <w:sz w:val="24"/>
          <w:szCs w:val="24"/>
          <w:lang w:val="fr-CI" w:eastAsia="fr-FR"/>
        </w:rPr>
        <w:t xml:space="preserve"> prendrait en compte les </w:t>
      </w:r>
      <w:r w:rsidRPr="00333A62">
        <w:rPr>
          <w:rFonts w:ascii="Times New Roman" w:eastAsia="Times New Roman" w:hAnsi="Times New Roman" w:cs="Times New Roman"/>
          <w:b/>
          <w:sz w:val="24"/>
          <w:szCs w:val="24"/>
          <w:lang w:val="fr-CI" w:eastAsia="fr-FR"/>
        </w:rPr>
        <w:t>5 premières régions</w:t>
      </w:r>
      <w:r w:rsidRPr="00333A62">
        <w:rPr>
          <w:rFonts w:ascii="Times New Roman" w:eastAsia="Times New Roman" w:hAnsi="Times New Roman" w:cs="Times New Roman"/>
          <w:sz w:val="24"/>
          <w:szCs w:val="24"/>
          <w:lang w:val="fr-CI" w:eastAsia="fr-FR"/>
        </w:rPr>
        <w:t xml:space="preserve"> (Priorité 1)</w:t>
      </w:r>
    </w:p>
    <w:p w14:paraId="4773AAA6" w14:textId="77777777" w:rsidR="00503843" w:rsidRPr="00333A62" w:rsidRDefault="00503843" w:rsidP="00D418FF">
      <w:pPr>
        <w:pStyle w:val="Paragraphedeliste"/>
        <w:numPr>
          <w:ilvl w:val="0"/>
          <w:numId w:val="11"/>
        </w:numPr>
        <w:spacing w:before="120" w:after="120" w:line="276" w:lineRule="auto"/>
        <w:ind w:left="426" w:hanging="284"/>
        <w:jc w:val="both"/>
        <w:rPr>
          <w:rFonts w:ascii="Times New Roman" w:eastAsia="Times New Roman" w:hAnsi="Times New Roman" w:cs="Times New Roman"/>
          <w:sz w:val="24"/>
          <w:szCs w:val="24"/>
          <w:lang w:val="fr-CI" w:eastAsia="fr-FR"/>
        </w:rPr>
      </w:pPr>
      <w:r w:rsidRPr="00333A62">
        <w:rPr>
          <w:rFonts w:ascii="Times New Roman" w:eastAsia="Times New Roman" w:hAnsi="Times New Roman" w:cs="Times New Roman"/>
          <w:b/>
          <w:sz w:val="24"/>
          <w:szCs w:val="24"/>
          <w:lang w:val="fr-CI" w:eastAsia="fr-FR"/>
        </w:rPr>
        <w:t>Le scenario moyen</w:t>
      </w:r>
      <w:r w:rsidRPr="00333A62">
        <w:rPr>
          <w:rFonts w:ascii="Times New Roman" w:eastAsia="Times New Roman" w:hAnsi="Times New Roman" w:cs="Times New Roman"/>
          <w:sz w:val="24"/>
          <w:szCs w:val="24"/>
          <w:lang w:val="fr-CI" w:eastAsia="fr-FR"/>
        </w:rPr>
        <w:t xml:space="preserve"> prendrait en compte les </w:t>
      </w:r>
      <w:r w:rsidRPr="00333A62">
        <w:rPr>
          <w:rFonts w:ascii="Times New Roman" w:eastAsia="Times New Roman" w:hAnsi="Times New Roman" w:cs="Times New Roman"/>
          <w:b/>
          <w:sz w:val="24"/>
          <w:szCs w:val="24"/>
          <w:lang w:val="fr-CI" w:eastAsia="fr-FR"/>
        </w:rPr>
        <w:t>8 premières régions</w:t>
      </w:r>
      <w:r w:rsidRPr="00333A62">
        <w:rPr>
          <w:rFonts w:ascii="Times New Roman" w:eastAsia="Times New Roman" w:hAnsi="Times New Roman" w:cs="Times New Roman"/>
          <w:sz w:val="24"/>
          <w:szCs w:val="24"/>
          <w:lang w:val="fr-CI" w:eastAsia="fr-FR"/>
        </w:rPr>
        <w:t xml:space="preserve"> (Priorités 1 et 2)</w:t>
      </w:r>
    </w:p>
    <w:p w14:paraId="3B667C25" w14:textId="5076A7A0" w:rsidR="00503843" w:rsidRPr="00333A62" w:rsidRDefault="00503843" w:rsidP="00D418FF">
      <w:pPr>
        <w:pStyle w:val="Paragraphedeliste"/>
        <w:numPr>
          <w:ilvl w:val="0"/>
          <w:numId w:val="11"/>
        </w:numPr>
        <w:spacing w:before="120" w:after="120" w:line="276" w:lineRule="auto"/>
        <w:ind w:left="426" w:hanging="284"/>
        <w:rPr>
          <w:rFonts w:ascii="Times New Roman" w:eastAsia="Times New Roman" w:hAnsi="Times New Roman" w:cs="Times New Roman"/>
          <w:sz w:val="24"/>
          <w:szCs w:val="24"/>
          <w:lang w:val="fr-CI" w:eastAsia="fr-FR"/>
        </w:rPr>
      </w:pPr>
      <w:r w:rsidRPr="00333A62">
        <w:rPr>
          <w:rFonts w:ascii="Times New Roman" w:eastAsia="Times New Roman" w:hAnsi="Times New Roman" w:cs="Times New Roman"/>
          <w:b/>
          <w:sz w:val="24"/>
          <w:szCs w:val="24"/>
          <w:lang w:val="fr-CI" w:eastAsia="fr-FR"/>
        </w:rPr>
        <w:t>Le scenario national</w:t>
      </w:r>
      <w:r w:rsidRPr="00333A62">
        <w:rPr>
          <w:rFonts w:ascii="Times New Roman" w:eastAsia="Times New Roman" w:hAnsi="Times New Roman" w:cs="Times New Roman"/>
          <w:sz w:val="24"/>
          <w:szCs w:val="24"/>
          <w:lang w:val="fr-CI" w:eastAsia="fr-FR"/>
        </w:rPr>
        <w:t xml:space="preserve"> prendrait en compte </w:t>
      </w:r>
      <w:r w:rsidRPr="00333A62">
        <w:rPr>
          <w:rFonts w:ascii="Times New Roman" w:eastAsia="Times New Roman" w:hAnsi="Times New Roman" w:cs="Times New Roman"/>
          <w:b/>
          <w:sz w:val="24"/>
          <w:szCs w:val="24"/>
          <w:lang w:val="fr-CI" w:eastAsia="fr-FR"/>
        </w:rPr>
        <w:t>l’ensemble des régions du pays (</w:t>
      </w:r>
      <w:r w:rsidRPr="00333A62">
        <w:rPr>
          <w:rFonts w:ascii="Times New Roman" w:eastAsia="Times New Roman" w:hAnsi="Times New Roman" w:cs="Times New Roman"/>
          <w:sz w:val="24"/>
          <w:szCs w:val="24"/>
          <w:lang w:val="fr-CI" w:eastAsia="fr-FR"/>
        </w:rPr>
        <w:t>P</w:t>
      </w:r>
      <w:r w:rsidR="00734A94">
        <w:rPr>
          <w:rFonts w:ascii="Times New Roman" w:eastAsia="Times New Roman" w:hAnsi="Times New Roman" w:cs="Times New Roman"/>
          <w:sz w:val="24"/>
          <w:szCs w:val="24"/>
          <w:lang w:val="fr-CI" w:eastAsia="fr-FR"/>
        </w:rPr>
        <w:t xml:space="preserve">riorités 1, 2 et </w:t>
      </w:r>
      <w:r w:rsidRPr="00333A62">
        <w:rPr>
          <w:rFonts w:ascii="Times New Roman" w:eastAsia="Times New Roman" w:hAnsi="Times New Roman" w:cs="Times New Roman"/>
          <w:sz w:val="24"/>
          <w:szCs w:val="24"/>
          <w:lang w:val="fr-CI" w:eastAsia="fr-FR"/>
        </w:rPr>
        <w:t>3).</w:t>
      </w:r>
    </w:p>
    <w:p w14:paraId="65B5691C" w14:textId="77777777" w:rsidR="00503843" w:rsidRPr="00333A62" w:rsidRDefault="00503843" w:rsidP="00333A62">
      <w:pPr>
        <w:spacing w:before="120" w:after="120" w:line="276" w:lineRule="auto"/>
        <w:rPr>
          <w:rFonts w:ascii="Times New Roman" w:hAnsi="Times New Roman" w:cs="Times New Roman"/>
          <w:sz w:val="24"/>
          <w:szCs w:val="24"/>
          <w:lang w:val="fr-CI"/>
        </w:rPr>
      </w:pPr>
      <w:r w:rsidRPr="00333A62">
        <w:rPr>
          <w:rFonts w:ascii="Times New Roman" w:hAnsi="Times New Roman" w:cs="Times New Roman"/>
          <w:sz w:val="24"/>
          <w:szCs w:val="24"/>
          <w:lang w:val="fr-CI"/>
        </w:rPr>
        <w:t>Les différents scenarii ont été construits à partir de l’outil d’analyse Equist.</w:t>
      </w:r>
    </w:p>
    <w:p w14:paraId="7B8E56EC" w14:textId="77777777" w:rsidR="00503843" w:rsidRPr="00333A62" w:rsidRDefault="00503843" w:rsidP="00333A62">
      <w:pPr>
        <w:spacing w:before="120" w:after="120" w:line="276" w:lineRule="auto"/>
        <w:ind w:firstLine="720"/>
        <w:rPr>
          <w:rFonts w:ascii="Times New Roman" w:hAnsi="Times New Roman" w:cs="Times New Roman"/>
          <w:b/>
          <w:sz w:val="24"/>
          <w:szCs w:val="24"/>
          <w:lang w:val="fr-CI"/>
        </w:rPr>
      </w:pPr>
    </w:p>
    <w:p w14:paraId="1EA99053" w14:textId="77777777" w:rsidR="00503843" w:rsidRPr="00333A62" w:rsidRDefault="00503843" w:rsidP="00333A62">
      <w:pPr>
        <w:spacing w:before="120" w:after="120" w:line="276" w:lineRule="auto"/>
        <w:ind w:firstLine="720"/>
        <w:rPr>
          <w:rFonts w:ascii="Times New Roman" w:hAnsi="Times New Roman" w:cs="Times New Roman"/>
          <w:b/>
          <w:sz w:val="24"/>
          <w:szCs w:val="24"/>
          <w:lang w:val="fr-CI"/>
        </w:rPr>
      </w:pPr>
      <w:r w:rsidRPr="00333A62">
        <w:rPr>
          <w:rFonts w:ascii="Times New Roman" w:hAnsi="Times New Roman" w:cs="Times New Roman"/>
          <w:b/>
          <w:sz w:val="24"/>
          <w:szCs w:val="24"/>
          <w:lang w:val="fr-CI"/>
        </w:rPr>
        <w:t>1. Cibles, scenarii et impacts par scenario (décès évités)</w:t>
      </w:r>
    </w:p>
    <w:p w14:paraId="648E0F42" w14:textId="60DF6F70" w:rsidR="00503843" w:rsidRPr="00333A62" w:rsidRDefault="00503843"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Les cibles analysées pour la construction des scenarii sont essentiellement les enfants de moins de 5 ans et les femmes enceintes partant du fait que le logiciel est alimenté par les indicateurs relatifs à la situation de la santé de la mère et des enfants de moins de 5 ans. Toutefois chaque scenario a été exporté vers l’outil Onehealth pour prendre en compte les aspects liés à la santé de </w:t>
      </w:r>
      <w:r w:rsidR="00734A94" w:rsidRPr="00333A62">
        <w:rPr>
          <w:rFonts w:ascii="Times New Roman" w:hAnsi="Times New Roman" w:cs="Times New Roman"/>
          <w:sz w:val="24"/>
          <w:szCs w:val="24"/>
          <w:lang w:val="fr-CI"/>
        </w:rPr>
        <w:t>l’adolescent</w:t>
      </w:r>
      <w:r w:rsidRPr="00333A62">
        <w:rPr>
          <w:rFonts w:ascii="Times New Roman" w:hAnsi="Times New Roman" w:cs="Times New Roman"/>
          <w:sz w:val="24"/>
          <w:szCs w:val="24"/>
          <w:lang w:val="fr-CI"/>
        </w:rPr>
        <w:t xml:space="preserve"> et au renforcement du système de santé nécessaires à la budgétisation des scenarii.</w:t>
      </w:r>
    </w:p>
    <w:p w14:paraId="5927C771" w14:textId="77777777" w:rsidR="00503843" w:rsidRPr="00333A62" w:rsidRDefault="00503843"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Chaque scenario présente les décès évités dans le scenario ainsi que la limite opérationnelle et la limite à l’équité. La limite opérationnelle représente les décès évités pour les quintiles les plus défavorisés, si leurs goulots d'étranglement sont réduits dans la même proportion comme observé dans les pays les plus performants. La limite à l’équité représente les décès évités pour les quintiles les plus défavorisés, s'ils atteignent la couverture effective de base des quintiles les plus riches.</w:t>
      </w:r>
    </w:p>
    <w:p w14:paraId="7EAEE5CF" w14:textId="77777777" w:rsidR="00AE1DFE" w:rsidRDefault="00AE1DFE" w:rsidP="00333A62">
      <w:pPr>
        <w:spacing w:before="120" w:after="120" w:line="276" w:lineRule="auto"/>
        <w:rPr>
          <w:rFonts w:ascii="Times New Roman" w:hAnsi="Times New Roman" w:cs="Times New Roman"/>
          <w:b/>
          <w:sz w:val="24"/>
          <w:szCs w:val="24"/>
          <w:lang w:val="fr-CI"/>
        </w:rPr>
      </w:pPr>
    </w:p>
    <w:p w14:paraId="2A7B5504" w14:textId="443D4C8F" w:rsidR="00503843" w:rsidRPr="00333A62" w:rsidRDefault="00503843" w:rsidP="00333A62">
      <w:pPr>
        <w:spacing w:before="120" w:after="120" w:line="276" w:lineRule="auto"/>
        <w:rPr>
          <w:rFonts w:ascii="Times New Roman" w:hAnsi="Times New Roman" w:cs="Times New Roman"/>
          <w:b/>
          <w:sz w:val="24"/>
          <w:szCs w:val="24"/>
          <w:lang w:val="fr-CI"/>
        </w:rPr>
      </w:pPr>
      <w:r w:rsidRPr="00333A62">
        <w:rPr>
          <w:rFonts w:ascii="Times New Roman" w:hAnsi="Times New Roman" w:cs="Times New Roman"/>
          <w:b/>
          <w:sz w:val="24"/>
          <w:szCs w:val="24"/>
          <w:lang w:val="fr-CI"/>
        </w:rPr>
        <w:t>Scenario minimal (05 régions prioritaires)</w:t>
      </w:r>
    </w:p>
    <w:p w14:paraId="3CC12B2D" w14:textId="77777777" w:rsidR="00503843" w:rsidRPr="00333A62" w:rsidRDefault="00503843" w:rsidP="00333A62">
      <w:pPr>
        <w:spacing w:before="120" w:after="120" w:line="276" w:lineRule="auto"/>
        <w:rPr>
          <w:rFonts w:ascii="Times New Roman" w:hAnsi="Times New Roman" w:cs="Times New Roman"/>
          <w:sz w:val="24"/>
          <w:szCs w:val="24"/>
          <w:u w:val="single"/>
          <w:lang w:val="fr-CI"/>
        </w:rPr>
      </w:pPr>
      <w:bookmarkStart w:id="118" w:name="_Hlk534363187"/>
      <w:r w:rsidRPr="00333A62">
        <w:rPr>
          <w:rFonts w:ascii="Times New Roman" w:hAnsi="Times New Roman" w:cs="Times New Roman"/>
          <w:sz w:val="24"/>
          <w:szCs w:val="24"/>
          <w:u w:val="single"/>
          <w:lang w:val="fr-CI"/>
        </w:rPr>
        <w:t>Décès</w:t>
      </w:r>
      <w:bookmarkEnd w:id="118"/>
      <w:r w:rsidRPr="00333A62">
        <w:rPr>
          <w:rFonts w:ascii="Times New Roman" w:hAnsi="Times New Roman" w:cs="Times New Roman"/>
          <w:sz w:val="24"/>
          <w:szCs w:val="24"/>
          <w:u w:val="single"/>
          <w:lang w:val="fr-CI"/>
        </w:rPr>
        <w:t xml:space="preserve"> des moins de 5 ans pour le scenario 1</w:t>
      </w:r>
    </w:p>
    <w:p w14:paraId="3D8B30DD" w14:textId="77777777" w:rsidR="00503843" w:rsidRPr="00333A62" w:rsidRDefault="00503843" w:rsidP="00333A62">
      <w:pPr>
        <w:spacing w:before="120" w:after="120" w:line="276" w:lineRule="auto"/>
        <w:rPr>
          <w:rFonts w:ascii="Times New Roman" w:hAnsi="Times New Roman" w:cs="Times New Roman"/>
          <w:sz w:val="24"/>
          <w:szCs w:val="24"/>
          <w:lang w:val="fr-CI"/>
        </w:rPr>
      </w:pPr>
      <w:r w:rsidRPr="00333A62">
        <w:rPr>
          <w:rFonts w:ascii="Times New Roman" w:hAnsi="Times New Roman" w:cs="Times New Roman"/>
          <w:noProof/>
          <w:sz w:val="24"/>
          <w:szCs w:val="24"/>
          <w:lang w:val="fr-FR" w:eastAsia="fr-FR"/>
        </w:rPr>
        <w:drawing>
          <wp:inline distT="0" distB="0" distL="0" distR="0" wp14:anchorId="16ED08F7" wp14:editId="69BFAA35">
            <wp:extent cx="6021070" cy="2568102"/>
            <wp:effectExtent l="0" t="0" r="17780" b="3810"/>
            <wp:docPr id="203" name="Graphique 203"/>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1FDE576B" w14:textId="5C421FE4" w:rsidR="00503843" w:rsidRPr="001D76FB" w:rsidRDefault="001D76FB" w:rsidP="001D76FB">
      <w:pPr>
        <w:pStyle w:val="Lgende"/>
        <w:rPr>
          <w:sz w:val="24"/>
          <w:szCs w:val="24"/>
          <w:lang w:val="fr-CI"/>
        </w:rPr>
      </w:pPr>
      <w:bookmarkStart w:id="119" w:name="_Toc1588393"/>
      <w:r w:rsidRPr="001D76FB">
        <w:rPr>
          <w:sz w:val="24"/>
          <w:szCs w:val="24"/>
        </w:rPr>
        <w:t xml:space="preserve">Figure </w:t>
      </w:r>
      <w:r w:rsidRPr="001D76FB">
        <w:rPr>
          <w:sz w:val="24"/>
          <w:szCs w:val="24"/>
        </w:rPr>
        <w:fldChar w:fldCharType="begin"/>
      </w:r>
      <w:r w:rsidRPr="001D76FB">
        <w:rPr>
          <w:sz w:val="24"/>
          <w:szCs w:val="24"/>
        </w:rPr>
        <w:instrText xml:space="preserve"> SEQ Figure \* ARABIC </w:instrText>
      </w:r>
      <w:r w:rsidRPr="001D76FB">
        <w:rPr>
          <w:sz w:val="24"/>
          <w:szCs w:val="24"/>
        </w:rPr>
        <w:fldChar w:fldCharType="separate"/>
      </w:r>
      <w:r w:rsidR="008F4009">
        <w:rPr>
          <w:noProof/>
          <w:sz w:val="24"/>
          <w:szCs w:val="24"/>
        </w:rPr>
        <w:t>6</w:t>
      </w:r>
      <w:r w:rsidRPr="001D76FB">
        <w:rPr>
          <w:sz w:val="24"/>
          <w:szCs w:val="24"/>
        </w:rPr>
        <w:fldChar w:fldCharType="end"/>
      </w:r>
      <w:r w:rsidR="00AE1DFE">
        <w:rPr>
          <w:sz w:val="24"/>
          <w:szCs w:val="24"/>
        </w:rPr>
        <w:t xml:space="preserve"> : </w:t>
      </w:r>
      <w:r w:rsidR="00503843" w:rsidRPr="001D76FB">
        <w:rPr>
          <w:sz w:val="24"/>
          <w:szCs w:val="24"/>
          <w:lang w:val="fr-CI"/>
        </w:rPr>
        <w:t>Extrait de l’estimation de l’impact du scenario minimal (05 régions), Equist 2018</w:t>
      </w:r>
      <w:bookmarkEnd w:id="119"/>
    </w:p>
    <w:p w14:paraId="2FCC6223" w14:textId="77777777" w:rsidR="00503843" w:rsidRPr="00333A62" w:rsidRDefault="00503843" w:rsidP="00333A62">
      <w:pPr>
        <w:spacing w:before="120" w:after="120" w:line="276" w:lineRule="auto"/>
        <w:jc w:val="both"/>
        <w:rPr>
          <w:rFonts w:ascii="Times New Roman" w:hAnsi="Times New Roman" w:cs="Times New Roman"/>
          <w:sz w:val="24"/>
          <w:szCs w:val="24"/>
          <w:highlight w:val="yellow"/>
          <w:lang w:val="fr-CI"/>
        </w:rPr>
      </w:pPr>
    </w:p>
    <w:p w14:paraId="4EDDB061" w14:textId="77777777" w:rsidR="00503843" w:rsidRPr="00333A62" w:rsidRDefault="00503843"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lastRenderedPageBreak/>
        <w:t>Dans ce scenario, la mise en œuvre des interventions choisies selon les niveaux de couverture pour la réduction de la</w:t>
      </w:r>
      <w:r w:rsidRPr="00333A62">
        <w:rPr>
          <w:rFonts w:ascii="Times New Roman" w:hAnsi="Times New Roman" w:cs="Times New Roman"/>
          <w:sz w:val="24"/>
          <w:szCs w:val="24"/>
        </w:rPr>
        <w:t xml:space="preserve"> </w:t>
      </w:r>
      <w:r w:rsidRPr="00333A62">
        <w:rPr>
          <w:rFonts w:ascii="Times New Roman" w:hAnsi="Times New Roman" w:cs="Times New Roman"/>
          <w:sz w:val="24"/>
          <w:szCs w:val="24"/>
          <w:lang w:val="fr-CI"/>
        </w:rPr>
        <w:t xml:space="preserve">mortalité des enfants de moins de cinq ans permettra d’éviter à terme </w:t>
      </w:r>
      <w:r w:rsidRPr="00333A62">
        <w:rPr>
          <w:rFonts w:ascii="Times New Roman" w:hAnsi="Times New Roman" w:cs="Times New Roman"/>
          <w:b/>
          <w:sz w:val="24"/>
          <w:szCs w:val="24"/>
          <w:lang w:val="fr-CI"/>
        </w:rPr>
        <w:t>18 000 décès</w:t>
      </w:r>
      <w:r w:rsidRPr="00333A62">
        <w:rPr>
          <w:rFonts w:ascii="Times New Roman" w:hAnsi="Times New Roman" w:cs="Times New Roman"/>
          <w:sz w:val="24"/>
          <w:szCs w:val="24"/>
          <w:lang w:val="fr-CI"/>
        </w:rPr>
        <w:t xml:space="preserve"> dans l’ensemble de la population d’enfants de ces régions. Pour les régions les plus pauvres de ce scenario, les interventions permettront d’éviter le décès d’environ </w:t>
      </w:r>
      <w:r w:rsidRPr="00333A62">
        <w:rPr>
          <w:rFonts w:ascii="Times New Roman" w:hAnsi="Times New Roman" w:cs="Times New Roman"/>
          <w:b/>
          <w:sz w:val="24"/>
          <w:szCs w:val="24"/>
          <w:lang w:val="fr-CI"/>
        </w:rPr>
        <w:t>6000 enfants</w:t>
      </w:r>
      <w:r w:rsidRPr="00333A62">
        <w:rPr>
          <w:rFonts w:ascii="Times New Roman" w:hAnsi="Times New Roman" w:cs="Times New Roman"/>
          <w:sz w:val="24"/>
          <w:szCs w:val="24"/>
          <w:lang w:val="fr-CI"/>
        </w:rPr>
        <w:t xml:space="preserve"> si des efforts sont consentis pour améliorer le niveau de pauvreté des populations issues de ces régions.</w:t>
      </w:r>
    </w:p>
    <w:p w14:paraId="29C46703" w14:textId="77777777" w:rsidR="00503843" w:rsidRPr="00333A62" w:rsidRDefault="00503843" w:rsidP="00333A62">
      <w:pPr>
        <w:spacing w:before="120" w:after="120" w:line="276" w:lineRule="auto"/>
        <w:jc w:val="both"/>
        <w:rPr>
          <w:rFonts w:ascii="Times New Roman" w:hAnsi="Times New Roman" w:cs="Times New Roman"/>
          <w:b/>
          <w:sz w:val="24"/>
          <w:szCs w:val="24"/>
          <w:lang w:val="fr-CI"/>
        </w:rPr>
      </w:pPr>
      <w:r w:rsidRPr="00333A62">
        <w:rPr>
          <w:rFonts w:ascii="Times New Roman" w:hAnsi="Times New Roman" w:cs="Times New Roman"/>
          <w:sz w:val="24"/>
          <w:szCs w:val="24"/>
          <w:lang w:val="fr-CI"/>
        </w:rPr>
        <w:t xml:space="preserve">Toutefois il est à noter que l’amélioration effective des interventions et des couvertures à un seuil acceptable en tenant compte de la résolution des goulots d’étranglements dans les proportions observées dans les pays ayant des bonnes performances permet d’éviter </w:t>
      </w:r>
      <w:r w:rsidRPr="00333A62">
        <w:rPr>
          <w:rFonts w:ascii="Times New Roman" w:hAnsi="Times New Roman" w:cs="Times New Roman"/>
          <w:b/>
          <w:sz w:val="24"/>
          <w:szCs w:val="24"/>
          <w:lang w:val="fr-CI"/>
        </w:rPr>
        <w:t>14 000 décès.</w:t>
      </w:r>
    </w:p>
    <w:p w14:paraId="6EB09589" w14:textId="77777777" w:rsidR="00503843" w:rsidRPr="00333A62" w:rsidRDefault="00503843" w:rsidP="00333A62">
      <w:pPr>
        <w:tabs>
          <w:tab w:val="left" w:pos="955"/>
        </w:tabs>
        <w:spacing w:before="120" w:after="120" w:line="276" w:lineRule="auto"/>
        <w:rPr>
          <w:rFonts w:ascii="Times New Roman" w:hAnsi="Times New Roman" w:cs="Times New Roman"/>
          <w:sz w:val="24"/>
          <w:szCs w:val="24"/>
          <w:lang w:val="fr-CI"/>
        </w:rPr>
      </w:pPr>
    </w:p>
    <w:p w14:paraId="0765927F" w14:textId="0419447D" w:rsidR="00503843" w:rsidRPr="00333A62" w:rsidRDefault="00503843" w:rsidP="00CA7676">
      <w:pPr>
        <w:rPr>
          <w:rFonts w:ascii="Times New Roman" w:hAnsi="Times New Roman" w:cs="Times New Roman"/>
          <w:sz w:val="24"/>
          <w:szCs w:val="24"/>
          <w:u w:val="single"/>
          <w:lang w:val="fr-CI"/>
        </w:rPr>
      </w:pPr>
      <w:r w:rsidRPr="00333A62">
        <w:rPr>
          <w:rFonts w:ascii="Times New Roman" w:hAnsi="Times New Roman" w:cs="Times New Roman"/>
          <w:sz w:val="24"/>
          <w:szCs w:val="24"/>
          <w:u w:val="single"/>
          <w:lang w:val="fr-CI"/>
        </w:rPr>
        <w:t>Décès maternel évités pour le scenario 1</w:t>
      </w:r>
    </w:p>
    <w:p w14:paraId="5EB1D100" w14:textId="1E1AB869" w:rsidR="00503843" w:rsidRPr="00333A62" w:rsidRDefault="00AE7E53" w:rsidP="00333A62">
      <w:pPr>
        <w:tabs>
          <w:tab w:val="left" w:pos="955"/>
        </w:tabs>
        <w:spacing w:before="120" w:after="120" w:line="276" w:lineRule="auto"/>
        <w:rPr>
          <w:rFonts w:ascii="Times New Roman" w:hAnsi="Times New Roman" w:cs="Times New Roman"/>
          <w:sz w:val="24"/>
          <w:szCs w:val="24"/>
          <w:lang w:val="fr-CI"/>
        </w:rPr>
      </w:pPr>
      <w:r>
        <w:rPr>
          <w:noProof/>
          <w:lang w:val="fr-FR" w:eastAsia="fr-FR"/>
        </w:rPr>
        <w:drawing>
          <wp:inline distT="0" distB="0" distL="0" distR="0" wp14:anchorId="02215A82" wp14:editId="563D6409">
            <wp:extent cx="6057900" cy="2952750"/>
            <wp:effectExtent l="0" t="0" r="0" b="0"/>
            <wp:docPr id="225" name="Graphique 225">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71C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66ABD60C" w14:textId="19981BCC" w:rsidR="00503843" w:rsidRPr="00333A62" w:rsidRDefault="00503843" w:rsidP="00333A62">
      <w:pPr>
        <w:tabs>
          <w:tab w:val="left" w:pos="955"/>
        </w:tabs>
        <w:spacing w:before="120" w:after="120" w:line="276" w:lineRule="auto"/>
        <w:rPr>
          <w:rFonts w:ascii="Times New Roman" w:hAnsi="Times New Roman" w:cs="Times New Roman"/>
          <w:sz w:val="24"/>
          <w:szCs w:val="24"/>
          <w:lang w:val="fr-CI"/>
        </w:rPr>
      </w:pPr>
    </w:p>
    <w:p w14:paraId="693F7D86" w14:textId="7EB86610" w:rsidR="00503843" w:rsidRPr="001D76FB" w:rsidRDefault="001D76FB" w:rsidP="001D76FB">
      <w:pPr>
        <w:pStyle w:val="Lgende"/>
        <w:rPr>
          <w:sz w:val="24"/>
          <w:szCs w:val="24"/>
          <w:lang w:val="fr-CI"/>
        </w:rPr>
      </w:pPr>
      <w:bookmarkStart w:id="120" w:name="_Toc1588394"/>
      <w:r w:rsidRPr="001D76FB">
        <w:rPr>
          <w:sz w:val="24"/>
          <w:szCs w:val="24"/>
        </w:rPr>
        <w:t xml:space="preserve">Figure </w:t>
      </w:r>
      <w:r w:rsidRPr="001D76FB">
        <w:rPr>
          <w:sz w:val="24"/>
          <w:szCs w:val="24"/>
        </w:rPr>
        <w:fldChar w:fldCharType="begin"/>
      </w:r>
      <w:r w:rsidRPr="001D76FB">
        <w:rPr>
          <w:sz w:val="24"/>
          <w:szCs w:val="24"/>
        </w:rPr>
        <w:instrText xml:space="preserve"> SEQ Figure \* ARABIC </w:instrText>
      </w:r>
      <w:r w:rsidRPr="001D76FB">
        <w:rPr>
          <w:sz w:val="24"/>
          <w:szCs w:val="24"/>
        </w:rPr>
        <w:fldChar w:fldCharType="separate"/>
      </w:r>
      <w:r w:rsidR="008F4009">
        <w:rPr>
          <w:noProof/>
          <w:sz w:val="24"/>
          <w:szCs w:val="24"/>
        </w:rPr>
        <w:t>7</w:t>
      </w:r>
      <w:r w:rsidRPr="001D76FB">
        <w:rPr>
          <w:sz w:val="24"/>
          <w:szCs w:val="24"/>
        </w:rPr>
        <w:fldChar w:fldCharType="end"/>
      </w:r>
      <w:r w:rsidRPr="001D76FB">
        <w:rPr>
          <w:sz w:val="24"/>
          <w:szCs w:val="24"/>
        </w:rPr>
        <w:t xml:space="preserve"> : </w:t>
      </w:r>
      <w:r w:rsidR="00503843" w:rsidRPr="001D76FB">
        <w:rPr>
          <w:sz w:val="24"/>
          <w:szCs w:val="24"/>
          <w:lang w:val="fr-CI"/>
        </w:rPr>
        <w:t>Extrait de l’estimation de l’impact du scenario minimal (05 régions), Equist 2018</w:t>
      </w:r>
      <w:bookmarkEnd w:id="120"/>
    </w:p>
    <w:p w14:paraId="43BF5E7D" w14:textId="77777777" w:rsidR="00503843" w:rsidRPr="00333A62" w:rsidRDefault="00503843" w:rsidP="00333A62">
      <w:pPr>
        <w:spacing w:before="120" w:after="120" w:line="276" w:lineRule="auto"/>
        <w:rPr>
          <w:rFonts w:ascii="Times New Roman" w:hAnsi="Times New Roman" w:cs="Times New Roman"/>
          <w:sz w:val="24"/>
          <w:szCs w:val="24"/>
          <w:lang w:val="fr-CI"/>
        </w:rPr>
      </w:pPr>
    </w:p>
    <w:p w14:paraId="1F98AEF7" w14:textId="7B915D15" w:rsidR="00503843" w:rsidRPr="00333A62" w:rsidRDefault="00503843"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Dans ce scenario, la mise en œuvre des interventions choisies selon les niveaux de couverture pour la réduction de la</w:t>
      </w:r>
      <w:r w:rsidRPr="00333A62">
        <w:rPr>
          <w:rFonts w:ascii="Times New Roman" w:hAnsi="Times New Roman" w:cs="Times New Roman"/>
          <w:sz w:val="24"/>
          <w:szCs w:val="24"/>
        </w:rPr>
        <w:t xml:space="preserve"> </w:t>
      </w:r>
      <w:r w:rsidRPr="00333A62">
        <w:rPr>
          <w:rFonts w:ascii="Times New Roman" w:hAnsi="Times New Roman" w:cs="Times New Roman"/>
          <w:sz w:val="24"/>
          <w:szCs w:val="24"/>
          <w:lang w:val="fr-CI"/>
        </w:rPr>
        <w:t xml:space="preserve">mortalité maternelle permettra d’éviter à terme </w:t>
      </w:r>
      <w:r w:rsidR="00CA7676">
        <w:rPr>
          <w:rFonts w:ascii="Times New Roman" w:hAnsi="Times New Roman" w:cs="Times New Roman"/>
          <w:sz w:val="24"/>
          <w:szCs w:val="24"/>
          <w:lang w:val="fr-CI"/>
        </w:rPr>
        <w:t xml:space="preserve">environ </w:t>
      </w:r>
      <w:r w:rsidR="00CA7676">
        <w:rPr>
          <w:rFonts w:ascii="Times New Roman" w:hAnsi="Times New Roman" w:cs="Times New Roman"/>
          <w:b/>
          <w:sz w:val="24"/>
          <w:szCs w:val="24"/>
          <w:lang w:val="fr-CI"/>
        </w:rPr>
        <w:t>400</w:t>
      </w:r>
      <w:r w:rsidRPr="00333A62">
        <w:rPr>
          <w:rFonts w:ascii="Times New Roman" w:hAnsi="Times New Roman" w:cs="Times New Roman"/>
          <w:b/>
          <w:sz w:val="24"/>
          <w:szCs w:val="24"/>
          <w:lang w:val="fr-CI"/>
        </w:rPr>
        <w:t xml:space="preserve"> décès </w:t>
      </w:r>
      <w:r w:rsidRPr="00333A62">
        <w:rPr>
          <w:rFonts w:ascii="Times New Roman" w:hAnsi="Times New Roman" w:cs="Times New Roman"/>
          <w:sz w:val="24"/>
          <w:szCs w:val="24"/>
          <w:lang w:val="fr-CI"/>
        </w:rPr>
        <w:t xml:space="preserve">dans l’ensemble de la population de femmes enceintes </w:t>
      </w:r>
      <w:r w:rsidR="00CA7676">
        <w:rPr>
          <w:rFonts w:ascii="Times New Roman" w:hAnsi="Times New Roman" w:cs="Times New Roman"/>
          <w:sz w:val="24"/>
          <w:szCs w:val="24"/>
          <w:lang w:val="fr-CI"/>
        </w:rPr>
        <w:t xml:space="preserve">dans </w:t>
      </w:r>
      <w:r w:rsidRPr="00333A62">
        <w:rPr>
          <w:rFonts w:ascii="Times New Roman" w:hAnsi="Times New Roman" w:cs="Times New Roman"/>
          <w:sz w:val="24"/>
          <w:szCs w:val="24"/>
          <w:lang w:val="fr-CI"/>
        </w:rPr>
        <w:t xml:space="preserve">ces régions. Pour les régions les plus pauvres de ce scenario, les interventions permettront d’éviter le décès </w:t>
      </w:r>
      <w:r w:rsidR="00CA7676">
        <w:rPr>
          <w:rFonts w:ascii="Times New Roman" w:hAnsi="Times New Roman" w:cs="Times New Roman"/>
          <w:sz w:val="24"/>
          <w:szCs w:val="24"/>
          <w:lang w:val="fr-CI"/>
        </w:rPr>
        <w:t xml:space="preserve">d’environ </w:t>
      </w:r>
      <w:r w:rsidR="00CA7676" w:rsidRPr="00CA7676">
        <w:rPr>
          <w:rFonts w:ascii="Times New Roman" w:hAnsi="Times New Roman" w:cs="Times New Roman"/>
          <w:b/>
          <w:sz w:val="24"/>
          <w:szCs w:val="24"/>
          <w:lang w:val="fr-CI"/>
        </w:rPr>
        <w:t>500</w:t>
      </w:r>
      <w:r w:rsidRPr="00333A62">
        <w:rPr>
          <w:rFonts w:ascii="Times New Roman" w:hAnsi="Times New Roman" w:cs="Times New Roman"/>
          <w:b/>
          <w:sz w:val="24"/>
          <w:szCs w:val="24"/>
          <w:lang w:val="fr-CI"/>
        </w:rPr>
        <w:t xml:space="preserve"> femmes </w:t>
      </w:r>
      <w:r w:rsidRPr="00333A62">
        <w:rPr>
          <w:rFonts w:ascii="Times New Roman" w:hAnsi="Times New Roman" w:cs="Times New Roman"/>
          <w:sz w:val="24"/>
          <w:szCs w:val="24"/>
          <w:lang w:val="fr-CI"/>
        </w:rPr>
        <w:t>si des efforts sont consentis pour améliorer le niveau de pauvreté des populations issues de ces régions.</w:t>
      </w:r>
    </w:p>
    <w:p w14:paraId="3F7CED22" w14:textId="0E000264" w:rsidR="00503843" w:rsidRPr="00333A62" w:rsidRDefault="00503843" w:rsidP="00333A62">
      <w:pPr>
        <w:spacing w:before="120" w:after="120" w:line="276" w:lineRule="auto"/>
        <w:jc w:val="both"/>
        <w:rPr>
          <w:rFonts w:ascii="Times New Roman" w:hAnsi="Times New Roman" w:cs="Times New Roman"/>
          <w:b/>
          <w:sz w:val="24"/>
          <w:szCs w:val="24"/>
          <w:lang w:val="fr-CI"/>
        </w:rPr>
      </w:pPr>
      <w:r w:rsidRPr="00333A62">
        <w:rPr>
          <w:rFonts w:ascii="Times New Roman" w:hAnsi="Times New Roman" w:cs="Times New Roman"/>
          <w:sz w:val="24"/>
          <w:szCs w:val="24"/>
          <w:lang w:val="fr-CI"/>
        </w:rPr>
        <w:t xml:space="preserve">Toutefois il est à noter que l’amélioration effective des interventions et des couvertures à un seuil acceptable en tenant compte de la résolution des goulots d’étranglements dans les proportions observées dans les pays ayant des bonnes performances permet d’éviter </w:t>
      </w:r>
      <w:r w:rsidRPr="00333A62">
        <w:rPr>
          <w:rFonts w:ascii="Times New Roman" w:hAnsi="Times New Roman" w:cs="Times New Roman"/>
          <w:b/>
          <w:sz w:val="24"/>
          <w:szCs w:val="24"/>
          <w:lang w:val="fr-CI"/>
        </w:rPr>
        <w:t xml:space="preserve">plus de </w:t>
      </w:r>
      <w:r w:rsidR="00CA7676">
        <w:rPr>
          <w:rFonts w:ascii="Times New Roman" w:hAnsi="Times New Roman" w:cs="Times New Roman"/>
          <w:b/>
          <w:sz w:val="24"/>
          <w:szCs w:val="24"/>
          <w:lang w:val="fr-CI"/>
        </w:rPr>
        <w:t>650 femmes</w:t>
      </w:r>
      <w:r w:rsidRPr="00333A62">
        <w:rPr>
          <w:rFonts w:ascii="Times New Roman" w:hAnsi="Times New Roman" w:cs="Times New Roman"/>
          <w:b/>
          <w:sz w:val="24"/>
          <w:szCs w:val="24"/>
          <w:lang w:val="fr-CI"/>
        </w:rPr>
        <w:t>.</w:t>
      </w:r>
    </w:p>
    <w:p w14:paraId="36A1FC0E" w14:textId="77777777" w:rsidR="00503843" w:rsidRPr="00333A62" w:rsidRDefault="00503843" w:rsidP="00333A62">
      <w:pPr>
        <w:spacing w:before="120" w:after="120" w:line="276" w:lineRule="auto"/>
        <w:rPr>
          <w:rFonts w:ascii="Times New Roman" w:hAnsi="Times New Roman" w:cs="Times New Roman"/>
          <w:b/>
          <w:sz w:val="24"/>
          <w:szCs w:val="24"/>
          <w:lang w:val="fr-CI"/>
        </w:rPr>
      </w:pPr>
    </w:p>
    <w:p w14:paraId="7F4F8298" w14:textId="77777777" w:rsidR="00503843" w:rsidRPr="00333A62" w:rsidRDefault="00503843" w:rsidP="00333A62">
      <w:pPr>
        <w:spacing w:before="120" w:after="120" w:line="276" w:lineRule="auto"/>
        <w:rPr>
          <w:rFonts w:ascii="Times New Roman" w:hAnsi="Times New Roman" w:cs="Times New Roman"/>
          <w:b/>
          <w:sz w:val="24"/>
          <w:szCs w:val="24"/>
          <w:lang w:val="fr-CI"/>
        </w:rPr>
      </w:pPr>
    </w:p>
    <w:p w14:paraId="6C1FB677" w14:textId="77777777" w:rsidR="00503843" w:rsidRPr="00333A62" w:rsidRDefault="00503843" w:rsidP="00333A62">
      <w:pPr>
        <w:spacing w:before="120" w:after="120" w:line="276" w:lineRule="auto"/>
        <w:rPr>
          <w:rFonts w:ascii="Times New Roman" w:hAnsi="Times New Roman" w:cs="Times New Roman"/>
          <w:b/>
          <w:sz w:val="24"/>
          <w:szCs w:val="24"/>
          <w:lang w:val="fr-CI"/>
        </w:rPr>
      </w:pPr>
      <w:r w:rsidRPr="00333A62">
        <w:rPr>
          <w:rFonts w:ascii="Times New Roman" w:hAnsi="Times New Roman" w:cs="Times New Roman"/>
          <w:b/>
          <w:sz w:val="24"/>
          <w:szCs w:val="24"/>
          <w:lang w:val="fr-CI"/>
        </w:rPr>
        <w:lastRenderedPageBreak/>
        <w:t>Scenario moyen (08 régions prioritaires)</w:t>
      </w:r>
    </w:p>
    <w:p w14:paraId="1D72A645" w14:textId="50C79BDC" w:rsidR="00503843" w:rsidRPr="00333A62" w:rsidRDefault="00503843" w:rsidP="00333A62">
      <w:pPr>
        <w:spacing w:before="120" w:after="120" w:line="276" w:lineRule="auto"/>
        <w:rPr>
          <w:rFonts w:ascii="Times New Roman" w:hAnsi="Times New Roman" w:cs="Times New Roman"/>
          <w:sz w:val="24"/>
          <w:szCs w:val="24"/>
          <w:u w:val="single"/>
          <w:lang w:val="fr-CI"/>
        </w:rPr>
      </w:pPr>
      <w:r w:rsidRPr="00333A62">
        <w:rPr>
          <w:rFonts w:ascii="Times New Roman" w:hAnsi="Times New Roman" w:cs="Times New Roman"/>
          <w:sz w:val="24"/>
          <w:szCs w:val="24"/>
          <w:u w:val="single"/>
          <w:lang w:val="fr-CI"/>
        </w:rPr>
        <w:t xml:space="preserve">Décès des moins de 5 ans </w:t>
      </w:r>
      <w:r w:rsidR="0020101E" w:rsidRPr="00333A62">
        <w:rPr>
          <w:rFonts w:ascii="Times New Roman" w:hAnsi="Times New Roman" w:cs="Times New Roman"/>
          <w:sz w:val="24"/>
          <w:szCs w:val="24"/>
          <w:u w:val="single"/>
          <w:lang w:val="fr-CI"/>
        </w:rPr>
        <w:t>évités</w:t>
      </w:r>
      <w:r w:rsidRPr="00333A62">
        <w:rPr>
          <w:rFonts w:ascii="Times New Roman" w:hAnsi="Times New Roman" w:cs="Times New Roman"/>
          <w:sz w:val="24"/>
          <w:szCs w:val="24"/>
          <w:u w:val="single"/>
          <w:lang w:val="fr-CI"/>
        </w:rPr>
        <w:t xml:space="preserve"> pour le scenario 2</w:t>
      </w:r>
    </w:p>
    <w:p w14:paraId="7BD67AEE" w14:textId="77777777" w:rsidR="00503843" w:rsidRPr="00333A62" w:rsidRDefault="00503843" w:rsidP="00333A62">
      <w:pPr>
        <w:spacing w:before="120" w:after="120" w:line="276" w:lineRule="auto"/>
        <w:rPr>
          <w:rFonts w:ascii="Times New Roman" w:hAnsi="Times New Roman" w:cs="Times New Roman"/>
          <w:sz w:val="24"/>
          <w:szCs w:val="24"/>
          <w:lang w:val="fr-CI"/>
        </w:rPr>
      </w:pPr>
      <w:r w:rsidRPr="00333A62">
        <w:rPr>
          <w:rFonts w:ascii="Times New Roman" w:hAnsi="Times New Roman" w:cs="Times New Roman"/>
          <w:noProof/>
          <w:sz w:val="24"/>
          <w:szCs w:val="24"/>
          <w:lang w:val="fr-FR" w:eastAsia="fr-FR"/>
        </w:rPr>
        <w:drawing>
          <wp:inline distT="0" distB="0" distL="0" distR="0" wp14:anchorId="34FD1592" wp14:editId="356E96BA">
            <wp:extent cx="6079490" cy="3015575"/>
            <wp:effectExtent l="0" t="0" r="16510" b="13970"/>
            <wp:docPr id="205" name="Graphique 205"/>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6E370846" w14:textId="46C4BF11" w:rsidR="00503843" w:rsidRPr="001D76FB" w:rsidRDefault="001D76FB" w:rsidP="001D76FB">
      <w:pPr>
        <w:pStyle w:val="Lgende"/>
        <w:rPr>
          <w:sz w:val="24"/>
          <w:szCs w:val="24"/>
          <w:lang w:val="fr-CI"/>
        </w:rPr>
      </w:pPr>
      <w:bookmarkStart w:id="121" w:name="_Toc1588395"/>
      <w:r w:rsidRPr="001D76FB">
        <w:rPr>
          <w:sz w:val="24"/>
          <w:szCs w:val="24"/>
        </w:rPr>
        <w:t xml:space="preserve">Figure </w:t>
      </w:r>
      <w:r w:rsidRPr="001D76FB">
        <w:rPr>
          <w:sz w:val="24"/>
          <w:szCs w:val="24"/>
        </w:rPr>
        <w:fldChar w:fldCharType="begin"/>
      </w:r>
      <w:r w:rsidRPr="001D76FB">
        <w:rPr>
          <w:sz w:val="24"/>
          <w:szCs w:val="24"/>
        </w:rPr>
        <w:instrText xml:space="preserve"> SEQ Figure \* ARABIC </w:instrText>
      </w:r>
      <w:r w:rsidRPr="001D76FB">
        <w:rPr>
          <w:sz w:val="24"/>
          <w:szCs w:val="24"/>
        </w:rPr>
        <w:fldChar w:fldCharType="separate"/>
      </w:r>
      <w:r w:rsidR="008F4009">
        <w:rPr>
          <w:noProof/>
          <w:sz w:val="24"/>
          <w:szCs w:val="24"/>
        </w:rPr>
        <w:t>8</w:t>
      </w:r>
      <w:r w:rsidRPr="001D76FB">
        <w:rPr>
          <w:sz w:val="24"/>
          <w:szCs w:val="24"/>
        </w:rPr>
        <w:fldChar w:fldCharType="end"/>
      </w:r>
      <w:r w:rsidRPr="001D76FB">
        <w:rPr>
          <w:sz w:val="24"/>
          <w:szCs w:val="24"/>
        </w:rPr>
        <w:t xml:space="preserve"> : </w:t>
      </w:r>
      <w:r w:rsidR="00503843" w:rsidRPr="001D76FB">
        <w:rPr>
          <w:sz w:val="24"/>
          <w:szCs w:val="24"/>
          <w:lang w:val="fr-CI"/>
        </w:rPr>
        <w:t>Extrait de l’estimation de l’impact du scenario moyen (08 régions), Equist 2018</w:t>
      </w:r>
      <w:bookmarkEnd w:id="121"/>
    </w:p>
    <w:p w14:paraId="50456389" w14:textId="77777777" w:rsidR="00503843" w:rsidRPr="00333A62" w:rsidRDefault="00503843" w:rsidP="00333A62">
      <w:pPr>
        <w:spacing w:before="120" w:after="120" w:line="276" w:lineRule="auto"/>
        <w:ind w:firstLine="720"/>
        <w:rPr>
          <w:rFonts w:ascii="Times New Roman" w:hAnsi="Times New Roman" w:cs="Times New Roman"/>
          <w:sz w:val="24"/>
          <w:szCs w:val="24"/>
          <w:lang w:val="fr-CI"/>
        </w:rPr>
      </w:pPr>
    </w:p>
    <w:p w14:paraId="11084D39" w14:textId="2E39468A" w:rsidR="00503843" w:rsidRPr="00333A62" w:rsidRDefault="00503843"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Dans ce scenario, la mise en œuvre des interventions choisies selon les niveaux de couverture pour la réduction de la</w:t>
      </w:r>
      <w:r w:rsidRPr="00333A62">
        <w:rPr>
          <w:rFonts w:ascii="Times New Roman" w:hAnsi="Times New Roman" w:cs="Times New Roman"/>
          <w:sz w:val="24"/>
          <w:szCs w:val="24"/>
        </w:rPr>
        <w:t xml:space="preserve"> </w:t>
      </w:r>
      <w:r w:rsidRPr="00333A62">
        <w:rPr>
          <w:rFonts w:ascii="Times New Roman" w:hAnsi="Times New Roman" w:cs="Times New Roman"/>
          <w:sz w:val="24"/>
          <w:szCs w:val="24"/>
          <w:lang w:val="fr-CI"/>
        </w:rPr>
        <w:t xml:space="preserve">mortalité des enfants de moins de cinq ans permettra d’éviter à terme </w:t>
      </w:r>
      <w:r w:rsidR="00953F0C">
        <w:rPr>
          <w:rFonts w:ascii="Times New Roman" w:hAnsi="Times New Roman" w:cs="Times New Roman"/>
          <w:b/>
          <w:sz w:val="24"/>
          <w:szCs w:val="24"/>
          <w:lang w:val="fr-CI"/>
        </w:rPr>
        <w:t>plus de 34</w:t>
      </w:r>
      <w:r w:rsidRPr="00333A62">
        <w:rPr>
          <w:rFonts w:ascii="Times New Roman" w:hAnsi="Times New Roman" w:cs="Times New Roman"/>
          <w:b/>
          <w:sz w:val="24"/>
          <w:szCs w:val="24"/>
          <w:lang w:val="fr-CI"/>
        </w:rPr>
        <w:t xml:space="preserve"> 000 décès</w:t>
      </w:r>
      <w:r w:rsidRPr="00333A62">
        <w:rPr>
          <w:rFonts w:ascii="Times New Roman" w:hAnsi="Times New Roman" w:cs="Times New Roman"/>
          <w:sz w:val="24"/>
          <w:szCs w:val="24"/>
          <w:lang w:val="fr-CI"/>
        </w:rPr>
        <w:t xml:space="preserve"> dans l’ensemble de la population d’enfants de ces régions. Pour les régions les plus pauvres de ce scenario, les interventions permettront d’éviter le décès d’</w:t>
      </w:r>
      <w:r w:rsidRPr="00333A62">
        <w:rPr>
          <w:rFonts w:ascii="Times New Roman" w:hAnsi="Times New Roman" w:cs="Times New Roman"/>
          <w:b/>
          <w:sz w:val="24"/>
          <w:szCs w:val="24"/>
          <w:lang w:val="fr-CI"/>
        </w:rPr>
        <w:t>environ</w:t>
      </w:r>
      <w:r w:rsidRPr="00333A62">
        <w:rPr>
          <w:rFonts w:ascii="Times New Roman" w:hAnsi="Times New Roman" w:cs="Times New Roman"/>
          <w:sz w:val="24"/>
          <w:szCs w:val="24"/>
          <w:lang w:val="fr-CI"/>
        </w:rPr>
        <w:t xml:space="preserve"> </w:t>
      </w:r>
      <w:r w:rsidRPr="00333A62">
        <w:rPr>
          <w:rFonts w:ascii="Times New Roman" w:hAnsi="Times New Roman" w:cs="Times New Roman"/>
          <w:b/>
          <w:sz w:val="24"/>
          <w:szCs w:val="24"/>
          <w:lang w:val="fr-CI"/>
        </w:rPr>
        <w:t>10000 enfants</w:t>
      </w:r>
      <w:r w:rsidRPr="00333A62">
        <w:rPr>
          <w:rFonts w:ascii="Times New Roman" w:hAnsi="Times New Roman" w:cs="Times New Roman"/>
          <w:sz w:val="24"/>
          <w:szCs w:val="24"/>
          <w:lang w:val="fr-CI"/>
        </w:rPr>
        <w:t xml:space="preserve"> si des efforts sont consentis pour améliorer le niveau de pauvreté des populations issues de ces régions.</w:t>
      </w:r>
    </w:p>
    <w:p w14:paraId="06873E01" w14:textId="77777777" w:rsidR="00503843" w:rsidRPr="00333A62" w:rsidRDefault="00503843" w:rsidP="00333A62">
      <w:pPr>
        <w:spacing w:before="120" w:after="120" w:line="276" w:lineRule="auto"/>
        <w:jc w:val="both"/>
        <w:rPr>
          <w:rFonts w:ascii="Times New Roman" w:hAnsi="Times New Roman" w:cs="Times New Roman"/>
          <w:b/>
          <w:sz w:val="24"/>
          <w:szCs w:val="24"/>
          <w:lang w:val="fr-CI"/>
        </w:rPr>
      </w:pPr>
      <w:r w:rsidRPr="00333A62">
        <w:rPr>
          <w:rFonts w:ascii="Times New Roman" w:hAnsi="Times New Roman" w:cs="Times New Roman"/>
          <w:sz w:val="24"/>
          <w:szCs w:val="24"/>
          <w:lang w:val="fr-CI"/>
        </w:rPr>
        <w:t xml:space="preserve">Toutefois il est à noter que l’amélioration effective des interventions et des couvertures à un seuil acceptable en tenant compte de la résolution des goulots d’étranglements dans les proportions observées dans les pays ayant des bonnes performances permet d’éviter </w:t>
      </w:r>
      <w:r w:rsidRPr="00333A62">
        <w:rPr>
          <w:rFonts w:ascii="Times New Roman" w:hAnsi="Times New Roman" w:cs="Times New Roman"/>
          <w:b/>
          <w:sz w:val="24"/>
          <w:szCs w:val="24"/>
          <w:lang w:val="fr-CI"/>
        </w:rPr>
        <w:t>25 000 décès.</w:t>
      </w:r>
    </w:p>
    <w:p w14:paraId="0D626BFB" w14:textId="77777777" w:rsidR="00503843" w:rsidRPr="00333A62" w:rsidRDefault="00503843" w:rsidP="00333A62">
      <w:pPr>
        <w:spacing w:before="120" w:after="120" w:line="276" w:lineRule="auto"/>
        <w:ind w:firstLine="720"/>
        <w:rPr>
          <w:rFonts w:ascii="Times New Roman" w:hAnsi="Times New Roman" w:cs="Times New Roman"/>
          <w:sz w:val="24"/>
          <w:szCs w:val="24"/>
          <w:lang w:val="fr-CI"/>
        </w:rPr>
      </w:pPr>
    </w:p>
    <w:p w14:paraId="13D537D4" w14:textId="77777777" w:rsidR="00503843" w:rsidRPr="00333A62" w:rsidRDefault="00503843" w:rsidP="00333A62">
      <w:pPr>
        <w:spacing w:before="120" w:after="120" w:line="276" w:lineRule="auto"/>
        <w:ind w:firstLine="720"/>
        <w:rPr>
          <w:rFonts w:ascii="Times New Roman" w:hAnsi="Times New Roman" w:cs="Times New Roman"/>
          <w:sz w:val="24"/>
          <w:szCs w:val="24"/>
          <w:lang w:val="fr-CI"/>
        </w:rPr>
      </w:pPr>
    </w:p>
    <w:p w14:paraId="106AFF5A" w14:textId="77777777" w:rsidR="00A152F2" w:rsidRDefault="00A152F2">
      <w:pPr>
        <w:rPr>
          <w:rFonts w:ascii="Times New Roman" w:hAnsi="Times New Roman" w:cs="Times New Roman"/>
          <w:sz w:val="24"/>
          <w:szCs w:val="24"/>
          <w:u w:val="single"/>
          <w:lang w:val="fr-CI"/>
        </w:rPr>
      </w:pPr>
      <w:r>
        <w:rPr>
          <w:rFonts w:ascii="Times New Roman" w:hAnsi="Times New Roman" w:cs="Times New Roman"/>
          <w:sz w:val="24"/>
          <w:szCs w:val="24"/>
          <w:u w:val="single"/>
          <w:lang w:val="fr-CI"/>
        </w:rPr>
        <w:br w:type="page"/>
      </w:r>
    </w:p>
    <w:p w14:paraId="75CB89F8" w14:textId="62667A34" w:rsidR="00503843" w:rsidRPr="00333A62" w:rsidRDefault="00503843" w:rsidP="00333A62">
      <w:pPr>
        <w:tabs>
          <w:tab w:val="left" w:pos="955"/>
        </w:tabs>
        <w:spacing w:before="120" w:after="120" w:line="276" w:lineRule="auto"/>
        <w:rPr>
          <w:rFonts w:ascii="Times New Roman" w:hAnsi="Times New Roman" w:cs="Times New Roman"/>
          <w:sz w:val="24"/>
          <w:szCs w:val="24"/>
          <w:u w:val="single"/>
          <w:lang w:val="fr-CI"/>
        </w:rPr>
      </w:pPr>
      <w:r w:rsidRPr="00333A62">
        <w:rPr>
          <w:rFonts w:ascii="Times New Roman" w:hAnsi="Times New Roman" w:cs="Times New Roman"/>
          <w:sz w:val="24"/>
          <w:szCs w:val="24"/>
          <w:u w:val="single"/>
          <w:lang w:val="fr-CI"/>
        </w:rPr>
        <w:lastRenderedPageBreak/>
        <w:t>Décès maternels évités pour le scenario 2</w:t>
      </w:r>
    </w:p>
    <w:p w14:paraId="625C5827" w14:textId="5C02CF3C" w:rsidR="00503843" w:rsidRPr="00333A62" w:rsidRDefault="006E66CF" w:rsidP="00333A62">
      <w:pPr>
        <w:spacing w:before="120" w:after="120" w:line="276" w:lineRule="auto"/>
        <w:rPr>
          <w:rFonts w:ascii="Times New Roman" w:hAnsi="Times New Roman" w:cs="Times New Roman"/>
          <w:sz w:val="24"/>
          <w:szCs w:val="24"/>
          <w:lang w:val="fr-CI"/>
        </w:rPr>
      </w:pPr>
      <w:r>
        <w:rPr>
          <w:noProof/>
          <w:lang w:val="fr-FR" w:eastAsia="fr-FR"/>
        </w:rPr>
        <w:drawing>
          <wp:inline distT="0" distB="0" distL="0" distR="0" wp14:anchorId="72D52B14" wp14:editId="77867E4C">
            <wp:extent cx="6248400" cy="2675106"/>
            <wp:effectExtent l="0" t="0" r="0" b="11430"/>
            <wp:docPr id="226" name="Graphique 226">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71C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0BAEA9A3" w14:textId="28C6A50F" w:rsidR="00503843" w:rsidRPr="001D76FB" w:rsidRDefault="001D76FB" w:rsidP="001D76FB">
      <w:pPr>
        <w:pStyle w:val="Lgende"/>
        <w:rPr>
          <w:sz w:val="24"/>
          <w:szCs w:val="24"/>
          <w:lang w:val="fr-CI"/>
        </w:rPr>
      </w:pPr>
      <w:bookmarkStart w:id="122" w:name="_Toc1588396"/>
      <w:r w:rsidRPr="001D76FB">
        <w:rPr>
          <w:sz w:val="24"/>
          <w:szCs w:val="24"/>
        </w:rPr>
        <w:t xml:space="preserve">Figure </w:t>
      </w:r>
      <w:r w:rsidRPr="001D76FB">
        <w:rPr>
          <w:sz w:val="24"/>
          <w:szCs w:val="24"/>
        </w:rPr>
        <w:fldChar w:fldCharType="begin"/>
      </w:r>
      <w:r w:rsidRPr="001D76FB">
        <w:rPr>
          <w:sz w:val="24"/>
          <w:szCs w:val="24"/>
        </w:rPr>
        <w:instrText xml:space="preserve"> SEQ Figure \* ARABIC </w:instrText>
      </w:r>
      <w:r w:rsidRPr="001D76FB">
        <w:rPr>
          <w:sz w:val="24"/>
          <w:szCs w:val="24"/>
        </w:rPr>
        <w:fldChar w:fldCharType="separate"/>
      </w:r>
      <w:r w:rsidR="008F4009">
        <w:rPr>
          <w:noProof/>
          <w:sz w:val="24"/>
          <w:szCs w:val="24"/>
        </w:rPr>
        <w:t>9</w:t>
      </w:r>
      <w:r w:rsidRPr="001D76FB">
        <w:rPr>
          <w:sz w:val="24"/>
          <w:szCs w:val="24"/>
        </w:rPr>
        <w:fldChar w:fldCharType="end"/>
      </w:r>
      <w:r w:rsidRPr="001D76FB">
        <w:rPr>
          <w:sz w:val="24"/>
          <w:szCs w:val="24"/>
        </w:rPr>
        <w:t xml:space="preserve"> : </w:t>
      </w:r>
      <w:r w:rsidR="00503843" w:rsidRPr="001D76FB">
        <w:rPr>
          <w:sz w:val="24"/>
          <w:szCs w:val="24"/>
          <w:lang w:val="fr-CI"/>
        </w:rPr>
        <w:t>Extrait de l’estimation de l’impact du scenario moyen (08 régions), Equist 2018</w:t>
      </w:r>
      <w:bookmarkEnd w:id="122"/>
    </w:p>
    <w:p w14:paraId="46AE810C" w14:textId="77777777" w:rsidR="00503843" w:rsidRPr="00333A62" w:rsidRDefault="00503843" w:rsidP="00333A62">
      <w:pPr>
        <w:spacing w:before="120" w:after="120" w:line="276" w:lineRule="auto"/>
        <w:rPr>
          <w:rFonts w:ascii="Times New Roman" w:hAnsi="Times New Roman" w:cs="Times New Roman"/>
          <w:sz w:val="24"/>
          <w:szCs w:val="24"/>
          <w:lang w:val="fr-CI"/>
        </w:rPr>
      </w:pPr>
    </w:p>
    <w:p w14:paraId="2F9970FE" w14:textId="3C0FA940" w:rsidR="00503843" w:rsidRPr="00333A62" w:rsidRDefault="00503843"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Dans ce scenario, la mise en œuvre des interventions choisies selon les niveaux de couverture pour la réduction de la</w:t>
      </w:r>
      <w:r w:rsidRPr="00333A62">
        <w:rPr>
          <w:rFonts w:ascii="Times New Roman" w:hAnsi="Times New Roman" w:cs="Times New Roman"/>
          <w:sz w:val="24"/>
          <w:szCs w:val="24"/>
        </w:rPr>
        <w:t xml:space="preserve"> </w:t>
      </w:r>
      <w:r w:rsidRPr="00333A62">
        <w:rPr>
          <w:rFonts w:ascii="Times New Roman" w:hAnsi="Times New Roman" w:cs="Times New Roman"/>
          <w:sz w:val="24"/>
          <w:szCs w:val="24"/>
          <w:lang w:val="fr-CI"/>
        </w:rPr>
        <w:t xml:space="preserve">mortalité maternelle permettra d’éviter à terme </w:t>
      </w:r>
      <w:r w:rsidRPr="00333A62">
        <w:rPr>
          <w:rFonts w:ascii="Times New Roman" w:hAnsi="Times New Roman" w:cs="Times New Roman"/>
          <w:b/>
          <w:sz w:val="24"/>
          <w:szCs w:val="24"/>
          <w:lang w:val="fr-CI"/>
        </w:rPr>
        <w:t xml:space="preserve">environ de </w:t>
      </w:r>
      <w:r w:rsidR="00CE1354">
        <w:rPr>
          <w:rFonts w:ascii="Times New Roman" w:hAnsi="Times New Roman" w:cs="Times New Roman"/>
          <w:b/>
          <w:sz w:val="24"/>
          <w:szCs w:val="24"/>
          <w:lang w:val="fr-CI"/>
        </w:rPr>
        <w:t>900</w:t>
      </w:r>
      <w:r w:rsidRPr="00333A62">
        <w:rPr>
          <w:rFonts w:ascii="Times New Roman" w:hAnsi="Times New Roman" w:cs="Times New Roman"/>
          <w:b/>
          <w:sz w:val="24"/>
          <w:szCs w:val="24"/>
          <w:lang w:val="fr-CI"/>
        </w:rPr>
        <w:t xml:space="preserve"> décès </w:t>
      </w:r>
      <w:r w:rsidRPr="00333A62">
        <w:rPr>
          <w:rFonts w:ascii="Times New Roman" w:hAnsi="Times New Roman" w:cs="Times New Roman"/>
          <w:sz w:val="24"/>
          <w:szCs w:val="24"/>
          <w:lang w:val="fr-CI"/>
        </w:rPr>
        <w:t>dans l’ensemble de la population de femmes enceintes</w:t>
      </w:r>
      <w:r w:rsidR="00CE1354">
        <w:rPr>
          <w:rFonts w:ascii="Times New Roman" w:hAnsi="Times New Roman" w:cs="Times New Roman"/>
          <w:sz w:val="24"/>
          <w:szCs w:val="24"/>
          <w:lang w:val="fr-CI"/>
        </w:rPr>
        <w:t xml:space="preserve"> de</w:t>
      </w:r>
      <w:r w:rsidRPr="00333A62">
        <w:rPr>
          <w:rFonts w:ascii="Times New Roman" w:hAnsi="Times New Roman" w:cs="Times New Roman"/>
          <w:sz w:val="24"/>
          <w:szCs w:val="24"/>
          <w:lang w:val="fr-CI"/>
        </w:rPr>
        <w:t xml:space="preserve"> ces régions. Pour les régions les plus pauvres de ce scenario, les interventions permettront d’éviter le décès de </w:t>
      </w:r>
      <w:r w:rsidR="00CE1354">
        <w:rPr>
          <w:rFonts w:ascii="Times New Roman" w:hAnsi="Times New Roman" w:cs="Times New Roman"/>
          <w:sz w:val="24"/>
          <w:szCs w:val="24"/>
          <w:lang w:val="fr-CI"/>
        </w:rPr>
        <w:t xml:space="preserve">plus de </w:t>
      </w:r>
      <w:r w:rsidR="00CE1354">
        <w:rPr>
          <w:rFonts w:ascii="Times New Roman" w:hAnsi="Times New Roman" w:cs="Times New Roman"/>
          <w:b/>
          <w:sz w:val="24"/>
          <w:szCs w:val="24"/>
          <w:lang w:val="fr-CI"/>
        </w:rPr>
        <w:t>9</w:t>
      </w:r>
      <w:r w:rsidRPr="00333A62">
        <w:rPr>
          <w:rFonts w:ascii="Times New Roman" w:hAnsi="Times New Roman" w:cs="Times New Roman"/>
          <w:b/>
          <w:sz w:val="24"/>
          <w:szCs w:val="24"/>
          <w:lang w:val="fr-CI"/>
        </w:rPr>
        <w:t xml:space="preserve">50 </w:t>
      </w:r>
      <w:r w:rsidRPr="00333A62">
        <w:rPr>
          <w:rFonts w:ascii="Times New Roman" w:hAnsi="Times New Roman" w:cs="Times New Roman"/>
          <w:sz w:val="24"/>
          <w:szCs w:val="24"/>
          <w:lang w:val="fr-CI"/>
        </w:rPr>
        <w:t>si des efforts sont consentis pour améliorer le niveau de pauvreté des populations issues de ces régions.</w:t>
      </w:r>
    </w:p>
    <w:p w14:paraId="2C908CA0" w14:textId="509474AF" w:rsidR="00503843" w:rsidRPr="00333A62" w:rsidRDefault="00503843" w:rsidP="00333A62">
      <w:pPr>
        <w:spacing w:before="120" w:after="120" w:line="276" w:lineRule="auto"/>
        <w:jc w:val="both"/>
        <w:rPr>
          <w:rFonts w:ascii="Times New Roman" w:hAnsi="Times New Roman" w:cs="Times New Roman"/>
          <w:b/>
          <w:sz w:val="24"/>
          <w:szCs w:val="24"/>
          <w:lang w:val="fr-CI"/>
        </w:rPr>
      </w:pPr>
      <w:r w:rsidRPr="00333A62">
        <w:rPr>
          <w:rFonts w:ascii="Times New Roman" w:hAnsi="Times New Roman" w:cs="Times New Roman"/>
          <w:sz w:val="24"/>
          <w:szCs w:val="24"/>
          <w:lang w:val="fr-CI"/>
        </w:rPr>
        <w:t xml:space="preserve">Toutefois il est à noter que l’amélioration effective des interventions et des couvertures à un seuil acceptable en tenant compte de la résolution des goulots d’étranglements dans les proportions observées dans les pays ayant des bonnes performances permet d’éviter </w:t>
      </w:r>
      <w:r w:rsidRPr="00333A62">
        <w:rPr>
          <w:rFonts w:ascii="Times New Roman" w:hAnsi="Times New Roman" w:cs="Times New Roman"/>
          <w:b/>
          <w:sz w:val="24"/>
          <w:szCs w:val="24"/>
          <w:lang w:val="fr-CI"/>
        </w:rPr>
        <w:t xml:space="preserve">plus de </w:t>
      </w:r>
      <w:r w:rsidR="00CE1354">
        <w:rPr>
          <w:rFonts w:ascii="Times New Roman" w:hAnsi="Times New Roman" w:cs="Times New Roman"/>
          <w:b/>
          <w:sz w:val="24"/>
          <w:szCs w:val="24"/>
          <w:lang w:val="fr-CI"/>
        </w:rPr>
        <w:t>1400</w:t>
      </w:r>
      <w:r w:rsidRPr="00333A62">
        <w:rPr>
          <w:rFonts w:ascii="Times New Roman" w:hAnsi="Times New Roman" w:cs="Times New Roman"/>
          <w:b/>
          <w:sz w:val="24"/>
          <w:szCs w:val="24"/>
          <w:lang w:val="fr-CI"/>
        </w:rPr>
        <w:t xml:space="preserve"> décès </w:t>
      </w:r>
      <w:r w:rsidR="00CE1354">
        <w:rPr>
          <w:rFonts w:ascii="Times New Roman" w:hAnsi="Times New Roman" w:cs="Times New Roman"/>
          <w:b/>
          <w:sz w:val="24"/>
          <w:szCs w:val="24"/>
          <w:lang w:val="fr-CI"/>
        </w:rPr>
        <w:t>de femmes</w:t>
      </w:r>
      <w:r w:rsidRPr="00333A62">
        <w:rPr>
          <w:rFonts w:ascii="Times New Roman" w:hAnsi="Times New Roman" w:cs="Times New Roman"/>
          <w:b/>
          <w:sz w:val="24"/>
          <w:szCs w:val="24"/>
          <w:lang w:val="fr-CI"/>
        </w:rPr>
        <w:t>.</w:t>
      </w:r>
    </w:p>
    <w:p w14:paraId="406FB37C" w14:textId="77777777" w:rsidR="00503843" w:rsidRPr="00333A62" w:rsidRDefault="00503843" w:rsidP="00333A62">
      <w:pPr>
        <w:spacing w:before="120" w:after="120" w:line="276" w:lineRule="auto"/>
        <w:rPr>
          <w:rFonts w:ascii="Times New Roman" w:hAnsi="Times New Roman" w:cs="Times New Roman"/>
          <w:b/>
          <w:sz w:val="24"/>
          <w:szCs w:val="24"/>
          <w:lang w:val="fr-CI"/>
        </w:rPr>
      </w:pPr>
      <w:r w:rsidRPr="00333A62">
        <w:rPr>
          <w:rFonts w:ascii="Times New Roman" w:hAnsi="Times New Roman" w:cs="Times New Roman"/>
          <w:b/>
          <w:sz w:val="24"/>
          <w:szCs w:val="24"/>
          <w:lang w:val="fr-CI"/>
        </w:rPr>
        <w:br w:type="page"/>
      </w:r>
    </w:p>
    <w:p w14:paraId="3DA581AB" w14:textId="77777777" w:rsidR="00503843" w:rsidRPr="00333A62" w:rsidRDefault="00503843" w:rsidP="00333A62">
      <w:pPr>
        <w:spacing w:before="120" w:after="120" w:line="276" w:lineRule="auto"/>
        <w:rPr>
          <w:rFonts w:ascii="Times New Roman" w:hAnsi="Times New Roman" w:cs="Times New Roman"/>
          <w:b/>
          <w:sz w:val="24"/>
          <w:szCs w:val="24"/>
          <w:lang w:val="fr-CI"/>
        </w:rPr>
      </w:pPr>
      <w:r w:rsidRPr="00333A62">
        <w:rPr>
          <w:rFonts w:ascii="Times New Roman" w:hAnsi="Times New Roman" w:cs="Times New Roman"/>
          <w:b/>
          <w:sz w:val="24"/>
          <w:szCs w:val="24"/>
          <w:lang w:val="fr-CI"/>
        </w:rPr>
        <w:lastRenderedPageBreak/>
        <w:t>Scenario national (11 régions prioritaires)</w:t>
      </w:r>
    </w:p>
    <w:p w14:paraId="0536E2B2" w14:textId="781EE61F" w:rsidR="00503843" w:rsidRPr="00333A62" w:rsidRDefault="00503843" w:rsidP="00333A62">
      <w:pPr>
        <w:spacing w:before="120" w:after="120" w:line="276" w:lineRule="auto"/>
        <w:rPr>
          <w:rFonts w:ascii="Times New Roman" w:hAnsi="Times New Roman" w:cs="Times New Roman"/>
          <w:sz w:val="24"/>
          <w:szCs w:val="24"/>
          <w:u w:val="single"/>
          <w:lang w:val="fr-CI"/>
        </w:rPr>
      </w:pPr>
      <w:r w:rsidRPr="00333A62">
        <w:rPr>
          <w:rFonts w:ascii="Times New Roman" w:hAnsi="Times New Roman" w:cs="Times New Roman"/>
          <w:sz w:val="24"/>
          <w:szCs w:val="24"/>
          <w:u w:val="single"/>
          <w:lang w:val="fr-CI"/>
        </w:rPr>
        <w:t xml:space="preserve">Décès des moins de 5 ans </w:t>
      </w:r>
      <w:r w:rsidR="00A152F2" w:rsidRPr="00333A62">
        <w:rPr>
          <w:rFonts w:ascii="Times New Roman" w:hAnsi="Times New Roman" w:cs="Times New Roman"/>
          <w:sz w:val="24"/>
          <w:szCs w:val="24"/>
          <w:u w:val="single"/>
          <w:lang w:val="fr-CI"/>
        </w:rPr>
        <w:t>évités</w:t>
      </w:r>
      <w:r w:rsidRPr="00333A62">
        <w:rPr>
          <w:rFonts w:ascii="Times New Roman" w:hAnsi="Times New Roman" w:cs="Times New Roman"/>
          <w:sz w:val="24"/>
          <w:szCs w:val="24"/>
          <w:u w:val="single"/>
          <w:lang w:val="fr-CI"/>
        </w:rPr>
        <w:t xml:space="preserve"> pour le scenario 3</w:t>
      </w:r>
    </w:p>
    <w:p w14:paraId="0DD62EA1" w14:textId="77777777" w:rsidR="00503843" w:rsidRPr="00333A62" w:rsidRDefault="00503843" w:rsidP="00333A62">
      <w:pPr>
        <w:spacing w:before="120" w:after="120" w:line="276" w:lineRule="auto"/>
        <w:rPr>
          <w:rFonts w:ascii="Times New Roman" w:hAnsi="Times New Roman" w:cs="Times New Roman"/>
          <w:sz w:val="24"/>
          <w:szCs w:val="24"/>
          <w:lang w:val="fr-CI"/>
        </w:rPr>
      </w:pPr>
      <w:r w:rsidRPr="00333A62">
        <w:rPr>
          <w:rFonts w:ascii="Times New Roman" w:hAnsi="Times New Roman" w:cs="Times New Roman"/>
          <w:noProof/>
          <w:sz w:val="24"/>
          <w:szCs w:val="24"/>
          <w:lang w:val="fr-FR" w:eastAsia="fr-FR"/>
        </w:rPr>
        <w:drawing>
          <wp:inline distT="0" distB="0" distL="0" distR="0" wp14:anchorId="3AC7A572" wp14:editId="7A6202FE">
            <wp:extent cx="6118225" cy="2782110"/>
            <wp:effectExtent l="0" t="0" r="15875" b="18415"/>
            <wp:docPr id="206" name="Graphique 206"/>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6CC7950D" w14:textId="07B3A087" w:rsidR="00503843" w:rsidRPr="001D76FB" w:rsidRDefault="001D76FB" w:rsidP="001D76FB">
      <w:pPr>
        <w:pStyle w:val="Lgende"/>
        <w:rPr>
          <w:sz w:val="24"/>
          <w:szCs w:val="24"/>
          <w:lang w:val="fr-CI"/>
        </w:rPr>
      </w:pPr>
      <w:bookmarkStart w:id="123" w:name="_Toc1588397"/>
      <w:r w:rsidRPr="001D76FB">
        <w:rPr>
          <w:sz w:val="24"/>
          <w:szCs w:val="24"/>
        </w:rPr>
        <w:t xml:space="preserve">Figure </w:t>
      </w:r>
      <w:r w:rsidRPr="001D76FB">
        <w:rPr>
          <w:sz w:val="24"/>
          <w:szCs w:val="24"/>
        </w:rPr>
        <w:fldChar w:fldCharType="begin"/>
      </w:r>
      <w:r w:rsidRPr="001D76FB">
        <w:rPr>
          <w:sz w:val="24"/>
          <w:szCs w:val="24"/>
        </w:rPr>
        <w:instrText xml:space="preserve"> SEQ Figure \* ARABIC </w:instrText>
      </w:r>
      <w:r w:rsidRPr="001D76FB">
        <w:rPr>
          <w:sz w:val="24"/>
          <w:szCs w:val="24"/>
        </w:rPr>
        <w:fldChar w:fldCharType="separate"/>
      </w:r>
      <w:r w:rsidR="008F4009">
        <w:rPr>
          <w:noProof/>
          <w:sz w:val="24"/>
          <w:szCs w:val="24"/>
        </w:rPr>
        <w:t>10</w:t>
      </w:r>
      <w:r w:rsidRPr="001D76FB">
        <w:rPr>
          <w:sz w:val="24"/>
          <w:szCs w:val="24"/>
        </w:rPr>
        <w:fldChar w:fldCharType="end"/>
      </w:r>
      <w:r w:rsidRPr="001D76FB">
        <w:rPr>
          <w:sz w:val="24"/>
          <w:szCs w:val="24"/>
        </w:rPr>
        <w:t xml:space="preserve"> : </w:t>
      </w:r>
      <w:r w:rsidR="00503843" w:rsidRPr="001D76FB">
        <w:rPr>
          <w:sz w:val="24"/>
          <w:szCs w:val="24"/>
          <w:lang w:val="fr-CI"/>
        </w:rPr>
        <w:t>Extrait de l’estimation de l’impact du scenario national (11 régions), Equist 2018</w:t>
      </w:r>
      <w:bookmarkEnd w:id="123"/>
    </w:p>
    <w:p w14:paraId="3FAE0743" w14:textId="77777777" w:rsidR="00503843" w:rsidRPr="00333A62" w:rsidRDefault="00503843" w:rsidP="00333A62">
      <w:pPr>
        <w:spacing w:before="120" w:after="120" w:line="276" w:lineRule="auto"/>
        <w:rPr>
          <w:rFonts w:ascii="Times New Roman" w:hAnsi="Times New Roman" w:cs="Times New Roman"/>
          <w:sz w:val="24"/>
          <w:szCs w:val="24"/>
          <w:lang w:val="fr-CI"/>
        </w:rPr>
      </w:pPr>
    </w:p>
    <w:p w14:paraId="125972C7" w14:textId="57381ABB" w:rsidR="00503843" w:rsidRPr="00333A62" w:rsidRDefault="00503843"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Dans ce scenario, la mise en œuvre des interventions choisies selon les niveaux de couverture pour la réduction de la</w:t>
      </w:r>
      <w:r w:rsidRPr="00333A62">
        <w:rPr>
          <w:rFonts w:ascii="Times New Roman" w:hAnsi="Times New Roman" w:cs="Times New Roman"/>
          <w:sz w:val="24"/>
          <w:szCs w:val="24"/>
        </w:rPr>
        <w:t xml:space="preserve"> </w:t>
      </w:r>
      <w:r w:rsidRPr="00333A62">
        <w:rPr>
          <w:rFonts w:ascii="Times New Roman" w:hAnsi="Times New Roman" w:cs="Times New Roman"/>
          <w:sz w:val="24"/>
          <w:szCs w:val="24"/>
          <w:lang w:val="fr-CI"/>
        </w:rPr>
        <w:t xml:space="preserve">mortalité des enfants de moins de cinq ans permettra d’éviter à terme </w:t>
      </w:r>
      <w:r w:rsidRPr="00333A62">
        <w:rPr>
          <w:rFonts w:ascii="Times New Roman" w:hAnsi="Times New Roman" w:cs="Times New Roman"/>
          <w:b/>
          <w:sz w:val="24"/>
          <w:szCs w:val="24"/>
          <w:lang w:val="fr-CI"/>
        </w:rPr>
        <w:t>plus de 4</w:t>
      </w:r>
      <w:r w:rsidR="00CE1354">
        <w:rPr>
          <w:rFonts w:ascii="Times New Roman" w:hAnsi="Times New Roman" w:cs="Times New Roman"/>
          <w:b/>
          <w:sz w:val="24"/>
          <w:szCs w:val="24"/>
          <w:lang w:val="fr-CI"/>
        </w:rPr>
        <w:t>3</w:t>
      </w:r>
      <w:r w:rsidRPr="00333A62">
        <w:rPr>
          <w:rFonts w:ascii="Times New Roman" w:hAnsi="Times New Roman" w:cs="Times New Roman"/>
          <w:b/>
          <w:sz w:val="24"/>
          <w:szCs w:val="24"/>
          <w:lang w:val="fr-CI"/>
        </w:rPr>
        <w:t xml:space="preserve"> 000 décès</w:t>
      </w:r>
      <w:r w:rsidRPr="00333A62">
        <w:rPr>
          <w:rFonts w:ascii="Times New Roman" w:hAnsi="Times New Roman" w:cs="Times New Roman"/>
          <w:sz w:val="24"/>
          <w:szCs w:val="24"/>
          <w:lang w:val="fr-CI"/>
        </w:rPr>
        <w:t xml:space="preserve"> dans l’ensemble de la population d’enfants de ces régions. Pour les régions les plus pauvres de ce scenario, les interventions permettront d’éviter le décès de plus de </w:t>
      </w:r>
      <w:r w:rsidR="00CE1354">
        <w:rPr>
          <w:rFonts w:ascii="Times New Roman" w:hAnsi="Times New Roman" w:cs="Times New Roman"/>
          <w:b/>
          <w:sz w:val="24"/>
          <w:szCs w:val="24"/>
          <w:lang w:val="fr-CI"/>
        </w:rPr>
        <w:t>12</w:t>
      </w:r>
      <w:r w:rsidRPr="00333A62">
        <w:rPr>
          <w:rFonts w:ascii="Times New Roman" w:hAnsi="Times New Roman" w:cs="Times New Roman"/>
          <w:b/>
          <w:sz w:val="24"/>
          <w:szCs w:val="24"/>
          <w:lang w:val="fr-CI"/>
        </w:rPr>
        <w:t>000 enfants</w:t>
      </w:r>
      <w:r w:rsidRPr="00333A62">
        <w:rPr>
          <w:rFonts w:ascii="Times New Roman" w:hAnsi="Times New Roman" w:cs="Times New Roman"/>
          <w:sz w:val="24"/>
          <w:szCs w:val="24"/>
          <w:lang w:val="fr-CI"/>
        </w:rPr>
        <w:t xml:space="preserve"> si des efforts sont consentis pour améliorer le niveau de pauvreté des populations issues de ces régions.</w:t>
      </w:r>
    </w:p>
    <w:p w14:paraId="0C95032E" w14:textId="3C8368A9" w:rsidR="00503843" w:rsidRPr="00333A62" w:rsidRDefault="00503843" w:rsidP="00333A62">
      <w:pPr>
        <w:spacing w:before="120" w:after="120" w:line="276" w:lineRule="auto"/>
        <w:jc w:val="both"/>
        <w:rPr>
          <w:rFonts w:ascii="Times New Roman" w:hAnsi="Times New Roman" w:cs="Times New Roman"/>
          <w:b/>
          <w:sz w:val="24"/>
          <w:szCs w:val="24"/>
          <w:lang w:val="fr-CI"/>
        </w:rPr>
      </w:pPr>
      <w:r w:rsidRPr="00333A62">
        <w:rPr>
          <w:rFonts w:ascii="Times New Roman" w:hAnsi="Times New Roman" w:cs="Times New Roman"/>
          <w:sz w:val="24"/>
          <w:szCs w:val="24"/>
          <w:lang w:val="fr-CI"/>
        </w:rPr>
        <w:t xml:space="preserve">Toutefois il est à noter que l’amélioration effective des interventions et des couvertures à un seuil acceptable en tenant compte de la résolution </w:t>
      </w:r>
      <w:r w:rsidR="0002340B" w:rsidRPr="00333A62">
        <w:rPr>
          <w:rFonts w:ascii="Times New Roman" w:hAnsi="Times New Roman" w:cs="Times New Roman"/>
          <w:sz w:val="24"/>
          <w:szCs w:val="24"/>
          <w:lang w:val="fr-CI"/>
        </w:rPr>
        <w:t>des goulots</w:t>
      </w:r>
      <w:r w:rsidRPr="00333A62">
        <w:rPr>
          <w:rFonts w:ascii="Times New Roman" w:hAnsi="Times New Roman" w:cs="Times New Roman"/>
          <w:sz w:val="24"/>
          <w:szCs w:val="24"/>
          <w:lang w:val="fr-CI"/>
        </w:rPr>
        <w:t xml:space="preserve"> d’étranglements dans les proportions observées dans les pays ayant des bonnes performances permet d’éviter </w:t>
      </w:r>
      <w:r w:rsidRPr="00333A62">
        <w:rPr>
          <w:rFonts w:ascii="Times New Roman" w:hAnsi="Times New Roman" w:cs="Times New Roman"/>
          <w:b/>
          <w:sz w:val="24"/>
          <w:szCs w:val="24"/>
          <w:lang w:val="fr-CI"/>
        </w:rPr>
        <w:t>plus</w:t>
      </w:r>
      <w:r w:rsidRPr="00333A62">
        <w:rPr>
          <w:rFonts w:ascii="Times New Roman" w:hAnsi="Times New Roman" w:cs="Times New Roman"/>
          <w:sz w:val="24"/>
          <w:szCs w:val="24"/>
          <w:lang w:val="fr-CI"/>
        </w:rPr>
        <w:t xml:space="preserve"> </w:t>
      </w:r>
      <w:r w:rsidRPr="00333A62">
        <w:rPr>
          <w:rFonts w:ascii="Times New Roman" w:hAnsi="Times New Roman" w:cs="Times New Roman"/>
          <w:b/>
          <w:sz w:val="24"/>
          <w:szCs w:val="24"/>
          <w:lang w:val="fr-CI"/>
        </w:rPr>
        <w:t>de</w:t>
      </w:r>
      <w:r w:rsidRPr="00333A62">
        <w:rPr>
          <w:rFonts w:ascii="Times New Roman" w:hAnsi="Times New Roman" w:cs="Times New Roman"/>
          <w:sz w:val="24"/>
          <w:szCs w:val="24"/>
          <w:lang w:val="fr-CI"/>
        </w:rPr>
        <w:t xml:space="preserve"> </w:t>
      </w:r>
      <w:r w:rsidRPr="00333A62">
        <w:rPr>
          <w:rFonts w:ascii="Times New Roman" w:hAnsi="Times New Roman" w:cs="Times New Roman"/>
          <w:b/>
          <w:sz w:val="24"/>
          <w:szCs w:val="24"/>
          <w:lang w:val="fr-CI"/>
        </w:rPr>
        <w:t>30 000 décès.</w:t>
      </w:r>
    </w:p>
    <w:p w14:paraId="4BA7A8BE" w14:textId="77777777" w:rsidR="00503843" w:rsidRPr="00333A62" w:rsidRDefault="00503843" w:rsidP="00333A62">
      <w:pPr>
        <w:spacing w:before="120" w:after="120" w:line="276" w:lineRule="auto"/>
        <w:rPr>
          <w:rFonts w:ascii="Times New Roman" w:hAnsi="Times New Roman" w:cs="Times New Roman"/>
          <w:sz w:val="24"/>
          <w:szCs w:val="24"/>
          <w:lang w:val="fr-CI"/>
        </w:rPr>
      </w:pPr>
    </w:p>
    <w:p w14:paraId="480DB9E0" w14:textId="77777777" w:rsidR="00A152F2" w:rsidRDefault="00A152F2">
      <w:pPr>
        <w:rPr>
          <w:rFonts w:ascii="Times New Roman" w:hAnsi="Times New Roman" w:cs="Times New Roman"/>
          <w:sz w:val="24"/>
          <w:szCs w:val="24"/>
          <w:u w:val="single"/>
          <w:lang w:val="fr-CI"/>
        </w:rPr>
      </w:pPr>
      <w:r>
        <w:rPr>
          <w:rFonts w:ascii="Times New Roman" w:hAnsi="Times New Roman" w:cs="Times New Roman"/>
          <w:sz w:val="24"/>
          <w:szCs w:val="24"/>
          <w:u w:val="single"/>
          <w:lang w:val="fr-CI"/>
        </w:rPr>
        <w:br w:type="page"/>
      </w:r>
    </w:p>
    <w:p w14:paraId="7A01613A" w14:textId="546F2C92" w:rsidR="00503843" w:rsidRPr="00333A62" w:rsidRDefault="00503843" w:rsidP="00333A62">
      <w:pPr>
        <w:tabs>
          <w:tab w:val="left" w:pos="955"/>
        </w:tabs>
        <w:spacing w:before="120" w:after="120" w:line="276" w:lineRule="auto"/>
        <w:rPr>
          <w:rFonts w:ascii="Times New Roman" w:hAnsi="Times New Roman" w:cs="Times New Roman"/>
          <w:sz w:val="24"/>
          <w:szCs w:val="24"/>
          <w:u w:val="single"/>
          <w:lang w:val="fr-CI"/>
        </w:rPr>
      </w:pPr>
      <w:r w:rsidRPr="00333A62">
        <w:rPr>
          <w:rFonts w:ascii="Times New Roman" w:hAnsi="Times New Roman" w:cs="Times New Roman"/>
          <w:sz w:val="24"/>
          <w:szCs w:val="24"/>
          <w:u w:val="single"/>
          <w:lang w:val="fr-CI"/>
        </w:rPr>
        <w:lastRenderedPageBreak/>
        <w:t>Décès maternel évités pour le scenario 3</w:t>
      </w:r>
    </w:p>
    <w:p w14:paraId="5A3E362C" w14:textId="7A89944C" w:rsidR="00503843" w:rsidRPr="00333A62" w:rsidRDefault="00ED35CD" w:rsidP="00CE1354">
      <w:pPr>
        <w:spacing w:after="120" w:line="276" w:lineRule="auto"/>
        <w:rPr>
          <w:rFonts w:ascii="Times New Roman" w:hAnsi="Times New Roman" w:cs="Times New Roman"/>
          <w:sz w:val="24"/>
          <w:szCs w:val="24"/>
          <w:lang w:val="fr-CI"/>
        </w:rPr>
      </w:pPr>
      <w:r>
        <w:rPr>
          <w:noProof/>
          <w:lang w:val="fr-FR" w:eastAsia="fr-FR"/>
        </w:rPr>
        <w:drawing>
          <wp:inline distT="0" distB="0" distL="0" distR="0" wp14:anchorId="0B0B0EB7" wp14:editId="4BC623B0">
            <wp:extent cx="6108700" cy="2665379"/>
            <wp:effectExtent l="0" t="0" r="6350" b="1905"/>
            <wp:docPr id="227" name="Graphique 227">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71C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14:paraId="1FB12B06" w14:textId="3CED33E7" w:rsidR="00503843" w:rsidRPr="001D76FB" w:rsidRDefault="001D76FB" w:rsidP="001D76FB">
      <w:pPr>
        <w:pStyle w:val="Lgende"/>
        <w:rPr>
          <w:sz w:val="24"/>
          <w:szCs w:val="24"/>
          <w:lang w:val="fr-CI"/>
        </w:rPr>
      </w:pPr>
      <w:bookmarkStart w:id="124" w:name="_Toc1588398"/>
      <w:r w:rsidRPr="001D76FB">
        <w:rPr>
          <w:sz w:val="24"/>
          <w:szCs w:val="24"/>
        </w:rPr>
        <w:t xml:space="preserve">Figure </w:t>
      </w:r>
      <w:r w:rsidRPr="001D76FB">
        <w:rPr>
          <w:sz w:val="24"/>
          <w:szCs w:val="24"/>
        </w:rPr>
        <w:fldChar w:fldCharType="begin"/>
      </w:r>
      <w:r w:rsidRPr="001D76FB">
        <w:rPr>
          <w:sz w:val="24"/>
          <w:szCs w:val="24"/>
        </w:rPr>
        <w:instrText xml:space="preserve"> SEQ Figure \* ARABIC </w:instrText>
      </w:r>
      <w:r w:rsidRPr="001D76FB">
        <w:rPr>
          <w:sz w:val="24"/>
          <w:szCs w:val="24"/>
        </w:rPr>
        <w:fldChar w:fldCharType="separate"/>
      </w:r>
      <w:r w:rsidR="008F4009">
        <w:rPr>
          <w:noProof/>
          <w:sz w:val="24"/>
          <w:szCs w:val="24"/>
        </w:rPr>
        <w:t>11</w:t>
      </w:r>
      <w:r w:rsidRPr="001D76FB">
        <w:rPr>
          <w:sz w:val="24"/>
          <w:szCs w:val="24"/>
        </w:rPr>
        <w:fldChar w:fldCharType="end"/>
      </w:r>
      <w:r w:rsidRPr="001D76FB">
        <w:rPr>
          <w:sz w:val="24"/>
          <w:szCs w:val="24"/>
        </w:rPr>
        <w:t xml:space="preserve"> : </w:t>
      </w:r>
      <w:r w:rsidR="00503843" w:rsidRPr="001D76FB">
        <w:rPr>
          <w:sz w:val="24"/>
          <w:szCs w:val="24"/>
          <w:lang w:val="fr-CI"/>
        </w:rPr>
        <w:t>Extrait de l’estimation de l’impact du scenario national (11 régions), Equist 2018</w:t>
      </w:r>
      <w:bookmarkEnd w:id="124"/>
    </w:p>
    <w:p w14:paraId="6ACC5460" w14:textId="77777777" w:rsidR="00503843" w:rsidRPr="00333A62" w:rsidRDefault="00503843" w:rsidP="00333A62">
      <w:pPr>
        <w:spacing w:before="120" w:after="120" w:line="276" w:lineRule="auto"/>
        <w:rPr>
          <w:rFonts w:ascii="Times New Roman" w:hAnsi="Times New Roman" w:cs="Times New Roman"/>
          <w:sz w:val="24"/>
          <w:szCs w:val="24"/>
          <w:lang w:val="fr-CI"/>
        </w:rPr>
      </w:pPr>
    </w:p>
    <w:p w14:paraId="3BCDE6DA" w14:textId="0739FB43" w:rsidR="00503843" w:rsidRPr="00333A62" w:rsidRDefault="00503843" w:rsidP="00333A62">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Dans ce scenario, la mise en œuvre des interventions choisies selon les niveaux de couverture pour la réduction de la</w:t>
      </w:r>
      <w:r w:rsidRPr="00333A62">
        <w:rPr>
          <w:rFonts w:ascii="Times New Roman" w:hAnsi="Times New Roman" w:cs="Times New Roman"/>
          <w:sz w:val="24"/>
          <w:szCs w:val="24"/>
        </w:rPr>
        <w:t xml:space="preserve"> </w:t>
      </w:r>
      <w:r w:rsidRPr="00333A62">
        <w:rPr>
          <w:rFonts w:ascii="Times New Roman" w:hAnsi="Times New Roman" w:cs="Times New Roman"/>
          <w:sz w:val="24"/>
          <w:szCs w:val="24"/>
          <w:lang w:val="fr-CI"/>
        </w:rPr>
        <w:t xml:space="preserve">mortalité maternelle permettra d’éviter à terme </w:t>
      </w:r>
      <w:r w:rsidR="00CE1354">
        <w:rPr>
          <w:rFonts w:ascii="Times New Roman" w:hAnsi="Times New Roman" w:cs="Times New Roman"/>
          <w:b/>
          <w:sz w:val="24"/>
          <w:szCs w:val="24"/>
          <w:lang w:val="fr-CI"/>
        </w:rPr>
        <w:t xml:space="preserve">de 1100 </w:t>
      </w:r>
      <w:r w:rsidR="00953F0C">
        <w:rPr>
          <w:rFonts w:ascii="Times New Roman" w:hAnsi="Times New Roman" w:cs="Times New Roman"/>
          <w:b/>
          <w:sz w:val="24"/>
          <w:szCs w:val="24"/>
          <w:lang w:val="fr-CI"/>
        </w:rPr>
        <w:t>décès</w:t>
      </w:r>
      <w:r w:rsidRPr="00333A62">
        <w:rPr>
          <w:rFonts w:ascii="Times New Roman" w:hAnsi="Times New Roman" w:cs="Times New Roman"/>
          <w:sz w:val="24"/>
          <w:szCs w:val="24"/>
          <w:lang w:val="fr-CI"/>
        </w:rPr>
        <w:t xml:space="preserve"> dans l’ensemble de la population de femmes enceintes </w:t>
      </w:r>
      <w:r w:rsidR="00953F0C">
        <w:rPr>
          <w:rFonts w:ascii="Times New Roman" w:hAnsi="Times New Roman" w:cs="Times New Roman"/>
          <w:sz w:val="24"/>
          <w:szCs w:val="24"/>
          <w:lang w:val="fr-CI"/>
        </w:rPr>
        <w:t xml:space="preserve">de </w:t>
      </w:r>
      <w:r w:rsidRPr="00333A62">
        <w:rPr>
          <w:rFonts w:ascii="Times New Roman" w:hAnsi="Times New Roman" w:cs="Times New Roman"/>
          <w:sz w:val="24"/>
          <w:szCs w:val="24"/>
          <w:lang w:val="fr-CI"/>
        </w:rPr>
        <w:t xml:space="preserve">ces régions. Pour les régions les plus pauvres de ce scenario, les interventions permettront d’éviter le décès de </w:t>
      </w:r>
      <w:r w:rsidRPr="00333A62">
        <w:rPr>
          <w:rFonts w:ascii="Times New Roman" w:hAnsi="Times New Roman" w:cs="Times New Roman"/>
          <w:b/>
          <w:sz w:val="24"/>
          <w:szCs w:val="24"/>
          <w:lang w:val="fr-CI"/>
        </w:rPr>
        <w:t>plus de 1</w:t>
      </w:r>
      <w:r w:rsidR="00953F0C">
        <w:rPr>
          <w:rFonts w:ascii="Times New Roman" w:hAnsi="Times New Roman" w:cs="Times New Roman"/>
          <w:b/>
          <w:sz w:val="24"/>
          <w:szCs w:val="24"/>
          <w:lang w:val="fr-CI"/>
        </w:rPr>
        <w:t>1</w:t>
      </w:r>
      <w:r w:rsidRPr="00333A62">
        <w:rPr>
          <w:rFonts w:ascii="Times New Roman" w:hAnsi="Times New Roman" w:cs="Times New Roman"/>
          <w:b/>
          <w:sz w:val="24"/>
          <w:szCs w:val="24"/>
          <w:lang w:val="fr-CI"/>
        </w:rPr>
        <w:t xml:space="preserve">00 femmes </w:t>
      </w:r>
      <w:r w:rsidRPr="00333A62">
        <w:rPr>
          <w:rFonts w:ascii="Times New Roman" w:hAnsi="Times New Roman" w:cs="Times New Roman"/>
          <w:sz w:val="24"/>
          <w:szCs w:val="24"/>
          <w:lang w:val="fr-CI"/>
        </w:rPr>
        <w:t>si des efforts sont consentis pour améliorer le niveau de pauvreté des populations issues de ces régions.</w:t>
      </w:r>
    </w:p>
    <w:p w14:paraId="651E1C53" w14:textId="4DFC320A" w:rsidR="00503843" w:rsidRPr="00333A62" w:rsidRDefault="00503843" w:rsidP="00333A62">
      <w:pPr>
        <w:spacing w:before="120" w:after="120" w:line="276" w:lineRule="auto"/>
        <w:jc w:val="both"/>
        <w:rPr>
          <w:rFonts w:ascii="Times New Roman" w:hAnsi="Times New Roman" w:cs="Times New Roman"/>
          <w:b/>
          <w:sz w:val="24"/>
          <w:szCs w:val="24"/>
          <w:lang w:val="fr-CI"/>
        </w:rPr>
      </w:pPr>
      <w:r w:rsidRPr="00333A62">
        <w:rPr>
          <w:rFonts w:ascii="Times New Roman" w:hAnsi="Times New Roman" w:cs="Times New Roman"/>
          <w:sz w:val="24"/>
          <w:szCs w:val="24"/>
          <w:lang w:val="fr-CI"/>
        </w:rPr>
        <w:t xml:space="preserve">Toutefois il est à noter que l’amélioration effective des interventions et des couvertures à un seuil acceptable en tenant compte de la résolution des goulots d’étranglements dans les proportions observées dans les pays ayant des bonnes performances permet d’éviter </w:t>
      </w:r>
      <w:r w:rsidRPr="00333A62">
        <w:rPr>
          <w:rFonts w:ascii="Times New Roman" w:hAnsi="Times New Roman" w:cs="Times New Roman"/>
          <w:b/>
          <w:sz w:val="24"/>
          <w:szCs w:val="24"/>
          <w:lang w:val="fr-CI"/>
        </w:rPr>
        <w:t xml:space="preserve">plus de </w:t>
      </w:r>
      <w:r w:rsidR="00953F0C">
        <w:rPr>
          <w:rFonts w:ascii="Times New Roman" w:hAnsi="Times New Roman" w:cs="Times New Roman"/>
          <w:b/>
          <w:sz w:val="24"/>
          <w:szCs w:val="24"/>
          <w:lang w:val="fr-CI"/>
        </w:rPr>
        <w:t>1800</w:t>
      </w:r>
      <w:r w:rsidRPr="00333A62">
        <w:rPr>
          <w:rFonts w:ascii="Times New Roman" w:hAnsi="Times New Roman" w:cs="Times New Roman"/>
          <w:b/>
          <w:sz w:val="24"/>
          <w:szCs w:val="24"/>
          <w:lang w:val="fr-CI"/>
        </w:rPr>
        <w:t xml:space="preserve"> décès </w:t>
      </w:r>
      <w:r w:rsidR="00953F0C">
        <w:rPr>
          <w:rFonts w:ascii="Times New Roman" w:hAnsi="Times New Roman" w:cs="Times New Roman"/>
          <w:b/>
          <w:sz w:val="24"/>
          <w:szCs w:val="24"/>
          <w:lang w:val="fr-CI"/>
        </w:rPr>
        <w:t>de femmes.</w:t>
      </w:r>
    </w:p>
    <w:p w14:paraId="5F188EDC" w14:textId="77777777" w:rsidR="00953F0C" w:rsidRDefault="00953F0C" w:rsidP="008541A3">
      <w:pPr>
        <w:pStyle w:val="Lgende"/>
        <w:rPr>
          <w:sz w:val="24"/>
          <w:szCs w:val="24"/>
        </w:rPr>
      </w:pPr>
    </w:p>
    <w:p w14:paraId="28F44747" w14:textId="54CF2BE0" w:rsidR="00503843" w:rsidRPr="008541A3" w:rsidRDefault="008541A3" w:rsidP="008541A3">
      <w:pPr>
        <w:pStyle w:val="Lgende"/>
        <w:rPr>
          <w:b w:val="0"/>
          <w:sz w:val="24"/>
          <w:szCs w:val="24"/>
          <w:lang w:val="fr-CI"/>
        </w:rPr>
      </w:pPr>
      <w:bookmarkStart w:id="125" w:name="_Toc1588380"/>
      <w:r w:rsidRPr="00C85634">
        <w:rPr>
          <w:sz w:val="24"/>
          <w:szCs w:val="24"/>
        </w:rPr>
        <w:t xml:space="preserve">Tableau </w:t>
      </w:r>
      <w:r w:rsidRPr="00C85634">
        <w:rPr>
          <w:sz w:val="24"/>
          <w:szCs w:val="24"/>
        </w:rPr>
        <w:fldChar w:fldCharType="begin"/>
      </w:r>
      <w:r w:rsidRPr="00C85634">
        <w:rPr>
          <w:sz w:val="24"/>
          <w:szCs w:val="24"/>
        </w:rPr>
        <w:instrText xml:space="preserve"> SEQ Tableau \* ARABIC </w:instrText>
      </w:r>
      <w:r w:rsidRPr="00C85634">
        <w:rPr>
          <w:sz w:val="24"/>
          <w:szCs w:val="24"/>
        </w:rPr>
        <w:fldChar w:fldCharType="separate"/>
      </w:r>
      <w:r w:rsidR="00400C22">
        <w:rPr>
          <w:noProof/>
          <w:sz w:val="24"/>
          <w:szCs w:val="24"/>
        </w:rPr>
        <w:t>6</w:t>
      </w:r>
      <w:r w:rsidRPr="00C85634">
        <w:rPr>
          <w:sz w:val="24"/>
          <w:szCs w:val="24"/>
        </w:rPr>
        <w:fldChar w:fldCharType="end"/>
      </w:r>
      <w:r w:rsidRPr="00C85634">
        <w:rPr>
          <w:sz w:val="24"/>
          <w:szCs w:val="24"/>
        </w:rPr>
        <w:t xml:space="preserve"> : </w:t>
      </w:r>
      <w:r w:rsidR="00503843" w:rsidRPr="00C85634">
        <w:rPr>
          <w:b w:val="0"/>
          <w:sz w:val="24"/>
          <w:szCs w:val="24"/>
          <w:lang w:val="fr-CI"/>
        </w:rPr>
        <w:t>Récapitulatif des décès évités par scenario</w:t>
      </w:r>
      <w:bookmarkEnd w:id="125"/>
    </w:p>
    <w:p w14:paraId="2AD3124F" w14:textId="77777777" w:rsidR="008541A3" w:rsidRPr="008541A3" w:rsidRDefault="008541A3" w:rsidP="008541A3">
      <w:pPr>
        <w:rPr>
          <w:rFonts w:ascii="Times New Roman" w:hAnsi="Times New Roman" w:cs="Times New Roman"/>
          <w:sz w:val="10"/>
          <w:szCs w:val="10"/>
          <w:lang w:val="fr-CI" w:eastAsia="en-GB"/>
        </w:rPr>
      </w:pPr>
    </w:p>
    <w:tbl>
      <w:tblPr>
        <w:tblStyle w:val="Grilledutableau"/>
        <w:tblW w:w="0" w:type="auto"/>
        <w:tblLook w:val="04A0" w:firstRow="1" w:lastRow="0" w:firstColumn="1" w:lastColumn="0" w:noHBand="0" w:noVBand="1"/>
      </w:tblPr>
      <w:tblGrid>
        <w:gridCol w:w="2274"/>
        <w:gridCol w:w="1636"/>
        <w:gridCol w:w="1561"/>
        <w:gridCol w:w="2151"/>
        <w:gridCol w:w="2056"/>
      </w:tblGrid>
      <w:tr w:rsidR="00503843" w:rsidRPr="00333A62" w14:paraId="071E7BE6" w14:textId="77777777" w:rsidTr="00953F0C">
        <w:tc>
          <w:tcPr>
            <w:tcW w:w="2351" w:type="dxa"/>
            <w:shd w:val="clear" w:color="auto" w:fill="FFF2CC" w:themeFill="accent4" w:themeFillTint="33"/>
            <w:vAlign w:val="center"/>
          </w:tcPr>
          <w:p w14:paraId="6824A403" w14:textId="77777777" w:rsidR="00503843" w:rsidRPr="00333A62" w:rsidRDefault="00503843" w:rsidP="00A152F2">
            <w:pPr>
              <w:rPr>
                <w:rFonts w:ascii="Times New Roman" w:hAnsi="Times New Roman" w:cs="Times New Roman"/>
                <w:sz w:val="24"/>
                <w:szCs w:val="24"/>
                <w:lang w:val="fr-CI"/>
              </w:rPr>
            </w:pPr>
            <w:r w:rsidRPr="00333A62">
              <w:rPr>
                <w:rFonts w:ascii="Times New Roman" w:hAnsi="Times New Roman" w:cs="Times New Roman"/>
                <w:sz w:val="24"/>
                <w:szCs w:val="24"/>
                <w:lang w:val="fr-CI"/>
              </w:rPr>
              <w:t>Scenarii</w:t>
            </w:r>
          </w:p>
        </w:tc>
        <w:tc>
          <w:tcPr>
            <w:tcW w:w="1660" w:type="dxa"/>
            <w:shd w:val="clear" w:color="auto" w:fill="FFF2CC" w:themeFill="accent4" w:themeFillTint="33"/>
            <w:vAlign w:val="center"/>
          </w:tcPr>
          <w:p w14:paraId="60B50305" w14:textId="56C02CE6" w:rsidR="00503843" w:rsidRPr="00333A62" w:rsidRDefault="00503843" w:rsidP="00A152F2">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 xml:space="preserve">Estimation du nombre de décès </w:t>
            </w:r>
            <w:r w:rsidR="00A152F2">
              <w:rPr>
                <w:rFonts w:ascii="Times New Roman" w:hAnsi="Times New Roman" w:cs="Times New Roman"/>
                <w:sz w:val="24"/>
                <w:szCs w:val="24"/>
                <w:lang w:val="fr-CI"/>
              </w:rPr>
              <w:t xml:space="preserve">évités </w:t>
            </w:r>
            <w:r w:rsidRPr="00333A62">
              <w:rPr>
                <w:rFonts w:ascii="Times New Roman" w:hAnsi="Times New Roman" w:cs="Times New Roman"/>
                <w:sz w:val="24"/>
                <w:szCs w:val="24"/>
                <w:lang w:val="fr-CI"/>
              </w:rPr>
              <w:t>des enfants de moins de 5 ans</w:t>
            </w:r>
          </w:p>
        </w:tc>
        <w:tc>
          <w:tcPr>
            <w:tcW w:w="1580" w:type="dxa"/>
            <w:shd w:val="clear" w:color="auto" w:fill="FFF2CC" w:themeFill="accent4" w:themeFillTint="33"/>
            <w:vAlign w:val="center"/>
          </w:tcPr>
          <w:p w14:paraId="1B41C14B" w14:textId="4FA8E0B9" w:rsidR="00503843" w:rsidRPr="00333A62" w:rsidRDefault="00503843" w:rsidP="00A152F2">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Estimation du nombre de décès maternels évités</w:t>
            </w:r>
          </w:p>
        </w:tc>
        <w:tc>
          <w:tcPr>
            <w:tcW w:w="2207" w:type="dxa"/>
            <w:shd w:val="clear" w:color="auto" w:fill="FFF2CC" w:themeFill="accent4" w:themeFillTint="33"/>
            <w:vAlign w:val="center"/>
          </w:tcPr>
          <w:p w14:paraId="44A111FE" w14:textId="77777777" w:rsidR="00503843" w:rsidRPr="00333A62" w:rsidRDefault="00503843" w:rsidP="00A152F2">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Estimation du nombre de décès des enfants de moins de 5 ans évités tenant compte de l’équité</w:t>
            </w:r>
          </w:p>
        </w:tc>
        <w:tc>
          <w:tcPr>
            <w:tcW w:w="2106" w:type="dxa"/>
            <w:shd w:val="clear" w:color="auto" w:fill="FFF2CC" w:themeFill="accent4" w:themeFillTint="33"/>
            <w:vAlign w:val="center"/>
          </w:tcPr>
          <w:p w14:paraId="723C1C81" w14:textId="77777777" w:rsidR="00503843" w:rsidRPr="00333A62" w:rsidRDefault="00503843" w:rsidP="00A152F2">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Estimation du nombre de décès maternels évités tenant compte de l’équité</w:t>
            </w:r>
          </w:p>
        </w:tc>
      </w:tr>
      <w:tr w:rsidR="00503843" w:rsidRPr="00333A62" w14:paraId="24B52E10" w14:textId="77777777" w:rsidTr="00A152F2">
        <w:tc>
          <w:tcPr>
            <w:tcW w:w="2351" w:type="dxa"/>
          </w:tcPr>
          <w:p w14:paraId="44EEC6EE" w14:textId="77777777" w:rsidR="0020101E" w:rsidRPr="00333A62" w:rsidRDefault="00503843" w:rsidP="00A152F2">
            <w:pPr>
              <w:rPr>
                <w:rFonts w:ascii="Times New Roman" w:hAnsi="Times New Roman" w:cs="Times New Roman"/>
                <w:sz w:val="24"/>
                <w:szCs w:val="24"/>
                <w:lang w:val="fr-CI"/>
              </w:rPr>
            </w:pPr>
            <w:r w:rsidRPr="00333A62">
              <w:rPr>
                <w:rFonts w:ascii="Times New Roman" w:hAnsi="Times New Roman" w:cs="Times New Roman"/>
                <w:sz w:val="24"/>
                <w:szCs w:val="24"/>
                <w:lang w:val="fr-CI"/>
              </w:rPr>
              <w:t>Scenario minimal</w:t>
            </w:r>
          </w:p>
          <w:p w14:paraId="3783E3EC" w14:textId="50C9C7B7" w:rsidR="00503843" w:rsidRPr="00333A62" w:rsidRDefault="00503843" w:rsidP="00A152F2">
            <w:pPr>
              <w:rPr>
                <w:rFonts w:ascii="Times New Roman" w:hAnsi="Times New Roman" w:cs="Times New Roman"/>
                <w:sz w:val="24"/>
                <w:szCs w:val="24"/>
                <w:lang w:val="fr-CI"/>
              </w:rPr>
            </w:pPr>
            <w:r w:rsidRPr="00333A62">
              <w:rPr>
                <w:rFonts w:ascii="Times New Roman" w:hAnsi="Times New Roman" w:cs="Times New Roman"/>
                <w:sz w:val="24"/>
                <w:szCs w:val="24"/>
                <w:lang w:val="fr-CI"/>
              </w:rPr>
              <w:t>(5 régions)</w:t>
            </w:r>
          </w:p>
        </w:tc>
        <w:tc>
          <w:tcPr>
            <w:tcW w:w="1660" w:type="dxa"/>
            <w:vAlign w:val="center"/>
          </w:tcPr>
          <w:p w14:paraId="59CBA581" w14:textId="77777777" w:rsidR="00503843" w:rsidRPr="00333A62" w:rsidRDefault="00503843" w:rsidP="00A152F2">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18000</w:t>
            </w:r>
          </w:p>
        </w:tc>
        <w:tc>
          <w:tcPr>
            <w:tcW w:w="1580" w:type="dxa"/>
            <w:vAlign w:val="center"/>
          </w:tcPr>
          <w:p w14:paraId="74993EB8" w14:textId="671C67CF" w:rsidR="00503843" w:rsidRPr="00333A62" w:rsidRDefault="008E3EE8" w:rsidP="00A152F2">
            <w:pPr>
              <w:jc w:val="center"/>
              <w:rPr>
                <w:rFonts w:ascii="Times New Roman" w:hAnsi="Times New Roman" w:cs="Times New Roman"/>
                <w:sz w:val="24"/>
                <w:szCs w:val="24"/>
                <w:lang w:val="fr-CI"/>
              </w:rPr>
            </w:pPr>
            <w:r>
              <w:rPr>
                <w:rFonts w:ascii="Times New Roman" w:hAnsi="Times New Roman" w:cs="Times New Roman"/>
                <w:sz w:val="24"/>
                <w:szCs w:val="24"/>
                <w:lang w:val="fr-CI"/>
              </w:rPr>
              <w:t>400</w:t>
            </w:r>
          </w:p>
        </w:tc>
        <w:tc>
          <w:tcPr>
            <w:tcW w:w="2207" w:type="dxa"/>
            <w:vAlign w:val="center"/>
          </w:tcPr>
          <w:p w14:paraId="36081886" w14:textId="77777777" w:rsidR="00503843" w:rsidRPr="00333A62" w:rsidRDefault="00503843" w:rsidP="00A152F2">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6000</w:t>
            </w:r>
          </w:p>
        </w:tc>
        <w:tc>
          <w:tcPr>
            <w:tcW w:w="2106" w:type="dxa"/>
            <w:vAlign w:val="center"/>
          </w:tcPr>
          <w:p w14:paraId="6FA193EF" w14:textId="5018A464" w:rsidR="00503843" w:rsidRPr="00333A62" w:rsidRDefault="008E3EE8" w:rsidP="00A152F2">
            <w:pPr>
              <w:jc w:val="center"/>
              <w:rPr>
                <w:rFonts w:ascii="Times New Roman" w:hAnsi="Times New Roman" w:cs="Times New Roman"/>
                <w:sz w:val="24"/>
                <w:szCs w:val="24"/>
                <w:lang w:val="fr-CI"/>
              </w:rPr>
            </w:pPr>
            <w:r>
              <w:rPr>
                <w:rFonts w:ascii="Times New Roman" w:hAnsi="Times New Roman" w:cs="Times New Roman"/>
                <w:sz w:val="24"/>
                <w:szCs w:val="24"/>
                <w:lang w:val="fr-CI"/>
              </w:rPr>
              <w:t>500</w:t>
            </w:r>
          </w:p>
        </w:tc>
      </w:tr>
      <w:tr w:rsidR="00503843" w:rsidRPr="00333A62" w14:paraId="4DB2E233" w14:textId="77777777" w:rsidTr="00A152F2">
        <w:tc>
          <w:tcPr>
            <w:tcW w:w="2351" w:type="dxa"/>
          </w:tcPr>
          <w:p w14:paraId="4D973373" w14:textId="77777777" w:rsidR="00A152F2" w:rsidRDefault="0020101E" w:rsidP="00A152F2">
            <w:pPr>
              <w:rPr>
                <w:rFonts w:ascii="Times New Roman" w:hAnsi="Times New Roman" w:cs="Times New Roman"/>
                <w:sz w:val="24"/>
                <w:szCs w:val="24"/>
                <w:lang w:val="fr-CI"/>
              </w:rPr>
            </w:pPr>
            <w:r w:rsidRPr="00333A62">
              <w:rPr>
                <w:rFonts w:ascii="Times New Roman" w:hAnsi="Times New Roman" w:cs="Times New Roman"/>
                <w:sz w:val="24"/>
                <w:szCs w:val="24"/>
                <w:lang w:val="fr-CI"/>
              </w:rPr>
              <w:t>Scenario moyen</w:t>
            </w:r>
          </w:p>
          <w:p w14:paraId="55B4E790" w14:textId="05ED06CE" w:rsidR="00503843" w:rsidRPr="00333A62" w:rsidRDefault="0020101E" w:rsidP="00A152F2">
            <w:pPr>
              <w:rPr>
                <w:rFonts w:ascii="Times New Roman" w:hAnsi="Times New Roman" w:cs="Times New Roman"/>
                <w:sz w:val="24"/>
                <w:szCs w:val="24"/>
                <w:lang w:val="fr-CI"/>
              </w:rPr>
            </w:pPr>
            <w:r w:rsidRPr="00333A62">
              <w:rPr>
                <w:rFonts w:ascii="Times New Roman" w:hAnsi="Times New Roman" w:cs="Times New Roman"/>
                <w:sz w:val="24"/>
                <w:szCs w:val="24"/>
                <w:lang w:val="fr-CI"/>
              </w:rPr>
              <w:t>(</w:t>
            </w:r>
            <w:r w:rsidR="00503843" w:rsidRPr="00333A62">
              <w:rPr>
                <w:rFonts w:ascii="Times New Roman" w:hAnsi="Times New Roman" w:cs="Times New Roman"/>
                <w:sz w:val="24"/>
                <w:szCs w:val="24"/>
                <w:lang w:val="fr-CI"/>
              </w:rPr>
              <w:t>8 régions)</w:t>
            </w:r>
          </w:p>
        </w:tc>
        <w:tc>
          <w:tcPr>
            <w:tcW w:w="1660" w:type="dxa"/>
            <w:vAlign w:val="center"/>
          </w:tcPr>
          <w:p w14:paraId="182471A8" w14:textId="008B8465" w:rsidR="00503843" w:rsidRPr="00333A62" w:rsidRDefault="00503843" w:rsidP="008E3EE8">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3</w:t>
            </w:r>
            <w:r w:rsidR="008E3EE8">
              <w:rPr>
                <w:rFonts w:ascii="Times New Roman" w:hAnsi="Times New Roman" w:cs="Times New Roman"/>
                <w:sz w:val="24"/>
                <w:szCs w:val="24"/>
                <w:lang w:val="fr-CI"/>
              </w:rPr>
              <w:t>4</w:t>
            </w:r>
            <w:r w:rsidRPr="00333A62">
              <w:rPr>
                <w:rFonts w:ascii="Times New Roman" w:hAnsi="Times New Roman" w:cs="Times New Roman"/>
                <w:sz w:val="24"/>
                <w:szCs w:val="24"/>
                <w:lang w:val="fr-CI"/>
              </w:rPr>
              <w:t>000</w:t>
            </w:r>
          </w:p>
        </w:tc>
        <w:tc>
          <w:tcPr>
            <w:tcW w:w="1580" w:type="dxa"/>
            <w:vAlign w:val="center"/>
          </w:tcPr>
          <w:p w14:paraId="4928F48D" w14:textId="47A622CF" w:rsidR="00503843" w:rsidRPr="00333A62" w:rsidRDefault="008E3EE8" w:rsidP="008E3EE8">
            <w:pPr>
              <w:jc w:val="center"/>
              <w:rPr>
                <w:rFonts w:ascii="Times New Roman" w:hAnsi="Times New Roman" w:cs="Times New Roman"/>
                <w:sz w:val="24"/>
                <w:szCs w:val="24"/>
                <w:lang w:val="fr-CI"/>
              </w:rPr>
            </w:pPr>
            <w:r>
              <w:rPr>
                <w:rFonts w:ascii="Times New Roman" w:hAnsi="Times New Roman" w:cs="Times New Roman"/>
                <w:sz w:val="24"/>
                <w:szCs w:val="24"/>
                <w:lang w:val="fr-CI"/>
              </w:rPr>
              <w:t>900</w:t>
            </w:r>
          </w:p>
        </w:tc>
        <w:tc>
          <w:tcPr>
            <w:tcW w:w="2207" w:type="dxa"/>
            <w:vAlign w:val="center"/>
          </w:tcPr>
          <w:p w14:paraId="433A99BE" w14:textId="77777777" w:rsidR="00503843" w:rsidRPr="00333A62" w:rsidRDefault="00503843" w:rsidP="00A152F2">
            <w:pPr>
              <w:jc w:val="center"/>
              <w:rPr>
                <w:rFonts w:ascii="Times New Roman" w:hAnsi="Times New Roman" w:cs="Times New Roman"/>
                <w:sz w:val="24"/>
                <w:szCs w:val="24"/>
                <w:lang w:val="fr-CI"/>
              </w:rPr>
            </w:pPr>
            <w:r w:rsidRPr="00333A62">
              <w:rPr>
                <w:rFonts w:ascii="Times New Roman" w:hAnsi="Times New Roman" w:cs="Times New Roman"/>
                <w:sz w:val="24"/>
                <w:szCs w:val="24"/>
                <w:lang w:val="fr-CI"/>
              </w:rPr>
              <w:t>10000</w:t>
            </w:r>
          </w:p>
        </w:tc>
        <w:tc>
          <w:tcPr>
            <w:tcW w:w="2106" w:type="dxa"/>
            <w:vAlign w:val="center"/>
          </w:tcPr>
          <w:p w14:paraId="3A28E3AB" w14:textId="0549F1D7" w:rsidR="00503843" w:rsidRPr="00333A62" w:rsidRDefault="008E3EE8" w:rsidP="00A152F2">
            <w:pPr>
              <w:jc w:val="center"/>
              <w:rPr>
                <w:rFonts w:ascii="Times New Roman" w:hAnsi="Times New Roman" w:cs="Times New Roman"/>
                <w:sz w:val="24"/>
                <w:szCs w:val="24"/>
                <w:lang w:val="fr-CI"/>
              </w:rPr>
            </w:pPr>
            <w:r>
              <w:rPr>
                <w:rFonts w:ascii="Times New Roman" w:hAnsi="Times New Roman" w:cs="Times New Roman"/>
                <w:sz w:val="24"/>
                <w:szCs w:val="24"/>
                <w:lang w:val="fr-CI"/>
              </w:rPr>
              <w:t>950</w:t>
            </w:r>
          </w:p>
        </w:tc>
      </w:tr>
      <w:tr w:rsidR="00503843" w:rsidRPr="00333A62" w14:paraId="26EA91D8" w14:textId="77777777" w:rsidTr="00A152F2">
        <w:trPr>
          <w:trHeight w:val="437"/>
        </w:trPr>
        <w:tc>
          <w:tcPr>
            <w:tcW w:w="2351" w:type="dxa"/>
          </w:tcPr>
          <w:p w14:paraId="62490037" w14:textId="77777777" w:rsidR="00A152F2" w:rsidRDefault="00503843" w:rsidP="00A152F2">
            <w:pPr>
              <w:rPr>
                <w:rFonts w:ascii="Times New Roman" w:hAnsi="Times New Roman" w:cs="Times New Roman"/>
                <w:sz w:val="24"/>
                <w:szCs w:val="24"/>
                <w:lang w:val="fr-CI"/>
              </w:rPr>
            </w:pPr>
            <w:r w:rsidRPr="00333A62">
              <w:rPr>
                <w:rFonts w:ascii="Times New Roman" w:hAnsi="Times New Roman" w:cs="Times New Roman"/>
                <w:sz w:val="24"/>
                <w:szCs w:val="24"/>
                <w:lang w:val="fr-CI"/>
              </w:rPr>
              <w:t>Scenario national</w:t>
            </w:r>
          </w:p>
          <w:p w14:paraId="629C9884" w14:textId="252312DB" w:rsidR="00503843" w:rsidRPr="00333A62" w:rsidRDefault="00503843" w:rsidP="00A152F2">
            <w:pPr>
              <w:rPr>
                <w:rFonts w:ascii="Times New Roman" w:hAnsi="Times New Roman" w:cs="Times New Roman"/>
                <w:sz w:val="24"/>
                <w:szCs w:val="24"/>
                <w:lang w:val="fr-CI"/>
              </w:rPr>
            </w:pPr>
            <w:r w:rsidRPr="00333A62">
              <w:rPr>
                <w:rFonts w:ascii="Times New Roman" w:hAnsi="Times New Roman" w:cs="Times New Roman"/>
                <w:sz w:val="24"/>
                <w:szCs w:val="24"/>
                <w:lang w:val="fr-CI"/>
              </w:rPr>
              <w:t>(11 régions)</w:t>
            </w:r>
          </w:p>
        </w:tc>
        <w:tc>
          <w:tcPr>
            <w:tcW w:w="1660" w:type="dxa"/>
            <w:vAlign w:val="center"/>
          </w:tcPr>
          <w:p w14:paraId="2C93DF90" w14:textId="6C2BADBF" w:rsidR="00503843" w:rsidRPr="00333A62" w:rsidRDefault="008E3EE8" w:rsidP="00A152F2">
            <w:pPr>
              <w:jc w:val="center"/>
              <w:rPr>
                <w:rFonts w:ascii="Times New Roman" w:hAnsi="Times New Roman" w:cs="Times New Roman"/>
                <w:sz w:val="24"/>
                <w:szCs w:val="24"/>
                <w:lang w:val="fr-CI"/>
              </w:rPr>
            </w:pPr>
            <w:r>
              <w:rPr>
                <w:rFonts w:ascii="Times New Roman" w:hAnsi="Times New Roman" w:cs="Times New Roman"/>
                <w:sz w:val="24"/>
                <w:szCs w:val="24"/>
                <w:lang w:val="fr-CI"/>
              </w:rPr>
              <w:t>43</w:t>
            </w:r>
            <w:r w:rsidR="00503843" w:rsidRPr="00333A62">
              <w:rPr>
                <w:rFonts w:ascii="Times New Roman" w:hAnsi="Times New Roman" w:cs="Times New Roman"/>
                <w:sz w:val="24"/>
                <w:szCs w:val="24"/>
                <w:lang w:val="fr-CI"/>
              </w:rPr>
              <w:t>000</w:t>
            </w:r>
          </w:p>
        </w:tc>
        <w:tc>
          <w:tcPr>
            <w:tcW w:w="1580" w:type="dxa"/>
            <w:vAlign w:val="center"/>
          </w:tcPr>
          <w:p w14:paraId="3FF46876" w14:textId="41F0F9D5" w:rsidR="00503843" w:rsidRPr="00333A62" w:rsidRDefault="008E3EE8" w:rsidP="00A152F2">
            <w:pPr>
              <w:jc w:val="center"/>
              <w:rPr>
                <w:rFonts w:ascii="Times New Roman" w:hAnsi="Times New Roman" w:cs="Times New Roman"/>
                <w:sz w:val="24"/>
                <w:szCs w:val="24"/>
                <w:lang w:val="fr-CI"/>
              </w:rPr>
            </w:pPr>
            <w:r>
              <w:rPr>
                <w:rFonts w:ascii="Times New Roman" w:hAnsi="Times New Roman" w:cs="Times New Roman"/>
                <w:sz w:val="24"/>
                <w:szCs w:val="24"/>
                <w:lang w:val="fr-CI"/>
              </w:rPr>
              <w:t>110</w:t>
            </w:r>
            <w:r w:rsidR="00503843" w:rsidRPr="00333A62">
              <w:rPr>
                <w:rFonts w:ascii="Times New Roman" w:hAnsi="Times New Roman" w:cs="Times New Roman"/>
                <w:sz w:val="24"/>
                <w:szCs w:val="24"/>
                <w:lang w:val="fr-CI"/>
              </w:rPr>
              <w:t>0</w:t>
            </w:r>
          </w:p>
        </w:tc>
        <w:tc>
          <w:tcPr>
            <w:tcW w:w="2207" w:type="dxa"/>
            <w:vAlign w:val="center"/>
          </w:tcPr>
          <w:p w14:paraId="1E5845D8" w14:textId="7EF7209B" w:rsidR="00503843" w:rsidRPr="00333A62" w:rsidRDefault="008E3EE8" w:rsidP="00A152F2">
            <w:pPr>
              <w:jc w:val="center"/>
              <w:rPr>
                <w:rFonts w:ascii="Times New Roman" w:hAnsi="Times New Roman" w:cs="Times New Roman"/>
                <w:sz w:val="24"/>
                <w:szCs w:val="24"/>
                <w:lang w:val="fr-CI"/>
              </w:rPr>
            </w:pPr>
            <w:r>
              <w:rPr>
                <w:rFonts w:ascii="Times New Roman" w:hAnsi="Times New Roman" w:cs="Times New Roman"/>
                <w:sz w:val="24"/>
                <w:szCs w:val="24"/>
                <w:lang w:val="fr-CI"/>
              </w:rPr>
              <w:t>12</w:t>
            </w:r>
            <w:r w:rsidR="00503843" w:rsidRPr="00333A62">
              <w:rPr>
                <w:rFonts w:ascii="Times New Roman" w:hAnsi="Times New Roman" w:cs="Times New Roman"/>
                <w:sz w:val="24"/>
                <w:szCs w:val="24"/>
                <w:lang w:val="fr-CI"/>
              </w:rPr>
              <w:t>000</w:t>
            </w:r>
          </w:p>
        </w:tc>
        <w:tc>
          <w:tcPr>
            <w:tcW w:w="2106" w:type="dxa"/>
            <w:vAlign w:val="center"/>
          </w:tcPr>
          <w:p w14:paraId="3B7C342E" w14:textId="34AA82C6" w:rsidR="00503843" w:rsidRPr="00333A62" w:rsidRDefault="008E3EE8" w:rsidP="00A152F2">
            <w:pPr>
              <w:jc w:val="center"/>
              <w:rPr>
                <w:rFonts w:ascii="Times New Roman" w:hAnsi="Times New Roman" w:cs="Times New Roman"/>
                <w:sz w:val="24"/>
                <w:szCs w:val="24"/>
                <w:lang w:val="fr-CI"/>
              </w:rPr>
            </w:pPr>
            <w:r>
              <w:rPr>
                <w:rFonts w:ascii="Times New Roman" w:hAnsi="Times New Roman" w:cs="Times New Roman"/>
                <w:sz w:val="24"/>
                <w:szCs w:val="24"/>
                <w:lang w:val="fr-CI"/>
              </w:rPr>
              <w:t>1100</w:t>
            </w:r>
          </w:p>
        </w:tc>
      </w:tr>
    </w:tbl>
    <w:p w14:paraId="0FE9C9BD" w14:textId="77777777" w:rsidR="00503843" w:rsidRPr="00333A62" w:rsidRDefault="00503843" w:rsidP="00333A62">
      <w:pPr>
        <w:spacing w:before="120" w:after="120" w:line="276" w:lineRule="auto"/>
        <w:rPr>
          <w:rFonts w:ascii="Times New Roman" w:hAnsi="Times New Roman" w:cs="Times New Roman"/>
          <w:sz w:val="24"/>
          <w:szCs w:val="24"/>
          <w:lang w:val="fr-CI"/>
        </w:rPr>
      </w:pPr>
    </w:p>
    <w:p w14:paraId="14B324A9" w14:textId="4CED3AB8" w:rsidR="0020101E" w:rsidRPr="00953F0C" w:rsidRDefault="0020101E" w:rsidP="00333A62">
      <w:pPr>
        <w:spacing w:before="120" w:after="120" w:line="276" w:lineRule="auto"/>
        <w:rPr>
          <w:rFonts w:ascii="Times New Roman" w:hAnsi="Times New Roman" w:cs="Times New Roman"/>
          <w:b/>
          <w:sz w:val="24"/>
          <w:szCs w:val="24"/>
          <w:lang w:val="fr-CI"/>
        </w:rPr>
      </w:pPr>
      <w:r w:rsidRPr="00953F0C">
        <w:rPr>
          <w:rFonts w:ascii="Times New Roman" w:hAnsi="Times New Roman" w:cs="Times New Roman"/>
          <w:b/>
          <w:sz w:val="24"/>
          <w:szCs w:val="24"/>
          <w:lang w:val="fr-CI"/>
        </w:rPr>
        <w:lastRenderedPageBreak/>
        <w:t>Impact</w:t>
      </w:r>
      <w:r w:rsidR="00953F0C" w:rsidRPr="00953F0C">
        <w:rPr>
          <w:rFonts w:ascii="Times New Roman" w:hAnsi="Times New Roman" w:cs="Times New Roman"/>
          <w:b/>
          <w:sz w:val="24"/>
          <w:szCs w:val="24"/>
          <w:lang w:val="fr-CI"/>
        </w:rPr>
        <w:t xml:space="preserve">s des interventions </w:t>
      </w:r>
    </w:p>
    <w:p w14:paraId="379223CA" w14:textId="145F8584" w:rsidR="0020101E" w:rsidRPr="00333A62" w:rsidRDefault="00E97CB5" w:rsidP="00147F49">
      <w:pPr>
        <w:spacing w:before="120" w:after="120" w:line="276" w:lineRule="auto"/>
        <w:rPr>
          <w:rFonts w:ascii="Times New Roman" w:hAnsi="Times New Roman" w:cs="Times New Roman"/>
          <w:sz w:val="24"/>
          <w:szCs w:val="24"/>
          <w:lang w:val="fr-CI"/>
        </w:rPr>
      </w:pPr>
      <w:r>
        <w:rPr>
          <w:noProof/>
          <w:lang w:val="fr-FR" w:eastAsia="fr-FR"/>
        </w:rPr>
        <w:drawing>
          <wp:inline distT="0" distB="0" distL="0" distR="0" wp14:anchorId="2F91C78F" wp14:editId="1816C779">
            <wp:extent cx="6151880" cy="4274289"/>
            <wp:effectExtent l="0" t="0" r="1270" b="12065"/>
            <wp:docPr id="5" name="Graphique 5">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http://schemas.openxmlformats.org/wordprocessingml/2006/main" xmlns:w10="urn:schemas-microsoft-com:office:word" xmlns:v="urn:schemas-microsoft-com:vml" xmlns:o="urn:schemas-microsoft-com:office:office" id="{04467687-5F67-4E84-A886-70205B5995A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14:paraId="165B0584" w14:textId="6658ECD4" w:rsidR="008233A2" w:rsidRPr="008541A3" w:rsidRDefault="008541A3" w:rsidP="008541A3">
      <w:pPr>
        <w:pStyle w:val="Lgende"/>
        <w:rPr>
          <w:sz w:val="28"/>
          <w:szCs w:val="24"/>
          <w:lang w:val="fr-CI"/>
        </w:rPr>
      </w:pPr>
      <w:bookmarkStart w:id="126" w:name="_Toc1588497"/>
      <w:r w:rsidRPr="008541A3">
        <w:rPr>
          <w:sz w:val="22"/>
        </w:rPr>
        <w:t xml:space="preserve">Graphique </w:t>
      </w:r>
      <w:r w:rsidRPr="008541A3">
        <w:rPr>
          <w:sz w:val="22"/>
        </w:rPr>
        <w:fldChar w:fldCharType="begin"/>
      </w:r>
      <w:r w:rsidRPr="008541A3">
        <w:rPr>
          <w:sz w:val="22"/>
        </w:rPr>
        <w:instrText xml:space="preserve"> SEQ Graphique \* ARABIC </w:instrText>
      </w:r>
      <w:r w:rsidRPr="008541A3">
        <w:rPr>
          <w:sz w:val="22"/>
        </w:rPr>
        <w:fldChar w:fldCharType="separate"/>
      </w:r>
      <w:r w:rsidR="009A04F0">
        <w:rPr>
          <w:noProof/>
          <w:sz w:val="22"/>
        </w:rPr>
        <w:t>21</w:t>
      </w:r>
      <w:r w:rsidRPr="008541A3">
        <w:rPr>
          <w:sz w:val="22"/>
        </w:rPr>
        <w:fldChar w:fldCharType="end"/>
      </w:r>
      <w:r w:rsidRPr="008541A3">
        <w:rPr>
          <w:sz w:val="22"/>
        </w:rPr>
        <w:t> : Impact des interventions en fin 2022</w:t>
      </w:r>
      <w:bookmarkEnd w:id="126"/>
    </w:p>
    <w:p w14:paraId="591E40ED" w14:textId="77777777" w:rsidR="00A152F2" w:rsidRDefault="00A152F2" w:rsidP="00333A62">
      <w:pPr>
        <w:spacing w:before="120" w:after="120" w:line="276" w:lineRule="auto"/>
        <w:rPr>
          <w:rFonts w:ascii="Times New Roman" w:hAnsi="Times New Roman" w:cs="Times New Roman"/>
          <w:sz w:val="24"/>
          <w:szCs w:val="24"/>
          <w:lang w:val="fr-CI"/>
        </w:rPr>
      </w:pPr>
    </w:p>
    <w:p w14:paraId="473C3CA1" w14:textId="77777777" w:rsidR="001E2719" w:rsidRPr="00333A62" w:rsidRDefault="001E2719" w:rsidP="00333A62">
      <w:pPr>
        <w:spacing w:before="120" w:after="120" w:line="276" w:lineRule="auto"/>
        <w:rPr>
          <w:rFonts w:ascii="Times New Roman" w:hAnsi="Times New Roman" w:cs="Times New Roman"/>
          <w:sz w:val="24"/>
          <w:szCs w:val="24"/>
        </w:rPr>
      </w:pPr>
    </w:p>
    <w:p w14:paraId="6CEEB730" w14:textId="078A306F" w:rsidR="008948DB" w:rsidRPr="00700523" w:rsidRDefault="00825055" w:rsidP="00333A62">
      <w:pPr>
        <w:pStyle w:val="Titre1"/>
        <w:spacing w:before="120" w:after="120" w:line="276" w:lineRule="auto"/>
        <w:rPr>
          <w:rFonts w:ascii="Times New Roman" w:hAnsi="Times New Roman" w:cs="Times New Roman"/>
          <w:b/>
          <w:color w:val="0070C0"/>
          <w:sz w:val="24"/>
          <w:szCs w:val="24"/>
        </w:rPr>
      </w:pPr>
      <w:r w:rsidRPr="00700523">
        <w:rPr>
          <w:rFonts w:ascii="Times New Roman" w:hAnsi="Times New Roman" w:cs="Times New Roman"/>
          <w:b/>
          <w:color w:val="0070C0"/>
          <w:sz w:val="24"/>
          <w:szCs w:val="24"/>
        </w:rPr>
        <w:t xml:space="preserve"> </w:t>
      </w:r>
      <w:bookmarkStart w:id="127" w:name="_Toc1573836"/>
      <w:r w:rsidR="00086770" w:rsidRPr="00700523">
        <w:rPr>
          <w:rFonts w:ascii="Times New Roman" w:hAnsi="Times New Roman" w:cs="Times New Roman"/>
          <w:b/>
          <w:color w:val="0070C0"/>
          <w:sz w:val="24"/>
          <w:szCs w:val="24"/>
        </w:rPr>
        <w:t>AXES PRIORITAIRES</w:t>
      </w:r>
      <w:r w:rsidR="00001EB6" w:rsidRPr="00700523">
        <w:rPr>
          <w:rFonts w:ascii="Times New Roman" w:hAnsi="Times New Roman" w:cs="Times New Roman"/>
          <w:b/>
          <w:color w:val="0070C0"/>
          <w:sz w:val="24"/>
          <w:szCs w:val="24"/>
        </w:rPr>
        <w:t xml:space="preserve"> DE LA REPONSE A LA MORTALITE MATERNELLE, NEONATALE, INFANTO-JUVENILE ET A LA SANTE DE REPRODUCTION DES JEUNES/ADOLESCENTS</w:t>
      </w:r>
      <w:bookmarkEnd w:id="127"/>
    </w:p>
    <w:p w14:paraId="1CF6B050" w14:textId="77777777" w:rsidR="008233A2" w:rsidRPr="00700523" w:rsidRDefault="001E2719" w:rsidP="00333A62">
      <w:pPr>
        <w:pStyle w:val="Titre2"/>
        <w:spacing w:before="120" w:after="120" w:line="276" w:lineRule="auto"/>
        <w:rPr>
          <w:rFonts w:ascii="Times New Roman" w:hAnsi="Times New Roman" w:cs="Times New Roman"/>
          <w:b/>
          <w:color w:val="0070C0"/>
          <w:sz w:val="24"/>
          <w:szCs w:val="24"/>
        </w:rPr>
      </w:pPr>
      <w:bookmarkStart w:id="128" w:name="_Toc1573837"/>
      <w:r w:rsidRPr="00700523">
        <w:rPr>
          <w:rFonts w:ascii="Times New Roman" w:hAnsi="Times New Roman" w:cs="Times New Roman"/>
          <w:b/>
          <w:color w:val="0070C0"/>
          <w:sz w:val="24"/>
          <w:szCs w:val="24"/>
        </w:rPr>
        <w:t>Priorité 1 : Renforcement de la santé communautaire</w:t>
      </w:r>
      <w:bookmarkEnd w:id="128"/>
      <w:r w:rsidRPr="00700523">
        <w:rPr>
          <w:rFonts w:ascii="Times New Roman" w:hAnsi="Times New Roman" w:cs="Times New Roman"/>
          <w:b/>
          <w:color w:val="0070C0"/>
          <w:sz w:val="24"/>
          <w:szCs w:val="24"/>
        </w:rPr>
        <w:t xml:space="preserve"> </w:t>
      </w:r>
    </w:p>
    <w:p w14:paraId="78743F7D" w14:textId="77777777" w:rsidR="00AC70FE" w:rsidRPr="00333A62" w:rsidRDefault="00AC70FE" w:rsidP="00CA21D1">
      <w:pPr>
        <w:spacing w:before="120" w:after="120" w:line="276" w:lineRule="auto"/>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La vision de la Stratégie Nationale de la Santé Communautaire est « Une Côte d’Ivoire ou les communautés responsables, impliquées, engagées et parfaitement intégrées au système de santé contribuent à la demande et a l’offre de soins de santé de base accessible à tous dans un partenariat entre elles, les services sociaux de base et l’administration locale.</w:t>
      </w:r>
    </w:p>
    <w:p w14:paraId="1BD3F409" w14:textId="3E5946BA" w:rsidR="00AC70FE" w:rsidRDefault="00CA21D1" w:rsidP="00CA21D1">
      <w:pPr>
        <w:spacing w:before="120" w:after="120" w:line="276" w:lineRule="auto"/>
        <w:jc w:val="both"/>
        <w:rPr>
          <w:rFonts w:ascii="Times New Roman" w:hAnsi="Times New Roman" w:cs="Times New Roman"/>
          <w:sz w:val="24"/>
          <w:szCs w:val="24"/>
          <w:lang w:val="fr-CI"/>
        </w:rPr>
      </w:pPr>
      <w:r>
        <w:rPr>
          <w:rFonts w:ascii="Times New Roman" w:hAnsi="Times New Roman" w:cs="Times New Roman"/>
          <w:sz w:val="24"/>
          <w:szCs w:val="24"/>
          <w:lang w:val="fr-CI"/>
        </w:rPr>
        <w:t>L’objectif est de contribuer à</w:t>
      </w:r>
      <w:r w:rsidR="00AC70FE" w:rsidRPr="00CA21D1">
        <w:rPr>
          <w:rFonts w:ascii="Times New Roman" w:hAnsi="Times New Roman" w:cs="Times New Roman"/>
          <w:sz w:val="24"/>
          <w:szCs w:val="24"/>
          <w:lang w:val="fr-CI"/>
        </w:rPr>
        <w:t xml:space="preserve"> l’amélioration de la santé et du bien-être des populations vivant en Côte d’Ivoire à travers des commun</w:t>
      </w:r>
      <w:r>
        <w:rPr>
          <w:rFonts w:ascii="Times New Roman" w:hAnsi="Times New Roman" w:cs="Times New Roman"/>
          <w:sz w:val="24"/>
          <w:szCs w:val="24"/>
          <w:lang w:val="fr-CI"/>
        </w:rPr>
        <w:t xml:space="preserve">autés engagées et responsables. </w:t>
      </w:r>
    </w:p>
    <w:p w14:paraId="05D2A9D8" w14:textId="2175FBCE" w:rsidR="00AC70FE" w:rsidRPr="00333A62" w:rsidRDefault="00CA21D1" w:rsidP="00CA21D1">
      <w:pPr>
        <w:spacing w:before="120" w:after="120" w:line="276" w:lineRule="auto"/>
        <w:jc w:val="both"/>
        <w:rPr>
          <w:rFonts w:ascii="Times New Roman" w:hAnsi="Times New Roman" w:cs="Times New Roman"/>
          <w:sz w:val="24"/>
          <w:szCs w:val="24"/>
          <w:lang w:val="fr-FR"/>
        </w:rPr>
      </w:pPr>
      <w:r>
        <w:rPr>
          <w:rFonts w:ascii="Times New Roman" w:hAnsi="Times New Roman" w:cs="Times New Roman"/>
          <w:sz w:val="24"/>
          <w:szCs w:val="24"/>
          <w:lang w:val="fr-CI"/>
        </w:rPr>
        <w:t>Le r</w:t>
      </w:r>
      <w:r w:rsidR="00AC70FE" w:rsidRPr="00333A62">
        <w:rPr>
          <w:rFonts w:ascii="Times New Roman" w:hAnsi="Times New Roman" w:cs="Times New Roman"/>
          <w:sz w:val="24"/>
          <w:szCs w:val="24"/>
          <w:lang w:val="fr-CI"/>
        </w:rPr>
        <w:t>enforce</w:t>
      </w:r>
      <w:r>
        <w:rPr>
          <w:rFonts w:ascii="Times New Roman" w:hAnsi="Times New Roman" w:cs="Times New Roman"/>
          <w:sz w:val="24"/>
          <w:szCs w:val="24"/>
          <w:lang w:val="fr-CI"/>
        </w:rPr>
        <w:t>ment du</w:t>
      </w:r>
      <w:r w:rsidR="00AC70FE" w:rsidRPr="00333A62">
        <w:rPr>
          <w:rFonts w:ascii="Times New Roman" w:hAnsi="Times New Roman" w:cs="Times New Roman"/>
          <w:sz w:val="24"/>
          <w:szCs w:val="24"/>
          <w:lang w:val="fr-CI"/>
        </w:rPr>
        <w:t xml:space="preserve"> cadre institutionnel et organisationnel de la santé communautaire ; </w:t>
      </w:r>
      <w:r>
        <w:rPr>
          <w:rFonts w:ascii="Times New Roman" w:hAnsi="Times New Roman" w:cs="Times New Roman"/>
          <w:sz w:val="24"/>
          <w:szCs w:val="24"/>
          <w:lang w:val="fr-CI"/>
        </w:rPr>
        <w:t>l’amélioration de</w:t>
      </w:r>
      <w:r w:rsidR="00AC70FE" w:rsidRPr="00333A62">
        <w:rPr>
          <w:rFonts w:ascii="Times New Roman" w:hAnsi="Times New Roman" w:cs="Times New Roman"/>
          <w:sz w:val="24"/>
          <w:szCs w:val="24"/>
          <w:lang w:val="fr-CI"/>
        </w:rPr>
        <w:t xml:space="preserve"> la couverture et </w:t>
      </w:r>
      <w:r>
        <w:rPr>
          <w:rFonts w:ascii="Times New Roman" w:hAnsi="Times New Roman" w:cs="Times New Roman"/>
          <w:sz w:val="24"/>
          <w:szCs w:val="24"/>
          <w:lang w:val="fr-CI"/>
        </w:rPr>
        <w:t xml:space="preserve">de </w:t>
      </w:r>
      <w:r w:rsidR="00AC70FE" w:rsidRPr="00333A62">
        <w:rPr>
          <w:rFonts w:ascii="Times New Roman" w:hAnsi="Times New Roman" w:cs="Times New Roman"/>
          <w:sz w:val="24"/>
          <w:szCs w:val="24"/>
          <w:lang w:val="fr-CI"/>
        </w:rPr>
        <w:t xml:space="preserve">la qualité des services de santé communautaire ; </w:t>
      </w:r>
      <w:r>
        <w:rPr>
          <w:rFonts w:ascii="Times New Roman" w:hAnsi="Times New Roman" w:cs="Times New Roman"/>
          <w:sz w:val="24"/>
          <w:szCs w:val="24"/>
          <w:lang w:val="fr-CI"/>
        </w:rPr>
        <w:t xml:space="preserve">le renforcement de </w:t>
      </w:r>
      <w:r w:rsidR="00AC70FE" w:rsidRPr="00333A62">
        <w:rPr>
          <w:rFonts w:ascii="Times New Roman" w:hAnsi="Times New Roman" w:cs="Times New Roman"/>
          <w:sz w:val="24"/>
          <w:szCs w:val="24"/>
          <w:lang w:val="fr-CI"/>
        </w:rPr>
        <w:t>la participation communautaire dans la rés</w:t>
      </w:r>
      <w:r>
        <w:rPr>
          <w:rFonts w:ascii="Times New Roman" w:hAnsi="Times New Roman" w:cs="Times New Roman"/>
          <w:sz w:val="24"/>
          <w:szCs w:val="24"/>
          <w:lang w:val="fr-CI"/>
        </w:rPr>
        <w:t xml:space="preserve">olution des problèmes de santé et la </w:t>
      </w:r>
      <w:r w:rsidR="00AC70FE" w:rsidRPr="00333A62">
        <w:rPr>
          <w:rFonts w:ascii="Times New Roman" w:hAnsi="Times New Roman" w:cs="Times New Roman"/>
          <w:sz w:val="24"/>
          <w:szCs w:val="24"/>
          <w:lang w:val="fr-FR"/>
        </w:rPr>
        <w:t>pérennisation d</w:t>
      </w:r>
      <w:r>
        <w:rPr>
          <w:rFonts w:ascii="Times New Roman" w:hAnsi="Times New Roman" w:cs="Times New Roman"/>
          <w:sz w:val="24"/>
          <w:szCs w:val="24"/>
          <w:lang w:val="fr-FR"/>
        </w:rPr>
        <w:t>es interventions communautaires permettront d’atteindre cet objectif.</w:t>
      </w:r>
    </w:p>
    <w:p w14:paraId="7DCA64A9" w14:textId="1C17AF5C" w:rsidR="00AC70FE" w:rsidRPr="00CA21D1" w:rsidRDefault="00CA21D1" w:rsidP="00CA21D1">
      <w:pPr>
        <w:spacing w:before="120" w:after="120" w:line="276" w:lineRule="auto"/>
        <w:jc w:val="both"/>
        <w:rPr>
          <w:rFonts w:ascii="Times New Roman" w:hAnsi="Times New Roman" w:cs="Times New Roman"/>
          <w:sz w:val="24"/>
          <w:szCs w:val="24"/>
          <w:lang w:val="fr-FR"/>
        </w:rPr>
      </w:pPr>
      <w:r>
        <w:rPr>
          <w:rFonts w:ascii="Times New Roman" w:hAnsi="Times New Roman" w:cs="Times New Roman"/>
          <w:sz w:val="24"/>
          <w:szCs w:val="24"/>
          <w:lang w:val="fr-FR"/>
        </w:rPr>
        <w:lastRenderedPageBreak/>
        <w:t>Les principales interventions à mettre en œuvre pour le renforcement de la santé communautaire sont :</w:t>
      </w:r>
    </w:p>
    <w:p w14:paraId="49302031" w14:textId="040CD897" w:rsidR="00AC70FE" w:rsidRPr="00333A62" w:rsidRDefault="00FD6F14" w:rsidP="00D418FF">
      <w:pPr>
        <w:pStyle w:val="Paragraphedeliste"/>
        <w:numPr>
          <w:ilvl w:val="0"/>
          <w:numId w:val="9"/>
        </w:numPr>
        <w:spacing w:before="120" w:after="120" w:line="276" w:lineRule="auto"/>
        <w:ind w:left="142" w:hanging="142"/>
        <w:jc w:val="both"/>
        <w:rPr>
          <w:rFonts w:ascii="Times New Roman" w:hAnsi="Times New Roman" w:cs="Times New Roman"/>
          <w:sz w:val="24"/>
          <w:szCs w:val="24"/>
          <w:lang w:val="fr-FR"/>
        </w:rPr>
      </w:pPr>
      <w:r>
        <w:rPr>
          <w:rFonts w:ascii="Times New Roman" w:hAnsi="Times New Roman" w:cs="Times New Roman"/>
          <w:sz w:val="24"/>
          <w:szCs w:val="24"/>
          <w:lang w:val="fr-CI"/>
        </w:rPr>
        <w:t xml:space="preserve">la </w:t>
      </w:r>
      <w:r w:rsidR="00CA21D1">
        <w:rPr>
          <w:rFonts w:ascii="Times New Roman" w:hAnsi="Times New Roman" w:cs="Times New Roman"/>
          <w:sz w:val="24"/>
          <w:szCs w:val="24"/>
          <w:lang w:val="fr-CI"/>
        </w:rPr>
        <w:t>p</w:t>
      </w:r>
      <w:r>
        <w:rPr>
          <w:rFonts w:ascii="Times New Roman" w:hAnsi="Times New Roman" w:cs="Times New Roman"/>
          <w:sz w:val="24"/>
          <w:szCs w:val="24"/>
          <w:lang w:val="fr-CI"/>
        </w:rPr>
        <w:t>oursuite de</w:t>
      </w:r>
      <w:r w:rsidR="00AC70FE" w:rsidRPr="00333A62">
        <w:rPr>
          <w:rFonts w:ascii="Times New Roman" w:hAnsi="Times New Roman" w:cs="Times New Roman"/>
          <w:sz w:val="24"/>
          <w:szCs w:val="24"/>
          <w:lang w:val="fr-CI"/>
        </w:rPr>
        <w:t xml:space="preserve"> la formation, </w:t>
      </w:r>
      <w:r>
        <w:rPr>
          <w:rFonts w:ascii="Times New Roman" w:hAnsi="Times New Roman" w:cs="Times New Roman"/>
          <w:sz w:val="24"/>
          <w:szCs w:val="24"/>
          <w:lang w:val="fr-CI"/>
        </w:rPr>
        <w:t xml:space="preserve">de </w:t>
      </w:r>
      <w:r w:rsidR="00AC70FE" w:rsidRPr="00333A62">
        <w:rPr>
          <w:rFonts w:ascii="Times New Roman" w:hAnsi="Times New Roman" w:cs="Times New Roman"/>
          <w:sz w:val="24"/>
          <w:szCs w:val="24"/>
          <w:lang w:val="fr-CI"/>
        </w:rPr>
        <w:t>l’équipement des ASC et de leurs superviseurs infirmiers.</w:t>
      </w:r>
    </w:p>
    <w:p w14:paraId="570134D7" w14:textId="56B234C2" w:rsidR="00AC70FE" w:rsidRPr="00333A62" w:rsidRDefault="00AC70FE" w:rsidP="00FD6F14">
      <w:pPr>
        <w:tabs>
          <w:tab w:val="left" w:pos="720"/>
        </w:tabs>
        <w:spacing w:before="120" w:after="120" w:line="276" w:lineRule="auto"/>
        <w:ind w:left="142" w:hanging="142"/>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 </w:t>
      </w:r>
      <w:r w:rsidRPr="00333A62">
        <w:rPr>
          <w:rFonts w:ascii="Times New Roman" w:hAnsi="Times New Roman" w:cs="Times New Roman"/>
          <w:sz w:val="24"/>
          <w:szCs w:val="24"/>
          <w:lang w:val="fr-FR"/>
        </w:rPr>
        <w:tab/>
      </w:r>
      <w:r w:rsidR="00FD6F14">
        <w:rPr>
          <w:rFonts w:ascii="Times New Roman" w:hAnsi="Times New Roman" w:cs="Times New Roman"/>
          <w:sz w:val="24"/>
          <w:szCs w:val="24"/>
          <w:lang w:val="fr-CI"/>
        </w:rPr>
        <w:t>l</w:t>
      </w:r>
      <w:r w:rsidRPr="00333A62">
        <w:rPr>
          <w:rFonts w:ascii="Times New Roman" w:hAnsi="Times New Roman" w:cs="Times New Roman"/>
          <w:sz w:val="24"/>
          <w:szCs w:val="24"/>
          <w:lang w:val="fr-CI"/>
        </w:rPr>
        <w:t xml:space="preserve">’offre des services de santé à base communautaire par les ASCs dans les premières vagues des villages et ESPC sélectionnés. </w:t>
      </w:r>
    </w:p>
    <w:p w14:paraId="6454F498" w14:textId="2CD83B55" w:rsidR="00AC70FE" w:rsidRPr="00333A62" w:rsidRDefault="00AC70FE" w:rsidP="00FD6F14">
      <w:pPr>
        <w:spacing w:before="120" w:after="120" w:line="276" w:lineRule="auto"/>
        <w:ind w:left="142" w:hanging="142"/>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w:t>
      </w:r>
      <w:r w:rsidRPr="00333A62">
        <w:rPr>
          <w:rFonts w:ascii="Times New Roman" w:hAnsi="Times New Roman" w:cs="Times New Roman"/>
          <w:sz w:val="24"/>
          <w:szCs w:val="24"/>
          <w:lang w:val="fr-CI"/>
        </w:rPr>
        <w:tab/>
      </w:r>
      <w:r w:rsidR="00FD6F14">
        <w:rPr>
          <w:rFonts w:ascii="Times New Roman" w:hAnsi="Times New Roman" w:cs="Times New Roman"/>
          <w:sz w:val="24"/>
          <w:szCs w:val="24"/>
          <w:lang w:val="fr-CI"/>
        </w:rPr>
        <w:t>la mise en œuvre du</w:t>
      </w:r>
      <w:r w:rsidRPr="00333A62">
        <w:rPr>
          <w:rFonts w:ascii="Times New Roman" w:hAnsi="Times New Roman" w:cs="Times New Roman"/>
          <w:sz w:val="24"/>
          <w:szCs w:val="24"/>
          <w:lang w:val="fr-CI"/>
        </w:rPr>
        <w:t xml:space="preserve"> plan national de passage à échelle de la distribution à base communautaire des produits contraceptifs</w:t>
      </w:r>
      <w:r w:rsidR="00FD6F14">
        <w:rPr>
          <w:rFonts w:ascii="Times New Roman" w:hAnsi="Times New Roman" w:cs="Times New Roman"/>
          <w:sz w:val="24"/>
          <w:szCs w:val="24"/>
          <w:lang w:val="fr-CI"/>
        </w:rPr>
        <w:t>.</w:t>
      </w:r>
    </w:p>
    <w:p w14:paraId="4EB7DFD9" w14:textId="1F969184" w:rsidR="00AC70FE" w:rsidRPr="00333A62" w:rsidRDefault="00FD6F14" w:rsidP="00FD6F14">
      <w:pPr>
        <w:spacing w:before="120" w:after="120" w:line="276" w:lineRule="auto"/>
        <w:ind w:left="142" w:hanging="142"/>
        <w:jc w:val="both"/>
        <w:rPr>
          <w:rFonts w:ascii="Times New Roman" w:hAnsi="Times New Roman" w:cs="Times New Roman"/>
          <w:sz w:val="24"/>
          <w:szCs w:val="24"/>
          <w:lang w:val="fr-FR"/>
        </w:rPr>
      </w:pPr>
      <w:r>
        <w:rPr>
          <w:rFonts w:ascii="Times New Roman" w:hAnsi="Times New Roman" w:cs="Times New Roman"/>
          <w:sz w:val="24"/>
          <w:szCs w:val="24"/>
          <w:lang w:val="fr-FR"/>
        </w:rPr>
        <w:t>-</w:t>
      </w:r>
      <w:r>
        <w:rPr>
          <w:rFonts w:ascii="Times New Roman" w:hAnsi="Times New Roman" w:cs="Times New Roman"/>
          <w:sz w:val="24"/>
          <w:szCs w:val="24"/>
          <w:lang w:val="fr-FR"/>
        </w:rPr>
        <w:tab/>
        <w:t>l</w:t>
      </w:r>
      <w:r w:rsidR="00AC70FE" w:rsidRPr="00333A62">
        <w:rPr>
          <w:rFonts w:ascii="Times New Roman" w:hAnsi="Times New Roman" w:cs="Times New Roman"/>
          <w:sz w:val="24"/>
          <w:szCs w:val="24"/>
          <w:lang w:val="fr-FR"/>
        </w:rPr>
        <w:t>’augmentation graduelle du nombre d’ASCs déployés dans les communautés offrant les services intégrés avec de</w:t>
      </w:r>
      <w:r>
        <w:rPr>
          <w:rFonts w:ascii="Times New Roman" w:hAnsi="Times New Roman" w:cs="Times New Roman"/>
          <w:sz w:val="24"/>
          <w:szCs w:val="24"/>
          <w:lang w:val="fr-FR"/>
        </w:rPr>
        <w:t>s interventions prioritaires liées à</w:t>
      </w:r>
      <w:r w:rsidR="00AC70FE" w:rsidRPr="00333A62">
        <w:rPr>
          <w:rFonts w:ascii="Times New Roman" w:hAnsi="Times New Roman" w:cs="Times New Roman"/>
          <w:sz w:val="24"/>
          <w:szCs w:val="24"/>
          <w:lang w:val="fr-FR"/>
        </w:rPr>
        <w:t xml:space="preserve"> la santé maternelle et infantile à base communautaire. (9500 ASC 2018, 14556 2019, 20 000 ASC en 2020) ;</w:t>
      </w:r>
    </w:p>
    <w:p w14:paraId="7F1375AC" w14:textId="7432A894" w:rsidR="00AC70FE" w:rsidRPr="00333A62" w:rsidRDefault="00AC70FE" w:rsidP="00FD6F14">
      <w:pPr>
        <w:spacing w:before="120" w:after="120" w:line="276" w:lineRule="auto"/>
        <w:ind w:left="142" w:hanging="142"/>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w:t>
      </w:r>
      <w:r w:rsidRPr="00333A62">
        <w:rPr>
          <w:rFonts w:ascii="Times New Roman" w:hAnsi="Times New Roman" w:cs="Times New Roman"/>
          <w:sz w:val="24"/>
          <w:szCs w:val="24"/>
          <w:lang w:val="fr-FR"/>
        </w:rPr>
        <w:tab/>
      </w:r>
      <w:r w:rsidR="00FD6F14">
        <w:rPr>
          <w:rFonts w:ascii="Times New Roman" w:hAnsi="Times New Roman" w:cs="Times New Roman"/>
          <w:sz w:val="24"/>
          <w:szCs w:val="24"/>
          <w:lang w:val="fr-FR"/>
        </w:rPr>
        <w:t>la c</w:t>
      </w:r>
      <w:r w:rsidRPr="00333A62">
        <w:rPr>
          <w:rFonts w:ascii="Times New Roman" w:hAnsi="Times New Roman" w:cs="Times New Roman"/>
          <w:sz w:val="24"/>
          <w:szCs w:val="24"/>
          <w:lang w:val="fr-FR"/>
        </w:rPr>
        <w:t>réation des structures communautaires (FRANC, UNS) pour le dépistage et la prise en charge de la malnutrition</w:t>
      </w:r>
    </w:p>
    <w:p w14:paraId="289652A1" w14:textId="2F5483EE" w:rsidR="00AC70FE" w:rsidRPr="00333A62" w:rsidRDefault="00AC70FE" w:rsidP="00FD6F14">
      <w:pPr>
        <w:spacing w:before="120" w:after="120" w:line="276" w:lineRule="auto"/>
        <w:ind w:left="142" w:hanging="142"/>
        <w:jc w:val="both"/>
        <w:rPr>
          <w:rFonts w:ascii="Times New Roman" w:hAnsi="Times New Roman" w:cs="Times New Roman"/>
          <w:sz w:val="24"/>
          <w:szCs w:val="24"/>
          <w:lang w:val="fr-CI"/>
        </w:rPr>
      </w:pPr>
      <w:r w:rsidRPr="00333A62">
        <w:rPr>
          <w:rFonts w:ascii="Times New Roman" w:hAnsi="Times New Roman" w:cs="Times New Roman"/>
          <w:sz w:val="24"/>
          <w:szCs w:val="24"/>
          <w:lang w:val="fr-FR"/>
        </w:rPr>
        <w:t>-</w:t>
      </w:r>
      <w:r w:rsidRPr="00333A62">
        <w:rPr>
          <w:rFonts w:ascii="Times New Roman" w:hAnsi="Times New Roman" w:cs="Times New Roman"/>
          <w:sz w:val="24"/>
          <w:szCs w:val="24"/>
          <w:lang w:val="fr-FR"/>
        </w:rPr>
        <w:tab/>
      </w:r>
      <w:r w:rsidR="00FD6F14">
        <w:rPr>
          <w:rFonts w:ascii="Times New Roman" w:hAnsi="Times New Roman" w:cs="Times New Roman"/>
          <w:sz w:val="24"/>
          <w:szCs w:val="24"/>
          <w:lang w:val="fr-FR"/>
        </w:rPr>
        <w:t>la d</w:t>
      </w:r>
      <w:r w:rsidR="00FD6F14" w:rsidRPr="00333A62">
        <w:rPr>
          <w:rFonts w:ascii="Times New Roman" w:hAnsi="Times New Roman" w:cs="Times New Roman"/>
          <w:sz w:val="24"/>
          <w:szCs w:val="24"/>
          <w:lang w:val="fr-CI"/>
        </w:rPr>
        <w:t>diffusion</w:t>
      </w:r>
      <w:r w:rsidRPr="00333A62">
        <w:rPr>
          <w:rFonts w:ascii="Times New Roman" w:hAnsi="Times New Roman" w:cs="Times New Roman"/>
          <w:sz w:val="24"/>
          <w:szCs w:val="24"/>
          <w:lang w:val="fr-CI"/>
        </w:rPr>
        <w:t xml:space="preserve"> des supports de communication pour la promotion  des AEN+ dans les structures sanitaires, pour les agents communautaires, les travailleurs sociaux,  les maitresses d'éducation permanente, les religieux, les praticiens de la médecine traditionnelle, les agents de développement rural ;</w:t>
      </w:r>
    </w:p>
    <w:p w14:paraId="29ECA9CE" w14:textId="7E661E49" w:rsidR="00AC70FE" w:rsidRPr="00333A62" w:rsidRDefault="00AC70FE" w:rsidP="00FD6F14">
      <w:pPr>
        <w:spacing w:before="120" w:after="120" w:line="276" w:lineRule="auto"/>
        <w:ind w:left="142" w:hanging="142"/>
        <w:jc w:val="both"/>
        <w:rPr>
          <w:rFonts w:ascii="Times New Roman" w:hAnsi="Times New Roman" w:cs="Times New Roman"/>
          <w:sz w:val="24"/>
          <w:szCs w:val="24"/>
          <w:lang w:val="fr-FR"/>
        </w:rPr>
      </w:pPr>
      <w:r w:rsidRPr="00333A62">
        <w:rPr>
          <w:rFonts w:ascii="Times New Roman" w:hAnsi="Times New Roman" w:cs="Times New Roman"/>
          <w:sz w:val="24"/>
          <w:szCs w:val="24"/>
          <w:lang w:val="fr-CI"/>
        </w:rPr>
        <w:t>-</w:t>
      </w:r>
      <w:r w:rsidRPr="00333A62">
        <w:rPr>
          <w:rFonts w:ascii="Times New Roman" w:hAnsi="Times New Roman" w:cs="Times New Roman"/>
          <w:sz w:val="24"/>
          <w:szCs w:val="24"/>
          <w:lang w:val="fr-CI"/>
        </w:rPr>
        <w:tab/>
      </w:r>
      <w:r w:rsidR="00FD6F14">
        <w:rPr>
          <w:rFonts w:ascii="Times New Roman" w:hAnsi="Times New Roman" w:cs="Times New Roman"/>
          <w:sz w:val="24"/>
          <w:szCs w:val="24"/>
          <w:lang w:val="fr-CI"/>
        </w:rPr>
        <w:t>l’i</w:t>
      </w:r>
      <w:r w:rsidR="00FD6F14">
        <w:rPr>
          <w:rFonts w:ascii="Times New Roman" w:hAnsi="Times New Roman" w:cs="Times New Roman"/>
          <w:sz w:val="24"/>
          <w:szCs w:val="24"/>
          <w:lang w:val="fr-FR"/>
        </w:rPr>
        <w:t>intensification des</w:t>
      </w:r>
      <w:r w:rsidRPr="00333A62">
        <w:rPr>
          <w:rFonts w:ascii="Times New Roman" w:hAnsi="Times New Roman" w:cs="Times New Roman"/>
          <w:sz w:val="24"/>
          <w:szCs w:val="24"/>
          <w:lang w:val="fr-FR"/>
        </w:rPr>
        <w:t xml:space="preserve"> activités de supplémentation en vitamine A et </w:t>
      </w:r>
      <w:r w:rsidR="00FD6F14">
        <w:rPr>
          <w:rFonts w:ascii="Times New Roman" w:hAnsi="Times New Roman" w:cs="Times New Roman"/>
          <w:sz w:val="24"/>
          <w:szCs w:val="24"/>
          <w:lang w:val="fr-FR"/>
        </w:rPr>
        <w:t>le d</w:t>
      </w:r>
      <w:r w:rsidRPr="00333A62">
        <w:rPr>
          <w:rFonts w:ascii="Times New Roman" w:hAnsi="Times New Roman" w:cs="Times New Roman"/>
          <w:sz w:val="24"/>
          <w:szCs w:val="24"/>
          <w:lang w:val="fr-FR"/>
        </w:rPr>
        <w:t xml:space="preserve">éparasitage en routine dans les 86 </w:t>
      </w:r>
      <w:r w:rsidR="00FD6F14" w:rsidRPr="00333A62">
        <w:rPr>
          <w:rFonts w:ascii="Times New Roman" w:hAnsi="Times New Roman" w:cs="Times New Roman"/>
          <w:sz w:val="24"/>
          <w:szCs w:val="24"/>
          <w:lang w:val="fr-FR"/>
        </w:rPr>
        <w:t>d</w:t>
      </w:r>
      <w:r w:rsidR="00FD6F14">
        <w:rPr>
          <w:rFonts w:ascii="Times New Roman" w:hAnsi="Times New Roman" w:cs="Times New Roman"/>
          <w:sz w:val="24"/>
          <w:szCs w:val="24"/>
          <w:lang w:val="fr-FR"/>
        </w:rPr>
        <w:t xml:space="preserve">irections </w:t>
      </w:r>
      <w:r w:rsidR="00FD6F14" w:rsidRPr="00333A62">
        <w:rPr>
          <w:rFonts w:ascii="Times New Roman" w:hAnsi="Times New Roman" w:cs="Times New Roman"/>
          <w:sz w:val="24"/>
          <w:szCs w:val="24"/>
          <w:lang w:val="fr-FR"/>
        </w:rPr>
        <w:t>d</w:t>
      </w:r>
      <w:r w:rsidR="00FD6F14">
        <w:rPr>
          <w:rFonts w:ascii="Times New Roman" w:hAnsi="Times New Roman" w:cs="Times New Roman"/>
          <w:sz w:val="24"/>
          <w:szCs w:val="24"/>
          <w:lang w:val="fr-FR"/>
        </w:rPr>
        <w:t xml:space="preserve">épartementales de la </w:t>
      </w:r>
      <w:r w:rsidR="00FD6F14" w:rsidRPr="00333A62">
        <w:rPr>
          <w:rFonts w:ascii="Times New Roman" w:hAnsi="Times New Roman" w:cs="Times New Roman"/>
          <w:sz w:val="24"/>
          <w:szCs w:val="24"/>
          <w:lang w:val="fr-FR"/>
        </w:rPr>
        <w:t>s</w:t>
      </w:r>
      <w:r w:rsidR="00FD6F14">
        <w:rPr>
          <w:rFonts w:ascii="Times New Roman" w:hAnsi="Times New Roman" w:cs="Times New Roman"/>
          <w:sz w:val="24"/>
          <w:szCs w:val="24"/>
          <w:lang w:val="fr-FR"/>
        </w:rPr>
        <w:t>ante (DDS)</w:t>
      </w:r>
      <w:r w:rsidRPr="00333A62">
        <w:rPr>
          <w:rFonts w:ascii="Times New Roman" w:hAnsi="Times New Roman" w:cs="Times New Roman"/>
          <w:sz w:val="24"/>
          <w:szCs w:val="24"/>
          <w:lang w:val="fr-FR"/>
        </w:rPr>
        <w:t>,</w:t>
      </w:r>
    </w:p>
    <w:p w14:paraId="773B09F7" w14:textId="2C79E9C2" w:rsidR="00AC70FE" w:rsidRPr="00333A62" w:rsidRDefault="00AC70FE" w:rsidP="00FD6F14">
      <w:pPr>
        <w:spacing w:before="120" w:after="120" w:line="276" w:lineRule="auto"/>
        <w:ind w:left="142" w:hanging="142"/>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w:t>
      </w:r>
      <w:r w:rsidRPr="00333A62">
        <w:rPr>
          <w:rFonts w:ascii="Times New Roman" w:hAnsi="Times New Roman" w:cs="Times New Roman"/>
          <w:sz w:val="24"/>
          <w:szCs w:val="24"/>
          <w:lang w:val="fr-CI"/>
        </w:rPr>
        <w:tab/>
      </w:r>
      <w:r w:rsidR="00FD6F14">
        <w:rPr>
          <w:rFonts w:ascii="Times New Roman" w:hAnsi="Times New Roman" w:cs="Times New Roman"/>
          <w:sz w:val="24"/>
          <w:szCs w:val="24"/>
          <w:lang w:val="fr-CI"/>
        </w:rPr>
        <w:t>l’organisation bi annuelle d’</w:t>
      </w:r>
      <w:r w:rsidRPr="00333A62">
        <w:rPr>
          <w:rFonts w:ascii="Times New Roman" w:hAnsi="Times New Roman" w:cs="Times New Roman"/>
          <w:sz w:val="24"/>
          <w:szCs w:val="24"/>
          <w:lang w:val="fr-CI"/>
        </w:rPr>
        <w:t>une semaine nationale d'intensification des actions de nutrition dans les DDS à forte prévalence de la malnutrition (SIAN),</w:t>
      </w:r>
    </w:p>
    <w:p w14:paraId="2EFA4989" w14:textId="07CD00A7" w:rsidR="00AC70FE" w:rsidRPr="00333A62" w:rsidRDefault="00AC70FE" w:rsidP="00FD6F14">
      <w:pPr>
        <w:spacing w:before="120" w:after="120" w:line="276" w:lineRule="auto"/>
        <w:ind w:left="142" w:hanging="142"/>
        <w:jc w:val="both"/>
        <w:rPr>
          <w:rFonts w:ascii="Times New Roman" w:hAnsi="Times New Roman" w:cs="Times New Roman"/>
          <w:sz w:val="24"/>
          <w:szCs w:val="24"/>
          <w:lang w:val="fr-CI"/>
        </w:rPr>
      </w:pPr>
      <w:r w:rsidRPr="00333A62">
        <w:rPr>
          <w:rFonts w:ascii="Times New Roman" w:hAnsi="Times New Roman" w:cs="Times New Roman"/>
          <w:sz w:val="24"/>
          <w:szCs w:val="24"/>
          <w:lang w:val="fr-CI"/>
        </w:rPr>
        <w:t>-</w:t>
      </w:r>
      <w:r w:rsidRPr="00333A62">
        <w:rPr>
          <w:rFonts w:ascii="Times New Roman" w:hAnsi="Times New Roman" w:cs="Times New Roman"/>
          <w:sz w:val="24"/>
          <w:szCs w:val="24"/>
          <w:lang w:val="fr-CI"/>
        </w:rPr>
        <w:tab/>
      </w:r>
      <w:r w:rsidR="00FD6F14">
        <w:rPr>
          <w:rFonts w:ascii="Times New Roman" w:hAnsi="Times New Roman" w:cs="Times New Roman"/>
          <w:sz w:val="24"/>
          <w:szCs w:val="24"/>
          <w:lang w:val="fr-CI"/>
        </w:rPr>
        <w:t>la promotion de</w:t>
      </w:r>
      <w:r w:rsidRPr="00333A62">
        <w:rPr>
          <w:rFonts w:ascii="Times New Roman" w:hAnsi="Times New Roman" w:cs="Times New Roman"/>
          <w:sz w:val="24"/>
          <w:szCs w:val="24"/>
          <w:lang w:val="fr-CI"/>
        </w:rPr>
        <w:t xml:space="preserve"> la fortification à domicile des repas des enfants de 6 à 23 mois</w:t>
      </w:r>
      <w:r w:rsidR="00FD6F14">
        <w:rPr>
          <w:rFonts w:ascii="Times New Roman" w:hAnsi="Times New Roman" w:cs="Times New Roman"/>
          <w:sz w:val="24"/>
          <w:szCs w:val="24"/>
          <w:lang w:val="fr-CI"/>
        </w:rPr>
        <w:t>.</w:t>
      </w:r>
    </w:p>
    <w:p w14:paraId="7D6222FA" w14:textId="7FFB7E34" w:rsidR="00AC70FE" w:rsidRDefault="00B615CB" w:rsidP="00B615CB">
      <w:pPr>
        <w:spacing w:before="120" w:after="120" w:line="276" w:lineRule="auto"/>
        <w:jc w:val="both"/>
        <w:rPr>
          <w:rFonts w:ascii="Times New Roman" w:hAnsi="Times New Roman" w:cs="Times New Roman"/>
          <w:sz w:val="24"/>
          <w:szCs w:val="24"/>
          <w:lang w:val="fr-CI"/>
        </w:rPr>
      </w:pPr>
      <w:r>
        <w:rPr>
          <w:rFonts w:ascii="Times New Roman" w:hAnsi="Times New Roman" w:cs="Times New Roman"/>
          <w:sz w:val="24"/>
          <w:szCs w:val="24"/>
          <w:lang w:val="fr-CI"/>
        </w:rPr>
        <w:t xml:space="preserve">La reforme clé nécessaire pour le </w:t>
      </w:r>
      <w:r>
        <w:rPr>
          <w:rFonts w:ascii="Times New Roman" w:hAnsi="Times New Roman" w:cs="Times New Roman"/>
          <w:sz w:val="24"/>
          <w:szCs w:val="24"/>
          <w:lang w:val="fr-FR"/>
        </w:rPr>
        <w:t>renforcement de la santé communautaire est une d</w:t>
      </w:r>
      <w:r w:rsidRPr="00B615CB">
        <w:rPr>
          <w:rFonts w:ascii="Times New Roman" w:hAnsi="Times New Roman" w:cs="Times New Roman"/>
          <w:sz w:val="24"/>
          <w:szCs w:val="24"/>
          <w:lang w:val="fr-CI"/>
        </w:rPr>
        <w:t>décision</w:t>
      </w:r>
      <w:r w:rsidR="00AC70FE" w:rsidRPr="00B615CB">
        <w:rPr>
          <w:rFonts w:ascii="Times New Roman" w:hAnsi="Times New Roman" w:cs="Times New Roman"/>
          <w:sz w:val="24"/>
          <w:szCs w:val="24"/>
          <w:lang w:val="fr-CI"/>
        </w:rPr>
        <w:t xml:space="preserve"> de </w:t>
      </w:r>
      <w:r w:rsidRPr="00B615CB">
        <w:rPr>
          <w:rFonts w:ascii="Times New Roman" w:hAnsi="Times New Roman" w:cs="Times New Roman"/>
          <w:sz w:val="24"/>
          <w:szCs w:val="24"/>
          <w:lang w:val="fr-CI"/>
        </w:rPr>
        <w:t xml:space="preserve">L’état </w:t>
      </w:r>
      <w:r w:rsidR="00AC70FE" w:rsidRPr="00B615CB">
        <w:rPr>
          <w:rFonts w:ascii="Times New Roman" w:hAnsi="Times New Roman" w:cs="Times New Roman"/>
          <w:sz w:val="24"/>
          <w:szCs w:val="24"/>
          <w:lang w:val="fr-CI"/>
        </w:rPr>
        <w:t>de soutenir le déploiement et la motivation des agents de santé communautaires sur tout le territoire national.</w:t>
      </w:r>
    </w:p>
    <w:p w14:paraId="382E7CE0" w14:textId="77777777" w:rsidR="00205980" w:rsidRPr="00333A62" w:rsidRDefault="00205980" w:rsidP="00333A62">
      <w:pPr>
        <w:spacing w:before="120" w:after="120" w:line="276" w:lineRule="auto"/>
        <w:rPr>
          <w:rFonts w:ascii="Times New Roman" w:hAnsi="Times New Roman" w:cs="Times New Roman"/>
          <w:sz w:val="24"/>
          <w:szCs w:val="24"/>
          <w:lang w:val="fr-CI"/>
        </w:rPr>
      </w:pPr>
    </w:p>
    <w:p w14:paraId="69399E5E" w14:textId="77777777" w:rsidR="008A0F97" w:rsidRPr="00B615CB" w:rsidRDefault="008A0F97" w:rsidP="00333A62">
      <w:pPr>
        <w:pStyle w:val="Titre2"/>
        <w:spacing w:before="120" w:after="120" w:line="276" w:lineRule="auto"/>
        <w:rPr>
          <w:rFonts w:ascii="Times New Roman" w:hAnsi="Times New Roman" w:cs="Times New Roman"/>
          <w:b/>
          <w:color w:val="0070C0"/>
          <w:sz w:val="24"/>
          <w:szCs w:val="24"/>
        </w:rPr>
      </w:pPr>
      <w:bookmarkStart w:id="129" w:name="_Toc1573838"/>
      <w:r w:rsidRPr="00B615CB">
        <w:rPr>
          <w:rFonts w:ascii="Times New Roman" w:hAnsi="Times New Roman" w:cs="Times New Roman"/>
          <w:b/>
          <w:color w:val="0070C0"/>
          <w:sz w:val="24"/>
          <w:szCs w:val="24"/>
        </w:rPr>
        <w:t>Priorité 2 : Amélioration de la qualité des soins</w:t>
      </w:r>
      <w:bookmarkEnd w:id="129"/>
    </w:p>
    <w:p w14:paraId="627D607A" w14:textId="77777777" w:rsidR="008A0F97" w:rsidRPr="00333A62" w:rsidRDefault="008A0F97"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 xml:space="preserve">La réponse du DI sur le plan de la fonctionnalité et de la qualité des soins de santé primaire s’aligne sur le cadre du PNDS et de la politique et stratégie nationale de qualité. Bien que l’accent soit mis sur la SRMNEA et les soins aux niveaux primaire et secondaire, les stratégies ciblent l’ensemble du système de santé. Il s’agira de mettre les niveaux de prestation des soins en conformité avec les normes et standards nationaux, de les réexaminer et les définir, en termes d’infrastructures et d’équipements, afin de pouvoir fournir l’ensemble d’activités de la CMU et d’assurer la disponibilité des services tels que définis dans la Pyramide Sanitaire. </w:t>
      </w:r>
    </w:p>
    <w:p w14:paraId="7EEB0A79" w14:textId="77777777" w:rsidR="008A0F97" w:rsidRPr="00333A62" w:rsidRDefault="008A0F97"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 xml:space="preserve">L’objectif est de mettre </w:t>
      </w:r>
      <w:r w:rsidRPr="00333A62">
        <w:rPr>
          <w:rFonts w:ascii="Times New Roman" w:hAnsi="Times New Roman" w:cs="Times New Roman"/>
          <w:sz w:val="24"/>
          <w:szCs w:val="24"/>
          <w:lang w:val="fr-CI"/>
        </w:rPr>
        <w:t>en place un système d’amélioration de la qualité à tous les niveaux de la pyramide sanitaire</w:t>
      </w:r>
      <w:r w:rsidRPr="00333A62">
        <w:rPr>
          <w:rFonts w:ascii="Times New Roman" w:hAnsi="Times New Roman" w:cs="Times New Roman"/>
          <w:sz w:val="24"/>
          <w:szCs w:val="24"/>
        </w:rPr>
        <w:t xml:space="preserve">, de </w:t>
      </w:r>
      <w:r w:rsidRPr="00333A62">
        <w:rPr>
          <w:rFonts w:ascii="Times New Roman" w:hAnsi="Times New Roman" w:cs="Times New Roman"/>
          <w:sz w:val="24"/>
          <w:szCs w:val="24"/>
          <w:lang w:val="fr-FR"/>
        </w:rPr>
        <w:t>garantir la qualité des prestations des soins offerts à la mère et à l’enfant, et de rendre tous les établissements conformes aux normes de fonctionnalité et de qualité dans les régions prioritaires.</w:t>
      </w:r>
      <w:r w:rsidRPr="00333A62">
        <w:rPr>
          <w:rFonts w:ascii="Times New Roman" w:hAnsi="Times New Roman" w:cs="Times New Roman"/>
          <w:sz w:val="24"/>
          <w:szCs w:val="24"/>
        </w:rPr>
        <w:t xml:space="preserve"> Les principaux problèmes liés à la qualité des soins auxquels le DI se veut une réponse sont entre autres : le manque d'adhésion aux protocoles et la mise en œuvre très partielle de lignes </w:t>
      </w:r>
      <w:r w:rsidRPr="00333A62">
        <w:rPr>
          <w:rFonts w:ascii="Times New Roman" w:hAnsi="Times New Roman" w:cs="Times New Roman"/>
          <w:sz w:val="24"/>
          <w:szCs w:val="24"/>
        </w:rPr>
        <w:lastRenderedPageBreak/>
        <w:t>directrices fondées sur des preuves; le niveau et la répartition des ressources humaines qualifiés et des infrastructures; et la disponibilité des médicaments et des produits sanguins.</w:t>
      </w:r>
    </w:p>
    <w:p w14:paraId="37106E01" w14:textId="77777777" w:rsidR="008A0F97" w:rsidRPr="00333A62" w:rsidRDefault="008A0F97"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Les principales interventions à mettre en œuvre pour améliorer la fonctionnalité et la qualité des soins de santé primaire sont les suivantes :</w:t>
      </w:r>
    </w:p>
    <w:p w14:paraId="0C58F4C8" w14:textId="0934A2A5" w:rsidR="008A0F97" w:rsidRPr="00333A62" w:rsidRDefault="00B81840" w:rsidP="00333A62">
      <w:pPr>
        <w:spacing w:before="120" w:after="120" w:line="276" w:lineRule="auto"/>
        <w:jc w:val="both"/>
        <w:rPr>
          <w:rFonts w:ascii="Times New Roman" w:hAnsi="Times New Roman" w:cs="Times New Roman"/>
          <w:sz w:val="24"/>
          <w:szCs w:val="24"/>
        </w:rPr>
      </w:pPr>
      <w:r>
        <w:rPr>
          <w:rFonts w:ascii="Times New Roman" w:hAnsi="Times New Roman" w:cs="Times New Roman"/>
          <w:sz w:val="24"/>
          <w:szCs w:val="24"/>
        </w:rPr>
        <w:t>1-</w:t>
      </w:r>
      <w:r w:rsidR="008A0F97" w:rsidRPr="00333A62">
        <w:rPr>
          <w:rFonts w:ascii="Times New Roman" w:hAnsi="Times New Roman" w:cs="Times New Roman"/>
          <w:sz w:val="24"/>
          <w:szCs w:val="24"/>
        </w:rPr>
        <w:t xml:space="preserve"> Développement d’un plan directeur national d’infrastructures et d’équipements, renforcement des capacités de la Direction des infrastructures au niveau national (DIEM), et réhabilitation des formations sanitaires. </w:t>
      </w:r>
    </w:p>
    <w:p w14:paraId="4BB35D05" w14:textId="7877B50F" w:rsidR="008A0F97" w:rsidRPr="00333A62" w:rsidRDefault="00B81840" w:rsidP="00333A62">
      <w:pPr>
        <w:spacing w:before="120" w:after="120" w:line="276" w:lineRule="auto"/>
        <w:jc w:val="both"/>
        <w:rPr>
          <w:rFonts w:ascii="Times New Roman" w:hAnsi="Times New Roman" w:cs="Times New Roman"/>
          <w:sz w:val="24"/>
          <w:szCs w:val="24"/>
        </w:rPr>
      </w:pPr>
      <w:r>
        <w:rPr>
          <w:rFonts w:ascii="Times New Roman" w:hAnsi="Times New Roman" w:cs="Times New Roman"/>
          <w:sz w:val="24"/>
          <w:szCs w:val="24"/>
        </w:rPr>
        <w:t>2-</w:t>
      </w:r>
      <w:r w:rsidR="008A0F97" w:rsidRPr="00333A62">
        <w:rPr>
          <w:rFonts w:ascii="Times New Roman" w:hAnsi="Times New Roman" w:cs="Times New Roman"/>
          <w:sz w:val="24"/>
          <w:szCs w:val="24"/>
        </w:rPr>
        <w:t xml:space="preserve"> Extension et amélioration des interventions novatrices d’hygiène et assainissement dans les formations sanitaires, de même que des solutions d’électrification au solaire pour les centres de santé ruraux.</w:t>
      </w:r>
    </w:p>
    <w:p w14:paraId="3B0463C8" w14:textId="28DA2F70" w:rsidR="008A0F97" w:rsidRPr="00333A62" w:rsidRDefault="00B81840" w:rsidP="00333A62">
      <w:pPr>
        <w:spacing w:before="120" w:after="120" w:line="276"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8A0F97" w:rsidRPr="00333A62">
        <w:rPr>
          <w:rFonts w:ascii="Times New Roman" w:hAnsi="Times New Roman" w:cs="Times New Roman"/>
          <w:sz w:val="24"/>
          <w:szCs w:val="24"/>
        </w:rPr>
        <w:t xml:space="preserve">Mise en œuvre du plan de gestion des déchets sanitaires et des politiques de sauvegarde de l'environnement. Quatre interventions principales seront mises en œuvre: i) renforcement du cadre juridique et institutionnel; (2) renforcement de la communication pour un changement social et comportemental des parties prenantes; (3) renforcement de la capacité du processus de gestion des déchets de santé; et (4) renforcement de la capacité des établissements de santé à gérer les déchets. Les activités consisteront en la formation des acteurs impliqués, l’acquisition et l’installation d’incinérateurs pour certains hôpitaux de district, et la fourniture de petits équipements de tri et de consommables aux établissements. </w:t>
      </w:r>
    </w:p>
    <w:p w14:paraId="3274B6C4" w14:textId="141DEBC7" w:rsidR="008A0F97" w:rsidRPr="00333A62" w:rsidRDefault="00B81840" w:rsidP="00333A62">
      <w:pPr>
        <w:spacing w:before="120" w:after="120" w:line="276" w:lineRule="auto"/>
        <w:jc w:val="both"/>
        <w:rPr>
          <w:rFonts w:ascii="Times New Roman" w:hAnsi="Times New Roman" w:cs="Times New Roman"/>
          <w:sz w:val="24"/>
          <w:szCs w:val="24"/>
        </w:rPr>
      </w:pPr>
      <w:r>
        <w:rPr>
          <w:rFonts w:ascii="Times New Roman" w:hAnsi="Times New Roman" w:cs="Times New Roman"/>
          <w:sz w:val="24"/>
          <w:szCs w:val="24"/>
        </w:rPr>
        <w:t>4-</w:t>
      </w:r>
      <w:r w:rsidR="008A0F97" w:rsidRPr="00333A62">
        <w:rPr>
          <w:rFonts w:ascii="Times New Roman" w:hAnsi="Times New Roman" w:cs="Times New Roman"/>
          <w:sz w:val="24"/>
          <w:szCs w:val="24"/>
        </w:rPr>
        <w:t xml:space="preserve"> Renforcement des soins obstétricaux et néonatals d'urgence (SONU). Outre les interventions systémiques proposées, les formations sanitaires bénéficieront d’équipements, de produits et d’intrants pour la gestion des complications obstétricales et de la réanimation néonatale, par le biais d’interventions fournissant une bonne qualité des soins dans les centres de santé et les hôpitaux. Les actions concerneront la mise à jour du personnel de santé liée aux nouvelles pratiques SONU, en fournissant le matériel/équipement nécessaire aux pratiques obstétricales et pédiatriques, ainsi qu’à la formation et à la supervision.</w:t>
      </w:r>
    </w:p>
    <w:p w14:paraId="42943F24" w14:textId="0281F248" w:rsidR="008A0F97" w:rsidRPr="00333A62" w:rsidRDefault="00B81840" w:rsidP="00333A62">
      <w:pPr>
        <w:spacing w:before="120" w:after="120" w:line="276" w:lineRule="auto"/>
        <w:jc w:val="both"/>
        <w:rPr>
          <w:rFonts w:ascii="Times New Roman" w:hAnsi="Times New Roman" w:cs="Times New Roman"/>
          <w:sz w:val="24"/>
          <w:szCs w:val="24"/>
        </w:rPr>
      </w:pPr>
      <w:r>
        <w:rPr>
          <w:rFonts w:ascii="Times New Roman" w:hAnsi="Times New Roman" w:cs="Times New Roman"/>
          <w:sz w:val="24"/>
          <w:szCs w:val="24"/>
        </w:rPr>
        <w:t>5-</w:t>
      </w:r>
      <w:r w:rsidR="008A0F97" w:rsidRPr="00333A62">
        <w:rPr>
          <w:rFonts w:ascii="Times New Roman" w:hAnsi="Times New Roman" w:cs="Times New Roman"/>
          <w:sz w:val="24"/>
          <w:szCs w:val="24"/>
        </w:rPr>
        <w:t xml:space="preserve"> Renforcement de la capacité opérationnelle des directions régionales et des districts de la santé pour (i) l'utilisation et la gestion des données locales; (ii) fournir des services de soins de santé primaires de qualité; (iii) mettre à jour les normes obsolètes; et (iv) améliorer le continuum de soins. Le DI appuiera par ailleurs la mise en œuvre d’approches collaboratives d'amélioration de la qualité, dans lesquels les meilleures pratiques de différents établissements et districts sont examinées sur une base régulière pour faciliter l'apprentissage et l'amélioration.</w:t>
      </w:r>
    </w:p>
    <w:p w14:paraId="4C471BEC" w14:textId="66651295" w:rsidR="008A0F97" w:rsidRPr="00333A62" w:rsidRDefault="00B81840" w:rsidP="00333A62">
      <w:pPr>
        <w:spacing w:before="120" w:after="120" w:line="276" w:lineRule="auto"/>
        <w:jc w:val="both"/>
        <w:rPr>
          <w:rFonts w:ascii="Times New Roman" w:hAnsi="Times New Roman" w:cs="Times New Roman"/>
          <w:sz w:val="24"/>
          <w:szCs w:val="24"/>
          <w:lang w:val="fr-CI"/>
        </w:rPr>
      </w:pPr>
      <w:r>
        <w:rPr>
          <w:rFonts w:ascii="Times New Roman" w:hAnsi="Times New Roman" w:cs="Times New Roman"/>
          <w:sz w:val="24"/>
          <w:szCs w:val="24"/>
          <w:lang w:val="fr-CI"/>
        </w:rPr>
        <w:t>6-</w:t>
      </w:r>
      <w:r w:rsidR="008A0F97" w:rsidRPr="00333A62">
        <w:rPr>
          <w:rFonts w:ascii="Times New Roman" w:hAnsi="Times New Roman" w:cs="Times New Roman"/>
          <w:sz w:val="24"/>
          <w:szCs w:val="24"/>
          <w:lang w:val="fr-CI"/>
        </w:rPr>
        <w:t xml:space="preserve"> Revue des décès maternels et néonatal</w:t>
      </w:r>
      <w:r w:rsidR="008A0F97" w:rsidRPr="00333A62">
        <w:rPr>
          <w:rFonts w:ascii="Times New Roman" w:hAnsi="Times New Roman" w:cs="Times New Roman"/>
          <w:sz w:val="24"/>
          <w:szCs w:val="24"/>
        </w:rPr>
        <w:t xml:space="preserve">. La surveillance des décès maternels et riposte n’est pas effective à tous les niveaux. De même, la revue des décès maternels au niveau des hôpitaux qui devrait se faire systématiquement ne l’est pas toujours, et les décès infantiles ne sont pas pris en compte dans cette surveillance. La plupart des instances de coordination ne sont pas encore fonctionnelles. Enfin, la diffusion de l'information issue de l’analyse des données sur les décès maternels pour organiser la riposte reste encore très faible. Le volet néonatal n’est pas encore intégré dans la SIMR. </w:t>
      </w:r>
      <w:r w:rsidR="0002340B" w:rsidRPr="00333A62">
        <w:rPr>
          <w:rFonts w:ascii="Times New Roman" w:hAnsi="Times New Roman" w:cs="Times New Roman"/>
          <w:sz w:val="24"/>
          <w:szCs w:val="24"/>
        </w:rPr>
        <w:t>L’enjeu</w:t>
      </w:r>
      <w:r w:rsidR="008A0F97" w:rsidRPr="00333A62">
        <w:rPr>
          <w:rFonts w:ascii="Times New Roman" w:hAnsi="Times New Roman" w:cs="Times New Roman"/>
          <w:sz w:val="24"/>
          <w:szCs w:val="24"/>
        </w:rPr>
        <w:t xml:space="preserve"> est celui de l’amélioration de la notification des cas de décès maternels, de même que la riposte, en utilisant l’approche du financement basé sur la performance. Cela constituerait une intéressante </w:t>
      </w:r>
      <w:r w:rsidR="008A0F97" w:rsidRPr="00333A62">
        <w:rPr>
          <w:rFonts w:ascii="Times New Roman" w:hAnsi="Times New Roman" w:cs="Times New Roman"/>
          <w:sz w:val="24"/>
          <w:szCs w:val="24"/>
        </w:rPr>
        <w:lastRenderedPageBreak/>
        <w:t>opportunité de mutualiser davantage les ressources pour les rendre plus efficientes. Ainsi le DI soutiendra la mise en œuvre du Plan National de Renforcement de la Surveillance, Revue des décès maternels, néonatals et Riposte</w:t>
      </w:r>
    </w:p>
    <w:p w14:paraId="5F071063" w14:textId="244354A0" w:rsidR="008A0F97" w:rsidRPr="00333A62" w:rsidRDefault="00B81840" w:rsidP="00333A62">
      <w:pPr>
        <w:spacing w:before="120" w:after="120" w:line="276" w:lineRule="auto"/>
        <w:jc w:val="both"/>
        <w:rPr>
          <w:rFonts w:ascii="Times New Roman" w:hAnsi="Times New Roman" w:cs="Times New Roman"/>
          <w:sz w:val="24"/>
          <w:szCs w:val="24"/>
          <w:lang w:val="fr-CI"/>
        </w:rPr>
      </w:pPr>
      <w:r>
        <w:rPr>
          <w:rFonts w:ascii="Times New Roman" w:hAnsi="Times New Roman" w:cs="Times New Roman"/>
          <w:sz w:val="24"/>
          <w:szCs w:val="24"/>
          <w:lang w:val="fr-CI"/>
        </w:rPr>
        <w:t>7-</w:t>
      </w:r>
      <w:r w:rsidR="008A0F97" w:rsidRPr="00333A62">
        <w:rPr>
          <w:rFonts w:ascii="Times New Roman" w:hAnsi="Times New Roman" w:cs="Times New Roman"/>
          <w:sz w:val="24"/>
          <w:szCs w:val="24"/>
          <w:lang w:val="fr-CI"/>
        </w:rPr>
        <w:t xml:space="preserve"> Renforcement de la méthode Kangourou dans les formations sanitaires aidé par la mise place des « coins » nouveau-né.</w:t>
      </w:r>
    </w:p>
    <w:p w14:paraId="2D0C9622" w14:textId="46A348F9" w:rsidR="008A0F97" w:rsidRPr="00333A62" w:rsidRDefault="00B81840" w:rsidP="00333A62">
      <w:pPr>
        <w:spacing w:before="120" w:after="120" w:line="276" w:lineRule="auto"/>
        <w:jc w:val="both"/>
        <w:rPr>
          <w:rFonts w:ascii="Times New Roman" w:hAnsi="Times New Roman" w:cs="Times New Roman"/>
          <w:sz w:val="24"/>
          <w:szCs w:val="24"/>
          <w:lang w:val="fr-CI"/>
        </w:rPr>
      </w:pPr>
      <w:r>
        <w:rPr>
          <w:rFonts w:ascii="Times New Roman" w:hAnsi="Times New Roman" w:cs="Times New Roman"/>
          <w:sz w:val="24"/>
          <w:szCs w:val="24"/>
          <w:lang w:val="fr-CI"/>
        </w:rPr>
        <w:t>8-</w:t>
      </w:r>
      <w:r w:rsidR="008A0F97" w:rsidRPr="00333A62">
        <w:rPr>
          <w:rFonts w:ascii="Times New Roman" w:hAnsi="Times New Roman" w:cs="Times New Roman"/>
          <w:sz w:val="24"/>
          <w:szCs w:val="24"/>
          <w:lang w:val="fr-CI"/>
        </w:rPr>
        <w:t xml:space="preserve"> Formation et sensibilisation de la communauté à la fréquentation des structures de santé. Pour répondre au défi de mobilisation, participation et engagement communautaire, il est important de sensibiliser toutes les couches de la communauté à l’utilisation des structures de santé. L’implication des leaders religieux </w:t>
      </w:r>
      <w:r w:rsidR="0002340B" w:rsidRPr="00333A62">
        <w:rPr>
          <w:rFonts w:ascii="Times New Roman" w:hAnsi="Times New Roman" w:cs="Times New Roman"/>
          <w:sz w:val="24"/>
          <w:szCs w:val="24"/>
          <w:lang w:val="fr-CI"/>
        </w:rPr>
        <w:t>permettra</w:t>
      </w:r>
      <w:r w:rsidR="008A0F97" w:rsidRPr="00333A62">
        <w:rPr>
          <w:rFonts w:ascii="Times New Roman" w:hAnsi="Times New Roman" w:cs="Times New Roman"/>
          <w:sz w:val="24"/>
          <w:szCs w:val="24"/>
          <w:lang w:val="fr-CI"/>
        </w:rPr>
        <w:t xml:space="preserve"> également d’amplifier l’information sur les pratiques familiales essentielles. Cette intervention se fera dans le cadre de la priorité No1 relative à la santé communautaire et passera par le renforcement des capacités techniques et opérationnelles des acteurs communautaires.</w:t>
      </w:r>
    </w:p>
    <w:p w14:paraId="50E4070C" w14:textId="0D8B68E6" w:rsidR="008A0F97" w:rsidRPr="00333A62" w:rsidRDefault="008A0F97" w:rsidP="0009029A">
      <w:pPr>
        <w:spacing w:before="120" w:after="120" w:line="276" w:lineRule="auto"/>
        <w:jc w:val="both"/>
        <w:rPr>
          <w:rFonts w:ascii="Times New Roman" w:hAnsi="Times New Roman" w:cs="Times New Roman"/>
          <w:sz w:val="24"/>
          <w:szCs w:val="24"/>
        </w:rPr>
      </w:pPr>
      <w:r w:rsidRPr="0009029A">
        <w:rPr>
          <w:rFonts w:ascii="Times New Roman" w:hAnsi="Times New Roman" w:cs="Times New Roman"/>
          <w:sz w:val="24"/>
          <w:szCs w:val="24"/>
        </w:rPr>
        <w:t>Le cadre budgétaire montre que les infrastructures (constructions et réhabilitation) r</w:t>
      </w:r>
      <w:r w:rsidR="00A5574F" w:rsidRPr="0009029A">
        <w:rPr>
          <w:rFonts w:ascii="Times New Roman" w:hAnsi="Times New Roman" w:cs="Times New Roman"/>
          <w:sz w:val="24"/>
          <w:szCs w:val="24"/>
        </w:rPr>
        <w:t>eprésentent un peu plus de 43% d</w:t>
      </w:r>
      <w:r w:rsidRPr="0009029A">
        <w:rPr>
          <w:rFonts w:ascii="Times New Roman" w:hAnsi="Times New Roman" w:cs="Times New Roman"/>
          <w:sz w:val="24"/>
          <w:szCs w:val="24"/>
        </w:rPr>
        <w:t>u budget consacré à l’amélioration de la fonctionnalité et qualité des soins de santé primaire. Quant à la formation, elle représente un peu plus de 13% du budget.</w:t>
      </w:r>
    </w:p>
    <w:p w14:paraId="6A797CAE" w14:textId="77777777" w:rsidR="00205980" w:rsidRPr="00333A62" w:rsidRDefault="00205980" w:rsidP="00333A62">
      <w:pPr>
        <w:spacing w:before="120" w:after="120" w:line="276" w:lineRule="auto"/>
        <w:rPr>
          <w:rFonts w:ascii="Times New Roman" w:hAnsi="Times New Roman" w:cs="Times New Roman"/>
          <w:sz w:val="24"/>
          <w:szCs w:val="24"/>
        </w:rPr>
      </w:pPr>
    </w:p>
    <w:p w14:paraId="1D9A8DF3" w14:textId="77777777" w:rsidR="008A0F97" w:rsidRPr="00700523" w:rsidRDefault="008A0F97" w:rsidP="00333A62">
      <w:pPr>
        <w:pStyle w:val="Titre2"/>
        <w:spacing w:before="120" w:after="120" w:line="276" w:lineRule="auto"/>
        <w:rPr>
          <w:rFonts w:ascii="Times New Roman" w:hAnsi="Times New Roman" w:cs="Times New Roman"/>
          <w:b/>
          <w:color w:val="0070C0"/>
          <w:sz w:val="24"/>
          <w:szCs w:val="24"/>
        </w:rPr>
      </w:pPr>
      <w:bookmarkStart w:id="130" w:name="_Toc1573839"/>
      <w:r w:rsidRPr="00700523">
        <w:rPr>
          <w:rFonts w:ascii="Times New Roman" w:hAnsi="Times New Roman" w:cs="Times New Roman"/>
          <w:b/>
          <w:color w:val="0070C0"/>
          <w:sz w:val="24"/>
          <w:szCs w:val="24"/>
        </w:rPr>
        <w:t>Priorité 3 : Renforcement de la chaine d’approvisionnement</w:t>
      </w:r>
      <w:bookmarkEnd w:id="130"/>
    </w:p>
    <w:p w14:paraId="7D08D17E" w14:textId="77777777" w:rsidR="00DC56FC" w:rsidRPr="007970A5" w:rsidRDefault="00DC56FC" w:rsidP="00DC56FC">
      <w:pPr>
        <w:spacing w:before="120" w:after="120" w:line="276" w:lineRule="auto"/>
        <w:jc w:val="both"/>
        <w:rPr>
          <w:rFonts w:ascii="Times New Roman" w:eastAsia="Times New Roman" w:hAnsi="Times New Roman" w:cs="Times New Roman"/>
          <w:sz w:val="24"/>
          <w:szCs w:val="24"/>
          <w:lang w:val="fr-FR" w:eastAsia="fr-FR"/>
        </w:rPr>
      </w:pPr>
      <w:r w:rsidRPr="007970A5">
        <w:rPr>
          <w:rFonts w:ascii="Times New Roman" w:eastAsia="Times New Roman" w:hAnsi="Times New Roman" w:cs="Times New Roman"/>
          <w:sz w:val="24"/>
          <w:szCs w:val="24"/>
          <w:lang w:val="fr-FR" w:eastAsia="fr-FR"/>
        </w:rPr>
        <w:t xml:space="preserve">La Politique Pharmaceutique Nationale (PPN) vise à améliorer l’état de santé et le bien-être des populations en assurant la disponibilité et l’accessibilité des médicaments et autres produits stratégiques de santé de qualité à tous les niveaux de la pyramide sanitaire à travers une chaîne d’approvisionnement sûre, fiable et pérenne. Dans le processus de mise à disposition des médicaments, il est essentiel de mettre en place un plan de renforcement pour plus d’efficiences sur l’ensemble de la chaine d’approvisionnement. Un bon plan de renforcement de la chaine d’approvisionnement permet de faciliter l’approvisionnement, l’entreposage, la distribution et la dispensation, de limiter les avaries et les péremptions et de préserver la sécurité de ses bénéficiaires. </w:t>
      </w:r>
    </w:p>
    <w:p w14:paraId="5659BAF8" w14:textId="77777777" w:rsidR="00DC56FC" w:rsidRPr="007970A5" w:rsidRDefault="00DC56FC" w:rsidP="00DC56FC">
      <w:pPr>
        <w:tabs>
          <w:tab w:val="left" w:pos="3720"/>
        </w:tabs>
        <w:spacing w:before="120" w:after="120" w:line="276" w:lineRule="auto"/>
        <w:jc w:val="both"/>
        <w:rPr>
          <w:rFonts w:ascii="Times New Roman" w:hAnsi="Times New Roman" w:cs="Times New Roman"/>
          <w:noProof/>
          <w:sz w:val="24"/>
          <w:szCs w:val="24"/>
          <w:lang w:val="fr-FR" w:eastAsia="fr-FR"/>
        </w:rPr>
      </w:pPr>
      <w:r w:rsidRPr="007970A5">
        <w:rPr>
          <w:rFonts w:ascii="Times New Roman" w:hAnsi="Times New Roman" w:cs="Times New Roman"/>
          <w:noProof/>
          <w:sz w:val="24"/>
          <w:szCs w:val="24"/>
          <w:lang w:val="fr-FR" w:eastAsia="fr-FR"/>
        </w:rPr>
        <w:t>Le DI vise à contribuer à l’amélioration de l’accessibilité et de la disponibilité des produits de santé de qualité y compris les produits de la SRMNEA dans un contexte de Couverture Maladie Universelle (CMU).</w:t>
      </w:r>
    </w:p>
    <w:p w14:paraId="4B66A106" w14:textId="77777777" w:rsidR="00DC56FC" w:rsidRPr="007970A5" w:rsidRDefault="00DC56FC" w:rsidP="00DC56FC">
      <w:pPr>
        <w:tabs>
          <w:tab w:val="left" w:pos="3720"/>
        </w:tabs>
        <w:spacing w:before="120" w:after="120" w:line="276" w:lineRule="auto"/>
        <w:jc w:val="both"/>
        <w:rPr>
          <w:rFonts w:ascii="Times New Roman" w:hAnsi="Times New Roman" w:cs="Times New Roman"/>
          <w:noProof/>
          <w:sz w:val="24"/>
          <w:szCs w:val="24"/>
          <w:lang w:val="fr-FR" w:eastAsia="fr-FR"/>
        </w:rPr>
      </w:pPr>
      <w:r w:rsidRPr="007970A5">
        <w:rPr>
          <w:rFonts w:ascii="Times New Roman" w:hAnsi="Times New Roman" w:cs="Times New Roman"/>
          <w:noProof/>
          <w:sz w:val="24"/>
          <w:szCs w:val="24"/>
          <w:lang w:val="fr-FR" w:eastAsia="fr-FR"/>
        </w:rPr>
        <w:t xml:space="preserve">L’objectif est de : </w:t>
      </w:r>
    </w:p>
    <w:p w14:paraId="3B3C305B" w14:textId="77777777" w:rsidR="00DC56FC" w:rsidRPr="007970A5" w:rsidRDefault="00DC56FC" w:rsidP="00DC56FC">
      <w:pPr>
        <w:tabs>
          <w:tab w:val="left" w:pos="3720"/>
        </w:tabs>
        <w:spacing w:before="120" w:after="120" w:line="276" w:lineRule="auto"/>
        <w:ind w:left="426"/>
        <w:jc w:val="both"/>
        <w:rPr>
          <w:rFonts w:ascii="Times New Roman" w:hAnsi="Times New Roman" w:cs="Times New Roman"/>
          <w:sz w:val="24"/>
          <w:szCs w:val="24"/>
          <w:lang w:val="fr-FR"/>
        </w:rPr>
      </w:pPr>
      <w:r w:rsidRPr="007970A5">
        <w:rPr>
          <w:rFonts w:ascii="Times New Roman" w:hAnsi="Times New Roman" w:cs="Times New Roman"/>
          <w:noProof/>
          <w:sz w:val="24"/>
          <w:szCs w:val="24"/>
          <w:lang w:val="fr-FR" w:eastAsia="fr-FR"/>
        </w:rPr>
        <w:t xml:space="preserve">(1) </w:t>
      </w:r>
      <w:r w:rsidRPr="007970A5">
        <w:rPr>
          <w:rFonts w:ascii="Times New Roman" w:hAnsi="Times New Roman" w:cs="Times New Roman"/>
          <w:sz w:val="24"/>
          <w:szCs w:val="24"/>
          <w:lang w:val="fr-FR"/>
        </w:rPr>
        <w:t xml:space="preserve">renforcer les processus de quantification, de planification et d’achat des produits de santé y compris les produits SRMNEA, </w:t>
      </w:r>
    </w:p>
    <w:p w14:paraId="0F17F059" w14:textId="77777777" w:rsidR="00DC56FC" w:rsidRDefault="00DC56FC" w:rsidP="00DC56FC">
      <w:pPr>
        <w:tabs>
          <w:tab w:val="left" w:pos="3720"/>
        </w:tabs>
        <w:spacing w:before="120" w:after="120" w:line="276" w:lineRule="auto"/>
        <w:ind w:left="426"/>
        <w:jc w:val="both"/>
        <w:rPr>
          <w:rFonts w:ascii="Times New Roman" w:hAnsi="Times New Roman" w:cs="Times New Roman"/>
          <w:sz w:val="24"/>
          <w:szCs w:val="24"/>
          <w:lang w:val="fr-FR"/>
        </w:rPr>
      </w:pPr>
      <w:r w:rsidRPr="007970A5">
        <w:rPr>
          <w:rFonts w:ascii="Times New Roman" w:hAnsi="Times New Roman" w:cs="Times New Roman"/>
          <w:sz w:val="24"/>
          <w:szCs w:val="24"/>
          <w:lang w:val="fr-FR"/>
        </w:rPr>
        <w:t xml:space="preserve">(2) améliorer le système d’assurance qualité des produits de santé y compris les produits SRMNEA, </w:t>
      </w:r>
    </w:p>
    <w:p w14:paraId="246C3F48" w14:textId="77777777" w:rsidR="00DC56FC" w:rsidRPr="007970A5" w:rsidRDefault="00DC56FC" w:rsidP="00DC56FC">
      <w:pPr>
        <w:tabs>
          <w:tab w:val="left" w:pos="3720"/>
        </w:tabs>
        <w:spacing w:before="120" w:after="120" w:line="276" w:lineRule="auto"/>
        <w:ind w:left="426"/>
        <w:jc w:val="both"/>
        <w:rPr>
          <w:rFonts w:ascii="Times New Roman" w:hAnsi="Times New Roman" w:cs="Times New Roman"/>
          <w:sz w:val="24"/>
          <w:szCs w:val="24"/>
          <w:lang w:val="fr-FR"/>
        </w:rPr>
      </w:pPr>
      <w:r w:rsidRPr="007970A5">
        <w:rPr>
          <w:rFonts w:ascii="Times New Roman" w:hAnsi="Times New Roman" w:cs="Times New Roman"/>
          <w:sz w:val="24"/>
          <w:szCs w:val="24"/>
          <w:lang w:val="fr-FR"/>
        </w:rPr>
        <w:t xml:space="preserve">(3) améliorer la gouvernance de la chaine d’approvisionnement par la mise en place du mécanisme de pilotage de la chaine d’approvisionnement, </w:t>
      </w:r>
    </w:p>
    <w:p w14:paraId="67C4626E" w14:textId="77777777" w:rsidR="00DC56FC" w:rsidRPr="007970A5" w:rsidRDefault="00DC56FC" w:rsidP="00DC56FC">
      <w:pPr>
        <w:tabs>
          <w:tab w:val="left" w:pos="3720"/>
        </w:tabs>
        <w:spacing w:before="120" w:after="120" w:line="276" w:lineRule="auto"/>
        <w:ind w:left="426"/>
        <w:jc w:val="both"/>
        <w:rPr>
          <w:rFonts w:ascii="Times New Roman" w:hAnsi="Times New Roman" w:cs="Times New Roman"/>
          <w:sz w:val="24"/>
          <w:szCs w:val="24"/>
          <w:lang w:val="fr-FR"/>
        </w:rPr>
      </w:pPr>
      <w:r w:rsidRPr="007970A5">
        <w:rPr>
          <w:rFonts w:ascii="Times New Roman" w:hAnsi="Times New Roman" w:cs="Times New Roman"/>
          <w:sz w:val="24"/>
          <w:szCs w:val="24"/>
          <w:lang w:val="fr-FR"/>
        </w:rPr>
        <w:t xml:space="preserve">(4) renforcer le système de distribution des produits de santé y compris les produits SRMNEA jusqu’au dernier kilomètre, </w:t>
      </w:r>
    </w:p>
    <w:p w14:paraId="7400F56B" w14:textId="77777777" w:rsidR="00DC56FC" w:rsidRPr="007970A5" w:rsidRDefault="00DC56FC" w:rsidP="00DC56FC">
      <w:pPr>
        <w:tabs>
          <w:tab w:val="left" w:pos="3720"/>
        </w:tabs>
        <w:spacing w:before="120" w:after="120" w:line="276" w:lineRule="auto"/>
        <w:ind w:left="426"/>
        <w:jc w:val="both"/>
        <w:rPr>
          <w:rFonts w:ascii="Times New Roman" w:hAnsi="Times New Roman" w:cs="Times New Roman"/>
          <w:sz w:val="24"/>
          <w:szCs w:val="24"/>
          <w:lang w:val="fr-FR"/>
        </w:rPr>
      </w:pPr>
      <w:r w:rsidRPr="007970A5">
        <w:rPr>
          <w:rFonts w:ascii="Times New Roman" w:hAnsi="Times New Roman" w:cs="Times New Roman"/>
          <w:sz w:val="24"/>
          <w:szCs w:val="24"/>
          <w:lang w:val="fr-FR"/>
        </w:rPr>
        <w:lastRenderedPageBreak/>
        <w:t xml:space="preserve">(5) renforcer la production pharmaceutique locale, </w:t>
      </w:r>
    </w:p>
    <w:p w14:paraId="63D3F371" w14:textId="77777777" w:rsidR="00DC56FC" w:rsidRPr="007970A5" w:rsidRDefault="00DC56FC" w:rsidP="00DC56FC">
      <w:pPr>
        <w:tabs>
          <w:tab w:val="left" w:pos="3720"/>
        </w:tabs>
        <w:spacing w:before="120" w:after="120" w:line="276" w:lineRule="auto"/>
        <w:ind w:left="426"/>
        <w:jc w:val="both"/>
        <w:rPr>
          <w:rFonts w:ascii="Times New Roman" w:hAnsi="Times New Roman" w:cs="Times New Roman"/>
          <w:sz w:val="24"/>
          <w:szCs w:val="24"/>
          <w:lang w:val="fr-FR"/>
        </w:rPr>
      </w:pPr>
      <w:r w:rsidRPr="007970A5">
        <w:rPr>
          <w:rFonts w:ascii="Times New Roman" w:hAnsi="Times New Roman" w:cs="Times New Roman"/>
          <w:sz w:val="24"/>
          <w:szCs w:val="24"/>
          <w:lang w:val="fr-FR"/>
        </w:rPr>
        <w:t xml:space="preserve">(6) renforcer les capacités et les conditions de stockage et d’entreposage des produits de santé y compris les produits SRMNEA au sein des pharmacies des établissements sanitaires publics à travers leur mise aux normes, et (7) </w:t>
      </w:r>
      <w:r>
        <w:rPr>
          <w:rFonts w:ascii="Times New Roman" w:hAnsi="Times New Roman" w:cs="Times New Roman"/>
          <w:sz w:val="24"/>
          <w:szCs w:val="24"/>
          <w:lang w:val="fr-FR"/>
        </w:rPr>
        <w:t xml:space="preserve">contribuer à l’opérationnalisation de la formation en ligne des </w:t>
      </w:r>
      <w:r w:rsidRPr="007970A5">
        <w:rPr>
          <w:rFonts w:ascii="Times New Roman" w:hAnsi="Times New Roman" w:cs="Times New Roman"/>
          <w:sz w:val="24"/>
          <w:szCs w:val="24"/>
          <w:lang w:val="fr-FR"/>
        </w:rPr>
        <w:t>ressources humaines de la chaîne d’approvisionnement</w:t>
      </w:r>
      <w:r w:rsidRPr="007970A5">
        <w:rPr>
          <w:rFonts w:ascii="Times New Roman" w:hAnsi="Times New Roman" w:cs="Times New Roman"/>
          <w:b/>
          <w:sz w:val="24"/>
          <w:szCs w:val="24"/>
          <w:lang w:val="fr-FR"/>
        </w:rPr>
        <w:t>.</w:t>
      </w:r>
    </w:p>
    <w:p w14:paraId="552F33B4" w14:textId="77777777" w:rsidR="00DC56FC" w:rsidRPr="007970A5" w:rsidRDefault="00DC56FC" w:rsidP="00DC56FC">
      <w:pPr>
        <w:spacing w:before="120" w:after="120" w:line="276" w:lineRule="auto"/>
        <w:jc w:val="both"/>
        <w:rPr>
          <w:rFonts w:ascii="Times New Roman" w:hAnsi="Times New Roman" w:cs="Times New Roman"/>
          <w:sz w:val="24"/>
          <w:szCs w:val="24"/>
          <w:lang w:val="fr-FR"/>
        </w:rPr>
      </w:pPr>
      <w:r w:rsidRPr="007970A5">
        <w:rPr>
          <w:rFonts w:ascii="Times New Roman" w:hAnsi="Times New Roman" w:cs="Times New Roman"/>
          <w:sz w:val="24"/>
          <w:szCs w:val="24"/>
          <w:lang w:val="fr-FR"/>
        </w:rPr>
        <w:t xml:space="preserve">Les principales interventions à mettre en œuvre pour améliorer </w:t>
      </w:r>
      <w:r w:rsidRPr="007970A5">
        <w:rPr>
          <w:rFonts w:ascii="Times New Roman" w:hAnsi="Times New Roman" w:cs="Times New Roman"/>
          <w:noProof/>
          <w:sz w:val="24"/>
          <w:szCs w:val="24"/>
          <w:lang w:val="fr-FR" w:eastAsia="fr-FR"/>
        </w:rPr>
        <w:t>l’accessibilité et de la disponibilité des produits de santé de qualité et de la SRMNEA s</w:t>
      </w:r>
      <w:r w:rsidRPr="007970A5">
        <w:rPr>
          <w:rFonts w:ascii="Times New Roman" w:hAnsi="Times New Roman" w:cs="Times New Roman"/>
          <w:sz w:val="24"/>
          <w:szCs w:val="24"/>
          <w:lang w:val="fr-FR"/>
        </w:rPr>
        <w:t>ont les suivantes :</w:t>
      </w:r>
    </w:p>
    <w:p w14:paraId="0EDF71AF" w14:textId="77777777" w:rsidR="00DC56FC" w:rsidRPr="007970A5" w:rsidRDefault="00DC56FC" w:rsidP="00DC56FC">
      <w:pPr>
        <w:pStyle w:val="Paragraphedeliste"/>
        <w:numPr>
          <w:ilvl w:val="0"/>
          <w:numId w:val="17"/>
        </w:numPr>
        <w:spacing w:before="120" w:after="120" w:line="276" w:lineRule="auto"/>
        <w:ind w:left="426" w:hanging="284"/>
        <w:jc w:val="both"/>
        <w:rPr>
          <w:rFonts w:ascii="Times New Roman" w:hAnsi="Times New Roman" w:cs="Times New Roman"/>
          <w:sz w:val="24"/>
          <w:szCs w:val="24"/>
          <w:lang w:val="fr-FR"/>
        </w:rPr>
      </w:pPr>
      <w:r w:rsidRPr="007970A5">
        <w:rPr>
          <w:rFonts w:ascii="Times New Roman" w:hAnsi="Times New Roman" w:cs="Times New Roman"/>
          <w:sz w:val="24"/>
          <w:szCs w:val="24"/>
          <w:lang w:val="fr-FR"/>
        </w:rPr>
        <w:t>Le renforcement de capacités des acteurs en charge de la quantification et du suivi des plans d’approvisionnement des produits de santé y compris les produis SRMNEA ;</w:t>
      </w:r>
    </w:p>
    <w:p w14:paraId="2D1912A1" w14:textId="77777777" w:rsidR="00DC56FC" w:rsidRDefault="00DC56FC" w:rsidP="00DC56FC">
      <w:pPr>
        <w:pStyle w:val="Paragraphedeliste"/>
        <w:numPr>
          <w:ilvl w:val="0"/>
          <w:numId w:val="17"/>
        </w:numPr>
        <w:spacing w:after="0" w:line="276" w:lineRule="auto"/>
        <w:ind w:left="426" w:hanging="284"/>
        <w:jc w:val="both"/>
        <w:rPr>
          <w:rFonts w:ascii="Times New Roman" w:hAnsi="Times New Roman" w:cs="Times New Roman"/>
          <w:sz w:val="24"/>
          <w:szCs w:val="24"/>
        </w:rPr>
      </w:pPr>
      <w:r w:rsidRPr="007970A5">
        <w:rPr>
          <w:rFonts w:ascii="Times New Roman" w:hAnsi="Times New Roman" w:cs="Times New Roman"/>
          <w:bCs/>
          <w:sz w:val="24"/>
          <w:szCs w:val="24"/>
          <w:lang w:val="fr-FR"/>
        </w:rPr>
        <w:t>Le déploiement d’un modèle de distribution des produits de santé au dernier kilomètre efficace et efficient</w:t>
      </w:r>
      <w:r w:rsidRPr="007D6F91" w:rsidDel="001F054A">
        <w:rPr>
          <w:rFonts w:ascii="Times New Roman" w:hAnsi="Times New Roman" w:cs="Times New Roman"/>
          <w:sz w:val="24"/>
          <w:szCs w:val="24"/>
        </w:rPr>
        <w:t xml:space="preserve"> </w:t>
      </w:r>
    </w:p>
    <w:p w14:paraId="35EC6BFA" w14:textId="77777777" w:rsidR="00DC56FC" w:rsidRPr="007970A5" w:rsidRDefault="00DC56FC" w:rsidP="00DC56FC">
      <w:pPr>
        <w:pStyle w:val="Paragraphedeliste"/>
        <w:numPr>
          <w:ilvl w:val="0"/>
          <w:numId w:val="17"/>
        </w:numPr>
        <w:spacing w:after="0" w:line="276" w:lineRule="auto"/>
        <w:ind w:left="426" w:hanging="284"/>
        <w:jc w:val="both"/>
        <w:rPr>
          <w:rFonts w:ascii="Times New Roman" w:hAnsi="Times New Roman" w:cs="Times New Roman"/>
          <w:sz w:val="24"/>
          <w:szCs w:val="24"/>
        </w:rPr>
      </w:pPr>
      <w:r w:rsidRPr="007970A5">
        <w:rPr>
          <w:rFonts w:ascii="Times New Roman" w:hAnsi="Times New Roman" w:cs="Times New Roman"/>
          <w:sz w:val="24"/>
          <w:szCs w:val="24"/>
        </w:rPr>
        <w:t>Le renforcement de capacités des RH à l'inspection régulière des établissements pharmaceutiques (industriel);</w:t>
      </w:r>
    </w:p>
    <w:p w14:paraId="49F72638" w14:textId="77777777" w:rsidR="00DC56FC" w:rsidRPr="002F4F77" w:rsidRDefault="00DC56FC" w:rsidP="00DC56FC">
      <w:pPr>
        <w:pStyle w:val="Paragraphedeliste"/>
        <w:numPr>
          <w:ilvl w:val="0"/>
          <w:numId w:val="17"/>
        </w:numPr>
        <w:spacing w:after="0" w:line="276" w:lineRule="auto"/>
        <w:ind w:left="426" w:hanging="284"/>
        <w:jc w:val="both"/>
        <w:rPr>
          <w:rFonts w:ascii="Times New Roman" w:hAnsi="Times New Roman" w:cs="Times New Roman"/>
          <w:sz w:val="24"/>
          <w:szCs w:val="24"/>
        </w:rPr>
      </w:pPr>
      <w:r w:rsidRPr="002F4F77">
        <w:rPr>
          <w:rFonts w:ascii="Times New Roman" w:hAnsi="Times New Roman" w:cs="Times New Roman"/>
          <w:sz w:val="24"/>
          <w:szCs w:val="24"/>
        </w:rPr>
        <w:t>La dématérialisation des procédures de d'homologation d'inspection d'enregistrement et de notifications</w:t>
      </w:r>
      <w:r>
        <w:rPr>
          <w:rFonts w:ascii="Times New Roman" w:hAnsi="Times New Roman" w:cs="Times New Roman"/>
          <w:sz w:val="24"/>
          <w:szCs w:val="24"/>
        </w:rPr>
        <w:t>;</w:t>
      </w:r>
    </w:p>
    <w:p w14:paraId="2982085D" w14:textId="77777777" w:rsidR="00DC56FC" w:rsidRDefault="00DC56FC" w:rsidP="00DC56FC">
      <w:pPr>
        <w:pStyle w:val="Paragraphedeliste"/>
        <w:numPr>
          <w:ilvl w:val="0"/>
          <w:numId w:val="17"/>
        </w:numPr>
        <w:ind w:left="426" w:hanging="284"/>
        <w:jc w:val="both"/>
        <w:rPr>
          <w:rFonts w:ascii="Times New Roman" w:hAnsi="Times New Roman" w:cs="Times New Roman"/>
          <w:sz w:val="24"/>
          <w:szCs w:val="24"/>
        </w:rPr>
      </w:pPr>
      <w:r>
        <w:rPr>
          <w:rFonts w:ascii="Times New Roman" w:hAnsi="Times New Roman" w:cs="Times New Roman"/>
          <w:sz w:val="24"/>
          <w:szCs w:val="24"/>
        </w:rPr>
        <w:t xml:space="preserve">La contribution </w:t>
      </w:r>
      <w:r w:rsidRPr="0098638F">
        <w:rPr>
          <w:rFonts w:ascii="Times New Roman" w:hAnsi="Times New Roman" w:cs="Times New Roman"/>
          <w:sz w:val="24"/>
          <w:szCs w:val="24"/>
        </w:rPr>
        <w:t>à l'approvisionnement des produits de santé y compris les produits SRMNIN</w:t>
      </w:r>
      <w:r>
        <w:rPr>
          <w:rFonts w:ascii="Times New Roman" w:hAnsi="Times New Roman" w:cs="Times New Roman"/>
          <w:sz w:val="24"/>
          <w:szCs w:val="24"/>
        </w:rPr>
        <w:t>;</w:t>
      </w:r>
    </w:p>
    <w:p w14:paraId="7C879F57" w14:textId="77777777" w:rsidR="00DC56FC" w:rsidRDefault="00DC56FC" w:rsidP="00DC56FC">
      <w:pPr>
        <w:pStyle w:val="Paragraphedeliste"/>
        <w:numPr>
          <w:ilvl w:val="0"/>
          <w:numId w:val="17"/>
        </w:numPr>
        <w:ind w:left="426" w:hanging="284"/>
        <w:jc w:val="both"/>
        <w:rPr>
          <w:rFonts w:ascii="Times New Roman" w:hAnsi="Times New Roman" w:cs="Times New Roman"/>
          <w:sz w:val="24"/>
          <w:szCs w:val="24"/>
        </w:rPr>
      </w:pPr>
      <w:r>
        <w:rPr>
          <w:rFonts w:ascii="Times New Roman" w:hAnsi="Times New Roman" w:cs="Times New Roman"/>
          <w:sz w:val="24"/>
          <w:szCs w:val="24"/>
        </w:rPr>
        <w:t xml:space="preserve">La mise en place de la veille stratégique sur la disponibilité des </w:t>
      </w:r>
      <w:r w:rsidRPr="00B4024A">
        <w:rPr>
          <w:rFonts w:ascii="Times New Roman" w:hAnsi="Times New Roman" w:cs="Times New Roman"/>
          <w:sz w:val="24"/>
          <w:szCs w:val="24"/>
        </w:rPr>
        <w:t>médicaments</w:t>
      </w:r>
      <w:r>
        <w:rPr>
          <w:rFonts w:ascii="Times New Roman" w:hAnsi="Times New Roman" w:cs="Times New Roman"/>
          <w:sz w:val="24"/>
          <w:szCs w:val="24"/>
        </w:rPr>
        <w:t xml:space="preserve"> (observatoire du médicament);</w:t>
      </w:r>
    </w:p>
    <w:p w14:paraId="79F8B859" w14:textId="77777777" w:rsidR="00DC56FC" w:rsidRPr="007970A5" w:rsidRDefault="00DC56FC" w:rsidP="00DC56FC">
      <w:pPr>
        <w:pStyle w:val="Paragraphedeliste"/>
        <w:numPr>
          <w:ilvl w:val="0"/>
          <w:numId w:val="17"/>
        </w:numPr>
        <w:ind w:left="426" w:hanging="284"/>
        <w:jc w:val="both"/>
        <w:rPr>
          <w:rFonts w:ascii="Times New Roman" w:hAnsi="Times New Roman" w:cs="Times New Roman"/>
          <w:sz w:val="24"/>
          <w:szCs w:val="24"/>
        </w:rPr>
      </w:pPr>
      <w:r w:rsidRPr="007970A5">
        <w:rPr>
          <w:rFonts w:ascii="Times New Roman" w:hAnsi="Times New Roman" w:cs="Times New Roman"/>
          <w:sz w:val="24"/>
          <w:szCs w:val="24"/>
        </w:rPr>
        <w:t xml:space="preserve">Le renforcement des performances des RH de la chaine d'approvisionnement; </w:t>
      </w:r>
    </w:p>
    <w:p w14:paraId="55C53653" w14:textId="77777777" w:rsidR="00DC56FC" w:rsidRPr="007970A5" w:rsidRDefault="00DC56FC" w:rsidP="00DC56FC">
      <w:pPr>
        <w:pStyle w:val="Paragraphedeliste"/>
        <w:numPr>
          <w:ilvl w:val="0"/>
          <w:numId w:val="17"/>
        </w:numPr>
        <w:spacing w:after="0" w:line="276" w:lineRule="auto"/>
        <w:ind w:left="426" w:hanging="284"/>
        <w:jc w:val="both"/>
        <w:rPr>
          <w:rFonts w:ascii="Times New Roman" w:hAnsi="Times New Roman" w:cs="Times New Roman"/>
          <w:sz w:val="24"/>
          <w:szCs w:val="24"/>
        </w:rPr>
      </w:pPr>
      <w:r w:rsidRPr="007970A5">
        <w:rPr>
          <w:rFonts w:ascii="Times New Roman" w:hAnsi="Times New Roman" w:cs="Times New Roman"/>
          <w:sz w:val="24"/>
          <w:szCs w:val="24"/>
        </w:rPr>
        <w:t>Le renforcement des capacités de la NPSP pour l’achat des produits de santé au niveau national;</w:t>
      </w:r>
    </w:p>
    <w:p w14:paraId="09C20212" w14:textId="77777777" w:rsidR="00DC56FC" w:rsidRPr="007970A5" w:rsidRDefault="00DC56FC" w:rsidP="00DC56FC">
      <w:pPr>
        <w:pStyle w:val="Paragraphedeliste"/>
        <w:numPr>
          <w:ilvl w:val="0"/>
          <w:numId w:val="17"/>
        </w:numPr>
        <w:ind w:left="426" w:hanging="284"/>
        <w:jc w:val="both"/>
        <w:rPr>
          <w:rFonts w:ascii="Times New Roman" w:hAnsi="Times New Roman" w:cs="Times New Roman"/>
          <w:sz w:val="24"/>
          <w:szCs w:val="24"/>
        </w:rPr>
      </w:pPr>
      <w:r w:rsidRPr="007970A5">
        <w:rPr>
          <w:rFonts w:ascii="Times New Roman" w:hAnsi="Times New Roman" w:cs="Times New Roman"/>
          <w:sz w:val="24"/>
          <w:szCs w:val="24"/>
        </w:rPr>
        <w:t>Le renforcement du système d'informatisation du LNSP de contrôle des médicaments;</w:t>
      </w:r>
    </w:p>
    <w:p w14:paraId="72D61FF0" w14:textId="77777777" w:rsidR="00DC56FC" w:rsidRPr="007970A5" w:rsidRDefault="00DC56FC" w:rsidP="00DC56FC">
      <w:pPr>
        <w:pStyle w:val="Paragraphedeliste"/>
        <w:numPr>
          <w:ilvl w:val="0"/>
          <w:numId w:val="17"/>
        </w:numPr>
        <w:ind w:left="426" w:hanging="284"/>
        <w:jc w:val="both"/>
        <w:rPr>
          <w:rFonts w:ascii="Times New Roman" w:hAnsi="Times New Roman" w:cs="Times New Roman"/>
          <w:sz w:val="24"/>
          <w:szCs w:val="24"/>
        </w:rPr>
      </w:pPr>
      <w:r w:rsidRPr="007970A5">
        <w:rPr>
          <w:rFonts w:ascii="Times New Roman" w:hAnsi="Times New Roman" w:cs="Times New Roman"/>
          <w:sz w:val="24"/>
          <w:szCs w:val="24"/>
        </w:rPr>
        <w:t>L’accroissement de la disponibilité des produits sanguins;</w:t>
      </w:r>
    </w:p>
    <w:p w14:paraId="1B942B42" w14:textId="77777777" w:rsidR="00DC56FC" w:rsidRPr="007970A5" w:rsidRDefault="00DC56FC" w:rsidP="00DC56FC">
      <w:pPr>
        <w:pStyle w:val="Paragraphedeliste"/>
        <w:numPr>
          <w:ilvl w:val="0"/>
          <w:numId w:val="17"/>
        </w:numPr>
        <w:spacing w:before="120" w:after="120" w:line="276" w:lineRule="auto"/>
        <w:ind w:left="426" w:hanging="284"/>
        <w:jc w:val="both"/>
        <w:rPr>
          <w:rFonts w:ascii="Times New Roman" w:hAnsi="Times New Roman" w:cs="Times New Roman"/>
          <w:sz w:val="24"/>
          <w:szCs w:val="24"/>
          <w:lang w:val="fr-FR"/>
        </w:rPr>
      </w:pPr>
      <w:r w:rsidRPr="007970A5">
        <w:rPr>
          <w:rFonts w:ascii="Times New Roman" w:hAnsi="Times New Roman" w:cs="Times New Roman"/>
          <w:sz w:val="24"/>
          <w:szCs w:val="24"/>
          <w:lang w:val="fr-FR"/>
        </w:rPr>
        <w:t>L’achat complémentaire d'un portefeuille de produits optimisé y compris les intrants de la banque de sang et de la nutrition en collaboration avec la CNCAM ;</w:t>
      </w:r>
    </w:p>
    <w:p w14:paraId="1E4C3A33" w14:textId="77777777" w:rsidR="00DC56FC" w:rsidRPr="007970A5" w:rsidRDefault="00DC56FC" w:rsidP="00DC56FC">
      <w:pPr>
        <w:pStyle w:val="Paragraphedeliste"/>
        <w:numPr>
          <w:ilvl w:val="0"/>
          <w:numId w:val="17"/>
        </w:numPr>
        <w:ind w:left="426" w:hanging="284"/>
        <w:jc w:val="both"/>
        <w:rPr>
          <w:rFonts w:ascii="Times New Roman" w:hAnsi="Times New Roman" w:cs="Times New Roman"/>
          <w:sz w:val="24"/>
          <w:szCs w:val="24"/>
        </w:rPr>
      </w:pPr>
      <w:r w:rsidRPr="007970A5">
        <w:rPr>
          <w:rFonts w:ascii="Times New Roman" w:hAnsi="Times New Roman" w:cs="Times New Roman"/>
          <w:sz w:val="24"/>
          <w:szCs w:val="24"/>
        </w:rPr>
        <w:t>La mise aux normes des services de pharmacie et de laboratoire des hôpitaux de référence publics;</w:t>
      </w:r>
    </w:p>
    <w:p w14:paraId="281B5DB5" w14:textId="353BE261" w:rsidR="004112AB" w:rsidRDefault="00DC56FC" w:rsidP="004112AB">
      <w:pPr>
        <w:pStyle w:val="Paragraphedeliste"/>
        <w:numPr>
          <w:ilvl w:val="0"/>
          <w:numId w:val="17"/>
        </w:numPr>
        <w:ind w:left="426" w:hanging="284"/>
        <w:jc w:val="both"/>
        <w:rPr>
          <w:rFonts w:ascii="Times New Roman" w:hAnsi="Times New Roman" w:cs="Times New Roman"/>
          <w:sz w:val="24"/>
          <w:szCs w:val="24"/>
        </w:rPr>
      </w:pPr>
      <w:r w:rsidRPr="007970A5">
        <w:rPr>
          <w:rFonts w:ascii="Times New Roman" w:hAnsi="Times New Roman" w:cs="Times New Roman"/>
          <w:sz w:val="24"/>
          <w:szCs w:val="24"/>
        </w:rPr>
        <w:t>La coordination de la mise en œuvre de l'initiative des bonnes pratiques de fabrication (BPF) en Côte d'Ivoire.</w:t>
      </w:r>
    </w:p>
    <w:p w14:paraId="55686852" w14:textId="77777777" w:rsidR="00DC56FC" w:rsidRPr="00DC56FC" w:rsidRDefault="00DC56FC" w:rsidP="00DC56FC">
      <w:pPr>
        <w:pStyle w:val="Paragraphedeliste"/>
        <w:ind w:left="426"/>
        <w:jc w:val="both"/>
        <w:rPr>
          <w:rFonts w:ascii="Times New Roman" w:hAnsi="Times New Roman" w:cs="Times New Roman"/>
          <w:sz w:val="24"/>
          <w:szCs w:val="24"/>
        </w:rPr>
      </w:pPr>
    </w:p>
    <w:p w14:paraId="7694616D" w14:textId="40E3AD1E" w:rsidR="006D5283" w:rsidRPr="002F311A" w:rsidRDefault="008A0F97" w:rsidP="002F311A">
      <w:pPr>
        <w:pStyle w:val="Titre2"/>
        <w:spacing w:before="120" w:after="120" w:line="276" w:lineRule="auto"/>
        <w:rPr>
          <w:rFonts w:ascii="Times New Roman" w:hAnsi="Times New Roman" w:cs="Times New Roman"/>
          <w:b/>
          <w:color w:val="0070C0"/>
          <w:sz w:val="24"/>
          <w:szCs w:val="24"/>
        </w:rPr>
      </w:pPr>
      <w:bookmarkStart w:id="131" w:name="_Toc1573840"/>
      <w:r w:rsidRPr="00700523">
        <w:rPr>
          <w:rFonts w:ascii="Times New Roman" w:hAnsi="Times New Roman" w:cs="Times New Roman"/>
          <w:b/>
          <w:color w:val="0070C0"/>
          <w:sz w:val="24"/>
          <w:szCs w:val="24"/>
        </w:rPr>
        <w:t xml:space="preserve">Priorité 4 : Amélioration </w:t>
      </w:r>
      <w:r w:rsidR="00DD0E44">
        <w:rPr>
          <w:rFonts w:ascii="Times New Roman" w:hAnsi="Times New Roman" w:cs="Times New Roman"/>
          <w:b/>
          <w:color w:val="0070C0"/>
          <w:sz w:val="24"/>
          <w:szCs w:val="24"/>
        </w:rPr>
        <w:t xml:space="preserve">de </w:t>
      </w:r>
      <w:r w:rsidRPr="00700523">
        <w:rPr>
          <w:rFonts w:ascii="Times New Roman" w:hAnsi="Times New Roman" w:cs="Times New Roman"/>
          <w:b/>
          <w:color w:val="0070C0"/>
          <w:sz w:val="24"/>
          <w:szCs w:val="24"/>
        </w:rPr>
        <w:t>la disponibilité des ressources humaines qualifiées</w:t>
      </w:r>
      <w:bookmarkEnd w:id="131"/>
    </w:p>
    <w:p w14:paraId="356A926E" w14:textId="77777777" w:rsidR="006D5283" w:rsidRPr="00333A62" w:rsidRDefault="006D5283"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Les objectifs nationaux à l’horizon 2022, visent à garantir une couverture équitable en RHS de qualité afin d’atteindre une densité de personnel de santé/population de 2,3 pour 1000 habitants d’ici 2022. </w:t>
      </w:r>
    </w:p>
    <w:p w14:paraId="54804BDE" w14:textId="77777777" w:rsidR="006D5283" w:rsidRPr="00333A62" w:rsidRDefault="006D5283"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Selon les projections, un besoin de création d’environ 23 000 emplois entre 2018 et 2022 s’impose afin de répondre aux besoins de santé des populations. </w:t>
      </w:r>
    </w:p>
    <w:p w14:paraId="58EB6F8B" w14:textId="77777777" w:rsidR="006D5283" w:rsidRPr="00333A62" w:rsidRDefault="006D5283"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 xml:space="preserve">La réponse du dossier d’investissement consistera donc à définir et à soutenir la mise en œuvre de stratégies novatrices et durables pour l’atteinte des objectifs. </w:t>
      </w:r>
    </w:p>
    <w:p w14:paraId="78AE37E8" w14:textId="77777777" w:rsidR="006D5283" w:rsidRPr="00333A62" w:rsidRDefault="006D5283" w:rsidP="00333A62">
      <w:pPr>
        <w:spacing w:before="120" w:after="120" w:line="276" w:lineRule="auto"/>
        <w:jc w:val="both"/>
        <w:rPr>
          <w:rFonts w:ascii="Times New Roman" w:hAnsi="Times New Roman" w:cs="Times New Roman"/>
          <w:sz w:val="24"/>
          <w:szCs w:val="24"/>
          <w:lang w:val="fr-FR"/>
        </w:rPr>
      </w:pPr>
      <w:r w:rsidRPr="00333A62">
        <w:rPr>
          <w:rFonts w:ascii="Times New Roman" w:hAnsi="Times New Roman" w:cs="Times New Roman"/>
          <w:sz w:val="24"/>
          <w:szCs w:val="24"/>
          <w:lang w:val="fr-FR"/>
        </w:rPr>
        <w:t>La réponse efficace à la gestion des ressources humaines est cruciale pour la performance du système de santé  et devra suivre une approche globale et intégrée dans sa mise en œuvre. Pour se faire, les principales actions seront articulées autour de :</w:t>
      </w:r>
    </w:p>
    <w:p w14:paraId="78272A1F" w14:textId="77777777" w:rsidR="006D5283" w:rsidRPr="00333A62" w:rsidRDefault="006D5283" w:rsidP="00D418FF">
      <w:pPr>
        <w:pStyle w:val="Paragraphedeliste"/>
        <w:numPr>
          <w:ilvl w:val="0"/>
          <w:numId w:val="8"/>
        </w:numPr>
        <w:spacing w:before="120" w:after="120" w:line="276" w:lineRule="auto"/>
        <w:ind w:left="284" w:hanging="284"/>
        <w:jc w:val="both"/>
        <w:rPr>
          <w:rFonts w:ascii="Times New Roman" w:hAnsi="Times New Roman" w:cs="Times New Roman"/>
          <w:bCs/>
          <w:sz w:val="24"/>
          <w:szCs w:val="24"/>
          <w:lang w:val="fr-FR"/>
        </w:rPr>
      </w:pPr>
      <w:r w:rsidRPr="00333A62">
        <w:rPr>
          <w:rFonts w:ascii="Times New Roman" w:hAnsi="Times New Roman" w:cs="Times New Roman"/>
          <w:b/>
          <w:sz w:val="24"/>
          <w:szCs w:val="24"/>
          <w:lang w:val="fr-FR"/>
        </w:rPr>
        <w:lastRenderedPageBreak/>
        <w:t xml:space="preserve">l’accroissement de la production des ressources humaines </w:t>
      </w:r>
      <w:r w:rsidRPr="00333A62">
        <w:rPr>
          <w:rFonts w:ascii="Times New Roman" w:hAnsi="Times New Roman" w:cs="Times New Roman"/>
          <w:sz w:val="24"/>
          <w:szCs w:val="24"/>
          <w:lang w:val="fr-FR"/>
        </w:rPr>
        <w:t xml:space="preserve">à travers le renforcement </w:t>
      </w:r>
      <w:r w:rsidRPr="00333A62">
        <w:rPr>
          <w:rFonts w:ascii="Times New Roman" w:hAnsi="Times New Roman" w:cs="Times New Roman"/>
          <w:bCs/>
          <w:sz w:val="24"/>
          <w:szCs w:val="24"/>
          <w:lang w:val="fr-FR"/>
        </w:rPr>
        <w:t>des capacités de : (i) production des institutions de formation des RHS et (ii) le développement des outils de formation des RHS adaptés aux exigences internationales et aux besoins des populations ;</w:t>
      </w:r>
    </w:p>
    <w:p w14:paraId="25ECF039" w14:textId="77777777" w:rsidR="006D5283" w:rsidRPr="00333A62" w:rsidRDefault="006D5283" w:rsidP="00D418FF">
      <w:pPr>
        <w:pStyle w:val="Paragraphedeliste"/>
        <w:numPr>
          <w:ilvl w:val="0"/>
          <w:numId w:val="8"/>
        </w:numPr>
        <w:spacing w:before="120" w:after="120" w:line="276" w:lineRule="auto"/>
        <w:ind w:left="284" w:hanging="284"/>
        <w:jc w:val="both"/>
        <w:rPr>
          <w:rFonts w:ascii="Times New Roman" w:hAnsi="Times New Roman" w:cs="Times New Roman"/>
          <w:bCs/>
          <w:sz w:val="24"/>
          <w:szCs w:val="24"/>
          <w:lang w:val="fr-FR"/>
        </w:rPr>
      </w:pPr>
      <w:r w:rsidRPr="00333A62">
        <w:rPr>
          <w:rFonts w:ascii="Times New Roman" w:hAnsi="Times New Roman" w:cs="Times New Roman"/>
          <w:b/>
          <w:sz w:val="24"/>
          <w:szCs w:val="24"/>
          <w:lang w:val="fr-FR"/>
        </w:rPr>
        <w:t xml:space="preserve">l’utilisation rationnelle des ressources humaines </w:t>
      </w:r>
      <w:r w:rsidRPr="00333A62">
        <w:rPr>
          <w:rFonts w:ascii="Times New Roman" w:hAnsi="Times New Roman" w:cs="Times New Roman"/>
          <w:sz w:val="24"/>
          <w:szCs w:val="24"/>
          <w:lang w:val="fr-FR"/>
        </w:rPr>
        <w:t xml:space="preserve">par la mise en place </w:t>
      </w:r>
      <w:r w:rsidRPr="00333A62">
        <w:rPr>
          <w:rFonts w:ascii="Times New Roman" w:hAnsi="Times New Roman" w:cs="Times New Roman"/>
          <w:bCs/>
          <w:sz w:val="24"/>
          <w:szCs w:val="24"/>
          <w:lang w:val="fr-FR"/>
        </w:rPr>
        <w:t>d’un système de gestion prévisionnel des métiers et des compétences et la répartition équitable des RHS sur l'ensemble du territoire national ;</w:t>
      </w:r>
    </w:p>
    <w:p w14:paraId="609ECB8F" w14:textId="77777777" w:rsidR="006D5283" w:rsidRPr="00333A62" w:rsidRDefault="006D5283" w:rsidP="00D418FF">
      <w:pPr>
        <w:pStyle w:val="Paragraphedeliste"/>
        <w:numPr>
          <w:ilvl w:val="0"/>
          <w:numId w:val="8"/>
        </w:numPr>
        <w:spacing w:before="120" w:after="120" w:line="276" w:lineRule="auto"/>
        <w:ind w:left="284" w:hanging="284"/>
        <w:jc w:val="both"/>
        <w:rPr>
          <w:rFonts w:ascii="Times New Roman" w:hAnsi="Times New Roman" w:cs="Times New Roman"/>
          <w:bCs/>
          <w:sz w:val="24"/>
          <w:szCs w:val="24"/>
          <w:lang w:val="fr-FR"/>
        </w:rPr>
      </w:pPr>
      <w:r w:rsidRPr="00333A62">
        <w:rPr>
          <w:rFonts w:ascii="Times New Roman" w:hAnsi="Times New Roman" w:cs="Times New Roman"/>
          <w:bCs/>
          <w:sz w:val="24"/>
          <w:szCs w:val="24"/>
          <w:lang w:val="fr-FR"/>
        </w:rPr>
        <w:t xml:space="preserve">la détermination de mécanismes soutenables de </w:t>
      </w:r>
      <w:r w:rsidRPr="00333A62">
        <w:rPr>
          <w:rFonts w:ascii="Times New Roman" w:hAnsi="Times New Roman" w:cs="Times New Roman"/>
          <w:b/>
          <w:sz w:val="24"/>
          <w:szCs w:val="24"/>
          <w:lang w:val="fr-FR"/>
        </w:rPr>
        <w:t xml:space="preserve">fidélisation des personnels de santé à travers </w:t>
      </w:r>
      <w:r w:rsidRPr="00333A62">
        <w:rPr>
          <w:rFonts w:ascii="Times New Roman" w:hAnsi="Times New Roman" w:cs="Times New Roman"/>
          <w:sz w:val="24"/>
          <w:szCs w:val="24"/>
          <w:lang w:val="fr-FR"/>
        </w:rPr>
        <w:t>le renforcement </w:t>
      </w:r>
      <w:r w:rsidRPr="00333A62">
        <w:rPr>
          <w:rFonts w:ascii="Times New Roman" w:hAnsi="Times New Roman" w:cs="Times New Roman"/>
          <w:bCs/>
          <w:sz w:val="24"/>
          <w:szCs w:val="24"/>
          <w:lang w:val="fr-FR"/>
        </w:rPr>
        <w:t xml:space="preserve">de : (i) mécanismes de motivation et d'incitation, </w:t>
      </w:r>
      <w:r w:rsidRPr="00333A62">
        <w:rPr>
          <w:rFonts w:ascii="Times New Roman" w:hAnsi="Times New Roman" w:cs="Times New Roman"/>
          <w:sz w:val="24"/>
          <w:szCs w:val="24"/>
          <w:lang w:val="fr-FR"/>
        </w:rPr>
        <w:t xml:space="preserve">et (ii) de promotion de </w:t>
      </w:r>
      <w:r w:rsidRPr="00333A62">
        <w:rPr>
          <w:rFonts w:ascii="Times New Roman" w:hAnsi="Times New Roman" w:cs="Times New Roman"/>
          <w:bCs/>
          <w:sz w:val="24"/>
          <w:szCs w:val="24"/>
          <w:lang w:val="fr-FR"/>
        </w:rPr>
        <w:t>la santé-sécurité au travail des RHS.</w:t>
      </w:r>
    </w:p>
    <w:p w14:paraId="230A14E0" w14:textId="77777777" w:rsidR="006D5283" w:rsidRDefault="006D5283" w:rsidP="00333A62">
      <w:pPr>
        <w:spacing w:before="120" w:after="120" w:line="276" w:lineRule="auto"/>
        <w:jc w:val="both"/>
        <w:rPr>
          <w:rFonts w:ascii="Times New Roman" w:hAnsi="Times New Roman" w:cs="Times New Roman"/>
          <w:bCs/>
          <w:sz w:val="24"/>
          <w:szCs w:val="24"/>
          <w:lang w:val="fr-FR"/>
        </w:rPr>
      </w:pPr>
      <w:r w:rsidRPr="00333A62">
        <w:rPr>
          <w:rFonts w:ascii="Times New Roman" w:hAnsi="Times New Roman" w:cs="Times New Roman"/>
          <w:bCs/>
          <w:sz w:val="24"/>
          <w:szCs w:val="24"/>
          <w:lang w:val="fr-FR"/>
        </w:rPr>
        <w:t xml:space="preserve">Le soutien à la mise en place d’un système d’information dédié à la gestion des ressources humaines est un impératif pour la production de données factuelles utiles pour la prise de décisions. </w:t>
      </w:r>
    </w:p>
    <w:p w14:paraId="622CEAFA" w14:textId="77777777" w:rsidR="008A0F97" w:rsidRPr="00333A62" w:rsidRDefault="008A0F97" w:rsidP="00333A62">
      <w:pPr>
        <w:spacing w:before="120" w:after="120" w:line="276" w:lineRule="auto"/>
        <w:jc w:val="both"/>
        <w:rPr>
          <w:rFonts w:ascii="Times New Roman" w:hAnsi="Times New Roman" w:cs="Times New Roman"/>
          <w:sz w:val="24"/>
          <w:szCs w:val="24"/>
          <w:lang w:val="fr-FR"/>
        </w:rPr>
      </w:pPr>
    </w:p>
    <w:p w14:paraId="703F652A" w14:textId="2D597CAF" w:rsidR="008A0F97" w:rsidRPr="00530F02" w:rsidRDefault="008A0F97" w:rsidP="00333A62">
      <w:pPr>
        <w:pStyle w:val="Titre2"/>
        <w:spacing w:before="120" w:after="120" w:line="276" w:lineRule="auto"/>
        <w:rPr>
          <w:rFonts w:ascii="Times New Roman" w:hAnsi="Times New Roman" w:cs="Times New Roman"/>
          <w:b/>
          <w:color w:val="0070C0"/>
          <w:sz w:val="24"/>
          <w:szCs w:val="24"/>
        </w:rPr>
      </w:pPr>
      <w:bookmarkStart w:id="132" w:name="_Toc1573841"/>
      <w:r w:rsidRPr="00530F02">
        <w:rPr>
          <w:rFonts w:ascii="Times New Roman" w:hAnsi="Times New Roman" w:cs="Times New Roman"/>
          <w:b/>
          <w:color w:val="0070C0"/>
          <w:sz w:val="24"/>
          <w:szCs w:val="24"/>
        </w:rPr>
        <w:t>Priorité 5 : Renforcement du système d’information sanitaire</w:t>
      </w:r>
      <w:bookmarkEnd w:id="132"/>
    </w:p>
    <w:p w14:paraId="336385F1" w14:textId="77777777" w:rsidR="00530F02" w:rsidRDefault="00530F02" w:rsidP="00530F02">
      <w:pPr>
        <w:spacing w:after="120" w:line="276" w:lineRule="auto"/>
        <w:jc w:val="both"/>
        <w:rPr>
          <w:rFonts w:ascii="Times New Roman" w:hAnsi="Times New Roman" w:cs="Times New Roman"/>
          <w:sz w:val="24"/>
          <w:szCs w:val="24"/>
          <w:lang w:val="fr-FR"/>
        </w:rPr>
      </w:pPr>
      <w:r w:rsidRPr="004157BB">
        <w:rPr>
          <w:rFonts w:ascii="Times New Roman" w:hAnsi="Times New Roman" w:cs="Times New Roman"/>
          <w:sz w:val="24"/>
          <w:szCs w:val="24"/>
          <w:lang w:val="fr-FR"/>
        </w:rPr>
        <w:t>Les systèmes d'information sanitaire performants produisent des données de qualité permettant aux gestionnaires de programmes de santé de prendre des décisions en vue d’améliorer la performance des systèmes de santé.</w:t>
      </w:r>
    </w:p>
    <w:p w14:paraId="0C1645D9" w14:textId="77777777" w:rsidR="00530F02" w:rsidRDefault="00530F02" w:rsidP="00530F02">
      <w:pPr>
        <w:spacing w:before="120" w:after="120" w:line="276"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La Côte d’Ivoire a mis en place, depuis 1995, un système d’information sanitaire, qui est la principale source de production de données sanitaires pour la prise de décisions à tous les niveaux de la pyramide sanitaire. </w:t>
      </w:r>
    </w:p>
    <w:p w14:paraId="4D823A66" w14:textId="77777777" w:rsidR="00530F02" w:rsidRDefault="00530F02" w:rsidP="00530F02">
      <w:pPr>
        <w:spacing w:before="120" w:after="120" w:line="276" w:lineRule="auto"/>
        <w:jc w:val="both"/>
        <w:rPr>
          <w:rFonts w:ascii="Times New Roman" w:hAnsi="Times New Roman" w:cs="Times New Roman"/>
          <w:sz w:val="24"/>
          <w:szCs w:val="24"/>
          <w:lang w:val="fr-FR"/>
        </w:rPr>
      </w:pPr>
      <w:r>
        <w:rPr>
          <w:rFonts w:ascii="Times New Roman" w:hAnsi="Times New Roman" w:cs="Times New Roman"/>
          <w:sz w:val="24"/>
          <w:szCs w:val="24"/>
          <w:lang w:val="fr-FR"/>
        </w:rPr>
        <w:t>Les différentes évaluations du SNIS de la Côte d’Ivoire, ont révélé des insuffisances dans la coordination des activités du SNIS, la non intégration de toutes les sources de données, l’exactitude moyenne des données (</w:t>
      </w:r>
      <w:r w:rsidRPr="00EF1D83">
        <w:rPr>
          <w:rFonts w:ascii="Times New Roman" w:hAnsi="Times New Roman" w:cs="Times New Roman"/>
          <w:sz w:val="24"/>
          <w:szCs w:val="24"/>
          <w:lang w:val="fr-FR"/>
        </w:rPr>
        <w:t>60%</w:t>
      </w:r>
      <w:r>
        <w:rPr>
          <w:rFonts w:ascii="Times New Roman" w:hAnsi="Times New Roman" w:cs="Times New Roman"/>
          <w:sz w:val="24"/>
          <w:szCs w:val="24"/>
          <w:lang w:val="fr-FR"/>
        </w:rPr>
        <w:t xml:space="preserve"> au niveau des établissements, PRISM 2012), la faible utilisation des données produites et l’insuffisance de retro information à tous les niveaux de la pyramide sanitaire.</w:t>
      </w:r>
    </w:p>
    <w:p w14:paraId="1807271C" w14:textId="77777777" w:rsidR="00530F02" w:rsidRDefault="00530F02" w:rsidP="00530F02">
      <w:pPr>
        <w:spacing w:before="120" w:after="120" w:line="276" w:lineRule="auto"/>
        <w:jc w:val="both"/>
        <w:rPr>
          <w:rFonts w:ascii="Times New Roman" w:hAnsi="Times New Roman" w:cs="Times New Roman"/>
          <w:sz w:val="24"/>
          <w:szCs w:val="24"/>
          <w:lang w:val="fr-FR"/>
        </w:rPr>
      </w:pPr>
      <w:r w:rsidRPr="00EF1D83">
        <w:rPr>
          <w:rFonts w:ascii="Times New Roman" w:hAnsi="Times New Roman" w:cs="Times New Roman"/>
          <w:sz w:val="24"/>
          <w:szCs w:val="24"/>
          <w:lang w:val="fr-FR"/>
        </w:rPr>
        <w:t xml:space="preserve">Pour répondre </w:t>
      </w:r>
      <w:r>
        <w:rPr>
          <w:rFonts w:ascii="Times New Roman" w:hAnsi="Times New Roman" w:cs="Times New Roman"/>
          <w:sz w:val="24"/>
          <w:szCs w:val="24"/>
          <w:lang w:val="fr-FR"/>
        </w:rPr>
        <w:t xml:space="preserve">à ces insuffisances et relever les </w:t>
      </w:r>
      <w:r w:rsidRPr="00EF1D83">
        <w:rPr>
          <w:rFonts w:ascii="Times New Roman" w:hAnsi="Times New Roman" w:cs="Times New Roman"/>
          <w:sz w:val="24"/>
          <w:szCs w:val="24"/>
          <w:lang w:val="fr-FR"/>
        </w:rPr>
        <w:t>défis croissants de disponibilité à temps des informations sanitaires</w:t>
      </w:r>
      <w:r>
        <w:rPr>
          <w:rFonts w:ascii="Times New Roman" w:hAnsi="Times New Roman" w:cs="Times New Roman"/>
          <w:sz w:val="24"/>
          <w:szCs w:val="24"/>
          <w:lang w:val="fr-FR"/>
        </w:rPr>
        <w:t xml:space="preserve"> pour la prise de décisions</w:t>
      </w:r>
      <w:r w:rsidRPr="00EF1D83">
        <w:rPr>
          <w:rFonts w:ascii="Times New Roman" w:hAnsi="Times New Roman" w:cs="Times New Roman"/>
          <w:sz w:val="24"/>
          <w:szCs w:val="24"/>
          <w:lang w:val="fr-FR"/>
        </w:rPr>
        <w:t>, le Ministère de la Santé</w:t>
      </w:r>
      <w:r>
        <w:rPr>
          <w:rFonts w:ascii="Times New Roman" w:hAnsi="Times New Roman" w:cs="Times New Roman"/>
          <w:sz w:val="24"/>
          <w:szCs w:val="24"/>
          <w:lang w:val="fr-FR"/>
        </w:rPr>
        <w:t xml:space="preserve"> et de l’Hygiène Publique,</w:t>
      </w:r>
      <w:r w:rsidRPr="00EF1D83">
        <w:rPr>
          <w:rFonts w:ascii="Times New Roman" w:hAnsi="Times New Roman" w:cs="Times New Roman"/>
          <w:sz w:val="24"/>
          <w:szCs w:val="24"/>
          <w:lang w:val="fr-FR"/>
        </w:rPr>
        <w:t xml:space="preserve"> à travers la Direction de l’Informatique et l’Information sanitaire (DIIS)</w:t>
      </w:r>
      <w:r>
        <w:rPr>
          <w:rFonts w:ascii="Times New Roman" w:hAnsi="Times New Roman" w:cs="Times New Roman"/>
          <w:sz w:val="24"/>
          <w:szCs w:val="24"/>
          <w:lang w:val="fr-FR"/>
        </w:rPr>
        <w:t>,</w:t>
      </w:r>
      <w:r w:rsidRPr="00EF1D83">
        <w:rPr>
          <w:rFonts w:ascii="Times New Roman" w:hAnsi="Times New Roman" w:cs="Times New Roman"/>
          <w:sz w:val="24"/>
          <w:szCs w:val="24"/>
          <w:lang w:val="fr-FR"/>
        </w:rPr>
        <w:t xml:space="preserve"> s’est engagé </w:t>
      </w:r>
      <w:r>
        <w:rPr>
          <w:rFonts w:ascii="Times New Roman" w:hAnsi="Times New Roman" w:cs="Times New Roman"/>
          <w:sz w:val="24"/>
          <w:szCs w:val="24"/>
          <w:lang w:val="fr-FR"/>
        </w:rPr>
        <w:t xml:space="preserve"> à travers l’élaboration et la mise </w:t>
      </w:r>
      <w:r w:rsidRPr="00EF1D83">
        <w:rPr>
          <w:rFonts w:ascii="Times New Roman" w:hAnsi="Times New Roman" w:cs="Times New Roman"/>
          <w:sz w:val="24"/>
          <w:szCs w:val="24"/>
          <w:lang w:val="fr-FR"/>
        </w:rPr>
        <w:t xml:space="preserve">en œuvre </w:t>
      </w:r>
      <w:r>
        <w:rPr>
          <w:rFonts w:ascii="Times New Roman" w:hAnsi="Times New Roman" w:cs="Times New Roman"/>
          <w:sz w:val="24"/>
          <w:szCs w:val="24"/>
          <w:lang w:val="fr-FR"/>
        </w:rPr>
        <w:t>d’</w:t>
      </w:r>
      <w:r w:rsidRPr="00EF1D83">
        <w:rPr>
          <w:rFonts w:ascii="Times New Roman" w:hAnsi="Times New Roman" w:cs="Times New Roman"/>
          <w:sz w:val="24"/>
          <w:szCs w:val="24"/>
          <w:lang w:val="fr-FR"/>
        </w:rPr>
        <w:t>un plan triennal de Renforcement du Système d’Information Sanitaire (PTRSIS) 2014-2016, appuyé en cela par ses Partenaires Techniques et Financiers.</w:t>
      </w:r>
    </w:p>
    <w:p w14:paraId="65741EA8" w14:textId="77777777" w:rsidR="00530F02" w:rsidRDefault="00530F02" w:rsidP="00530F02">
      <w:pPr>
        <w:spacing w:before="120" w:after="120" w:line="276"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La mise en œuvre de ce plan a permis la mise en place dans le SNIS, </w:t>
      </w:r>
      <w:r w:rsidRPr="00EF1D83">
        <w:rPr>
          <w:rFonts w:ascii="Times New Roman" w:hAnsi="Times New Roman" w:cs="Times New Roman"/>
          <w:sz w:val="24"/>
          <w:szCs w:val="24"/>
          <w:lang w:val="fr-FR"/>
        </w:rPr>
        <w:t>de logiciels « web-based » centralisés, pour la gestion des données sanitaires. Ainsi</w:t>
      </w:r>
      <w:r>
        <w:rPr>
          <w:rFonts w:ascii="Times New Roman" w:hAnsi="Times New Roman" w:cs="Times New Roman"/>
          <w:sz w:val="24"/>
          <w:szCs w:val="24"/>
          <w:lang w:val="fr-FR"/>
        </w:rPr>
        <w:t>, l’application DHIS 2 a été déployée dans 100% des régions sanitaires (20), 100% des districts sanitaires (86) et 100% des hôpitaux de référence de niveau 2 (HG et CHR).</w:t>
      </w:r>
    </w:p>
    <w:p w14:paraId="32C909CB" w14:textId="77777777" w:rsidR="00530F02" w:rsidRPr="00EF1D83" w:rsidRDefault="00530F02" w:rsidP="00530F02">
      <w:pPr>
        <w:spacing w:before="120" w:after="120" w:line="276" w:lineRule="auto"/>
        <w:jc w:val="both"/>
        <w:rPr>
          <w:rFonts w:ascii="Times New Roman" w:hAnsi="Times New Roman" w:cs="Times New Roman"/>
          <w:sz w:val="24"/>
          <w:szCs w:val="24"/>
          <w:lang w:val="fr-FR"/>
        </w:rPr>
      </w:pPr>
      <w:r w:rsidRPr="00EF1D83">
        <w:rPr>
          <w:rFonts w:ascii="Times New Roman" w:hAnsi="Times New Roman" w:cs="Times New Roman"/>
          <w:sz w:val="24"/>
          <w:szCs w:val="24"/>
          <w:lang w:val="fr-FR"/>
        </w:rPr>
        <w:t>Par ailleurs, la Côte d’Ivoire a entrepris depuis quelques années, diverses réformes  dans le secteur de la santé, qui visent à améliorer l’accessibilité des populations aux services et soins de qualité, particulièrement pour les populations vulnérables et cela dans le respect de la pyramide sanitaire. Ces réformes vont systématiquement générer une demande plus accrue d’informations et exiger une meilleure qualité des données avec un niveau de détail plus poussé.</w:t>
      </w:r>
      <w:r>
        <w:rPr>
          <w:rFonts w:ascii="Times New Roman" w:hAnsi="Times New Roman" w:cs="Times New Roman"/>
          <w:sz w:val="24"/>
          <w:szCs w:val="24"/>
          <w:lang w:val="fr-FR"/>
        </w:rPr>
        <w:t xml:space="preserve"> A l’issue de ces réformes, le SNIS devrait être à mesure de rendre disponible les données de qualité à tous les acteurs du système de santé </w:t>
      </w:r>
      <w:r>
        <w:rPr>
          <w:rFonts w:ascii="Times New Roman" w:hAnsi="Times New Roman" w:cs="Times New Roman"/>
          <w:sz w:val="24"/>
          <w:szCs w:val="24"/>
          <w:lang w:val="fr-FR"/>
        </w:rPr>
        <w:lastRenderedPageBreak/>
        <w:t>(au niveau du politique, au niveau du prestataire de service, au niveau du patient, au niveau de la population).</w:t>
      </w:r>
    </w:p>
    <w:p w14:paraId="658986C3" w14:textId="77777777" w:rsidR="00530F02" w:rsidRPr="00EF1D83" w:rsidRDefault="00530F02" w:rsidP="00530F02">
      <w:pPr>
        <w:spacing w:before="120" w:after="120" w:line="276" w:lineRule="auto"/>
        <w:jc w:val="both"/>
        <w:rPr>
          <w:rFonts w:ascii="Times New Roman" w:hAnsi="Times New Roman" w:cs="Times New Roman"/>
          <w:sz w:val="24"/>
          <w:szCs w:val="24"/>
          <w:lang w:val="fr-FR"/>
        </w:rPr>
      </w:pPr>
      <w:r w:rsidRPr="00EF1D83">
        <w:rPr>
          <w:rFonts w:ascii="Times New Roman" w:hAnsi="Times New Roman" w:cs="Times New Roman"/>
          <w:sz w:val="24"/>
          <w:szCs w:val="24"/>
          <w:lang w:val="fr-FR"/>
        </w:rPr>
        <w:t xml:space="preserve">Afin d’adresser ces nouveaux défis, un second plan triennal 2017-2020 a été élaboré par la DIIS en ligne droite aux priorités définies par le Plan National de Développement Sanitaire (PNDS) 2016-2020 dans une vision de Gestion Axée sur les Résultats. </w:t>
      </w:r>
    </w:p>
    <w:p w14:paraId="6803D4C2" w14:textId="77777777" w:rsidR="00530F02" w:rsidRPr="00EF1D83" w:rsidRDefault="00530F02" w:rsidP="00530F02">
      <w:pPr>
        <w:spacing w:before="120" w:after="0" w:line="276" w:lineRule="auto"/>
        <w:jc w:val="both"/>
        <w:rPr>
          <w:rFonts w:ascii="Times New Roman" w:hAnsi="Times New Roman" w:cs="Times New Roman"/>
          <w:sz w:val="24"/>
          <w:szCs w:val="24"/>
          <w:lang w:val="fr-FR"/>
        </w:rPr>
      </w:pPr>
      <w:r w:rsidRPr="00EF1D83">
        <w:rPr>
          <w:rFonts w:ascii="Times New Roman" w:hAnsi="Times New Roman" w:cs="Times New Roman"/>
          <w:sz w:val="24"/>
          <w:szCs w:val="24"/>
          <w:lang w:val="fr-FR"/>
        </w:rPr>
        <w:t>L</w:t>
      </w:r>
      <w:r>
        <w:rPr>
          <w:rFonts w:ascii="Times New Roman" w:hAnsi="Times New Roman" w:cs="Times New Roman"/>
          <w:sz w:val="24"/>
          <w:szCs w:val="24"/>
          <w:lang w:val="fr-FR"/>
        </w:rPr>
        <w:t xml:space="preserve">e mécanisme de financement mondial GFF se présente comme une réelle opportunité pour le pays afin de disposer de ressources financières additionnelles pour couvrir le gap financier du plan de renforcement du SNIS 2017-2020, mais aussi pour le financement de nouvelles interventions apparues </w:t>
      </w:r>
      <w:r w:rsidRPr="00EF1D83">
        <w:rPr>
          <w:rFonts w:ascii="Times New Roman" w:hAnsi="Times New Roman" w:cs="Times New Roman"/>
          <w:sz w:val="24"/>
          <w:szCs w:val="24"/>
          <w:lang w:val="fr-FR"/>
        </w:rPr>
        <w:t>après la finalisation de ce plan et qui pourront être mis en œuvre jusqu’en 2028.</w:t>
      </w:r>
    </w:p>
    <w:p w14:paraId="76060238" w14:textId="77777777" w:rsidR="00530F02" w:rsidRPr="00EF1D83" w:rsidRDefault="00530F02" w:rsidP="00530F02">
      <w:pPr>
        <w:spacing w:after="0" w:line="276" w:lineRule="auto"/>
        <w:jc w:val="both"/>
        <w:rPr>
          <w:rFonts w:ascii="Times New Roman" w:hAnsi="Times New Roman" w:cs="Times New Roman"/>
          <w:sz w:val="24"/>
          <w:szCs w:val="24"/>
          <w:lang w:val="fr-FR"/>
        </w:rPr>
      </w:pPr>
    </w:p>
    <w:p w14:paraId="5F902630" w14:textId="77777777" w:rsidR="00530F02" w:rsidRPr="00EF1D83" w:rsidRDefault="00530F02" w:rsidP="00530F02">
      <w:pPr>
        <w:spacing w:after="0" w:line="276" w:lineRule="auto"/>
        <w:jc w:val="both"/>
        <w:rPr>
          <w:rFonts w:ascii="Times New Roman" w:hAnsi="Times New Roman" w:cs="Times New Roman"/>
          <w:sz w:val="24"/>
          <w:szCs w:val="24"/>
          <w:lang w:val="fr-FR"/>
        </w:rPr>
      </w:pPr>
      <w:r w:rsidRPr="00EF1D83">
        <w:rPr>
          <w:rFonts w:ascii="Times New Roman" w:hAnsi="Times New Roman" w:cs="Times New Roman"/>
          <w:sz w:val="24"/>
          <w:szCs w:val="24"/>
          <w:lang w:val="fr-FR"/>
        </w:rPr>
        <w:t xml:space="preserve">Pour contribuer à l’atteinte des objectifs de performance du système de santé, le Système National d’Information Sanitaire (SNIS) devra atteindre l’objectif stratégique suivant : « </w:t>
      </w:r>
      <w:r w:rsidRPr="00EF1D83">
        <w:rPr>
          <w:rFonts w:ascii="Times New Roman" w:hAnsi="Times New Roman" w:cs="Times New Roman"/>
          <w:b/>
          <w:sz w:val="24"/>
          <w:szCs w:val="24"/>
          <w:lang w:val="fr-FR"/>
        </w:rPr>
        <w:t xml:space="preserve">A l’horizon 2028, disposer d’un système d’information sanitaire intégré, efficace, efficient, de qualité, accessible à tous, constituant un outil d’aide à la prise de décision stratégique </w:t>
      </w:r>
      <w:r w:rsidRPr="00EF1D83">
        <w:rPr>
          <w:rFonts w:ascii="Times New Roman" w:hAnsi="Times New Roman" w:cs="Times New Roman"/>
          <w:sz w:val="24"/>
          <w:szCs w:val="24"/>
          <w:lang w:val="fr-FR"/>
        </w:rPr>
        <w:t>»</w:t>
      </w:r>
    </w:p>
    <w:p w14:paraId="3815E56A" w14:textId="77777777" w:rsidR="00530F02" w:rsidRPr="00EF1D83" w:rsidRDefault="00530F02" w:rsidP="00530F02">
      <w:pPr>
        <w:spacing w:after="0" w:line="276" w:lineRule="auto"/>
        <w:jc w:val="both"/>
        <w:rPr>
          <w:rFonts w:ascii="Times New Roman" w:hAnsi="Times New Roman" w:cs="Times New Roman"/>
          <w:sz w:val="24"/>
          <w:szCs w:val="24"/>
          <w:lang w:val="fr-FR"/>
        </w:rPr>
      </w:pPr>
    </w:p>
    <w:p w14:paraId="3B0EF584" w14:textId="77777777" w:rsidR="00530F02" w:rsidRPr="00EF1D83" w:rsidRDefault="00530F02" w:rsidP="00530F02">
      <w:pPr>
        <w:spacing w:after="0" w:line="276" w:lineRule="auto"/>
        <w:jc w:val="both"/>
        <w:rPr>
          <w:rFonts w:ascii="Times New Roman" w:hAnsi="Times New Roman" w:cs="Times New Roman"/>
          <w:sz w:val="24"/>
          <w:szCs w:val="24"/>
          <w:lang w:val="fr-FR"/>
        </w:rPr>
      </w:pPr>
      <w:r w:rsidRPr="00EF1D83">
        <w:rPr>
          <w:rFonts w:ascii="Times New Roman" w:hAnsi="Times New Roman" w:cs="Times New Roman"/>
          <w:sz w:val="24"/>
          <w:szCs w:val="24"/>
          <w:lang w:val="fr-FR"/>
        </w:rPr>
        <w:t>Les objectifs spécifiques à court et moyen termes se présentent comme suit :</w:t>
      </w:r>
    </w:p>
    <w:p w14:paraId="0029B2D7" w14:textId="77777777" w:rsidR="00530F02" w:rsidRPr="00EF1D83" w:rsidRDefault="00530F02" w:rsidP="00B81840">
      <w:pPr>
        <w:numPr>
          <w:ilvl w:val="1"/>
          <w:numId w:val="18"/>
        </w:numPr>
        <w:tabs>
          <w:tab w:val="clear" w:pos="1440"/>
          <w:tab w:val="num" w:pos="851"/>
        </w:tabs>
        <w:spacing w:after="0" w:line="276" w:lineRule="auto"/>
        <w:ind w:left="851" w:hanging="425"/>
        <w:jc w:val="both"/>
        <w:rPr>
          <w:rFonts w:ascii="Times New Roman" w:hAnsi="Times New Roman" w:cs="Times New Roman"/>
          <w:sz w:val="24"/>
          <w:szCs w:val="24"/>
          <w:lang w:val="fr-CI"/>
        </w:rPr>
      </w:pPr>
      <w:r w:rsidRPr="00EF1D83">
        <w:rPr>
          <w:rFonts w:ascii="Times New Roman" w:hAnsi="Times New Roman" w:cs="Times New Roman"/>
          <w:sz w:val="24"/>
          <w:szCs w:val="24"/>
          <w:lang w:val="fr-CI"/>
        </w:rPr>
        <w:t>Assurer l’informatisation du système de santé  de la Cote d’Ivoire</w:t>
      </w:r>
      <w:r>
        <w:rPr>
          <w:rFonts w:ascii="Times New Roman" w:hAnsi="Times New Roman" w:cs="Times New Roman"/>
          <w:sz w:val="24"/>
          <w:szCs w:val="24"/>
          <w:lang w:val="fr-CI"/>
        </w:rPr>
        <w:t> ;</w:t>
      </w:r>
      <w:r w:rsidRPr="00EF1D83">
        <w:rPr>
          <w:rFonts w:ascii="Times New Roman" w:hAnsi="Times New Roman" w:cs="Times New Roman"/>
          <w:sz w:val="24"/>
          <w:szCs w:val="24"/>
          <w:lang w:val="fr-CI"/>
        </w:rPr>
        <w:t xml:space="preserve">   </w:t>
      </w:r>
    </w:p>
    <w:p w14:paraId="5ABE8C70" w14:textId="77777777" w:rsidR="00530F02" w:rsidRPr="00EF1D83" w:rsidRDefault="00530F02" w:rsidP="00B81840">
      <w:pPr>
        <w:numPr>
          <w:ilvl w:val="1"/>
          <w:numId w:val="18"/>
        </w:numPr>
        <w:tabs>
          <w:tab w:val="clear" w:pos="1440"/>
          <w:tab w:val="num" w:pos="851"/>
        </w:tabs>
        <w:spacing w:after="0" w:line="276" w:lineRule="auto"/>
        <w:ind w:left="851" w:hanging="425"/>
        <w:jc w:val="both"/>
        <w:rPr>
          <w:rFonts w:ascii="Times New Roman" w:hAnsi="Times New Roman" w:cs="Times New Roman"/>
          <w:sz w:val="24"/>
          <w:szCs w:val="24"/>
          <w:lang w:val="fr-CI"/>
        </w:rPr>
      </w:pPr>
      <w:r w:rsidRPr="00EF1D83">
        <w:rPr>
          <w:rFonts w:ascii="Times New Roman" w:hAnsi="Times New Roman" w:cs="Times New Roman"/>
          <w:sz w:val="24"/>
          <w:szCs w:val="24"/>
          <w:lang w:val="fr-CI"/>
        </w:rPr>
        <w:t>Assurer intégration de toutes les bases de données sanitaires dans le SNIS (Ministère en charge de la Sa</w:t>
      </w:r>
      <w:r>
        <w:rPr>
          <w:rFonts w:ascii="Times New Roman" w:hAnsi="Times New Roman" w:cs="Times New Roman"/>
          <w:sz w:val="24"/>
          <w:szCs w:val="24"/>
          <w:lang w:val="fr-CI"/>
        </w:rPr>
        <w:t>nté, CMU, secteur privé, etc.) ;</w:t>
      </w:r>
    </w:p>
    <w:p w14:paraId="5B1E9694" w14:textId="77777777" w:rsidR="00530F02" w:rsidRPr="00EF1D83" w:rsidRDefault="00530F02" w:rsidP="00B81840">
      <w:pPr>
        <w:numPr>
          <w:ilvl w:val="1"/>
          <w:numId w:val="18"/>
        </w:numPr>
        <w:tabs>
          <w:tab w:val="clear" w:pos="1440"/>
          <w:tab w:val="num" w:pos="851"/>
        </w:tabs>
        <w:spacing w:after="0" w:line="276" w:lineRule="auto"/>
        <w:ind w:left="851" w:hanging="425"/>
        <w:jc w:val="both"/>
        <w:rPr>
          <w:rFonts w:ascii="Times New Roman" w:hAnsi="Times New Roman" w:cs="Times New Roman"/>
          <w:sz w:val="24"/>
          <w:szCs w:val="24"/>
          <w:lang w:val="fr-CI"/>
        </w:rPr>
      </w:pPr>
      <w:r w:rsidRPr="00EF1D83">
        <w:rPr>
          <w:rFonts w:ascii="Times New Roman" w:hAnsi="Times New Roman" w:cs="Times New Roman"/>
          <w:sz w:val="24"/>
          <w:szCs w:val="24"/>
          <w:lang w:val="fr-FR"/>
        </w:rPr>
        <w:t>Assurer la disponibilité des ressources nécessaires à la production et l'utilisation de l'information sanitaire à tous les niveaux de la pyramide sanitaires d’ici 2028</w:t>
      </w:r>
      <w:r>
        <w:rPr>
          <w:rFonts w:ascii="Times New Roman" w:hAnsi="Times New Roman" w:cs="Times New Roman"/>
          <w:sz w:val="24"/>
          <w:szCs w:val="24"/>
          <w:lang w:val="fr-FR"/>
        </w:rPr>
        <w:t> ;</w:t>
      </w:r>
      <w:r w:rsidRPr="00EF1D83">
        <w:rPr>
          <w:rFonts w:ascii="Times New Roman" w:hAnsi="Times New Roman" w:cs="Times New Roman"/>
          <w:sz w:val="24"/>
          <w:szCs w:val="24"/>
          <w:lang w:val="fr-FR"/>
        </w:rPr>
        <w:t xml:space="preserve"> </w:t>
      </w:r>
    </w:p>
    <w:p w14:paraId="3F839796" w14:textId="77777777" w:rsidR="00530F02" w:rsidRPr="00EF1D83" w:rsidRDefault="00530F02" w:rsidP="00B81840">
      <w:pPr>
        <w:numPr>
          <w:ilvl w:val="1"/>
          <w:numId w:val="18"/>
        </w:numPr>
        <w:tabs>
          <w:tab w:val="clear" w:pos="1440"/>
          <w:tab w:val="num" w:pos="851"/>
        </w:tabs>
        <w:spacing w:after="0" w:line="276" w:lineRule="auto"/>
        <w:ind w:left="851" w:hanging="425"/>
        <w:jc w:val="both"/>
        <w:rPr>
          <w:rFonts w:ascii="Times New Roman" w:hAnsi="Times New Roman" w:cs="Times New Roman"/>
          <w:sz w:val="24"/>
          <w:szCs w:val="24"/>
          <w:lang w:val="fr-CI"/>
        </w:rPr>
      </w:pPr>
      <w:r w:rsidRPr="00EF1D83">
        <w:rPr>
          <w:rFonts w:ascii="Times New Roman" w:hAnsi="Times New Roman" w:cs="Times New Roman"/>
          <w:sz w:val="24"/>
          <w:szCs w:val="24"/>
          <w:lang w:val="fr-FR"/>
        </w:rPr>
        <w:t>Assurer la disponibilité des données sanitaires de qualité dans tous les établissements sanitaires publiques et privées</w:t>
      </w:r>
      <w:r>
        <w:rPr>
          <w:rFonts w:ascii="Times New Roman" w:hAnsi="Times New Roman" w:cs="Times New Roman"/>
          <w:sz w:val="24"/>
          <w:szCs w:val="24"/>
          <w:lang w:val="fr-FR"/>
        </w:rPr>
        <w:t> ;</w:t>
      </w:r>
    </w:p>
    <w:p w14:paraId="365B3DF1" w14:textId="77777777" w:rsidR="00530F02" w:rsidRPr="00EF1D83" w:rsidRDefault="00530F02" w:rsidP="00B81840">
      <w:pPr>
        <w:numPr>
          <w:ilvl w:val="1"/>
          <w:numId w:val="18"/>
        </w:numPr>
        <w:tabs>
          <w:tab w:val="clear" w:pos="1440"/>
          <w:tab w:val="num" w:pos="851"/>
        </w:tabs>
        <w:spacing w:after="0" w:line="276" w:lineRule="auto"/>
        <w:ind w:left="851" w:hanging="425"/>
        <w:jc w:val="both"/>
        <w:rPr>
          <w:rFonts w:ascii="Times New Roman" w:hAnsi="Times New Roman" w:cs="Times New Roman"/>
          <w:sz w:val="24"/>
          <w:szCs w:val="24"/>
          <w:lang w:val="fr-CI"/>
        </w:rPr>
      </w:pPr>
      <w:r w:rsidRPr="00EF1D83">
        <w:rPr>
          <w:rFonts w:ascii="Times New Roman" w:hAnsi="Times New Roman" w:cs="Times New Roman"/>
          <w:sz w:val="24"/>
          <w:szCs w:val="24"/>
          <w:lang w:val="fr-FR"/>
        </w:rPr>
        <w:t>Assurer la production, la diffusion et l'utilisation de l'information sanitaire</w:t>
      </w:r>
      <w:r>
        <w:rPr>
          <w:rFonts w:ascii="Times New Roman" w:hAnsi="Times New Roman" w:cs="Times New Roman"/>
          <w:sz w:val="24"/>
          <w:szCs w:val="24"/>
          <w:lang w:val="fr-FR"/>
        </w:rPr>
        <w:t> ;</w:t>
      </w:r>
      <w:r w:rsidRPr="00EF1D83">
        <w:rPr>
          <w:rFonts w:ascii="Times New Roman" w:hAnsi="Times New Roman" w:cs="Times New Roman"/>
          <w:sz w:val="24"/>
          <w:szCs w:val="24"/>
          <w:lang w:val="fr-FR"/>
        </w:rPr>
        <w:t xml:space="preserve"> </w:t>
      </w:r>
    </w:p>
    <w:p w14:paraId="65642855" w14:textId="77777777" w:rsidR="00530F02" w:rsidRPr="00EF1D83" w:rsidRDefault="00530F02" w:rsidP="00B81840">
      <w:pPr>
        <w:numPr>
          <w:ilvl w:val="1"/>
          <w:numId w:val="18"/>
        </w:numPr>
        <w:tabs>
          <w:tab w:val="clear" w:pos="1440"/>
          <w:tab w:val="num" w:pos="851"/>
        </w:tabs>
        <w:spacing w:after="0" w:line="276" w:lineRule="auto"/>
        <w:ind w:left="851" w:hanging="425"/>
        <w:jc w:val="both"/>
        <w:rPr>
          <w:rFonts w:ascii="Times New Roman" w:hAnsi="Times New Roman" w:cs="Times New Roman"/>
          <w:sz w:val="24"/>
          <w:szCs w:val="24"/>
          <w:lang w:val="fr-CI"/>
        </w:rPr>
      </w:pPr>
      <w:r w:rsidRPr="00EF1D83">
        <w:rPr>
          <w:rFonts w:ascii="Times New Roman" w:hAnsi="Times New Roman" w:cs="Times New Roman"/>
          <w:sz w:val="24"/>
          <w:szCs w:val="24"/>
          <w:lang w:val="fr-FR"/>
        </w:rPr>
        <w:t>Renforcer les capacités des acteurs du SNIS pour produire les données de qualité</w:t>
      </w:r>
      <w:r>
        <w:rPr>
          <w:rFonts w:ascii="Times New Roman" w:hAnsi="Times New Roman" w:cs="Times New Roman"/>
          <w:sz w:val="24"/>
          <w:szCs w:val="24"/>
          <w:lang w:val="fr-FR"/>
        </w:rPr>
        <w:t> :</w:t>
      </w:r>
      <w:r w:rsidRPr="00EF1D83">
        <w:rPr>
          <w:rFonts w:ascii="Times New Roman" w:hAnsi="Times New Roman" w:cs="Times New Roman"/>
          <w:sz w:val="24"/>
          <w:szCs w:val="24"/>
          <w:lang w:val="fr-FR"/>
        </w:rPr>
        <w:t xml:space="preserve"> </w:t>
      </w:r>
    </w:p>
    <w:p w14:paraId="4E6C204A" w14:textId="77777777" w:rsidR="00530F02" w:rsidRPr="00EF1D83" w:rsidRDefault="00530F02" w:rsidP="00B81840">
      <w:pPr>
        <w:numPr>
          <w:ilvl w:val="1"/>
          <w:numId w:val="18"/>
        </w:numPr>
        <w:tabs>
          <w:tab w:val="clear" w:pos="1440"/>
          <w:tab w:val="num" w:pos="851"/>
        </w:tabs>
        <w:spacing w:after="0" w:line="276" w:lineRule="auto"/>
        <w:ind w:left="851" w:hanging="425"/>
        <w:jc w:val="both"/>
        <w:rPr>
          <w:rFonts w:ascii="Times New Roman" w:hAnsi="Times New Roman" w:cs="Times New Roman"/>
          <w:sz w:val="24"/>
          <w:szCs w:val="24"/>
          <w:lang w:val="fr-CI"/>
        </w:rPr>
      </w:pPr>
      <w:r w:rsidRPr="00EF1D83">
        <w:rPr>
          <w:rFonts w:ascii="Times New Roman" w:hAnsi="Times New Roman" w:cs="Times New Roman"/>
          <w:sz w:val="24"/>
          <w:szCs w:val="24"/>
          <w:lang w:val="fr-FR"/>
        </w:rPr>
        <w:t xml:space="preserve">Rendre disponibles les nouveaux textes législatifs et réglementaires du SIS. </w:t>
      </w:r>
    </w:p>
    <w:p w14:paraId="251FA7CD" w14:textId="77777777" w:rsidR="00530F02" w:rsidRDefault="00530F02" w:rsidP="00530F02">
      <w:pPr>
        <w:spacing w:after="0" w:line="276" w:lineRule="auto"/>
        <w:jc w:val="both"/>
        <w:rPr>
          <w:rFonts w:ascii="Times New Roman" w:hAnsi="Times New Roman" w:cs="Times New Roman"/>
          <w:sz w:val="24"/>
          <w:szCs w:val="24"/>
          <w:lang w:val="fr-FR"/>
        </w:rPr>
      </w:pPr>
    </w:p>
    <w:p w14:paraId="4A75330C" w14:textId="77777777" w:rsidR="00530F02" w:rsidRPr="00EF1D83" w:rsidRDefault="00530F02" w:rsidP="00530F02">
      <w:pPr>
        <w:spacing w:after="0" w:line="276" w:lineRule="auto"/>
        <w:jc w:val="both"/>
        <w:rPr>
          <w:rFonts w:ascii="Times New Roman" w:hAnsi="Times New Roman" w:cs="Times New Roman"/>
          <w:sz w:val="24"/>
          <w:szCs w:val="24"/>
          <w:lang w:val="fr-CI"/>
        </w:rPr>
      </w:pPr>
      <w:r>
        <w:rPr>
          <w:rFonts w:ascii="Times New Roman" w:hAnsi="Times New Roman" w:cs="Times New Roman"/>
          <w:sz w:val="24"/>
          <w:szCs w:val="24"/>
          <w:lang w:val="fr-FR"/>
        </w:rPr>
        <w:t xml:space="preserve">Les interventions de renforcement du SNIS </w:t>
      </w:r>
      <w:r w:rsidRPr="00EF1D83">
        <w:rPr>
          <w:rFonts w:ascii="Times New Roman" w:hAnsi="Times New Roman" w:cs="Times New Roman"/>
          <w:bCs/>
          <w:sz w:val="24"/>
          <w:szCs w:val="24"/>
          <w:lang w:val="fr-CI"/>
        </w:rPr>
        <w:t>proposé par la sous-commission</w:t>
      </w:r>
      <w:r>
        <w:rPr>
          <w:rFonts w:ascii="Times New Roman" w:hAnsi="Times New Roman" w:cs="Times New Roman"/>
          <w:bCs/>
          <w:sz w:val="24"/>
          <w:szCs w:val="24"/>
          <w:lang w:val="fr-CI"/>
        </w:rPr>
        <w:t>,</w:t>
      </w:r>
      <w:r w:rsidRPr="00EF1D83">
        <w:rPr>
          <w:rFonts w:ascii="Times New Roman" w:hAnsi="Times New Roman" w:cs="Times New Roman"/>
          <w:bCs/>
          <w:sz w:val="24"/>
          <w:szCs w:val="24"/>
          <w:lang w:val="fr-CI"/>
        </w:rPr>
        <w:t xml:space="preserve"> </w:t>
      </w:r>
      <w:r>
        <w:rPr>
          <w:rFonts w:ascii="Times New Roman" w:hAnsi="Times New Roman" w:cs="Times New Roman"/>
          <w:sz w:val="24"/>
          <w:szCs w:val="24"/>
          <w:lang w:val="fr-FR"/>
        </w:rPr>
        <w:t>dans le cadre du GFF vont s’articuler autour de quatre (04) axes stratégiques.</w:t>
      </w:r>
    </w:p>
    <w:p w14:paraId="0D342975" w14:textId="77777777" w:rsidR="00530F02" w:rsidRPr="00530F02" w:rsidRDefault="00530F02" w:rsidP="00530F02">
      <w:pPr>
        <w:tabs>
          <w:tab w:val="left" w:pos="6105"/>
        </w:tabs>
        <w:spacing w:before="240"/>
        <w:jc w:val="both"/>
        <w:rPr>
          <w:rFonts w:ascii="Times New Roman" w:hAnsi="Times New Roman" w:cs="Times New Roman"/>
          <w:b/>
          <w:sz w:val="24"/>
          <w:szCs w:val="24"/>
          <w:lang w:val="fr-FR"/>
        </w:rPr>
      </w:pPr>
      <w:r w:rsidRPr="00530F02">
        <w:rPr>
          <w:rFonts w:ascii="Times New Roman" w:hAnsi="Times New Roman" w:cs="Times New Roman"/>
          <w:b/>
          <w:sz w:val="24"/>
          <w:szCs w:val="24"/>
          <w:lang w:val="fr-FR"/>
        </w:rPr>
        <w:t>Principaux axes stratégiques :</w:t>
      </w:r>
    </w:p>
    <w:p w14:paraId="252715AB" w14:textId="77777777" w:rsidR="00530F02" w:rsidRPr="00EF1D83" w:rsidRDefault="00530F02" w:rsidP="00D418FF">
      <w:pPr>
        <w:pStyle w:val="Paragraphedeliste"/>
        <w:numPr>
          <w:ilvl w:val="0"/>
          <w:numId w:val="19"/>
        </w:numPr>
        <w:tabs>
          <w:tab w:val="left" w:pos="6105"/>
        </w:tabs>
        <w:spacing w:after="200" w:line="276" w:lineRule="auto"/>
        <w:jc w:val="both"/>
        <w:rPr>
          <w:rFonts w:ascii="Times New Roman" w:hAnsi="Times New Roman" w:cs="Times New Roman"/>
          <w:sz w:val="24"/>
          <w:szCs w:val="24"/>
          <w:lang w:val="fr-CI"/>
        </w:rPr>
      </w:pPr>
      <w:r w:rsidRPr="00EF1D83">
        <w:rPr>
          <w:rFonts w:ascii="Times New Roman" w:hAnsi="Times New Roman" w:cs="Times New Roman"/>
          <w:b/>
          <w:bCs/>
          <w:sz w:val="24"/>
          <w:szCs w:val="24"/>
          <w:lang w:val="fr-CI"/>
        </w:rPr>
        <w:t xml:space="preserve">Axe Stratégique </w:t>
      </w:r>
      <w:r w:rsidRPr="00EF1D83">
        <w:rPr>
          <w:rFonts w:ascii="Times New Roman" w:hAnsi="Times New Roman" w:cs="Times New Roman"/>
          <w:sz w:val="24"/>
          <w:szCs w:val="24"/>
          <w:lang w:val="fr-CI"/>
        </w:rPr>
        <w:t>1 : Le renforcement du cadre institutionnel, réglemen</w:t>
      </w:r>
      <w:r>
        <w:rPr>
          <w:rFonts w:ascii="Times New Roman" w:hAnsi="Times New Roman" w:cs="Times New Roman"/>
          <w:sz w:val="24"/>
          <w:szCs w:val="24"/>
          <w:lang w:val="fr-CI"/>
        </w:rPr>
        <w:t>taire et de gouvernance du SIS ;</w:t>
      </w:r>
    </w:p>
    <w:p w14:paraId="67770262" w14:textId="77777777" w:rsidR="00530F02" w:rsidRPr="00EF1D83" w:rsidRDefault="00530F02" w:rsidP="00D418FF">
      <w:pPr>
        <w:pStyle w:val="Paragraphedeliste"/>
        <w:numPr>
          <w:ilvl w:val="0"/>
          <w:numId w:val="19"/>
        </w:numPr>
        <w:tabs>
          <w:tab w:val="left" w:pos="6105"/>
        </w:tabs>
        <w:spacing w:after="200" w:line="276" w:lineRule="auto"/>
        <w:jc w:val="both"/>
        <w:rPr>
          <w:rFonts w:ascii="Times New Roman" w:hAnsi="Times New Roman" w:cs="Times New Roman"/>
          <w:sz w:val="24"/>
          <w:szCs w:val="24"/>
          <w:lang w:val="fr-CI"/>
        </w:rPr>
      </w:pPr>
      <w:r w:rsidRPr="00EF1D83">
        <w:rPr>
          <w:rFonts w:ascii="Times New Roman" w:hAnsi="Times New Roman" w:cs="Times New Roman"/>
          <w:b/>
          <w:bCs/>
          <w:sz w:val="24"/>
          <w:szCs w:val="24"/>
          <w:lang w:val="fr-CI"/>
        </w:rPr>
        <w:t>Axe Stratégique 2 </w:t>
      </w:r>
      <w:r w:rsidRPr="00EF1D83">
        <w:rPr>
          <w:rFonts w:ascii="Times New Roman" w:hAnsi="Times New Roman" w:cs="Times New Roman"/>
          <w:sz w:val="24"/>
          <w:szCs w:val="24"/>
          <w:lang w:val="fr-CI"/>
        </w:rPr>
        <w:t>: La disponibilité des données sanitaires de qualité dans tous les établissemen</w:t>
      </w:r>
      <w:r>
        <w:rPr>
          <w:rFonts w:ascii="Times New Roman" w:hAnsi="Times New Roman" w:cs="Times New Roman"/>
          <w:sz w:val="24"/>
          <w:szCs w:val="24"/>
          <w:lang w:val="fr-CI"/>
        </w:rPr>
        <w:t>ts sanitaires publics et privés ;</w:t>
      </w:r>
      <w:r w:rsidRPr="00EF1D83">
        <w:rPr>
          <w:rFonts w:ascii="Times New Roman" w:hAnsi="Times New Roman" w:cs="Times New Roman"/>
          <w:sz w:val="24"/>
          <w:szCs w:val="24"/>
          <w:lang w:val="fr-CI"/>
        </w:rPr>
        <w:t xml:space="preserve"> </w:t>
      </w:r>
    </w:p>
    <w:p w14:paraId="5BA34B75" w14:textId="77777777" w:rsidR="00530F02" w:rsidRPr="00EF1D83" w:rsidRDefault="00530F02" w:rsidP="00D418FF">
      <w:pPr>
        <w:pStyle w:val="Paragraphedeliste"/>
        <w:numPr>
          <w:ilvl w:val="0"/>
          <w:numId w:val="19"/>
        </w:numPr>
        <w:tabs>
          <w:tab w:val="left" w:pos="6105"/>
        </w:tabs>
        <w:spacing w:after="200" w:line="276" w:lineRule="auto"/>
        <w:jc w:val="both"/>
        <w:rPr>
          <w:rFonts w:ascii="Times New Roman" w:hAnsi="Times New Roman" w:cs="Times New Roman"/>
          <w:sz w:val="24"/>
          <w:szCs w:val="24"/>
          <w:lang w:val="fr-CI"/>
        </w:rPr>
      </w:pPr>
      <w:r w:rsidRPr="00EF1D83">
        <w:rPr>
          <w:rFonts w:ascii="Times New Roman" w:hAnsi="Times New Roman" w:cs="Times New Roman"/>
          <w:b/>
          <w:bCs/>
          <w:sz w:val="24"/>
          <w:szCs w:val="24"/>
          <w:lang w:val="fr-CI"/>
        </w:rPr>
        <w:t>Axe Stratégique 3</w:t>
      </w:r>
      <w:r w:rsidRPr="00EF1D83">
        <w:rPr>
          <w:rFonts w:ascii="Times New Roman" w:hAnsi="Times New Roman" w:cs="Times New Roman"/>
          <w:sz w:val="24"/>
          <w:szCs w:val="24"/>
          <w:lang w:val="fr-CI"/>
        </w:rPr>
        <w:t> : La disponibilité des ressources nécessaires à la production, la diffusion et l’utilisation de l’information sanitaire à tous les ni</w:t>
      </w:r>
      <w:r>
        <w:rPr>
          <w:rFonts w:ascii="Times New Roman" w:hAnsi="Times New Roman" w:cs="Times New Roman"/>
          <w:sz w:val="24"/>
          <w:szCs w:val="24"/>
          <w:lang w:val="fr-CI"/>
        </w:rPr>
        <w:t>veaux de la pyramide sanitaire ;</w:t>
      </w:r>
    </w:p>
    <w:p w14:paraId="2292A9E3" w14:textId="77777777" w:rsidR="00530F02" w:rsidRPr="00EF1D83" w:rsidRDefault="00530F02" w:rsidP="00D418FF">
      <w:pPr>
        <w:pStyle w:val="Paragraphedeliste"/>
        <w:numPr>
          <w:ilvl w:val="0"/>
          <w:numId w:val="19"/>
        </w:numPr>
        <w:tabs>
          <w:tab w:val="left" w:pos="6105"/>
        </w:tabs>
        <w:spacing w:after="200" w:line="276" w:lineRule="auto"/>
        <w:jc w:val="both"/>
        <w:rPr>
          <w:rFonts w:ascii="Times New Roman" w:hAnsi="Times New Roman" w:cs="Times New Roman"/>
          <w:sz w:val="24"/>
          <w:szCs w:val="24"/>
          <w:lang w:val="fr-CI"/>
        </w:rPr>
      </w:pPr>
      <w:r w:rsidRPr="00EF1D83">
        <w:rPr>
          <w:rFonts w:ascii="Times New Roman" w:hAnsi="Times New Roman" w:cs="Times New Roman"/>
          <w:b/>
          <w:bCs/>
          <w:sz w:val="24"/>
          <w:szCs w:val="24"/>
          <w:lang w:val="fr-CI"/>
        </w:rPr>
        <w:t xml:space="preserve">Axe stratégique 4: </w:t>
      </w:r>
      <w:r w:rsidRPr="00EF1D83">
        <w:rPr>
          <w:rFonts w:ascii="Times New Roman" w:hAnsi="Times New Roman" w:cs="Times New Roman"/>
          <w:sz w:val="24"/>
          <w:szCs w:val="24"/>
          <w:lang w:val="fr-CI"/>
        </w:rPr>
        <w:t xml:space="preserve">Production, diffusion et utilisation de l’information sanitaire. </w:t>
      </w:r>
    </w:p>
    <w:p w14:paraId="169A63A3" w14:textId="77777777" w:rsidR="008A0F97" w:rsidRPr="00333A62" w:rsidRDefault="008A0F97" w:rsidP="00333A62">
      <w:pPr>
        <w:spacing w:before="120" w:after="120" w:line="276" w:lineRule="auto"/>
        <w:rPr>
          <w:rFonts w:ascii="Times New Roman" w:hAnsi="Times New Roman" w:cs="Times New Roman"/>
          <w:sz w:val="24"/>
          <w:szCs w:val="24"/>
        </w:rPr>
      </w:pPr>
    </w:p>
    <w:p w14:paraId="65CA1F6F" w14:textId="77777777" w:rsidR="006773F6" w:rsidRPr="00700523" w:rsidRDefault="006773F6" w:rsidP="00333A62">
      <w:pPr>
        <w:pStyle w:val="Titre2"/>
        <w:spacing w:before="120" w:after="120" w:line="276" w:lineRule="auto"/>
        <w:rPr>
          <w:rFonts w:ascii="Times New Roman" w:hAnsi="Times New Roman" w:cs="Times New Roman"/>
          <w:b/>
          <w:color w:val="0070C0"/>
          <w:sz w:val="24"/>
          <w:szCs w:val="24"/>
        </w:rPr>
      </w:pPr>
      <w:bookmarkStart w:id="133" w:name="_Toc1573842"/>
      <w:r w:rsidRPr="00700523">
        <w:rPr>
          <w:rFonts w:ascii="Times New Roman" w:hAnsi="Times New Roman" w:cs="Times New Roman"/>
          <w:b/>
          <w:color w:val="0070C0"/>
          <w:sz w:val="24"/>
          <w:szCs w:val="24"/>
        </w:rPr>
        <w:lastRenderedPageBreak/>
        <w:t>Priorité 6 : Renforcement de l’intégration du secteur privé</w:t>
      </w:r>
      <w:bookmarkEnd w:id="133"/>
    </w:p>
    <w:p w14:paraId="5ED8BCFB" w14:textId="77777777" w:rsidR="00DC56FC" w:rsidRPr="00DC56FC" w:rsidRDefault="006773F6" w:rsidP="00DC56FC">
      <w:pPr>
        <w:pStyle w:val="Paragraphedeliste"/>
        <w:spacing w:before="120" w:after="120" w:line="276" w:lineRule="auto"/>
        <w:ind w:left="0"/>
        <w:jc w:val="both"/>
        <w:rPr>
          <w:rFonts w:ascii="Times New Roman" w:hAnsi="Times New Roman" w:cs="Times New Roman"/>
          <w:sz w:val="24"/>
          <w:szCs w:val="24"/>
          <w:lang w:val="fr-FR"/>
        </w:rPr>
      </w:pPr>
      <w:r w:rsidRPr="0002340B">
        <w:rPr>
          <w:rFonts w:ascii="Times New Roman" w:hAnsi="Times New Roman" w:cs="Times New Roman"/>
          <w:sz w:val="24"/>
          <w:szCs w:val="24"/>
          <w:lang w:val="fr-FR"/>
        </w:rPr>
        <w:t xml:space="preserve">Le dossier d’investissement fait un focus sur l’intégration du secteur privé de la santé pour prendre en compte les particularités de ce secteur. Il tient compte des aspects liés aux établissements sanitaires privés (offre de soins de santé de qualité, le cadre réglementaires des établissements) et de ceux liés au financement de la santé par les entreprises privés à travers des partenariats publics-privés. Les interventions qui seront menées dans le cadre du GFF permettront d’avoir un système de santé inclusif qui intègre un secteur privé de qualité et performant d’ici 2024. L’atteinte de cette vision passe par des actions pour faire face aux défis qui ressortent de l’analyse des goulots d’étranglement de la contribution du secteur privé à l’amélioration du système de santé du pays. </w:t>
      </w:r>
      <w:r w:rsidR="00DC56FC" w:rsidRPr="00DC56FC">
        <w:rPr>
          <w:rFonts w:ascii="Times New Roman" w:hAnsi="Times New Roman" w:cs="Times New Roman"/>
          <w:sz w:val="24"/>
          <w:szCs w:val="24"/>
          <w:lang w:val="fr-FR"/>
        </w:rPr>
        <w:t>Quatre grandes stratégies seront mises en œuvre pour relever les défis de l’intégration du secteur privé. Il s’agit de (i) renforcer le cadre du dialogue public-privé, (ii) renforcer les politiques et les procédures régissant le secteur privé de la santé, (iii) améliorer les conditions du marché pour que le secteur privé prospère et croisse et (iv) mettre à profit les ressources du secteur privé pour relever les défis en matière de SRMNEA-N.</w:t>
      </w:r>
    </w:p>
    <w:p w14:paraId="3BD6D3CF" w14:textId="77777777" w:rsidR="00DC56FC" w:rsidRPr="00DC56FC" w:rsidRDefault="00DC56FC" w:rsidP="00DC56FC">
      <w:pPr>
        <w:tabs>
          <w:tab w:val="left" w:pos="709"/>
        </w:tabs>
        <w:spacing w:before="120" w:after="120" w:line="276" w:lineRule="auto"/>
        <w:jc w:val="both"/>
        <w:rPr>
          <w:rFonts w:ascii="Times New Roman" w:hAnsi="Times New Roman" w:cs="Times New Roman"/>
          <w:sz w:val="24"/>
          <w:szCs w:val="24"/>
          <w:lang w:val="fr-FR"/>
        </w:rPr>
      </w:pPr>
      <w:r w:rsidRPr="00DC56FC">
        <w:rPr>
          <w:rFonts w:ascii="Times New Roman" w:hAnsi="Times New Roman" w:cs="Times New Roman"/>
          <w:sz w:val="24"/>
          <w:szCs w:val="24"/>
          <w:lang w:val="fr-FR"/>
        </w:rPr>
        <w:t>Le</w:t>
      </w:r>
      <w:r w:rsidRPr="00DC56FC">
        <w:rPr>
          <w:rFonts w:ascii="Times New Roman" w:hAnsi="Times New Roman" w:cs="Times New Roman"/>
          <w:b/>
          <w:sz w:val="24"/>
          <w:szCs w:val="24"/>
          <w:lang w:val="fr-FR"/>
        </w:rPr>
        <w:t xml:space="preserve"> </w:t>
      </w:r>
      <w:r w:rsidRPr="00DC56FC">
        <w:rPr>
          <w:rFonts w:ascii="Times New Roman" w:hAnsi="Times New Roman" w:cs="Times New Roman"/>
          <w:sz w:val="24"/>
          <w:szCs w:val="24"/>
          <w:lang w:val="fr-FR"/>
        </w:rPr>
        <w:t xml:space="preserve">renforcement du cadre dialogue public privé se fera à travers 3 interventions majeures qui sont (i) le développement avec la plateforme du secteur privé (PSPCI) d’un programme de réformes sur les politiques et les questions de planification importantes au secteur, (ii) l’engagement et l’implication continuelle du secteur privé de la santé, (iii) l’engagement et la promotion du secteur privé non-sanitaire à investir dans la santé. </w:t>
      </w:r>
    </w:p>
    <w:p w14:paraId="3B8871E2" w14:textId="2555DBAD" w:rsidR="00DC56FC" w:rsidRPr="00DC56FC" w:rsidRDefault="00DC56FC" w:rsidP="00DC56FC">
      <w:pPr>
        <w:tabs>
          <w:tab w:val="left" w:pos="709"/>
        </w:tabs>
        <w:spacing w:before="120" w:after="120" w:line="276" w:lineRule="auto"/>
        <w:jc w:val="both"/>
        <w:rPr>
          <w:rFonts w:ascii="Times New Roman" w:hAnsi="Times New Roman" w:cs="Times New Roman"/>
          <w:sz w:val="24"/>
          <w:szCs w:val="24"/>
          <w:lang w:val="fr-FR"/>
        </w:rPr>
      </w:pPr>
      <w:r w:rsidRPr="00DC56FC">
        <w:rPr>
          <w:rFonts w:ascii="Times New Roman" w:hAnsi="Times New Roman" w:cs="Times New Roman"/>
          <w:sz w:val="24"/>
          <w:szCs w:val="24"/>
          <w:lang w:val="fr-FR"/>
        </w:rPr>
        <w:t xml:space="preserve">En ce qui concerne le renforcement des politiques et des procédures régissant le secteur privé de la santé, il s’agira de (i) améliorer la collecte et la diffusion des données du secteur privé de la santé, (ii) mettre à jour des procédures pour la régulation du secteur privé de la santé à l'aide de quatre systèmes interdépendants, (iii) uniformiser le processus de l’assurance qualité du secteur privé, et (iv) Optimiser les ressources humaines du secteur public et privé. </w:t>
      </w:r>
    </w:p>
    <w:p w14:paraId="7C85C217" w14:textId="77777777" w:rsidR="00DC56FC" w:rsidRPr="00DC56FC" w:rsidRDefault="00DC56FC" w:rsidP="00DC56FC">
      <w:pPr>
        <w:tabs>
          <w:tab w:val="left" w:pos="709"/>
        </w:tabs>
        <w:spacing w:before="120" w:after="120" w:line="276" w:lineRule="auto"/>
        <w:jc w:val="both"/>
        <w:rPr>
          <w:rFonts w:ascii="Times New Roman" w:hAnsi="Times New Roman" w:cs="Times New Roman"/>
          <w:sz w:val="24"/>
          <w:szCs w:val="24"/>
          <w:lang w:val="fr-FR"/>
        </w:rPr>
      </w:pPr>
      <w:r w:rsidRPr="00DC56FC">
        <w:rPr>
          <w:rFonts w:ascii="Times New Roman" w:hAnsi="Times New Roman" w:cs="Times New Roman"/>
          <w:sz w:val="24"/>
          <w:szCs w:val="24"/>
          <w:lang w:val="fr-FR"/>
        </w:rPr>
        <w:t>La troisième stratégie qui est d’ améliorer les conditions du marché pour que le secteur privé prospère et croisse, elle sera déroulée à travers</w:t>
      </w:r>
      <w:r w:rsidRPr="00DC56FC">
        <w:rPr>
          <w:rFonts w:ascii="Times New Roman" w:hAnsi="Times New Roman" w:cs="Times New Roman"/>
          <w:b/>
          <w:sz w:val="24"/>
          <w:szCs w:val="24"/>
          <w:lang w:val="fr-FR"/>
        </w:rPr>
        <w:t xml:space="preserve"> </w:t>
      </w:r>
      <w:r w:rsidRPr="00DC56FC">
        <w:rPr>
          <w:rFonts w:ascii="Times New Roman" w:hAnsi="Times New Roman" w:cs="Times New Roman"/>
          <w:sz w:val="24"/>
          <w:szCs w:val="24"/>
          <w:lang w:val="fr-FR"/>
        </w:rPr>
        <w:t xml:space="preserve">(i) le renforcement des réformes relatives au financement en santé en cours (FBP/contractualisation/bons) afin de mettre à profit le secteur privé de la santé, (ii) le renforcement de la capacité du secteur privé à répondre aux contrats soumis à n'importe quel mécanisme de financement (FBP/sous-traitance/bons), (iii) l’élargissement de l'accès du secteur privé à un financement abordable et (iv) l’élargissement de l'accès du secteur privé aux formations relatives aux compétences en affaires et aux services de conseils aux entreprises. </w:t>
      </w:r>
    </w:p>
    <w:p w14:paraId="3273E823" w14:textId="239D6341" w:rsidR="00DC56FC" w:rsidRPr="0002340B" w:rsidRDefault="00DC56FC" w:rsidP="00DC56FC">
      <w:pPr>
        <w:pStyle w:val="Paragraphedeliste"/>
        <w:spacing w:before="120" w:after="120" w:line="276" w:lineRule="auto"/>
        <w:ind w:left="0"/>
        <w:jc w:val="both"/>
        <w:rPr>
          <w:rFonts w:ascii="Times New Roman" w:hAnsi="Times New Roman" w:cs="Times New Roman"/>
          <w:sz w:val="24"/>
          <w:szCs w:val="24"/>
          <w:lang w:val="fr-FR"/>
        </w:rPr>
      </w:pPr>
      <w:r w:rsidRPr="00DC56FC">
        <w:rPr>
          <w:rFonts w:ascii="Times New Roman" w:hAnsi="Times New Roman" w:cs="Times New Roman"/>
          <w:sz w:val="24"/>
          <w:szCs w:val="24"/>
          <w:lang w:val="fr-FR"/>
        </w:rPr>
        <w:t>La stratégie relative à la mise à profit des ressources du secteur privé pour relever les défis en matière de SRMNEA-N, elle se fera par (i)</w:t>
      </w:r>
      <w:r w:rsidRPr="00DC56FC">
        <w:t xml:space="preserve"> </w:t>
      </w:r>
      <w:r w:rsidRPr="00DC56FC">
        <w:rPr>
          <w:rFonts w:ascii="Times New Roman" w:hAnsi="Times New Roman" w:cs="Times New Roman"/>
          <w:sz w:val="24"/>
          <w:szCs w:val="24"/>
          <w:lang w:val="fr-FR"/>
        </w:rPr>
        <w:t>le renforcement des capacités d'engagement/partenariat du MdS avec le secteur privé de la santé par la création d'une Unité d'Engagement avec le Secteur Privé de la Santé (ESPS), (ii) l’intégration des projets du SP à travers tout le MdS, (iii) le renforcement de l’</w:t>
      </w:r>
      <w:r w:rsidRPr="00DC56FC">
        <w:t xml:space="preserve"> </w:t>
      </w:r>
      <w:r w:rsidRPr="00DC56FC">
        <w:rPr>
          <w:rFonts w:ascii="Times New Roman" w:hAnsi="Times New Roman" w:cs="Times New Roman"/>
          <w:sz w:val="24"/>
          <w:szCs w:val="24"/>
          <w:lang w:val="fr-FR"/>
        </w:rPr>
        <w:t>intégration des projets du SP à travers tout le MdS et (iv) la conception et la mise en œuvre des PPP relatifs au SP.</w:t>
      </w:r>
    </w:p>
    <w:p w14:paraId="3765D581" w14:textId="7168DC4F" w:rsidR="008A0F97" w:rsidRPr="00333A62" w:rsidRDefault="008A0F97" w:rsidP="00DC56FC">
      <w:pPr>
        <w:pStyle w:val="Paragraphedeliste"/>
        <w:spacing w:before="120" w:after="120" w:line="276" w:lineRule="auto"/>
        <w:ind w:left="0"/>
        <w:jc w:val="both"/>
        <w:rPr>
          <w:rFonts w:ascii="Times New Roman" w:hAnsi="Times New Roman" w:cs="Times New Roman"/>
          <w:sz w:val="24"/>
          <w:szCs w:val="24"/>
          <w:lang w:val="fr-FR"/>
        </w:rPr>
      </w:pPr>
    </w:p>
    <w:p w14:paraId="58BC873C" w14:textId="77777777" w:rsidR="008A0F97" w:rsidRPr="00700523" w:rsidRDefault="008A0F97" w:rsidP="00333A62">
      <w:pPr>
        <w:pStyle w:val="Titre2"/>
        <w:spacing w:before="120" w:after="120" w:line="276" w:lineRule="auto"/>
        <w:rPr>
          <w:rFonts w:ascii="Times New Roman" w:hAnsi="Times New Roman" w:cs="Times New Roman"/>
          <w:b/>
          <w:color w:val="0070C0"/>
          <w:sz w:val="24"/>
          <w:szCs w:val="24"/>
        </w:rPr>
      </w:pPr>
      <w:bookmarkStart w:id="134" w:name="_Toc1573843"/>
      <w:r w:rsidRPr="00700523">
        <w:rPr>
          <w:rFonts w:ascii="Times New Roman" w:hAnsi="Times New Roman" w:cs="Times New Roman"/>
          <w:b/>
          <w:color w:val="0070C0"/>
          <w:sz w:val="24"/>
          <w:szCs w:val="24"/>
        </w:rPr>
        <w:lastRenderedPageBreak/>
        <w:t>Priorité 7 : Mise en place des réformes nécessaires pour améliorer la performance globale du système</w:t>
      </w:r>
      <w:bookmarkEnd w:id="134"/>
      <w:r w:rsidRPr="00700523">
        <w:rPr>
          <w:rFonts w:ascii="Times New Roman" w:hAnsi="Times New Roman" w:cs="Times New Roman"/>
          <w:b/>
          <w:color w:val="0070C0"/>
          <w:sz w:val="24"/>
          <w:szCs w:val="24"/>
        </w:rPr>
        <w:t xml:space="preserve"> </w:t>
      </w:r>
    </w:p>
    <w:p w14:paraId="4630878F" w14:textId="77777777" w:rsidR="008A0F97" w:rsidRPr="00333A62" w:rsidRDefault="008A0F97" w:rsidP="00333A62">
      <w:pPr>
        <w:spacing w:before="120" w:after="120" w:line="276" w:lineRule="auto"/>
        <w:jc w:val="both"/>
        <w:rPr>
          <w:rFonts w:ascii="Times New Roman" w:hAnsi="Times New Roman" w:cs="Times New Roman"/>
          <w:sz w:val="24"/>
          <w:szCs w:val="24"/>
        </w:rPr>
      </w:pPr>
      <w:r w:rsidRPr="00333A62">
        <w:rPr>
          <w:rFonts w:ascii="Times New Roman" w:hAnsi="Times New Roman" w:cs="Times New Roman"/>
          <w:sz w:val="24"/>
          <w:szCs w:val="24"/>
        </w:rPr>
        <w:t>Dans le cadre de cet axe stratégique, le Dossier d’Investissement présente l’ambition nationale d’améliorer l’efficience et l’efficacité de la mobilisation et de l’utilisation des ressources en faveur du secteur santé, particulièrement de la santé de la mère et de l’enfant.</w:t>
      </w:r>
    </w:p>
    <w:p w14:paraId="4ECD4334" w14:textId="77777777" w:rsidR="008A0F97" w:rsidRPr="00333A62" w:rsidRDefault="008A0F97" w:rsidP="00333A62">
      <w:pPr>
        <w:spacing w:before="120" w:after="120" w:line="276" w:lineRule="auto"/>
        <w:jc w:val="both"/>
        <w:rPr>
          <w:rFonts w:ascii="Times New Roman" w:hAnsi="Times New Roman" w:cs="Times New Roman"/>
          <w:bCs/>
          <w:iCs/>
          <w:sz w:val="24"/>
          <w:szCs w:val="24"/>
          <w:lang w:val="fr-FR"/>
        </w:rPr>
      </w:pPr>
      <w:r w:rsidRPr="00333A62">
        <w:rPr>
          <w:rFonts w:ascii="Times New Roman" w:hAnsi="Times New Roman" w:cs="Times New Roman"/>
          <w:sz w:val="24"/>
          <w:szCs w:val="24"/>
        </w:rPr>
        <w:t xml:space="preserve">A l’horizon 2018, </w:t>
      </w:r>
      <w:r w:rsidRPr="00333A62">
        <w:rPr>
          <w:rFonts w:ascii="Times New Roman" w:hAnsi="Times New Roman" w:cs="Times New Roman"/>
          <w:bCs/>
          <w:iCs/>
          <w:sz w:val="24"/>
          <w:szCs w:val="24"/>
          <w:lang w:val="fr-FR"/>
        </w:rPr>
        <w:t>la gestion financière du secteur doit traduire une programmation budgétaire cadrée sur les stratégies et les politiques publiques et une maitrise de l’utilisation des ressources financières permettant le pilotage du secteur, notamment par des actions d’achat stratégique.</w:t>
      </w:r>
    </w:p>
    <w:p w14:paraId="3397FBF5" w14:textId="77777777" w:rsidR="008A0F97" w:rsidRPr="00333A62" w:rsidRDefault="008A0F97" w:rsidP="00333A62">
      <w:pPr>
        <w:spacing w:before="120" w:after="120" w:line="276" w:lineRule="auto"/>
        <w:jc w:val="both"/>
        <w:rPr>
          <w:rFonts w:ascii="Times New Roman" w:hAnsi="Times New Roman" w:cs="Times New Roman"/>
          <w:bCs/>
          <w:iCs/>
          <w:sz w:val="24"/>
          <w:szCs w:val="24"/>
          <w:lang w:val="fr-FR"/>
        </w:rPr>
      </w:pPr>
      <w:r w:rsidRPr="00333A62">
        <w:rPr>
          <w:rFonts w:ascii="Times New Roman" w:hAnsi="Times New Roman" w:cs="Times New Roman"/>
          <w:bCs/>
          <w:iCs/>
          <w:sz w:val="24"/>
          <w:szCs w:val="24"/>
          <w:lang w:val="fr-FR"/>
        </w:rPr>
        <w:t>Pour y parvenir, d’ici 2022 les priorités de réforme pour améliorer la performance globale du système portent sur le développement et/ou le déploiement d’outils de gestion axés sur les résultats à travers le plan de réforme de la Gestion des Finances Publiques et l’extension/généralisation du Financement Basé sur la Performance, mais aussi sur la promotion de l’achat stratégique par l’appui à la mise en œuvre de stratégie de Couverture Maladie universelle. Elles portent aussi sur le développement d’outils pour l’optimisation de la gestion financière dans le secteur, la formulation d’une politique de décentralisation et d’outils de normalisation dans le secteur santé.</w:t>
      </w:r>
    </w:p>
    <w:p w14:paraId="68A9A637" w14:textId="77777777" w:rsidR="008A0F97" w:rsidRPr="00333A62" w:rsidRDefault="008A0F97" w:rsidP="00333A62">
      <w:pPr>
        <w:spacing w:before="120" w:after="120" w:line="276" w:lineRule="auto"/>
        <w:jc w:val="both"/>
        <w:rPr>
          <w:rFonts w:ascii="Times New Roman" w:hAnsi="Times New Roman" w:cs="Times New Roman"/>
          <w:bCs/>
          <w:iCs/>
          <w:sz w:val="24"/>
          <w:szCs w:val="24"/>
          <w:lang w:val="fr-FR"/>
        </w:rPr>
      </w:pPr>
      <w:r w:rsidRPr="00333A62">
        <w:rPr>
          <w:rFonts w:ascii="Times New Roman" w:hAnsi="Times New Roman" w:cs="Times New Roman"/>
          <w:bCs/>
          <w:iCs/>
          <w:sz w:val="24"/>
          <w:szCs w:val="24"/>
          <w:lang w:val="fr-FR"/>
        </w:rPr>
        <w:t>Une phase de consolidation et de mise en maturité des nouvelles pratiques de gestion suivra dès 2023.</w:t>
      </w:r>
    </w:p>
    <w:p w14:paraId="4B643E51" w14:textId="40A47910" w:rsidR="000E6A90" w:rsidRPr="000E6A90" w:rsidRDefault="000E6A90" w:rsidP="000E6A90">
      <w:pPr>
        <w:spacing w:before="120" w:after="120" w:line="276" w:lineRule="auto"/>
        <w:jc w:val="both"/>
        <w:rPr>
          <w:rFonts w:ascii="Times New Roman" w:hAnsi="Times New Roman" w:cs="Times New Roman"/>
          <w:b/>
          <w:bCs/>
          <w:iCs/>
          <w:sz w:val="24"/>
          <w:szCs w:val="24"/>
          <w:lang w:val="fr-FR"/>
        </w:rPr>
      </w:pPr>
      <w:r w:rsidRPr="000E6A90">
        <w:rPr>
          <w:rFonts w:ascii="Times New Roman" w:hAnsi="Times New Roman" w:cs="Times New Roman"/>
          <w:sz w:val="24"/>
          <w:szCs w:val="24"/>
          <w:lang w:val="fr-FR"/>
        </w:rPr>
        <w:t xml:space="preserve">Les principales interventions à mettre en œuvre </w:t>
      </w:r>
      <w:r>
        <w:rPr>
          <w:rFonts w:ascii="Times New Roman" w:hAnsi="Times New Roman" w:cs="Times New Roman"/>
          <w:sz w:val="24"/>
          <w:szCs w:val="24"/>
          <w:lang w:val="fr-FR"/>
        </w:rPr>
        <w:t>sont les suivantes :</w:t>
      </w:r>
    </w:p>
    <w:p w14:paraId="5DD52EDC" w14:textId="5FB78237" w:rsidR="008A0F97" w:rsidRPr="00333A62" w:rsidRDefault="008A0F97" w:rsidP="00D418FF">
      <w:pPr>
        <w:pStyle w:val="Paragraphedeliste"/>
        <w:numPr>
          <w:ilvl w:val="0"/>
          <w:numId w:val="7"/>
        </w:numPr>
        <w:spacing w:before="120" w:after="120" w:line="276" w:lineRule="auto"/>
        <w:jc w:val="both"/>
        <w:rPr>
          <w:rFonts w:ascii="Times New Roman" w:hAnsi="Times New Roman" w:cs="Times New Roman"/>
          <w:b/>
          <w:bCs/>
          <w:iCs/>
          <w:sz w:val="24"/>
          <w:szCs w:val="24"/>
          <w:lang w:val="fr-FR"/>
        </w:rPr>
      </w:pPr>
      <w:r w:rsidRPr="00333A62">
        <w:rPr>
          <w:rFonts w:ascii="Times New Roman" w:hAnsi="Times New Roman" w:cs="Times New Roman"/>
          <w:b/>
          <w:bCs/>
          <w:iCs/>
          <w:sz w:val="24"/>
          <w:szCs w:val="24"/>
          <w:lang w:val="fr-FR"/>
        </w:rPr>
        <w:t xml:space="preserve">Extension du PBF à l’échelle nationale </w:t>
      </w:r>
    </w:p>
    <w:p w14:paraId="56739579" w14:textId="77777777" w:rsidR="008A0F97" w:rsidRPr="00333A62" w:rsidRDefault="008A0F97" w:rsidP="00333A62">
      <w:pPr>
        <w:spacing w:before="120" w:after="120" w:line="276" w:lineRule="auto"/>
        <w:jc w:val="both"/>
        <w:rPr>
          <w:rFonts w:ascii="Times New Roman" w:hAnsi="Times New Roman" w:cs="Times New Roman"/>
          <w:bCs/>
          <w:iCs/>
          <w:sz w:val="24"/>
          <w:szCs w:val="24"/>
          <w:lang w:val="fr-FR"/>
        </w:rPr>
      </w:pPr>
      <w:r w:rsidRPr="00333A62">
        <w:rPr>
          <w:rFonts w:ascii="Times New Roman" w:hAnsi="Times New Roman" w:cs="Times New Roman"/>
          <w:bCs/>
          <w:iCs/>
          <w:sz w:val="24"/>
          <w:szCs w:val="24"/>
          <w:lang w:val="fr-FR"/>
        </w:rPr>
        <w:t>De façon graduelle l’approche de financement basé sur la performance sera étendue à l’ensemble des établissements et institutions sanitaires du territoire national. Il s’agira, par cette intervention d’assurer graduellement un financement et une gestion du dispositif et de ces opérations par le Budget de l’Etat. Cette intervention appuiera le paiement des subsides des établissements de santé, des régulateurs, des prestations de l'Agence de Contractualisation et de Vérification et des Organisations à Base Communautaire. L’intervention appuiera également la formation des intervenants et le suiv-évaluation des résultats du dispositif.</w:t>
      </w:r>
    </w:p>
    <w:p w14:paraId="2B3A1DD9" w14:textId="77777777" w:rsidR="008A0F97" w:rsidRPr="00333A62" w:rsidRDefault="008A0F97" w:rsidP="00D418FF">
      <w:pPr>
        <w:pStyle w:val="Paragraphedeliste"/>
        <w:numPr>
          <w:ilvl w:val="0"/>
          <w:numId w:val="7"/>
        </w:numPr>
        <w:spacing w:before="120" w:after="120" w:line="276" w:lineRule="auto"/>
        <w:jc w:val="both"/>
        <w:rPr>
          <w:rFonts w:ascii="Times New Roman" w:hAnsi="Times New Roman" w:cs="Times New Roman"/>
          <w:b/>
          <w:bCs/>
          <w:iCs/>
          <w:sz w:val="24"/>
          <w:szCs w:val="24"/>
          <w:lang w:val="fr-FR"/>
        </w:rPr>
      </w:pPr>
      <w:r w:rsidRPr="00333A62">
        <w:rPr>
          <w:rFonts w:ascii="Times New Roman" w:hAnsi="Times New Roman" w:cs="Times New Roman"/>
          <w:b/>
          <w:bCs/>
          <w:iCs/>
          <w:sz w:val="24"/>
          <w:szCs w:val="24"/>
          <w:lang w:val="fr-FR"/>
        </w:rPr>
        <w:t>Extension de la couverture de la CMU</w:t>
      </w:r>
    </w:p>
    <w:p w14:paraId="6F97CDF8" w14:textId="77777777" w:rsidR="008A0F97" w:rsidRPr="00333A62" w:rsidRDefault="008A0F97" w:rsidP="00333A62">
      <w:pPr>
        <w:spacing w:before="120" w:after="120" w:line="276" w:lineRule="auto"/>
        <w:jc w:val="both"/>
        <w:rPr>
          <w:rFonts w:ascii="Times New Roman" w:hAnsi="Times New Roman" w:cs="Times New Roman"/>
          <w:bCs/>
          <w:iCs/>
          <w:sz w:val="24"/>
          <w:szCs w:val="24"/>
          <w:lang w:val="fr-FR"/>
        </w:rPr>
      </w:pPr>
      <w:r w:rsidRPr="00333A62">
        <w:rPr>
          <w:rFonts w:ascii="Times New Roman" w:hAnsi="Times New Roman" w:cs="Times New Roman"/>
          <w:bCs/>
          <w:iCs/>
          <w:sz w:val="24"/>
          <w:szCs w:val="24"/>
          <w:lang w:val="fr-FR"/>
        </w:rPr>
        <w:t>Pour l’extension de la couverture maladie universelle, l’action prioritaire initiale consistera à soutenir la Caisse Nationale d’Assurance Maladie pour la prise en charge des indigents à travers des activités préparatoires (études préliminaires, table ronde des bailleurs et adoption de la CCM en conseil de gouvernement), et la mise en place des organes de coordination.</w:t>
      </w:r>
    </w:p>
    <w:p w14:paraId="2DC58F84" w14:textId="77777777" w:rsidR="008A0F97" w:rsidRPr="00333A62" w:rsidRDefault="008A0F97" w:rsidP="00333A62">
      <w:pPr>
        <w:spacing w:before="120" w:after="120" w:line="276" w:lineRule="auto"/>
        <w:jc w:val="both"/>
        <w:rPr>
          <w:rFonts w:ascii="Times New Roman" w:hAnsi="Times New Roman" w:cs="Times New Roman"/>
          <w:bCs/>
          <w:iCs/>
          <w:sz w:val="24"/>
          <w:szCs w:val="24"/>
          <w:lang w:val="fr-FR"/>
        </w:rPr>
      </w:pPr>
      <w:r w:rsidRPr="00333A62">
        <w:rPr>
          <w:rFonts w:ascii="Times New Roman" w:hAnsi="Times New Roman" w:cs="Times New Roman"/>
          <w:bCs/>
          <w:iCs/>
          <w:sz w:val="24"/>
          <w:szCs w:val="24"/>
          <w:lang w:val="fr-FR"/>
        </w:rPr>
        <w:t>Il s’agira également de soutenir les actions de généralisation progressive de la CMU d’une manière coordonnée avec le déploiement de l’approche de financement basé sur la performance de manière à mettre ces deux réformes en synergie et démultiplier leur portée respective.</w:t>
      </w:r>
    </w:p>
    <w:p w14:paraId="0F1F8E80" w14:textId="77777777" w:rsidR="008A0F97" w:rsidRDefault="008A0F97" w:rsidP="00333A62">
      <w:pPr>
        <w:spacing w:before="120" w:after="120" w:line="276" w:lineRule="auto"/>
        <w:jc w:val="both"/>
        <w:rPr>
          <w:rFonts w:ascii="Times New Roman" w:hAnsi="Times New Roman" w:cs="Times New Roman"/>
          <w:bCs/>
          <w:iCs/>
          <w:sz w:val="24"/>
          <w:szCs w:val="24"/>
          <w:lang w:val="fr-FR"/>
        </w:rPr>
      </w:pPr>
      <w:r w:rsidRPr="00333A62">
        <w:rPr>
          <w:rFonts w:ascii="Times New Roman" w:hAnsi="Times New Roman" w:cs="Times New Roman"/>
          <w:bCs/>
          <w:iCs/>
          <w:sz w:val="24"/>
          <w:szCs w:val="24"/>
          <w:lang w:val="fr-FR"/>
        </w:rPr>
        <w:t>Dans le même temps, les efforts de la CNAM pour le renforcement de l’opérationnalisation de la CMU seront soutenus. Il s’agira du développement de la prise en compte des prestations du secteur informel dans le cadre de la CMU, du renforcement des capacités des intervenants et de l’informatisation des services d’enregistrement des clients des établissements de santé.</w:t>
      </w:r>
    </w:p>
    <w:p w14:paraId="070627B2" w14:textId="77777777" w:rsidR="00723BEC" w:rsidRDefault="00723BEC" w:rsidP="00333A62">
      <w:pPr>
        <w:spacing w:before="120" w:after="120" w:line="276" w:lineRule="auto"/>
        <w:jc w:val="both"/>
        <w:rPr>
          <w:rFonts w:ascii="Times New Roman" w:hAnsi="Times New Roman" w:cs="Times New Roman"/>
          <w:bCs/>
          <w:iCs/>
          <w:sz w:val="24"/>
          <w:szCs w:val="24"/>
          <w:lang w:val="fr-FR"/>
        </w:rPr>
      </w:pPr>
    </w:p>
    <w:p w14:paraId="48AA8C48" w14:textId="5D70FE12" w:rsidR="008A0F97" w:rsidRPr="00333A62" w:rsidRDefault="008A0F97" w:rsidP="00D418FF">
      <w:pPr>
        <w:pStyle w:val="Paragraphedeliste"/>
        <w:numPr>
          <w:ilvl w:val="0"/>
          <w:numId w:val="7"/>
        </w:numPr>
        <w:spacing w:before="120" w:after="120" w:line="276" w:lineRule="auto"/>
        <w:jc w:val="both"/>
        <w:rPr>
          <w:rFonts w:ascii="Times New Roman" w:hAnsi="Times New Roman" w:cs="Times New Roman"/>
          <w:b/>
          <w:bCs/>
          <w:iCs/>
          <w:sz w:val="24"/>
          <w:szCs w:val="24"/>
          <w:lang w:val="fr-FR"/>
        </w:rPr>
      </w:pPr>
      <w:r w:rsidRPr="00333A62">
        <w:rPr>
          <w:rFonts w:ascii="Times New Roman" w:hAnsi="Times New Roman" w:cs="Times New Roman"/>
          <w:b/>
          <w:bCs/>
          <w:iCs/>
          <w:sz w:val="24"/>
          <w:szCs w:val="24"/>
          <w:lang w:val="fr-FR"/>
        </w:rPr>
        <w:lastRenderedPageBreak/>
        <w:t>Reformulation de la méthodolog</w:t>
      </w:r>
      <w:r w:rsidR="008C105C">
        <w:rPr>
          <w:rFonts w:ascii="Times New Roman" w:hAnsi="Times New Roman" w:cs="Times New Roman"/>
          <w:b/>
          <w:bCs/>
          <w:iCs/>
          <w:sz w:val="24"/>
          <w:szCs w:val="24"/>
          <w:lang w:val="fr-FR"/>
        </w:rPr>
        <w:t>ie d’allocation budgétaire</w:t>
      </w:r>
    </w:p>
    <w:p w14:paraId="51D48072" w14:textId="77777777" w:rsidR="008A0F97" w:rsidRPr="00333A62" w:rsidRDefault="008A0F97" w:rsidP="00333A62">
      <w:pPr>
        <w:spacing w:before="120" w:after="120" w:line="276" w:lineRule="auto"/>
        <w:jc w:val="both"/>
        <w:rPr>
          <w:rFonts w:ascii="Times New Roman" w:hAnsi="Times New Roman" w:cs="Times New Roman"/>
          <w:bCs/>
          <w:iCs/>
          <w:sz w:val="24"/>
          <w:szCs w:val="24"/>
        </w:rPr>
      </w:pPr>
      <w:r w:rsidRPr="00333A62">
        <w:rPr>
          <w:rFonts w:ascii="Times New Roman" w:hAnsi="Times New Roman" w:cs="Times New Roman"/>
          <w:bCs/>
          <w:iCs/>
          <w:sz w:val="24"/>
          <w:szCs w:val="24"/>
        </w:rPr>
        <w:t xml:space="preserve">La Reformulation de la méthodologie d’allocation budgétaire (MAB) actuellement utilisée par la DAF du ministère en charge de la santé permettra d’intégrer à la fois l’alignement sur les priorités sectorielles, la prise en compte des besoins objectifs des unités du secteur de la santé et s’appuiera sur la nouvelle architecture de gestion des Finances Publiques. </w:t>
      </w:r>
    </w:p>
    <w:p w14:paraId="60506A88" w14:textId="77777777" w:rsidR="008A0F97" w:rsidRPr="00333A62" w:rsidRDefault="008A0F97" w:rsidP="00333A62">
      <w:pPr>
        <w:spacing w:before="120" w:after="120" w:line="276" w:lineRule="auto"/>
        <w:jc w:val="both"/>
        <w:rPr>
          <w:rFonts w:ascii="Times New Roman" w:hAnsi="Times New Roman" w:cs="Times New Roman"/>
          <w:bCs/>
          <w:iCs/>
          <w:sz w:val="24"/>
          <w:szCs w:val="24"/>
        </w:rPr>
      </w:pPr>
      <w:r w:rsidRPr="00333A62">
        <w:rPr>
          <w:rFonts w:ascii="Times New Roman" w:hAnsi="Times New Roman" w:cs="Times New Roman"/>
          <w:bCs/>
          <w:iCs/>
          <w:sz w:val="24"/>
          <w:szCs w:val="24"/>
        </w:rPr>
        <w:t>Cette reformulation sera conduite en deux étapes : le renforcement du cadre de planification-budgétisation et la révision des critères de la MAB et leur pondération.</w:t>
      </w:r>
    </w:p>
    <w:p w14:paraId="0813CA70" w14:textId="77777777" w:rsidR="008A0F97" w:rsidRPr="00333A62" w:rsidRDefault="008A0F97" w:rsidP="00D418FF">
      <w:pPr>
        <w:pStyle w:val="Paragraphedeliste"/>
        <w:numPr>
          <w:ilvl w:val="0"/>
          <w:numId w:val="7"/>
        </w:numPr>
        <w:spacing w:before="120" w:after="120" w:line="276" w:lineRule="auto"/>
        <w:jc w:val="both"/>
        <w:rPr>
          <w:rFonts w:ascii="Times New Roman" w:hAnsi="Times New Roman" w:cs="Times New Roman"/>
          <w:b/>
          <w:bCs/>
          <w:iCs/>
          <w:sz w:val="24"/>
          <w:szCs w:val="24"/>
          <w:lang w:val="fr-FR"/>
        </w:rPr>
      </w:pPr>
      <w:r w:rsidRPr="00333A62">
        <w:rPr>
          <w:rFonts w:ascii="Times New Roman" w:hAnsi="Times New Roman" w:cs="Times New Roman"/>
          <w:b/>
          <w:bCs/>
          <w:iCs/>
          <w:sz w:val="24"/>
          <w:szCs w:val="24"/>
          <w:lang w:val="fr-FR"/>
        </w:rPr>
        <w:t>Mise en place d’une comptabilité de gestion dans les unités du ministère de la santé.</w:t>
      </w:r>
    </w:p>
    <w:p w14:paraId="7A49D4CB" w14:textId="77777777" w:rsidR="008A0F97" w:rsidRPr="00333A62" w:rsidRDefault="008A0F97" w:rsidP="00333A62">
      <w:pPr>
        <w:spacing w:before="120" w:after="120" w:line="276" w:lineRule="auto"/>
        <w:jc w:val="both"/>
        <w:rPr>
          <w:rFonts w:ascii="Times New Roman" w:hAnsi="Times New Roman" w:cs="Times New Roman"/>
          <w:bCs/>
          <w:iCs/>
          <w:sz w:val="24"/>
          <w:szCs w:val="24"/>
        </w:rPr>
      </w:pPr>
      <w:r w:rsidRPr="00333A62">
        <w:rPr>
          <w:rFonts w:ascii="Times New Roman" w:hAnsi="Times New Roman" w:cs="Times New Roman"/>
          <w:bCs/>
          <w:iCs/>
          <w:sz w:val="24"/>
          <w:szCs w:val="24"/>
        </w:rPr>
        <w:t xml:space="preserve">Pour la maitrise de l’utilisation effective des ressources en vue des buts assignés, il s’agira d’appuyer la mise en place dans les établissements sanitaires et les structures d’appui du MSHP, d’instruments permettant de retracer l’utilisation des ressources financières et leur affectation à des services et des produits à travers un dispositif de comptabilité de gestion. </w:t>
      </w:r>
    </w:p>
    <w:p w14:paraId="7D757318" w14:textId="77777777" w:rsidR="008A0F97" w:rsidRPr="00333A62" w:rsidRDefault="008A0F97" w:rsidP="00333A62">
      <w:pPr>
        <w:spacing w:before="120" w:after="120" w:line="276" w:lineRule="auto"/>
        <w:jc w:val="both"/>
        <w:rPr>
          <w:rFonts w:ascii="Times New Roman" w:hAnsi="Times New Roman" w:cs="Times New Roman"/>
          <w:bCs/>
          <w:iCs/>
          <w:sz w:val="24"/>
          <w:szCs w:val="24"/>
        </w:rPr>
      </w:pPr>
      <w:r w:rsidRPr="00333A62">
        <w:rPr>
          <w:rFonts w:ascii="Times New Roman" w:hAnsi="Times New Roman" w:cs="Times New Roman"/>
          <w:bCs/>
          <w:iCs/>
          <w:sz w:val="24"/>
          <w:szCs w:val="24"/>
        </w:rPr>
        <w:t>L’intervention se déclinera en trois actions : élaboration et mise en vigueur d’un dispositif de comptabilité de gestion ; Réorganisation des emplois de gestion financière et comptable ; renforcement des compétences des responsables de la gestion.</w:t>
      </w:r>
    </w:p>
    <w:p w14:paraId="1DCD4998" w14:textId="77777777" w:rsidR="008A0F97" w:rsidRPr="00333A62" w:rsidRDefault="008A0F97" w:rsidP="00D418FF">
      <w:pPr>
        <w:pStyle w:val="Paragraphedeliste"/>
        <w:numPr>
          <w:ilvl w:val="0"/>
          <w:numId w:val="7"/>
        </w:numPr>
        <w:spacing w:before="120" w:after="120" w:line="276" w:lineRule="auto"/>
        <w:jc w:val="both"/>
        <w:rPr>
          <w:rFonts w:ascii="Times New Roman" w:hAnsi="Times New Roman" w:cs="Times New Roman"/>
          <w:b/>
          <w:bCs/>
          <w:iCs/>
          <w:sz w:val="24"/>
          <w:szCs w:val="24"/>
          <w:lang w:val="fr-FR"/>
        </w:rPr>
      </w:pPr>
      <w:r w:rsidRPr="00333A62">
        <w:rPr>
          <w:rFonts w:ascii="Times New Roman" w:hAnsi="Times New Roman" w:cs="Times New Roman"/>
          <w:b/>
          <w:bCs/>
          <w:iCs/>
          <w:sz w:val="24"/>
          <w:szCs w:val="24"/>
          <w:lang w:val="fr-FR"/>
        </w:rPr>
        <w:t>Développement et déploiement d’un système d’information comptable et financier (SICF).</w:t>
      </w:r>
    </w:p>
    <w:p w14:paraId="678D1905" w14:textId="77777777" w:rsidR="008A0F97" w:rsidRPr="00333A62" w:rsidRDefault="008A0F97" w:rsidP="00333A62">
      <w:pPr>
        <w:spacing w:before="120" w:after="120" w:line="276" w:lineRule="auto"/>
        <w:jc w:val="both"/>
        <w:rPr>
          <w:rFonts w:ascii="Times New Roman" w:hAnsi="Times New Roman" w:cs="Times New Roman"/>
          <w:bCs/>
          <w:iCs/>
          <w:sz w:val="24"/>
          <w:szCs w:val="24"/>
        </w:rPr>
      </w:pPr>
      <w:r w:rsidRPr="00333A62">
        <w:rPr>
          <w:rFonts w:ascii="Times New Roman" w:hAnsi="Times New Roman" w:cs="Times New Roman"/>
          <w:bCs/>
          <w:iCs/>
          <w:sz w:val="24"/>
          <w:szCs w:val="24"/>
        </w:rPr>
        <w:t>Pour permettre aux instances de régulation du secteur de la santé d’avoir de meilleures capacités de prise de décisions, une meilleure con naissance des flux de trésorerie, des données comptables et financières plus exactes, un contrôle accru, un système d’information comptable et financier sera conçu, développé et mis en place dans le réseau des établissements sanitaires publics dans un premier temps. Par la suite des développements modulaires permettront d’inclure les données du secteur privé sanitaire et les actions des partenaires.</w:t>
      </w:r>
    </w:p>
    <w:p w14:paraId="2B05B5A0" w14:textId="77777777" w:rsidR="008A0F97" w:rsidRPr="00333A62" w:rsidRDefault="008A0F97" w:rsidP="00D418FF">
      <w:pPr>
        <w:pStyle w:val="Paragraphedeliste"/>
        <w:numPr>
          <w:ilvl w:val="0"/>
          <w:numId w:val="7"/>
        </w:numPr>
        <w:spacing w:before="120" w:after="120" w:line="276" w:lineRule="auto"/>
        <w:jc w:val="both"/>
        <w:rPr>
          <w:rFonts w:ascii="Times New Roman" w:hAnsi="Times New Roman" w:cs="Times New Roman"/>
          <w:b/>
          <w:bCs/>
          <w:iCs/>
          <w:sz w:val="24"/>
          <w:szCs w:val="24"/>
          <w:lang w:val="fr-FR"/>
        </w:rPr>
      </w:pPr>
      <w:r w:rsidRPr="00333A62">
        <w:rPr>
          <w:rFonts w:ascii="Times New Roman" w:hAnsi="Times New Roman" w:cs="Times New Roman"/>
          <w:b/>
          <w:bCs/>
          <w:iCs/>
          <w:sz w:val="24"/>
          <w:szCs w:val="24"/>
          <w:lang w:val="fr-FR"/>
        </w:rPr>
        <w:t>Elaboration, diffusion et mise en œuvre d’une politique de décentralisation sanitaire</w:t>
      </w:r>
    </w:p>
    <w:p w14:paraId="151588AE" w14:textId="77777777" w:rsidR="008A0F97" w:rsidRPr="00333A62" w:rsidRDefault="008A0F97" w:rsidP="00333A62">
      <w:pPr>
        <w:spacing w:before="120" w:after="120" w:line="276" w:lineRule="auto"/>
        <w:jc w:val="both"/>
        <w:rPr>
          <w:rFonts w:ascii="Times New Roman" w:hAnsi="Times New Roman" w:cs="Times New Roman"/>
          <w:bCs/>
          <w:iCs/>
          <w:sz w:val="24"/>
          <w:szCs w:val="24"/>
        </w:rPr>
      </w:pPr>
      <w:r w:rsidRPr="00333A62">
        <w:rPr>
          <w:rFonts w:ascii="Times New Roman" w:hAnsi="Times New Roman" w:cs="Times New Roman"/>
          <w:bCs/>
          <w:iCs/>
          <w:sz w:val="24"/>
          <w:szCs w:val="24"/>
        </w:rPr>
        <w:t>En vue de formuler une doctrine et une stratégie de déconcentration, dévolution, et délégation des fonctions actuellement gérés par le ministère de la santé, un appui sera apporté à l’élaboration d’un document de décentralisation du système de santé. Ce document prendra en compte les questions d’organisation générale des soins y incluses la détermination du district sanitaire comme base de la pyramide sanitaire, celles du statut et de l’ancrage institutionnel des hôpitaux et établissements de premier contact, celles encore du transfert des fonctions d’allocation et d’exécution des ressources, de suivi et de contrôle des activités des unités de production de soins et celles de la place et du rôle des programmes verticaux.</w:t>
      </w:r>
    </w:p>
    <w:p w14:paraId="76292E9C" w14:textId="77777777" w:rsidR="008A0F97" w:rsidRPr="00333A62" w:rsidRDefault="008A0F97" w:rsidP="00333A62">
      <w:pPr>
        <w:spacing w:before="120" w:after="120" w:line="276" w:lineRule="auto"/>
        <w:jc w:val="both"/>
        <w:rPr>
          <w:rFonts w:ascii="Times New Roman" w:hAnsi="Times New Roman" w:cs="Times New Roman"/>
          <w:bCs/>
          <w:iCs/>
          <w:sz w:val="24"/>
          <w:szCs w:val="24"/>
        </w:rPr>
      </w:pPr>
      <w:r w:rsidRPr="00333A62">
        <w:rPr>
          <w:rFonts w:ascii="Times New Roman" w:hAnsi="Times New Roman" w:cs="Times New Roman"/>
          <w:bCs/>
          <w:iCs/>
          <w:sz w:val="24"/>
          <w:szCs w:val="24"/>
        </w:rPr>
        <w:t>Le document de politique sera assorti de mesures traduisant cette vision et cette stratégie en documents normatifs et opposables.</w:t>
      </w:r>
    </w:p>
    <w:p w14:paraId="24EE07BE" w14:textId="77777777" w:rsidR="008A0F97" w:rsidRPr="00333A62" w:rsidRDefault="008A0F97" w:rsidP="00D418FF">
      <w:pPr>
        <w:pStyle w:val="Paragraphedeliste"/>
        <w:numPr>
          <w:ilvl w:val="0"/>
          <w:numId w:val="7"/>
        </w:numPr>
        <w:spacing w:before="120" w:after="120" w:line="276" w:lineRule="auto"/>
        <w:jc w:val="both"/>
        <w:rPr>
          <w:rFonts w:ascii="Times New Roman" w:hAnsi="Times New Roman" w:cs="Times New Roman"/>
          <w:b/>
          <w:bCs/>
          <w:iCs/>
          <w:sz w:val="24"/>
          <w:szCs w:val="24"/>
          <w:lang w:val="fr-FR"/>
        </w:rPr>
      </w:pPr>
      <w:r w:rsidRPr="00333A62">
        <w:rPr>
          <w:rFonts w:ascii="Times New Roman" w:hAnsi="Times New Roman" w:cs="Times New Roman"/>
          <w:b/>
          <w:bCs/>
          <w:iCs/>
          <w:sz w:val="24"/>
          <w:szCs w:val="24"/>
          <w:lang w:val="fr-FR"/>
        </w:rPr>
        <w:t>Amélioration de la capacité normative et opérationnelle des structures chargées de l’entretien et de la maintenance</w:t>
      </w:r>
    </w:p>
    <w:p w14:paraId="5AABBB3F" w14:textId="77777777" w:rsidR="008A0F97" w:rsidRPr="00333A62" w:rsidRDefault="008A0F97" w:rsidP="00333A62">
      <w:pPr>
        <w:spacing w:before="120" w:after="120" w:line="276" w:lineRule="auto"/>
        <w:jc w:val="both"/>
        <w:rPr>
          <w:rFonts w:ascii="Times New Roman" w:hAnsi="Times New Roman" w:cs="Times New Roman"/>
          <w:bCs/>
          <w:iCs/>
          <w:sz w:val="24"/>
          <w:szCs w:val="24"/>
        </w:rPr>
      </w:pPr>
      <w:r w:rsidRPr="00333A62">
        <w:rPr>
          <w:rFonts w:ascii="Times New Roman" w:hAnsi="Times New Roman" w:cs="Times New Roman"/>
          <w:bCs/>
          <w:iCs/>
          <w:sz w:val="24"/>
          <w:szCs w:val="24"/>
        </w:rPr>
        <w:t>Pour cette intervention, il s’agit de permettre aux structures en charge de l’entretien et de la maintenance de formuler des documents de normes et standards harmonisés d’acquisition, d’entretien et de maintenance des infrastructures et des équipements des établissements de santé.</w:t>
      </w:r>
    </w:p>
    <w:p w14:paraId="093B34B6" w14:textId="77777777" w:rsidR="008A0F97" w:rsidRDefault="008A0F97" w:rsidP="00333A62">
      <w:pPr>
        <w:spacing w:before="120" w:after="120" w:line="276" w:lineRule="auto"/>
        <w:jc w:val="both"/>
        <w:rPr>
          <w:rFonts w:ascii="Times New Roman" w:hAnsi="Times New Roman" w:cs="Times New Roman"/>
          <w:bCs/>
          <w:iCs/>
          <w:sz w:val="24"/>
          <w:szCs w:val="24"/>
        </w:rPr>
      </w:pPr>
      <w:r w:rsidRPr="00333A62">
        <w:rPr>
          <w:rFonts w:ascii="Times New Roman" w:hAnsi="Times New Roman" w:cs="Times New Roman"/>
          <w:bCs/>
          <w:iCs/>
          <w:sz w:val="24"/>
          <w:szCs w:val="24"/>
        </w:rPr>
        <w:lastRenderedPageBreak/>
        <w:t>Il s’agira aussi de renforcer les capacités opérationnelles de ces structures pour la réalisation de leurs missions notamment par la formation des acteurs, la dotation de boites à outils et matériel roulant et la rénovation des bâtiments.</w:t>
      </w:r>
    </w:p>
    <w:p w14:paraId="440B85BB" w14:textId="77777777" w:rsidR="00AA5BA0" w:rsidRPr="00333A62" w:rsidRDefault="00AA5BA0" w:rsidP="00333A62">
      <w:pPr>
        <w:spacing w:before="120" w:after="120" w:line="276" w:lineRule="auto"/>
        <w:jc w:val="both"/>
        <w:rPr>
          <w:rFonts w:ascii="Times New Roman" w:hAnsi="Times New Roman" w:cs="Times New Roman"/>
          <w:bCs/>
          <w:iCs/>
          <w:sz w:val="24"/>
          <w:szCs w:val="24"/>
        </w:rPr>
      </w:pPr>
    </w:p>
    <w:p w14:paraId="1030240D" w14:textId="0AD46CDF" w:rsidR="008948DB" w:rsidRPr="009929FB" w:rsidRDefault="00E04ACD" w:rsidP="00333A62">
      <w:pPr>
        <w:pStyle w:val="Titre1"/>
        <w:spacing w:before="120" w:after="120" w:line="276" w:lineRule="auto"/>
        <w:rPr>
          <w:rFonts w:ascii="Times New Roman" w:hAnsi="Times New Roman" w:cs="Times New Roman"/>
          <w:b/>
          <w:color w:val="0070C0"/>
          <w:sz w:val="24"/>
          <w:szCs w:val="24"/>
        </w:rPr>
      </w:pPr>
      <w:bookmarkStart w:id="135" w:name="_Toc1573844"/>
      <w:r w:rsidRPr="009929FB">
        <w:rPr>
          <w:rFonts w:ascii="Times New Roman" w:hAnsi="Times New Roman" w:cs="Times New Roman"/>
          <w:b/>
          <w:color w:val="0070C0"/>
          <w:sz w:val="24"/>
          <w:szCs w:val="24"/>
        </w:rPr>
        <w:t>CADRE DE MISE EN ŒUVRE</w:t>
      </w:r>
      <w:bookmarkEnd w:id="135"/>
      <w:r w:rsidRPr="009929FB">
        <w:rPr>
          <w:rFonts w:ascii="Times New Roman" w:hAnsi="Times New Roman" w:cs="Times New Roman"/>
          <w:b/>
          <w:color w:val="0070C0"/>
          <w:sz w:val="24"/>
          <w:szCs w:val="24"/>
        </w:rPr>
        <w:t xml:space="preserve"> </w:t>
      </w:r>
    </w:p>
    <w:p w14:paraId="5417A3F1" w14:textId="04EC349C" w:rsidR="00D97AEA" w:rsidRDefault="00D97AEA" w:rsidP="00333A62">
      <w:pPr>
        <w:pStyle w:val="Titre2"/>
        <w:spacing w:before="120" w:after="120" w:line="276" w:lineRule="auto"/>
        <w:rPr>
          <w:rFonts w:ascii="Times New Roman" w:hAnsi="Times New Roman" w:cs="Times New Roman"/>
          <w:b/>
          <w:color w:val="0070C0"/>
          <w:sz w:val="24"/>
          <w:szCs w:val="24"/>
        </w:rPr>
      </w:pPr>
      <w:bookmarkStart w:id="136" w:name="_Toc1573845"/>
      <w:r w:rsidRPr="00700523">
        <w:rPr>
          <w:rFonts w:ascii="Times New Roman" w:hAnsi="Times New Roman" w:cs="Times New Roman"/>
          <w:b/>
          <w:color w:val="0070C0"/>
          <w:sz w:val="24"/>
          <w:szCs w:val="24"/>
        </w:rPr>
        <w:t>Plateforme</w:t>
      </w:r>
      <w:bookmarkEnd w:id="136"/>
      <w:r w:rsidRPr="00700523">
        <w:rPr>
          <w:rFonts w:ascii="Times New Roman" w:hAnsi="Times New Roman" w:cs="Times New Roman"/>
          <w:b/>
          <w:color w:val="0070C0"/>
          <w:sz w:val="24"/>
          <w:szCs w:val="24"/>
        </w:rPr>
        <w:t xml:space="preserve"> </w:t>
      </w:r>
    </w:p>
    <w:p w14:paraId="65504547" w14:textId="401A3422" w:rsidR="00055A9E" w:rsidRPr="00055A9E" w:rsidRDefault="00055A9E" w:rsidP="00055A9E">
      <w:pPr>
        <w:spacing w:before="120" w:after="120" w:line="276" w:lineRule="auto"/>
        <w:jc w:val="both"/>
        <w:rPr>
          <w:rFonts w:ascii="Times New Roman" w:hAnsi="Times New Roman" w:cs="Times New Roman"/>
          <w:bCs/>
          <w:iCs/>
          <w:sz w:val="24"/>
          <w:szCs w:val="24"/>
        </w:rPr>
      </w:pPr>
      <w:r w:rsidRPr="00055A9E">
        <w:rPr>
          <w:rFonts w:ascii="Times New Roman" w:hAnsi="Times New Roman" w:cs="Times New Roman"/>
          <w:bCs/>
          <w:iCs/>
          <w:sz w:val="24"/>
          <w:szCs w:val="24"/>
        </w:rPr>
        <w:t xml:space="preserve">Le Comité de </w:t>
      </w:r>
      <w:r w:rsidR="008C105C" w:rsidRPr="00055A9E">
        <w:rPr>
          <w:rFonts w:ascii="Times New Roman" w:hAnsi="Times New Roman" w:cs="Times New Roman"/>
          <w:bCs/>
          <w:iCs/>
          <w:sz w:val="24"/>
          <w:szCs w:val="24"/>
        </w:rPr>
        <w:t xml:space="preserve">Coordination </w:t>
      </w:r>
      <w:r w:rsidRPr="00055A9E">
        <w:rPr>
          <w:rFonts w:ascii="Times New Roman" w:hAnsi="Times New Roman" w:cs="Times New Roman"/>
          <w:bCs/>
          <w:iCs/>
          <w:sz w:val="24"/>
          <w:szCs w:val="24"/>
        </w:rPr>
        <w:t xml:space="preserve">du </w:t>
      </w:r>
      <w:r w:rsidR="008C105C" w:rsidRPr="00055A9E">
        <w:rPr>
          <w:rFonts w:ascii="Times New Roman" w:hAnsi="Times New Roman" w:cs="Times New Roman"/>
          <w:bCs/>
          <w:iCs/>
          <w:sz w:val="24"/>
          <w:szCs w:val="24"/>
        </w:rPr>
        <w:t xml:space="preserve">Financement </w:t>
      </w:r>
      <w:r w:rsidRPr="00055A9E">
        <w:rPr>
          <w:rFonts w:ascii="Times New Roman" w:hAnsi="Times New Roman" w:cs="Times New Roman"/>
          <w:bCs/>
          <w:iCs/>
          <w:sz w:val="24"/>
          <w:szCs w:val="24"/>
        </w:rPr>
        <w:t xml:space="preserve">de la Santé (CCFS) est la plateforme qui accueille le Global Financing Facilities (GFF). A ce titre le CCFS est en charge du pilotage politique et stratégique des principales étapes du Dossier d’Investissement en SRMNEAN : </w:t>
      </w:r>
      <w:r w:rsidR="008C105C">
        <w:rPr>
          <w:rFonts w:ascii="Times New Roman" w:hAnsi="Times New Roman" w:cs="Times New Roman"/>
          <w:bCs/>
          <w:iCs/>
          <w:sz w:val="24"/>
          <w:szCs w:val="24"/>
        </w:rPr>
        <w:t>é</w:t>
      </w:r>
      <w:r w:rsidR="008C105C" w:rsidRPr="00055A9E">
        <w:rPr>
          <w:rFonts w:ascii="Times New Roman" w:hAnsi="Times New Roman" w:cs="Times New Roman"/>
          <w:bCs/>
          <w:iCs/>
          <w:sz w:val="24"/>
          <w:szCs w:val="24"/>
        </w:rPr>
        <w:t>laboration</w:t>
      </w:r>
      <w:r w:rsidRPr="00055A9E">
        <w:rPr>
          <w:rFonts w:ascii="Times New Roman" w:hAnsi="Times New Roman" w:cs="Times New Roman"/>
          <w:bCs/>
          <w:iCs/>
          <w:sz w:val="24"/>
          <w:szCs w:val="24"/>
        </w:rPr>
        <w:t xml:space="preserve"> du document de stratégie, mobilisation des ressources, mises en œuvre et suivi-évaluation-redevabilité. </w:t>
      </w:r>
    </w:p>
    <w:p w14:paraId="537EB3F2" w14:textId="363C8E46" w:rsidR="00055A9E" w:rsidRPr="00055A9E" w:rsidRDefault="00F738CC" w:rsidP="00055A9E">
      <w:pPr>
        <w:spacing w:before="120" w:after="120" w:line="276" w:lineRule="auto"/>
        <w:jc w:val="both"/>
        <w:rPr>
          <w:rFonts w:ascii="Times New Roman" w:hAnsi="Times New Roman" w:cs="Times New Roman"/>
          <w:bCs/>
          <w:iCs/>
          <w:sz w:val="24"/>
          <w:szCs w:val="24"/>
        </w:rPr>
      </w:pPr>
      <w:r>
        <w:rPr>
          <w:rFonts w:ascii="Times New Roman" w:hAnsi="Times New Roman" w:cs="Times New Roman"/>
          <w:bCs/>
          <w:iCs/>
          <w:sz w:val="24"/>
          <w:szCs w:val="24"/>
        </w:rPr>
        <w:t>Le CCFS</w:t>
      </w:r>
      <w:r w:rsidR="00055A9E" w:rsidRPr="00055A9E">
        <w:rPr>
          <w:rFonts w:ascii="Times New Roman" w:hAnsi="Times New Roman" w:cs="Times New Roman"/>
          <w:bCs/>
          <w:iCs/>
          <w:sz w:val="24"/>
          <w:szCs w:val="24"/>
        </w:rPr>
        <w:t xml:space="preserve"> assurera (i) la coordination des interventions et des acteurs, (iii) la mobilisation des acteurs impliqués dans la mise en œuvre, (iii) la collaboration intersectorielle pour agir sur les principaux déterminants de la santé et (iv) la vérification et l’analyse des résultats pour prendre les mesures correctives nécessaires dans le cadre de la redevabilité. </w:t>
      </w:r>
    </w:p>
    <w:p w14:paraId="3ECA2E1F" w14:textId="5BB7CAE6" w:rsidR="00055A9E" w:rsidRPr="00055A9E" w:rsidRDefault="00055A9E" w:rsidP="00055A9E">
      <w:pPr>
        <w:spacing w:before="120" w:after="120" w:line="276" w:lineRule="auto"/>
        <w:jc w:val="both"/>
        <w:rPr>
          <w:rFonts w:ascii="Times New Roman" w:hAnsi="Times New Roman" w:cs="Times New Roman"/>
          <w:bCs/>
          <w:iCs/>
          <w:sz w:val="24"/>
          <w:szCs w:val="24"/>
        </w:rPr>
      </w:pPr>
      <w:r w:rsidRPr="00055A9E">
        <w:rPr>
          <w:rFonts w:ascii="Times New Roman" w:hAnsi="Times New Roman" w:cs="Times New Roman"/>
          <w:bCs/>
          <w:iCs/>
          <w:sz w:val="24"/>
          <w:szCs w:val="24"/>
        </w:rPr>
        <w:t xml:space="preserve">En plus des rencontres régulières </w:t>
      </w:r>
      <w:r w:rsidR="000204E3">
        <w:rPr>
          <w:rFonts w:ascii="Times New Roman" w:hAnsi="Times New Roman" w:cs="Times New Roman"/>
          <w:bCs/>
          <w:iCs/>
          <w:sz w:val="24"/>
          <w:szCs w:val="24"/>
        </w:rPr>
        <w:t>trimestrielles</w:t>
      </w:r>
      <w:r w:rsidRPr="00055A9E">
        <w:rPr>
          <w:rFonts w:ascii="Times New Roman" w:hAnsi="Times New Roman" w:cs="Times New Roman"/>
          <w:bCs/>
          <w:iCs/>
          <w:sz w:val="24"/>
          <w:szCs w:val="24"/>
        </w:rPr>
        <w:t>, le CCFS peut organiser des missions et des études pour confirmer, sur terrain et si nécessaire, les résultats ou les problèmes rapportés.</w:t>
      </w:r>
    </w:p>
    <w:p w14:paraId="6427C8D3" w14:textId="77777777" w:rsidR="00055A9E" w:rsidRPr="00055A9E" w:rsidRDefault="00055A9E" w:rsidP="00055A9E"/>
    <w:p w14:paraId="21E3CF68" w14:textId="4E8E5614" w:rsidR="008233A2" w:rsidRPr="00700523" w:rsidRDefault="00E56A91" w:rsidP="00333A62">
      <w:pPr>
        <w:pStyle w:val="Titre2"/>
        <w:spacing w:before="120" w:after="120" w:line="276" w:lineRule="auto"/>
        <w:rPr>
          <w:rFonts w:ascii="Times New Roman" w:hAnsi="Times New Roman" w:cs="Times New Roman"/>
          <w:b/>
          <w:color w:val="0070C0"/>
          <w:sz w:val="24"/>
          <w:szCs w:val="24"/>
        </w:rPr>
      </w:pPr>
      <w:bookmarkStart w:id="137" w:name="_Toc1573846"/>
      <w:r w:rsidRPr="00700523">
        <w:rPr>
          <w:rFonts w:ascii="Times New Roman" w:hAnsi="Times New Roman" w:cs="Times New Roman"/>
          <w:b/>
          <w:color w:val="0070C0"/>
          <w:sz w:val="24"/>
          <w:szCs w:val="24"/>
        </w:rPr>
        <w:t xml:space="preserve">Niveau de mise en </w:t>
      </w:r>
      <w:r w:rsidR="00700523" w:rsidRPr="00700523">
        <w:rPr>
          <w:rFonts w:ascii="Times New Roman" w:hAnsi="Times New Roman" w:cs="Times New Roman"/>
          <w:b/>
          <w:color w:val="0070C0"/>
          <w:sz w:val="24"/>
          <w:szCs w:val="24"/>
        </w:rPr>
        <w:t>œuvre</w:t>
      </w:r>
      <w:bookmarkEnd w:id="137"/>
    </w:p>
    <w:p w14:paraId="499B1B43" w14:textId="1A94E3B8" w:rsidR="00F738CC" w:rsidRPr="008C105C" w:rsidRDefault="008233A2" w:rsidP="00F738CC">
      <w:pPr>
        <w:spacing w:before="120" w:after="120" w:line="276" w:lineRule="auto"/>
        <w:rPr>
          <w:rFonts w:ascii="Times New Roman" w:hAnsi="Times New Roman" w:cs="Times New Roman"/>
          <w:b/>
          <w:color w:val="0070C0"/>
          <w:sz w:val="24"/>
          <w:szCs w:val="24"/>
        </w:rPr>
      </w:pPr>
      <w:r w:rsidRPr="008C105C">
        <w:rPr>
          <w:rFonts w:ascii="Times New Roman" w:hAnsi="Times New Roman" w:cs="Times New Roman"/>
          <w:b/>
          <w:color w:val="0070C0"/>
          <w:sz w:val="24"/>
          <w:szCs w:val="24"/>
        </w:rPr>
        <w:t>Niveau Central</w:t>
      </w:r>
      <w:r w:rsidR="00F738CC" w:rsidRPr="008C105C">
        <w:rPr>
          <w:rFonts w:ascii="Times New Roman" w:hAnsi="Times New Roman" w:cs="Times New Roman"/>
          <w:b/>
          <w:color w:val="0070C0"/>
          <w:sz w:val="24"/>
          <w:szCs w:val="24"/>
        </w:rPr>
        <w:t xml:space="preserve"> : le Cabinet du Ministre, la direction générale de la santé et les directions centrales </w:t>
      </w:r>
    </w:p>
    <w:p w14:paraId="5E71B2CD" w14:textId="29A0656F" w:rsidR="00F738CC" w:rsidRPr="00F738CC" w:rsidRDefault="00F738CC" w:rsidP="00F738CC">
      <w:pPr>
        <w:spacing w:before="120" w:after="120" w:line="276" w:lineRule="auto"/>
        <w:jc w:val="both"/>
        <w:rPr>
          <w:rFonts w:ascii="Times New Roman" w:hAnsi="Times New Roman" w:cs="Times New Roman"/>
          <w:bCs/>
          <w:iCs/>
          <w:sz w:val="24"/>
          <w:szCs w:val="24"/>
        </w:rPr>
      </w:pPr>
      <w:r w:rsidRPr="00F738CC">
        <w:rPr>
          <w:rFonts w:ascii="Times New Roman" w:hAnsi="Times New Roman" w:cs="Times New Roman"/>
          <w:bCs/>
          <w:iCs/>
          <w:sz w:val="24"/>
          <w:szCs w:val="24"/>
        </w:rPr>
        <w:t>Le niveau central est le lieu de définition des politiques et stratégies. Il devra jouer son rôle dans (i) la coordination du système de santé et des différents acteurs de mise en œuvre, (ii) l’organisation des services, (iii) l’élaboration et la diffusion des directives, des documents normatifs, (iv) la gestion des ressources humaines, matérielles et financières en veillant à leur répartition et leur utilisation équitables, (v) l’évaluation des résultats dans une perspective d’amélioration de la performance</w:t>
      </w:r>
      <w:r w:rsidR="000204E3">
        <w:rPr>
          <w:rFonts w:ascii="Times New Roman" w:hAnsi="Times New Roman" w:cs="Times New Roman"/>
          <w:bCs/>
          <w:iCs/>
          <w:sz w:val="24"/>
          <w:szCs w:val="24"/>
        </w:rPr>
        <w:t xml:space="preserve"> du système</w:t>
      </w:r>
      <w:r w:rsidRPr="00F738CC">
        <w:rPr>
          <w:rFonts w:ascii="Times New Roman" w:hAnsi="Times New Roman" w:cs="Times New Roman"/>
          <w:bCs/>
          <w:iCs/>
          <w:sz w:val="24"/>
          <w:szCs w:val="24"/>
        </w:rPr>
        <w:t xml:space="preserve">. </w:t>
      </w:r>
    </w:p>
    <w:p w14:paraId="6A7D5FFA" w14:textId="0AA347D3" w:rsidR="00825055" w:rsidRPr="008C105C" w:rsidRDefault="008233A2" w:rsidP="00333A62">
      <w:pPr>
        <w:spacing w:before="120" w:after="120" w:line="276" w:lineRule="auto"/>
        <w:rPr>
          <w:rFonts w:ascii="Times New Roman" w:hAnsi="Times New Roman" w:cs="Times New Roman"/>
          <w:b/>
          <w:color w:val="0070C0"/>
          <w:sz w:val="24"/>
          <w:szCs w:val="24"/>
        </w:rPr>
      </w:pPr>
      <w:r w:rsidRPr="008C105C">
        <w:rPr>
          <w:rFonts w:ascii="Times New Roman" w:hAnsi="Times New Roman" w:cs="Times New Roman"/>
          <w:b/>
          <w:color w:val="0070C0"/>
          <w:sz w:val="24"/>
          <w:szCs w:val="24"/>
        </w:rPr>
        <w:t>Niveau Régional</w:t>
      </w:r>
      <w:r w:rsidR="00F738CC" w:rsidRPr="008C105C">
        <w:rPr>
          <w:rFonts w:ascii="Times New Roman" w:hAnsi="Times New Roman" w:cs="Times New Roman"/>
          <w:b/>
          <w:color w:val="0070C0"/>
          <w:sz w:val="24"/>
          <w:szCs w:val="24"/>
        </w:rPr>
        <w:t> : les directions régionales</w:t>
      </w:r>
    </w:p>
    <w:p w14:paraId="13E075DD" w14:textId="5C5575F4" w:rsidR="00F738CC" w:rsidRPr="00F738CC" w:rsidRDefault="00F738CC" w:rsidP="00F738CC">
      <w:pPr>
        <w:spacing w:before="120" w:after="120" w:line="276" w:lineRule="auto"/>
        <w:jc w:val="both"/>
        <w:rPr>
          <w:rFonts w:ascii="Times New Roman" w:hAnsi="Times New Roman" w:cs="Times New Roman"/>
          <w:bCs/>
          <w:iCs/>
          <w:sz w:val="24"/>
          <w:szCs w:val="24"/>
        </w:rPr>
      </w:pPr>
      <w:r w:rsidRPr="00F738CC">
        <w:rPr>
          <w:rFonts w:ascii="Times New Roman" w:hAnsi="Times New Roman" w:cs="Times New Roman"/>
          <w:bCs/>
          <w:iCs/>
          <w:sz w:val="24"/>
          <w:szCs w:val="24"/>
        </w:rPr>
        <w:t xml:space="preserve">Les directions régionales de la santé </w:t>
      </w:r>
      <w:r>
        <w:rPr>
          <w:rFonts w:ascii="Times New Roman" w:hAnsi="Times New Roman" w:cs="Times New Roman"/>
          <w:bCs/>
          <w:iCs/>
          <w:sz w:val="24"/>
          <w:szCs w:val="24"/>
        </w:rPr>
        <w:t>auront pour rôle de (i) c</w:t>
      </w:r>
      <w:r w:rsidRPr="00F738CC">
        <w:rPr>
          <w:rFonts w:ascii="Times New Roman" w:hAnsi="Times New Roman" w:cs="Times New Roman"/>
          <w:bCs/>
          <w:iCs/>
          <w:sz w:val="24"/>
          <w:szCs w:val="24"/>
        </w:rPr>
        <w:t xml:space="preserve">oordonner les interventions des différents acteurs de </w:t>
      </w:r>
      <w:r>
        <w:rPr>
          <w:rFonts w:ascii="Times New Roman" w:hAnsi="Times New Roman" w:cs="Times New Roman"/>
          <w:bCs/>
          <w:iCs/>
          <w:sz w:val="24"/>
          <w:szCs w:val="24"/>
        </w:rPr>
        <w:t>santé au niveau régional, (ii) é</w:t>
      </w:r>
      <w:r w:rsidRPr="00F738CC">
        <w:rPr>
          <w:rFonts w:ascii="Times New Roman" w:hAnsi="Times New Roman" w:cs="Times New Roman"/>
          <w:bCs/>
          <w:iCs/>
          <w:sz w:val="24"/>
          <w:szCs w:val="24"/>
        </w:rPr>
        <w:t>valuer la performance des équipes cadres de district dans la mise en œuvre</w:t>
      </w:r>
      <w:r>
        <w:rPr>
          <w:rFonts w:ascii="Times New Roman" w:hAnsi="Times New Roman" w:cs="Times New Roman"/>
          <w:bCs/>
          <w:iCs/>
          <w:sz w:val="24"/>
          <w:szCs w:val="24"/>
        </w:rPr>
        <w:t xml:space="preserve"> du DI, (iii) é</w:t>
      </w:r>
      <w:r w:rsidRPr="00F738CC">
        <w:rPr>
          <w:rFonts w:ascii="Times New Roman" w:hAnsi="Times New Roman" w:cs="Times New Roman"/>
          <w:bCs/>
          <w:iCs/>
          <w:sz w:val="24"/>
          <w:szCs w:val="24"/>
        </w:rPr>
        <w:t>laborer les rapports de progrès et les b</w:t>
      </w:r>
      <w:r>
        <w:rPr>
          <w:rFonts w:ascii="Times New Roman" w:hAnsi="Times New Roman" w:cs="Times New Roman"/>
          <w:bCs/>
          <w:iCs/>
          <w:sz w:val="24"/>
          <w:szCs w:val="24"/>
        </w:rPr>
        <w:t>ilans des plans d’action, (iv) s</w:t>
      </w:r>
      <w:r w:rsidRPr="00F738CC">
        <w:rPr>
          <w:rFonts w:ascii="Times New Roman" w:hAnsi="Times New Roman" w:cs="Times New Roman"/>
          <w:bCs/>
          <w:iCs/>
          <w:sz w:val="24"/>
          <w:szCs w:val="24"/>
        </w:rPr>
        <w:t>uivre la mobi</w:t>
      </w:r>
      <w:r>
        <w:rPr>
          <w:rFonts w:ascii="Times New Roman" w:hAnsi="Times New Roman" w:cs="Times New Roman"/>
          <w:bCs/>
          <w:iCs/>
          <w:sz w:val="24"/>
          <w:szCs w:val="24"/>
        </w:rPr>
        <w:t>lisation des financements, (v) p</w:t>
      </w:r>
      <w:r w:rsidRPr="00F738CC">
        <w:rPr>
          <w:rFonts w:ascii="Times New Roman" w:hAnsi="Times New Roman" w:cs="Times New Roman"/>
          <w:bCs/>
          <w:iCs/>
          <w:sz w:val="24"/>
          <w:szCs w:val="24"/>
        </w:rPr>
        <w:t xml:space="preserve">articiper à la réalisation des audits, (vi) </w:t>
      </w:r>
      <w:r>
        <w:rPr>
          <w:rFonts w:ascii="Times New Roman" w:hAnsi="Times New Roman" w:cs="Times New Roman"/>
          <w:bCs/>
          <w:iCs/>
          <w:sz w:val="24"/>
          <w:szCs w:val="24"/>
        </w:rPr>
        <w:t>c</w:t>
      </w:r>
      <w:r w:rsidRPr="00F738CC">
        <w:rPr>
          <w:rFonts w:ascii="Times New Roman" w:hAnsi="Times New Roman" w:cs="Times New Roman"/>
          <w:bCs/>
          <w:iCs/>
          <w:sz w:val="24"/>
          <w:szCs w:val="24"/>
        </w:rPr>
        <w:t>ontribuer à la réalis</w:t>
      </w:r>
      <w:r>
        <w:rPr>
          <w:rFonts w:ascii="Times New Roman" w:hAnsi="Times New Roman" w:cs="Times New Roman"/>
          <w:bCs/>
          <w:iCs/>
          <w:sz w:val="24"/>
          <w:szCs w:val="24"/>
        </w:rPr>
        <w:t>ation des évaluations et (vii) f</w:t>
      </w:r>
      <w:r w:rsidRPr="00F738CC">
        <w:rPr>
          <w:rFonts w:ascii="Times New Roman" w:hAnsi="Times New Roman" w:cs="Times New Roman"/>
          <w:bCs/>
          <w:iCs/>
          <w:sz w:val="24"/>
          <w:szCs w:val="24"/>
        </w:rPr>
        <w:t>ournir des informations permettant de renseigner les indicateurs de suivi du DI.</w:t>
      </w:r>
    </w:p>
    <w:p w14:paraId="04A2C0BF" w14:textId="2740D4F3" w:rsidR="00815703" w:rsidRPr="008C105C" w:rsidRDefault="003A573F" w:rsidP="00333A62">
      <w:pPr>
        <w:spacing w:before="120" w:after="120" w:line="276" w:lineRule="auto"/>
        <w:rPr>
          <w:rFonts w:ascii="Times New Roman" w:hAnsi="Times New Roman" w:cs="Times New Roman"/>
          <w:b/>
          <w:color w:val="0070C0"/>
          <w:sz w:val="24"/>
          <w:szCs w:val="24"/>
        </w:rPr>
      </w:pPr>
      <w:r w:rsidRPr="008C105C">
        <w:rPr>
          <w:rFonts w:ascii="Times New Roman" w:hAnsi="Times New Roman" w:cs="Times New Roman"/>
          <w:b/>
          <w:color w:val="0070C0"/>
          <w:sz w:val="24"/>
          <w:szCs w:val="24"/>
        </w:rPr>
        <w:t xml:space="preserve">Niveau opérationnel : </w:t>
      </w:r>
      <w:r w:rsidR="00EC59C3" w:rsidRPr="008C105C">
        <w:rPr>
          <w:rFonts w:ascii="Times New Roman" w:hAnsi="Times New Roman" w:cs="Times New Roman"/>
          <w:b/>
          <w:color w:val="0070C0"/>
          <w:sz w:val="24"/>
          <w:szCs w:val="24"/>
        </w:rPr>
        <w:t>les districts de santé</w:t>
      </w:r>
    </w:p>
    <w:p w14:paraId="7537F04E" w14:textId="47D72D07" w:rsidR="003A573F" w:rsidRPr="00F27A4F" w:rsidRDefault="003A573F" w:rsidP="003A573F">
      <w:pPr>
        <w:spacing w:before="120" w:after="120" w:line="276" w:lineRule="auto"/>
        <w:jc w:val="both"/>
        <w:rPr>
          <w:rFonts w:ascii="Times New Roman" w:hAnsi="Times New Roman" w:cs="Times New Roman"/>
          <w:bCs/>
          <w:iCs/>
          <w:sz w:val="24"/>
          <w:szCs w:val="24"/>
        </w:rPr>
      </w:pPr>
      <w:r w:rsidRPr="00F27A4F">
        <w:rPr>
          <w:rFonts w:ascii="Times New Roman" w:hAnsi="Times New Roman" w:cs="Times New Roman"/>
          <w:bCs/>
          <w:iCs/>
          <w:sz w:val="24"/>
          <w:szCs w:val="24"/>
        </w:rPr>
        <w:t xml:space="preserve">L’équipe cadre de district, sous la responsabilité du Médecin-Chef, </w:t>
      </w:r>
      <w:r>
        <w:rPr>
          <w:rFonts w:ascii="Times New Roman" w:hAnsi="Times New Roman" w:cs="Times New Roman"/>
          <w:bCs/>
          <w:iCs/>
          <w:sz w:val="24"/>
          <w:szCs w:val="24"/>
        </w:rPr>
        <w:t xml:space="preserve">a </w:t>
      </w:r>
      <w:r w:rsidRPr="00F27A4F">
        <w:rPr>
          <w:rFonts w:ascii="Times New Roman" w:hAnsi="Times New Roman" w:cs="Times New Roman"/>
          <w:bCs/>
          <w:iCs/>
          <w:sz w:val="24"/>
          <w:szCs w:val="24"/>
        </w:rPr>
        <w:t xml:space="preserve">pour rôle de coordonner les acteurs au niveau opérationnel, de valider les plans opérationnels et d’analyser les rapports de progrès </w:t>
      </w:r>
      <w:r>
        <w:rPr>
          <w:rFonts w:ascii="Times New Roman" w:hAnsi="Times New Roman" w:cs="Times New Roman"/>
          <w:bCs/>
          <w:iCs/>
          <w:sz w:val="24"/>
          <w:szCs w:val="24"/>
        </w:rPr>
        <w:t xml:space="preserve">Elle </w:t>
      </w:r>
      <w:r w:rsidRPr="00F27A4F">
        <w:rPr>
          <w:rFonts w:ascii="Times New Roman" w:hAnsi="Times New Roman" w:cs="Times New Roman"/>
          <w:bCs/>
          <w:iCs/>
          <w:sz w:val="24"/>
          <w:szCs w:val="24"/>
        </w:rPr>
        <w:t xml:space="preserve">est chargée de (i) Élaborer les plans opérationnels, (ii) Élaborer les rapports de progrès et les </w:t>
      </w:r>
      <w:r w:rsidRPr="00F27A4F">
        <w:rPr>
          <w:rFonts w:ascii="Times New Roman" w:hAnsi="Times New Roman" w:cs="Times New Roman"/>
          <w:bCs/>
          <w:iCs/>
          <w:sz w:val="24"/>
          <w:szCs w:val="24"/>
        </w:rPr>
        <w:lastRenderedPageBreak/>
        <w:t>bilans des plans d’action, (iii) Participer à la réalisation des audits et des évaluations, (iv) Fournir des informations permettant de renseigner les indicateurs de suivi du DI.</w:t>
      </w:r>
    </w:p>
    <w:p w14:paraId="14828AB7" w14:textId="5C1ED656" w:rsidR="00D645CB" w:rsidRPr="00700523" w:rsidRDefault="00D645CB" w:rsidP="00333A62">
      <w:pPr>
        <w:pStyle w:val="Titre2"/>
        <w:spacing w:before="120" w:after="120" w:line="276" w:lineRule="auto"/>
        <w:rPr>
          <w:rFonts w:ascii="Times New Roman" w:hAnsi="Times New Roman" w:cs="Times New Roman"/>
          <w:b/>
          <w:color w:val="0070C0"/>
          <w:sz w:val="24"/>
          <w:szCs w:val="24"/>
        </w:rPr>
      </w:pPr>
      <w:bookmarkStart w:id="138" w:name="_Toc1573847"/>
      <w:r w:rsidRPr="00700523">
        <w:rPr>
          <w:rFonts w:ascii="Times New Roman" w:hAnsi="Times New Roman" w:cs="Times New Roman"/>
          <w:b/>
          <w:color w:val="0070C0"/>
          <w:sz w:val="24"/>
          <w:szCs w:val="24"/>
        </w:rPr>
        <w:t>Les acteurs</w:t>
      </w:r>
      <w:bookmarkEnd w:id="138"/>
      <w:r w:rsidRPr="00700523">
        <w:rPr>
          <w:rFonts w:ascii="Times New Roman" w:hAnsi="Times New Roman" w:cs="Times New Roman"/>
          <w:b/>
          <w:color w:val="0070C0"/>
          <w:sz w:val="24"/>
          <w:szCs w:val="24"/>
        </w:rPr>
        <w:t xml:space="preserve"> </w:t>
      </w:r>
    </w:p>
    <w:p w14:paraId="5910BE34" w14:textId="34CB2DA2" w:rsidR="009C2D4A" w:rsidRDefault="009929FB" w:rsidP="00333A62">
      <w:pPr>
        <w:spacing w:before="120" w:after="120" w:line="276" w:lineRule="auto"/>
        <w:rPr>
          <w:rFonts w:ascii="Times New Roman" w:hAnsi="Times New Roman" w:cs="Times New Roman"/>
          <w:sz w:val="24"/>
          <w:szCs w:val="24"/>
        </w:rPr>
      </w:pPr>
      <w:r w:rsidRPr="009929FB">
        <w:rPr>
          <w:rFonts w:ascii="Times New Roman" w:hAnsi="Times New Roman" w:cs="Times New Roman"/>
          <w:b/>
          <w:sz w:val="24"/>
          <w:szCs w:val="24"/>
        </w:rPr>
        <w:t xml:space="preserve">Le </w:t>
      </w:r>
      <w:r w:rsidR="002712E3" w:rsidRPr="009929FB">
        <w:rPr>
          <w:rFonts w:ascii="Times New Roman" w:hAnsi="Times New Roman" w:cs="Times New Roman"/>
          <w:b/>
          <w:sz w:val="24"/>
          <w:szCs w:val="24"/>
        </w:rPr>
        <w:t>Gouvernement</w:t>
      </w:r>
      <w:r w:rsidR="008B48D7" w:rsidRPr="00333A62">
        <w:rPr>
          <w:rFonts w:ascii="Times New Roman" w:hAnsi="Times New Roman" w:cs="Times New Roman"/>
          <w:sz w:val="24"/>
          <w:szCs w:val="24"/>
        </w:rPr>
        <w:t xml:space="preserve"> (Le suivi de la performance et la redevabilité</w:t>
      </w:r>
      <w:r w:rsidR="00004097" w:rsidRPr="00333A62">
        <w:rPr>
          <w:rFonts w:ascii="Times New Roman" w:hAnsi="Times New Roman" w:cs="Times New Roman"/>
          <w:sz w:val="24"/>
          <w:szCs w:val="24"/>
        </w:rPr>
        <w:t xml:space="preserve"> </w:t>
      </w:r>
      <w:r w:rsidR="008B48D7" w:rsidRPr="00333A62">
        <w:rPr>
          <w:rFonts w:ascii="Times New Roman" w:hAnsi="Times New Roman" w:cs="Times New Roman"/>
          <w:sz w:val="24"/>
          <w:szCs w:val="24"/>
        </w:rPr>
        <w:t>L'agenda de recherche et apprentissage</w:t>
      </w:r>
      <w:r w:rsidR="00004097" w:rsidRPr="00333A62">
        <w:rPr>
          <w:rFonts w:ascii="Times New Roman" w:hAnsi="Times New Roman" w:cs="Times New Roman"/>
          <w:sz w:val="24"/>
          <w:szCs w:val="24"/>
        </w:rPr>
        <w:t>)</w:t>
      </w:r>
    </w:p>
    <w:p w14:paraId="6690D477" w14:textId="77777777" w:rsidR="009929FB" w:rsidRPr="009929FB" w:rsidRDefault="009929FB" w:rsidP="009929FB">
      <w:pPr>
        <w:spacing w:after="0" w:line="276" w:lineRule="auto"/>
        <w:rPr>
          <w:rFonts w:ascii="Times New Roman" w:hAnsi="Times New Roman" w:cs="Times New Roman"/>
          <w:bCs/>
          <w:iCs/>
          <w:sz w:val="24"/>
          <w:szCs w:val="24"/>
        </w:rPr>
      </w:pPr>
      <w:r w:rsidRPr="009929FB">
        <w:rPr>
          <w:rFonts w:ascii="Times New Roman" w:hAnsi="Times New Roman" w:cs="Times New Roman"/>
          <w:b/>
          <w:bCs/>
          <w:iCs/>
          <w:sz w:val="24"/>
          <w:szCs w:val="24"/>
        </w:rPr>
        <w:t>Les communautés</w:t>
      </w:r>
      <w:r w:rsidRPr="009929FB">
        <w:rPr>
          <w:rFonts w:ascii="Times New Roman" w:hAnsi="Times New Roman" w:cs="Times New Roman"/>
          <w:bCs/>
          <w:iCs/>
          <w:sz w:val="24"/>
          <w:szCs w:val="24"/>
        </w:rPr>
        <w:t> :</w:t>
      </w:r>
    </w:p>
    <w:p w14:paraId="5D33C294" w14:textId="77777777" w:rsidR="009929FB" w:rsidRDefault="009929FB" w:rsidP="009929FB">
      <w:pPr>
        <w:pStyle w:val="Default"/>
        <w:jc w:val="both"/>
        <w:rPr>
          <w:bCs/>
          <w:iCs/>
          <w:color w:val="auto"/>
          <w:lang w:val="fr-CA"/>
        </w:rPr>
      </w:pPr>
      <w:r w:rsidRPr="00F27A4F">
        <w:rPr>
          <w:bCs/>
          <w:iCs/>
          <w:color w:val="auto"/>
          <w:lang w:val="fr-CA"/>
        </w:rPr>
        <w:t>Les acteurs communautaires auront pour rôle (i) d’améliorer la couverture en interventions SRMNEA-N, de la pratique communautaire, pour les populations éloignées ou d’accès difficiles, (ii) de promouvoir les comportements favorables à la santé par la levée de pesanteurs socio-culturelles et (iii) d’améliorer la demande et l’utilisation de services SRMNEA par l’information</w:t>
      </w:r>
      <w:r>
        <w:rPr>
          <w:bCs/>
          <w:iCs/>
          <w:color w:val="auto"/>
          <w:lang w:val="fr-CA"/>
        </w:rPr>
        <w:t>.</w:t>
      </w:r>
    </w:p>
    <w:p w14:paraId="4310621D" w14:textId="77777777" w:rsidR="009929FB" w:rsidRPr="00333A62" w:rsidRDefault="009929FB" w:rsidP="00333A62">
      <w:pPr>
        <w:spacing w:before="120" w:after="120" w:line="276" w:lineRule="auto"/>
        <w:rPr>
          <w:rFonts w:ascii="Times New Roman" w:hAnsi="Times New Roman" w:cs="Times New Roman"/>
          <w:sz w:val="24"/>
          <w:szCs w:val="24"/>
        </w:rPr>
      </w:pPr>
    </w:p>
    <w:p w14:paraId="03D990D1" w14:textId="4C4BAEBE" w:rsidR="002712E3" w:rsidRPr="009929FB" w:rsidRDefault="009929FB" w:rsidP="009929FB">
      <w:pPr>
        <w:spacing w:after="0" w:line="276" w:lineRule="auto"/>
        <w:rPr>
          <w:rFonts w:ascii="Times New Roman" w:hAnsi="Times New Roman" w:cs="Times New Roman"/>
          <w:bCs/>
          <w:iCs/>
          <w:sz w:val="24"/>
          <w:szCs w:val="24"/>
        </w:rPr>
      </w:pPr>
      <w:r w:rsidRPr="009929FB">
        <w:rPr>
          <w:rFonts w:ascii="Times New Roman" w:hAnsi="Times New Roman" w:cs="Times New Roman"/>
          <w:b/>
          <w:bCs/>
          <w:iCs/>
          <w:sz w:val="24"/>
          <w:szCs w:val="24"/>
        </w:rPr>
        <w:t xml:space="preserve">La </w:t>
      </w:r>
      <w:r w:rsidR="002712E3" w:rsidRPr="009929FB">
        <w:rPr>
          <w:rFonts w:ascii="Times New Roman" w:hAnsi="Times New Roman" w:cs="Times New Roman"/>
          <w:b/>
          <w:bCs/>
          <w:iCs/>
          <w:sz w:val="24"/>
          <w:szCs w:val="24"/>
        </w:rPr>
        <w:t>Société civile</w:t>
      </w:r>
      <w:r w:rsidRPr="009929FB">
        <w:rPr>
          <w:rFonts w:ascii="Times New Roman" w:hAnsi="Times New Roman" w:cs="Times New Roman"/>
          <w:bCs/>
          <w:iCs/>
          <w:sz w:val="24"/>
          <w:szCs w:val="24"/>
        </w:rPr>
        <w:t> :</w:t>
      </w:r>
    </w:p>
    <w:p w14:paraId="7DF5132B" w14:textId="77777777" w:rsidR="009929FB" w:rsidRPr="00F27A4F" w:rsidRDefault="009929FB" w:rsidP="003E39A2">
      <w:pPr>
        <w:spacing w:after="0" w:line="276" w:lineRule="auto"/>
        <w:jc w:val="both"/>
        <w:rPr>
          <w:rFonts w:ascii="Times New Roman" w:hAnsi="Times New Roman" w:cs="Times New Roman"/>
          <w:bCs/>
          <w:iCs/>
          <w:sz w:val="24"/>
          <w:szCs w:val="24"/>
        </w:rPr>
      </w:pPr>
      <w:r w:rsidRPr="00F27A4F">
        <w:rPr>
          <w:rFonts w:ascii="Times New Roman" w:hAnsi="Times New Roman" w:cs="Times New Roman"/>
          <w:bCs/>
          <w:iCs/>
          <w:sz w:val="24"/>
          <w:szCs w:val="24"/>
        </w:rPr>
        <w:t>L’implication de la société civile sera importante en particulier dans les aspects s</w:t>
      </w:r>
      <w:r>
        <w:rPr>
          <w:rFonts w:ascii="Times New Roman" w:hAnsi="Times New Roman" w:cs="Times New Roman"/>
          <w:bCs/>
          <w:iCs/>
          <w:sz w:val="24"/>
          <w:szCs w:val="24"/>
        </w:rPr>
        <w:t xml:space="preserve">uivants : (i) la mobilisation pour créer </w:t>
      </w:r>
      <w:r w:rsidRPr="00F27A4F">
        <w:rPr>
          <w:rFonts w:ascii="Times New Roman" w:hAnsi="Times New Roman" w:cs="Times New Roman"/>
          <w:bCs/>
          <w:iCs/>
          <w:sz w:val="24"/>
          <w:szCs w:val="24"/>
        </w:rPr>
        <w:t>un environneme</w:t>
      </w:r>
      <w:r>
        <w:rPr>
          <w:rFonts w:ascii="Times New Roman" w:hAnsi="Times New Roman" w:cs="Times New Roman"/>
          <w:bCs/>
          <w:iCs/>
          <w:sz w:val="24"/>
          <w:szCs w:val="24"/>
        </w:rPr>
        <w:t>nt favorable à la SRMNIA-N, (ii</w:t>
      </w:r>
      <w:r w:rsidRPr="00F27A4F">
        <w:rPr>
          <w:rFonts w:ascii="Times New Roman" w:hAnsi="Times New Roman" w:cs="Times New Roman"/>
          <w:bCs/>
          <w:iCs/>
          <w:sz w:val="24"/>
          <w:szCs w:val="24"/>
        </w:rPr>
        <w:t xml:space="preserve">) la veille citoyenne pour le suivi et le contrôle de l’effectivité des engagements pris par les différents acteurs, le niveau de satisfaction des populations et le respect des droits des populations pauvres défavorisées et (iv) la mobilisation des ressources locales ou externes dans la mise en œuvre du dossier d’Investissement. </w:t>
      </w:r>
    </w:p>
    <w:p w14:paraId="3FD588FC" w14:textId="77777777" w:rsidR="009929FB" w:rsidRPr="00333A62" w:rsidRDefault="009929FB" w:rsidP="00333A62">
      <w:pPr>
        <w:spacing w:before="120" w:after="120" w:line="276" w:lineRule="auto"/>
        <w:rPr>
          <w:rFonts w:ascii="Times New Roman" w:hAnsi="Times New Roman" w:cs="Times New Roman"/>
          <w:sz w:val="24"/>
          <w:szCs w:val="24"/>
        </w:rPr>
      </w:pPr>
    </w:p>
    <w:p w14:paraId="7FEDE7BF" w14:textId="723E38ED" w:rsidR="009C2D4A" w:rsidRPr="009929FB" w:rsidRDefault="009929FB" w:rsidP="009929FB">
      <w:pPr>
        <w:spacing w:after="0" w:line="276" w:lineRule="auto"/>
        <w:rPr>
          <w:rFonts w:ascii="Times New Roman" w:hAnsi="Times New Roman" w:cs="Times New Roman"/>
          <w:bCs/>
          <w:iCs/>
          <w:sz w:val="24"/>
          <w:szCs w:val="24"/>
        </w:rPr>
      </w:pPr>
      <w:r w:rsidRPr="009929FB">
        <w:rPr>
          <w:rFonts w:ascii="Times New Roman" w:hAnsi="Times New Roman" w:cs="Times New Roman"/>
          <w:b/>
          <w:bCs/>
          <w:iCs/>
          <w:sz w:val="24"/>
          <w:szCs w:val="24"/>
        </w:rPr>
        <w:t>Le Secteur privé</w:t>
      </w:r>
      <w:r w:rsidRPr="009929FB">
        <w:rPr>
          <w:rFonts w:ascii="Times New Roman" w:hAnsi="Times New Roman" w:cs="Times New Roman"/>
          <w:bCs/>
          <w:iCs/>
          <w:sz w:val="24"/>
          <w:szCs w:val="24"/>
        </w:rPr>
        <w:t> :</w:t>
      </w:r>
    </w:p>
    <w:p w14:paraId="6A09C4B6" w14:textId="77777777" w:rsidR="009929FB" w:rsidRPr="00F27A4F" w:rsidRDefault="009929FB" w:rsidP="003E39A2">
      <w:pPr>
        <w:spacing w:after="0" w:line="276" w:lineRule="auto"/>
        <w:jc w:val="both"/>
        <w:rPr>
          <w:rFonts w:ascii="Times New Roman" w:hAnsi="Times New Roman" w:cs="Times New Roman"/>
          <w:bCs/>
          <w:iCs/>
          <w:sz w:val="24"/>
          <w:szCs w:val="24"/>
        </w:rPr>
      </w:pPr>
      <w:r w:rsidRPr="00F27A4F">
        <w:rPr>
          <w:rFonts w:ascii="Times New Roman" w:hAnsi="Times New Roman" w:cs="Times New Roman"/>
          <w:bCs/>
          <w:iCs/>
          <w:sz w:val="24"/>
          <w:szCs w:val="24"/>
        </w:rPr>
        <w:t xml:space="preserve">La contribution du secteur privé médical peut être un des leviers pour accroître la couverture de la population en interventions de SRMNEA-N. Un certain nombre de cadres pourraient être mieux exploités comme le conventionnement, la contractualisation ou l’achat stratégique. </w:t>
      </w:r>
    </w:p>
    <w:p w14:paraId="13CC78E6" w14:textId="77777777" w:rsidR="009929FB" w:rsidRPr="00F27A4F" w:rsidRDefault="009929FB" w:rsidP="003E39A2">
      <w:pPr>
        <w:spacing w:before="120" w:after="120" w:line="276" w:lineRule="auto"/>
        <w:jc w:val="both"/>
        <w:rPr>
          <w:rFonts w:ascii="Times New Roman" w:hAnsi="Times New Roman" w:cs="Times New Roman"/>
          <w:bCs/>
          <w:iCs/>
          <w:sz w:val="24"/>
          <w:szCs w:val="24"/>
        </w:rPr>
      </w:pPr>
      <w:r w:rsidRPr="00F27A4F">
        <w:rPr>
          <w:rFonts w:ascii="Times New Roman" w:hAnsi="Times New Roman" w:cs="Times New Roman"/>
          <w:bCs/>
          <w:iCs/>
          <w:sz w:val="24"/>
          <w:szCs w:val="24"/>
        </w:rPr>
        <w:t xml:space="preserve">Cette contribution, pour être efficace, </w:t>
      </w:r>
      <w:r w:rsidRPr="000204E3">
        <w:rPr>
          <w:rFonts w:ascii="Times New Roman" w:hAnsi="Times New Roman" w:cs="Times New Roman"/>
          <w:bCs/>
          <w:iCs/>
          <w:sz w:val="24"/>
          <w:szCs w:val="24"/>
        </w:rPr>
        <w:t>exige par exemple</w:t>
      </w:r>
      <w:r w:rsidRPr="00F27A4F">
        <w:rPr>
          <w:rFonts w:ascii="Times New Roman" w:hAnsi="Times New Roman" w:cs="Times New Roman"/>
          <w:bCs/>
          <w:iCs/>
          <w:sz w:val="24"/>
          <w:szCs w:val="24"/>
        </w:rPr>
        <w:t xml:space="preserve"> (i) une harmonisation des établissements sanitaires privés par le conventionnement, (ii) un soutien négociable avec le gouvernement sous forme d’un allègement de la fiscalité et des impôts reconvertis en investissement pour l’élévation du plateau technique des établissements sanitaires privés. </w:t>
      </w:r>
    </w:p>
    <w:p w14:paraId="2646CFEC" w14:textId="77777777" w:rsidR="009929FB" w:rsidRDefault="009929FB" w:rsidP="003E39A2">
      <w:pPr>
        <w:spacing w:before="120" w:after="120" w:line="276" w:lineRule="auto"/>
        <w:jc w:val="both"/>
        <w:rPr>
          <w:rFonts w:ascii="Times New Roman" w:hAnsi="Times New Roman" w:cs="Times New Roman"/>
          <w:bCs/>
          <w:iCs/>
          <w:sz w:val="24"/>
          <w:szCs w:val="24"/>
        </w:rPr>
      </w:pPr>
      <w:r w:rsidRPr="00F27A4F">
        <w:rPr>
          <w:rFonts w:ascii="Times New Roman" w:hAnsi="Times New Roman" w:cs="Times New Roman"/>
          <w:bCs/>
          <w:iCs/>
          <w:sz w:val="24"/>
          <w:szCs w:val="24"/>
        </w:rPr>
        <w:t>Le secteur privé non-médical peut contribuer au financement du DI à travers la participation dans les mécanismes de partage de risque maladie et l’invest</w:t>
      </w:r>
      <w:r>
        <w:rPr>
          <w:rFonts w:ascii="Times New Roman" w:hAnsi="Times New Roman" w:cs="Times New Roman"/>
          <w:bCs/>
          <w:iCs/>
          <w:sz w:val="24"/>
          <w:szCs w:val="24"/>
        </w:rPr>
        <w:t>issement dans le secteur santé.</w:t>
      </w:r>
    </w:p>
    <w:p w14:paraId="5E5ABF6F" w14:textId="77777777" w:rsidR="009929FB" w:rsidRPr="00333A62" w:rsidRDefault="009929FB" w:rsidP="00333A62">
      <w:pPr>
        <w:spacing w:before="120" w:after="120" w:line="276" w:lineRule="auto"/>
        <w:rPr>
          <w:rFonts w:ascii="Times New Roman" w:hAnsi="Times New Roman" w:cs="Times New Roman"/>
          <w:sz w:val="24"/>
          <w:szCs w:val="24"/>
        </w:rPr>
      </w:pPr>
    </w:p>
    <w:p w14:paraId="0286921E" w14:textId="70A60E4D" w:rsidR="009C2D4A" w:rsidRDefault="009929FB" w:rsidP="00333A62">
      <w:pPr>
        <w:spacing w:before="120" w:after="120" w:line="276" w:lineRule="auto"/>
        <w:rPr>
          <w:rFonts w:ascii="Times New Roman" w:hAnsi="Times New Roman" w:cs="Times New Roman"/>
          <w:sz w:val="24"/>
          <w:szCs w:val="24"/>
        </w:rPr>
      </w:pPr>
      <w:r w:rsidRPr="009929FB">
        <w:rPr>
          <w:rFonts w:ascii="Times New Roman" w:hAnsi="Times New Roman" w:cs="Times New Roman"/>
          <w:b/>
          <w:sz w:val="24"/>
          <w:szCs w:val="24"/>
        </w:rPr>
        <w:t xml:space="preserve">Les </w:t>
      </w:r>
      <w:r w:rsidR="009C2D4A" w:rsidRPr="009929FB">
        <w:rPr>
          <w:rFonts w:ascii="Times New Roman" w:hAnsi="Times New Roman" w:cs="Times New Roman"/>
          <w:b/>
          <w:sz w:val="24"/>
          <w:szCs w:val="24"/>
        </w:rPr>
        <w:t>Partenaires au développement</w:t>
      </w:r>
      <w:r>
        <w:rPr>
          <w:rFonts w:ascii="Times New Roman" w:hAnsi="Times New Roman" w:cs="Times New Roman"/>
          <w:sz w:val="24"/>
          <w:szCs w:val="24"/>
        </w:rPr>
        <w:t> :</w:t>
      </w:r>
    </w:p>
    <w:p w14:paraId="71A12460" w14:textId="0B35BBF2" w:rsidR="009929FB" w:rsidRPr="00F27A4F" w:rsidRDefault="009929FB" w:rsidP="009929FB">
      <w:pPr>
        <w:pStyle w:val="Default"/>
        <w:jc w:val="both"/>
        <w:rPr>
          <w:bCs/>
          <w:iCs/>
          <w:color w:val="auto"/>
          <w:lang w:val="fr-CA"/>
        </w:rPr>
      </w:pPr>
      <w:r w:rsidRPr="00F27A4F">
        <w:rPr>
          <w:bCs/>
          <w:iCs/>
          <w:color w:val="auto"/>
          <w:lang w:val="fr-CA"/>
        </w:rPr>
        <w:t xml:space="preserve">Les partenaires techniques et financiers </w:t>
      </w:r>
      <w:r>
        <w:rPr>
          <w:bCs/>
          <w:iCs/>
          <w:color w:val="auto"/>
          <w:lang w:val="fr-CA"/>
        </w:rPr>
        <w:t xml:space="preserve">(PTF) </w:t>
      </w:r>
      <w:r w:rsidRPr="00F27A4F">
        <w:rPr>
          <w:bCs/>
          <w:iCs/>
          <w:color w:val="auto"/>
          <w:lang w:val="fr-CA"/>
        </w:rPr>
        <w:t>auront pour rôle de (i) s’aligner sur les priorités du DI, (ii) accompagner le gouvernement dans son plaidoyer pour la mobilisation des ressources techniques et financières pour la mise en œuvre du DI, (iii) honorer leurs engagements en respectant les volumes, l’échéancier et la prévisibilité des ressources annoncées et (iv) participer aux exercices de suivi et d’évaluations dans le cadre de la redevabilité.</w:t>
      </w:r>
    </w:p>
    <w:p w14:paraId="6C0393F7" w14:textId="77777777" w:rsidR="00194CCA" w:rsidRPr="00333A62" w:rsidRDefault="00194CCA" w:rsidP="00333A62">
      <w:pPr>
        <w:spacing w:before="120" w:after="120" w:line="276" w:lineRule="auto"/>
        <w:rPr>
          <w:rFonts w:ascii="Times New Roman" w:hAnsi="Times New Roman" w:cs="Times New Roman"/>
          <w:sz w:val="24"/>
          <w:szCs w:val="24"/>
        </w:rPr>
      </w:pPr>
    </w:p>
    <w:p w14:paraId="43325CCF" w14:textId="77777777" w:rsidR="006070E4" w:rsidRPr="00333A62" w:rsidRDefault="006070E4" w:rsidP="00333A62">
      <w:pPr>
        <w:pStyle w:val="Titre1"/>
        <w:spacing w:before="120" w:after="120" w:line="276" w:lineRule="auto"/>
        <w:rPr>
          <w:rFonts w:ascii="Times New Roman" w:hAnsi="Times New Roman" w:cs="Times New Roman"/>
          <w:b/>
          <w:color w:val="auto"/>
          <w:sz w:val="24"/>
          <w:szCs w:val="24"/>
          <w:highlight w:val="yellow"/>
        </w:rPr>
        <w:sectPr w:rsidR="006070E4" w:rsidRPr="00333A62" w:rsidSect="00734A94">
          <w:footerReference w:type="default" r:id="rId50"/>
          <w:pgSz w:w="12240" w:h="15840"/>
          <w:pgMar w:top="1134" w:right="1134" w:bottom="1134" w:left="1418" w:header="708" w:footer="708" w:gutter="0"/>
          <w:cols w:space="708"/>
          <w:docGrid w:linePitch="360"/>
        </w:sectPr>
      </w:pPr>
    </w:p>
    <w:p w14:paraId="605058F3" w14:textId="4C53BACE" w:rsidR="00815703" w:rsidRPr="00C97BD8" w:rsidRDefault="00825055" w:rsidP="00333A62">
      <w:pPr>
        <w:pStyle w:val="Titre1"/>
        <w:spacing w:before="120" w:after="120" w:line="276" w:lineRule="auto"/>
        <w:rPr>
          <w:rFonts w:ascii="Times New Roman" w:hAnsi="Times New Roman" w:cs="Times New Roman"/>
          <w:b/>
          <w:color w:val="0070C0"/>
          <w:sz w:val="24"/>
          <w:szCs w:val="24"/>
        </w:rPr>
      </w:pPr>
      <w:bookmarkStart w:id="139" w:name="_Toc1573848"/>
      <w:r w:rsidRPr="00C97BD8">
        <w:rPr>
          <w:rFonts w:ascii="Times New Roman" w:hAnsi="Times New Roman" w:cs="Times New Roman"/>
          <w:b/>
          <w:color w:val="0070C0"/>
          <w:sz w:val="24"/>
          <w:szCs w:val="24"/>
        </w:rPr>
        <w:lastRenderedPageBreak/>
        <w:t>BUD</w:t>
      </w:r>
      <w:r w:rsidR="008233A2" w:rsidRPr="00C97BD8">
        <w:rPr>
          <w:rFonts w:ascii="Times New Roman" w:hAnsi="Times New Roman" w:cs="Times New Roman"/>
          <w:b/>
          <w:color w:val="0070C0"/>
          <w:sz w:val="24"/>
          <w:szCs w:val="24"/>
        </w:rPr>
        <w:t>GET DU DOSSIER D’INVESTISSEMENT</w:t>
      </w:r>
      <w:bookmarkEnd w:id="139"/>
    </w:p>
    <w:p w14:paraId="63004D78" w14:textId="5CDBB79F" w:rsidR="000E6A90" w:rsidRPr="00A44C75" w:rsidRDefault="008233A2" w:rsidP="00D91BF7">
      <w:pPr>
        <w:pStyle w:val="Titre2"/>
        <w:rPr>
          <w:rFonts w:ascii="Times New Roman" w:hAnsi="Times New Roman" w:cs="Times New Roman"/>
          <w:b/>
          <w:color w:val="0070C0"/>
          <w:sz w:val="24"/>
          <w:szCs w:val="24"/>
        </w:rPr>
      </w:pPr>
      <w:bookmarkStart w:id="140" w:name="_Toc1573849"/>
      <w:r w:rsidRPr="00700523">
        <w:rPr>
          <w:rFonts w:ascii="Times New Roman" w:hAnsi="Times New Roman" w:cs="Times New Roman"/>
          <w:b/>
          <w:color w:val="0070C0"/>
          <w:sz w:val="24"/>
          <w:szCs w:val="24"/>
        </w:rPr>
        <w:t>Les besoins</w:t>
      </w:r>
      <w:bookmarkEnd w:id="140"/>
    </w:p>
    <w:p w14:paraId="7285690B" w14:textId="77777777" w:rsidR="00211C24" w:rsidRDefault="00211C24" w:rsidP="00D91BF7">
      <w:pPr>
        <w:pStyle w:val="Lgende"/>
        <w:rPr>
          <w:rFonts w:eastAsiaTheme="minorHAnsi"/>
          <w:b w:val="0"/>
          <w:iCs/>
          <w:sz w:val="24"/>
          <w:szCs w:val="24"/>
          <w:lang w:val="fr-CA" w:eastAsia="en-US"/>
        </w:rPr>
      </w:pPr>
    </w:p>
    <w:p w14:paraId="7AC675DD" w14:textId="77777777" w:rsidR="00211C24" w:rsidRDefault="00211C24" w:rsidP="003E39A2">
      <w:pPr>
        <w:pStyle w:val="Lgende"/>
        <w:jc w:val="both"/>
        <w:rPr>
          <w:rFonts w:eastAsiaTheme="minorHAnsi"/>
          <w:b w:val="0"/>
          <w:iCs/>
          <w:sz w:val="24"/>
          <w:szCs w:val="24"/>
          <w:lang w:val="fr-CA" w:eastAsia="en-US"/>
        </w:rPr>
      </w:pPr>
      <w:r w:rsidRPr="00211C24">
        <w:rPr>
          <w:rFonts w:eastAsiaTheme="minorHAnsi"/>
          <w:b w:val="0"/>
          <w:iCs/>
          <w:sz w:val="24"/>
          <w:szCs w:val="24"/>
          <w:lang w:val="fr-CA" w:eastAsia="en-US"/>
        </w:rPr>
        <w:t>Le coût total du dossier d'investissement de 2018 à 2028 est de 770,8 milliards de FCFA. Les domaines les plus importants sont les chaînes d'approvisionnement (261,3 milliards de FCFA), les réformes du secteur de la santé, y compris la CMU et les achats stratégiques (182,7 milliards de FCFA), et les systèmes d'information sanitaire (131 milliards FCFA).</w:t>
      </w:r>
    </w:p>
    <w:p w14:paraId="072E5FAE" w14:textId="77777777" w:rsidR="00211C24" w:rsidRDefault="00211C24" w:rsidP="00D91BF7">
      <w:pPr>
        <w:pStyle w:val="Lgende"/>
        <w:rPr>
          <w:sz w:val="24"/>
          <w:szCs w:val="24"/>
        </w:rPr>
      </w:pPr>
    </w:p>
    <w:p w14:paraId="1F49F277" w14:textId="2AA4967F" w:rsidR="00834CAE" w:rsidRPr="00211C24" w:rsidRDefault="00D91BF7" w:rsidP="00D91BF7">
      <w:pPr>
        <w:pStyle w:val="Lgende"/>
        <w:rPr>
          <w:sz w:val="24"/>
          <w:szCs w:val="24"/>
        </w:rPr>
      </w:pPr>
      <w:bookmarkStart w:id="141" w:name="_Toc1588381"/>
      <w:r w:rsidRPr="00D91BF7">
        <w:rPr>
          <w:sz w:val="24"/>
          <w:szCs w:val="24"/>
        </w:rPr>
        <w:t xml:space="preserve">Tableau </w:t>
      </w:r>
      <w:r w:rsidRPr="00D91BF7">
        <w:rPr>
          <w:sz w:val="24"/>
          <w:szCs w:val="24"/>
        </w:rPr>
        <w:fldChar w:fldCharType="begin"/>
      </w:r>
      <w:r w:rsidRPr="00D91BF7">
        <w:rPr>
          <w:sz w:val="24"/>
          <w:szCs w:val="24"/>
        </w:rPr>
        <w:instrText xml:space="preserve"> SEQ Tableau \* ARABIC </w:instrText>
      </w:r>
      <w:r w:rsidRPr="00D91BF7">
        <w:rPr>
          <w:sz w:val="24"/>
          <w:szCs w:val="24"/>
        </w:rPr>
        <w:fldChar w:fldCharType="separate"/>
      </w:r>
      <w:r w:rsidR="00400C22">
        <w:rPr>
          <w:noProof/>
          <w:sz w:val="24"/>
          <w:szCs w:val="24"/>
        </w:rPr>
        <w:t>7</w:t>
      </w:r>
      <w:r w:rsidRPr="00D91BF7">
        <w:rPr>
          <w:sz w:val="24"/>
          <w:szCs w:val="24"/>
        </w:rPr>
        <w:fldChar w:fldCharType="end"/>
      </w:r>
      <w:r w:rsidRPr="00D91BF7">
        <w:rPr>
          <w:sz w:val="24"/>
          <w:szCs w:val="24"/>
        </w:rPr>
        <w:t xml:space="preserve"> : </w:t>
      </w:r>
      <w:r w:rsidR="00834CAE" w:rsidRPr="00D91BF7">
        <w:rPr>
          <w:bCs w:val="0"/>
          <w:color w:val="000000"/>
          <w:sz w:val="24"/>
          <w:szCs w:val="24"/>
          <w:lang w:eastAsia="fr-FR"/>
        </w:rPr>
        <w:t>Récapitulatif des coûts</w:t>
      </w:r>
      <w:bookmarkEnd w:id="141"/>
    </w:p>
    <w:p w14:paraId="4E305117" w14:textId="77777777" w:rsidR="00D91BF7" w:rsidRPr="00D91BF7" w:rsidRDefault="00D91BF7" w:rsidP="00D91BF7">
      <w:pPr>
        <w:rPr>
          <w:lang w:val="fr-FR" w:eastAsia="fr-FR"/>
        </w:rPr>
      </w:pPr>
    </w:p>
    <w:tbl>
      <w:tblPr>
        <w:tblStyle w:val="Grilledutableau"/>
        <w:tblW w:w="13843" w:type="dxa"/>
        <w:tblLook w:val="04A0" w:firstRow="1" w:lastRow="0" w:firstColumn="1" w:lastColumn="0" w:noHBand="0" w:noVBand="1"/>
      </w:tblPr>
      <w:tblGrid>
        <w:gridCol w:w="2972"/>
        <w:gridCol w:w="1985"/>
        <w:gridCol w:w="2268"/>
        <w:gridCol w:w="2126"/>
        <w:gridCol w:w="2268"/>
        <w:gridCol w:w="2224"/>
      </w:tblGrid>
      <w:tr w:rsidR="005E1464" w:rsidRPr="00723BEC" w14:paraId="361466B1" w14:textId="77777777" w:rsidTr="008F4009">
        <w:trPr>
          <w:trHeight w:val="249"/>
        </w:trPr>
        <w:tc>
          <w:tcPr>
            <w:tcW w:w="2972" w:type="dxa"/>
            <w:shd w:val="clear" w:color="auto" w:fill="DEEAF6" w:themeFill="accent5" w:themeFillTint="33"/>
            <w:noWrap/>
            <w:hideMark/>
          </w:tcPr>
          <w:p w14:paraId="7DEC0604" w14:textId="0B108489" w:rsidR="005E1464" w:rsidRPr="00723BEC" w:rsidRDefault="00211C24" w:rsidP="008F4009">
            <w:pPr>
              <w:spacing w:before="60" w:after="60" w:line="276" w:lineRule="auto"/>
              <w:jc w:val="center"/>
              <w:rPr>
                <w:rFonts w:ascii="Times New Roman" w:hAnsi="Times New Roman" w:cs="Times New Roman"/>
                <w:b/>
                <w:sz w:val="24"/>
                <w:szCs w:val="24"/>
              </w:rPr>
            </w:pPr>
            <w:r w:rsidRPr="00723BEC">
              <w:rPr>
                <w:rFonts w:ascii="Times New Roman" w:hAnsi="Times New Roman" w:cs="Times New Roman"/>
                <w:b/>
                <w:sz w:val="24"/>
                <w:szCs w:val="24"/>
              </w:rPr>
              <w:t>Priorité</w:t>
            </w:r>
            <w:r w:rsidR="008F4009">
              <w:rPr>
                <w:rFonts w:ascii="Times New Roman" w:hAnsi="Times New Roman" w:cs="Times New Roman"/>
                <w:b/>
                <w:sz w:val="24"/>
                <w:szCs w:val="24"/>
              </w:rPr>
              <w:t>s</w:t>
            </w:r>
            <w:r w:rsidRPr="00723BEC">
              <w:rPr>
                <w:rFonts w:ascii="Times New Roman" w:hAnsi="Times New Roman" w:cs="Times New Roman"/>
                <w:b/>
                <w:sz w:val="24"/>
                <w:szCs w:val="24"/>
              </w:rPr>
              <w:t xml:space="preserve"> </w:t>
            </w:r>
            <w:r w:rsidR="008F4009">
              <w:rPr>
                <w:rFonts w:ascii="Times New Roman" w:hAnsi="Times New Roman" w:cs="Times New Roman"/>
                <w:b/>
                <w:sz w:val="24"/>
                <w:szCs w:val="24"/>
              </w:rPr>
              <w:t>Nationales</w:t>
            </w:r>
          </w:p>
        </w:tc>
        <w:tc>
          <w:tcPr>
            <w:tcW w:w="1985" w:type="dxa"/>
            <w:shd w:val="clear" w:color="auto" w:fill="DEEAF6" w:themeFill="accent5" w:themeFillTint="33"/>
            <w:noWrap/>
            <w:hideMark/>
          </w:tcPr>
          <w:p w14:paraId="62AFB320" w14:textId="77777777" w:rsidR="005E1464" w:rsidRPr="00723BEC" w:rsidRDefault="005E1464" w:rsidP="00723BEC">
            <w:pPr>
              <w:spacing w:before="60" w:after="60" w:line="276" w:lineRule="auto"/>
              <w:jc w:val="center"/>
              <w:rPr>
                <w:rFonts w:ascii="Times New Roman" w:hAnsi="Times New Roman" w:cs="Times New Roman"/>
                <w:b/>
                <w:sz w:val="24"/>
                <w:szCs w:val="24"/>
              </w:rPr>
            </w:pPr>
            <w:r w:rsidRPr="00723BEC">
              <w:rPr>
                <w:rFonts w:ascii="Times New Roman" w:hAnsi="Times New Roman" w:cs="Times New Roman"/>
                <w:b/>
                <w:sz w:val="24"/>
                <w:szCs w:val="24"/>
              </w:rPr>
              <w:t>Total 2018-2020</w:t>
            </w:r>
          </w:p>
        </w:tc>
        <w:tc>
          <w:tcPr>
            <w:tcW w:w="2268" w:type="dxa"/>
            <w:shd w:val="clear" w:color="auto" w:fill="DEEAF6" w:themeFill="accent5" w:themeFillTint="33"/>
            <w:noWrap/>
            <w:hideMark/>
          </w:tcPr>
          <w:p w14:paraId="0977AD38" w14:textId="77777777" w:rsidR="005E1464" w:rsidRPr="00723BEC" w:rsidRDefault="005E1464" w:rsidP="00723BEC">
            <w:pPr>
              <w:spacing w:before="60" w:after="60" w:line="276" w:lineRule="auto"/>
              <w:jc w:val="center"/>
              <w:rPr>
                <w:rFonts w:ascii="Times New Roman" w:hAnsi="Times New Roman" w:cs="Times New Roman"/>
                <w:b/>
                <w:sz w:val="24"/>
                <w:szCs w:val="24"/>
              </w:rPr>
            </w:pPr>
            <w:r w:rsidRPr="00723BEC">
              <w:rPr>
                <w:rFonts w:ascii="Times New Roman" w:hAnsi="Times New Roman" w:cs="Times New Roman"/>
                <w:b/>
                <w:sz w:val="24"/>
                <w:szCs w:val="24"/>
              </w:rPr>
              <w:t>Total 2018-2028</w:t>
            </w:r>
          </w:p>
        </w:tc>
        <w:tc>
          <w:tcPr>
            <w:tcW w:w="2126" w:type="dxa"/>
            <w:shd w:val="clear" w:color="auto" w:fill="DEEAF6" w:themeFill="accent5" w:themeFillTint="33"/>
            <w:noWrap/>
            <w:hideMark/>
          </w:tcPr>
          <w:p w14:paraId="4F3CE19C" w14:textId="77777777" w:rsidR="005E1464" w:rsidRPr="00723BEC" w:rsidRDefault="005E1464" w:rsidP="00723BEC">
            <w:pPr>
              <w:spacing w:before="60" w:after="60" w:line="276" w:lineRule="auto"/>
              <w:jc w:val="center"/>
              <w:rPr>
                <w:rFonts w:ascii="Times New Roman" w:hAnsi="Times New Roman" w:cs="Times New Roman"/>
                <w:b/>
                <w:sz w:val="24"/>
                <w:szCs w:val="24"/>
              </w:rPr>
            </w:pPr>
            <w:r w:rsidRPr="00723BEC">
              <w:rPr>
                <w:rFonts w:ascii="Times New Roman" w:hAnsi="Times New Roman" w:cs="Times New Roman"/>
                <w:b/>
                <w:sz w:val="24"/>
                <w:szCs w:val="24"/>
              </w:rPr>
              <w:t>2018</w:t>
            </w:r>
          </w:p>
        </w:tc>
        <w:tc>
          <w:tcPr>
            <w:tcW w:w="2268" w:type="dxa"/>
            <w:shd w:val="clear" w:color="auto" w:fill="DEEAF6" w:themeFill="accent5" w:themeFillTint="33"/>
            <w:noWrap/>
            <w:hideMark/>
          </w:tcPr>
          <w:p w14:paraId="6DA7F436" w14:textId="77777777" w:rsidR="005E1464" w:rsidRPr="00723BEC" w:rsidRDefault="005E1464" w:rsidP="00723BEC">
            <w:pPr>
              <w:spacing w:before="60" w:after="60" w:line="276" w:lineRule="auto"/>
              <w:jc w:val="center"/>
              <w:rPr>
                <w:rFonts w:ascii="Times New Roman" w:hAnsi="Times New Roman" w:cs="Times New Roman"/>
                <w:b/>
                <w:sz w:val="24"/>
                <w:szCs w:val="24"/>
              </w:rPr>
            </w:pPr>
            <w:r w:rsidRPr="00723BEC">
              <w:rPr>
                <w:rFonts w:ascii="Times New Roman" w:hAnsi="Times New Roman" w:cs="Times New Roman"/>
                <w:b/>
                <w:sz w:val="24"/>
                <w:szCs w:val="24"/>
              </w:rPr>
              <w:t>2019</w:t>
            </w:r>
          </w:p>
        </w:tc>
        <w:tc>
          <w:tcPr>
            <w:tcW w:w="2224" w:type="dxa"/>
            <w:shd w:val="clear" w:color="auto" w:fill="DEEAF6" w:themeFill="accent5" w:themeFillTint="33"/>
            <w:noWrap/>
            <w:hideMark/>
          </w:tcPr>
          <w:p w14:paraId="5F50B3F3" w14:textId="77777777" w:rsidR="005E1464" w:rsidRPr="00723BEC" w:rsidRDefault="005E1464" w:rsidP="00723BEC">
            <w:pPr>
              <w:spacing w:before="60" w:after="60" w:line="276" w:lineRule="auto"/>
              <w:jc w:val="center"/>
              <w:rPr>
                <w:rFonts w:ascii="Times New Roman" w:hAnsi="Times New Roman" w:cs="Times New Roman"/>
                <w:b/>
                <w:sz w:val="24"/>
                <w:szCs w:val="24"/>
              </w:rPr>
            </w:pPr>
            <w:r w:rsidRPr="00723BEC">
              <w:rPr>
                <w:rFonts w:ascii="Times New Roman" w:hAnsi="Times New Roman" w:cs="Times New Roman"/>
                <w:b/>
                <w:sz w:val="24"/>
                <w:szCs w:val="24"/>
              </w:rPr>
              <w:t>2020</w:t>
            </w:r>
          </w:p>
        </w:tc>
      </w:tr>
      <w:tr w:rsidR="005E1464" w:rsidRPr="00723BEC" w14:paraId="50512C91" w14:textId="77777777" w:rsidTr="00723BEC">
        <w:trPr>
          <w:trHeight w:val="249"/>
        </w:trPr>
        <w:tc>
          <w:tcPr>
            <w:tcW w:w="2972" w:type="dxa"/>
            <w:noWrap/>
            <w:hideMark/>
          </w:tcPr>
          <w:p w14:paraId="47B45FFA" w14:textId="77777777"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Chaînes d'approvisionnement</w:t>
            </w:r>
          </w:p>
        </w:tc>
        <w:tc>
          <w:tcPr>
            <w:tcW w:w="1985" w:type="dxa"/>
            <w:noWrap/>
            <w:vAlign w:val="center"/>
            <w:hideMark/>
          </w:tcPr>
          <w:p w14:paraId="6DD2E531" w14:textId="1EF6315F"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130,782,769,819</w:t>
            </w:r>
          </w:p>
        </w:tc>
        <w:tc>
          <w:tcPr>
            <w:tcW w:w="2268" w:type="dxa"/>
            <w:noWrap/>
            <w:vAlign w:val="center"/>
            <w:hideMark/>
          </w:tcPr>
          <w:p w14:paraId="4EAF6DCE" w14:textId="13792CE3"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261,295,143,475</w:t>
            </w:r>
          </w:p>
        </w:tc>
        <w:tc>
          <w:tcPr>
            <w:tcW w:w="2126" w:type="dxa"/>
            <w:noWrap/>
            <w:vAlign w:val="center"/>
            <w:hideMark/>
          </w:tcPr>
          <w:p w14:paraId="3B144BFB" w14:textId="77777777" w:rsidR="005E1464" w:rsidRPr="00723BEC" w:rsidRDefault="005E1464" w:rsidP="00723BEC">
            <w:pPr>
              <w:spacing w:before="60" w:after="60" w:line="276" w:lineRule="auto"/>
              <w:jc w:val="center"/>
              <w:rPr>
                <w:rFonts w:ascii="Times New Roman" w:hAnsi="Times New Roman" w:cs="Times New Roman"/>
                <w:sz w:val="24"/>
                <w:szCs w:val="24"/>
              </w:rPr>
            </w:pPr>
          </w:p>
        </w:tc>
        <w:tc>
          <w:tcPr>
            <w:tcW w:w="2268" w:type="dxa"/>
            <w:noWrap/>
            <w:vAlign w:val="center"/>
            <w:hideMark/>
          </w:tcPr>
          <w:p w14:paraId="14B3B55A" w14:textId="0034BC3B"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56,091,977,218</w:t>
            </w:r>
          </w:p>
        </w:tc>
        <w:tc>
          <w:tcPr>
            <w:tcW w:w="2224" w:type="dxa"/>
            <w:noWrap/>
            <w:vAlign w:val="center"/>
            <w:hideMark/>
          </w:tcPr>
          <w:p w14:paraId="4D40F704" w14:textId="02FA0012"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74,690,792,602</w:t>
            </w:r>
          </w:p>
        </w:tc>
      </w:tr>
      <w:tr w:rsidR="005E1464" w:rsidRPr="00723BEC" w14:paraId="6B45E587" w14:textId="77777777" w:rsidTr="00723BEC">
        <w:trPr>
          <w:trHeight w:val="249"/>
        </w:trPr>
        <w:tc>
          <w:tcPr>
            <w:tcW w:w="2972" w:type="dxa"/>
            <w:noWrap/>
            <w:hideMark/>
          </w:tcPr>
          <w:p w14:paraId="5527A7E4" w14:textId="77777777"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CMU et autres réformes du secteur de la santé</w:t>
            </w:r>
          </w:p>
        </w:tc>
        <w:tc>
          <w:tcPr>
            <w:tcW w:w="1985" w:type="dxa"/>
            <w:noWrap/>
            <w:vAlign w:val="center"/>
            <w:hideMark/>
          </w:tcPr>
          <w:p w14:paraId="6D60C146" w14:textId="1E868382"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21,089,178,656</w:t>
            </w:r>
          </w:p>
        </w:tc>
        <w:tc>
          <w:tcPr>
            <w:tcW w:w="2268" w:type="dxa"/>
            <w:noWrap/>
            <w:vAlign w:val="center"/>
            <w:hideMark/>
          </w:tcPr>
          <w:p w14:paraId="33E38667" w14:textId="40D7F25D"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182,726,051,274</w:t>
            </w:r>
          </w:p>
        </w:tc>
        <w:tc>
          <w:tcPr>
            <w:tcW w:w="2126" w:type="dxa"/>
            <w:noWrap/>
            <w:vAlign w:val="center"/>
            <w:hideMark/>
          </w:tcPr>
          <w:p w14:paraId="3AA7ED84" w14:textId="52883753"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681,265,000</w:t>
            </w:r>
          </w:p>
        </w:tc>
        <w:tc>
          <w:tcPr>
            <w:tcW w:w="2268" w:type="dxa"/>
            <w:noWrap/>
            <w:vAlign w:val="center"/>
            <w:hideMark/>
          </w:tcPr>
          <w:p w14:paraId="574FC176" w14:textId="1953C6A2"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7,300,628,483</w:t>
            </w:r>
          </w:p>
        </w:tc>
        <w:tc>
          <w:tcPr>
            <w:tcW w:w="2224" w:type="dxa"/>
            <w:noWrap/>
            <w:vAlign w:val="center"/>
            <w:hideMark/>
          </w:tcPr>
          <w:p w14:paraId="29BDA3E9" w14:textId="69B59A67"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13,107,285,173</w:t>
            </w:r>
          </w:p>
        </w:tc>
      </w:tr>
      <w:tr w:rsidR="005E1464" w:rsidRPr="00723BEC" w14:paraId="3F5F5963" w14:textId="77777777" w:rsidTr="00723BEC">
        <w:trPr>
          <w:trHeight w:val="249"/>
        </w:trPr>
        <w:tc>
          <w:tcPr>
            <w:tcW w:w="2972" w:type="dxa"/>
            <w:noWrap/>
            <w:hideMark/>
          </w:tcPr>
          <w:p w14:paraId="73835B9C" w14:textId="77777777"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Intégration du secteur privé</w:t>
            </w:r>
          </w:p>
        </w:tc>
        <w:tc>
          <w:tcPr>
            <w:tcW w:w="1985" w:type="dxa"/>
            <w:noWrap/>
            <w:vAlign w:val="center"/>
            <w:hideMark/>
          </w:tcPr>
          <w:p w14:paraId="115E5B59" w14:textId="2235A539"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2,471,954,335</w:t>
            </w:r>
          </w:p>
        </w:tc>
        <w:tc>
          <w:tcPr>
            <w:tcW w:w="2268" w:type="dxa"/>
            <w:noWrap/>
            <w:vAlign w:val="center"/>
            <w:hideMark/>
          </w:tcPr>
          <w:p w14:paraId="6BE3198E" w14:textId="3007F509"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8,090,091,005</w:t>
            </w:r>
          </w:p>
        </w:tc>
        <w:tc>
          <w:tcPr>
            <w:tcW w:w="2126" w:type="dxa"/>
            <w:noWrap/>
            <w:vAlign w:val="center"/>
            <w:hideMark/>
          </w:tcPr>
          <w:p w14:paraId="02584D95" w14:textId="676E1B92"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w:t>
            </w:r>
          </w:p>
        </w:tc>
        <w:tc>
          <w:tcPr>
            <w:tcW w:w="2268" w:type="dxa"/>
            <w:noWrap/>
            <w:vAlign w:val="center"/>
            <w:hideMark/>
          </w:tcPr>
          <w:p w14:paraId="10A4FD50" w14:textId="484ACF0A"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595,870,000</w:t>
            </w:r>
          </w:p>
        </w:tc>
        <w:tc>
          <w:tcPr>
            <w:tcW w:w="2224" w:type="dxa"/>
            <w:noWrap/>
            <w:vAlign w:val="center"/>
            <w:hideMark/>
          </w:tcPr>
          <w:p w14:paraId="249691AD" w14:textId="0120385B"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1,876,084,335</w:t>
            </w:r>
          </w:p>
        </w:tc>
      </w:tr>
      <w:tr w:rsidR="005E1464" w:rsidRPr="00723BEC" w14:paraId="1EFCC2B5" w14:textId="77777777" w:rsidTr="00723BEC">
        <w:trPr>
          <w:trHeight w:val="249"/>
        </w:trPr>
        <w:tc>
          <w:tcPr>
            <w:tcW w:w="2972" w:type="dxa"/>
            <w:noWrap/>
            <w:hideMark/>
          </w:tcPr>
          <w:p w14:paraId="47F50601" w14:textId="77777777"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Ressources humaines</w:t>
            </w:r>
          </w:p>
        </w:tc>
        <w:tc>
          <w:tcPr>
            <w:tcW w:w="1985" w:type="dxa"/>
            <w:noWrap/>
            <w:vAlign w:val="center"/>
            <w:hideMark/>
          </w:tcPr>
          <w:p w14:paraId="1DF42271" w14:textId="4E20A634"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28,074,471,110</w:t>
            </w:r>
          </w:p>
        </w:tc>
        <w:tc>
          <w:tcPr>
            <w:tcW w:w="2268" w:type="dxa"/>
            <w:noWrap/>
            <w:vAlign w:val="center"/>
            <w:hideMark/>
          </w:tcPr>
          <w:p w14:paraId="39DA06DE" w14:textId="4F4D54CD"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37,988,583,943</w:t>
            </w:r>
          </w:p>
        </w:tc>
        <w:tc>
          <w:tcPr>
            <w:tcW w:w="2126" w:type="dxa"/>
            <w:noWrap/>
            <w:vAlign w:val="center"/>
            <w:hideMark/>
          </w:tcPr>
          <w:p w14:paraId="7C4646DD" w14:textId="7A5C1553"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6,005,516,850</w:t>
            </w:r>
          </w:p>
        </w:tc>
        <w:tc>
          <w:tcPr>
            <w:tcW w:w="2268" w:type="dxa"/>
            <w:noWrap/>
            <w:vAlign w:val="center"/>
            <w:hideMark/>
          </w:tcPr>
          <w:p w14:paraId="2F1992C8" w14:textId="7027E003"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12,770,908,410</w:t>
            </w:r>
          </w:p>
        </w:tc>
        <w:tc>
          <w:tcPr>
            <w:tcW w:w="2224" w:type="dxa"/>
            <w:noWrap/>
            <w:vAlign w:val="center"/>
            <w:hideMark/>
          </w:tcPr>
          <w:p w14:paraId="0320DE4C" w14:textId="0A2C7F11"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9,298,045,850</w:t>
            </w:r>
          </w:p>
        </w:tc>
      </w:tr>
      <w:tr w:rsidR="005E1464" w:rsidRPr="00723BEC" w14:paraId="443F5FCC" w14:textId="77777777" w:rsidTr="00723BEC">
        <w:trPr>
          <w:trHeight w:val="249"/>
        </w:trPr>
        <w:tc>
          <w:tcPr>
            <w:tcW w:w="2972" w:type="dxa"/>
            <w:noWrap/>
            <w:hideMark/>
          </w:tcPr>
          <w:p w14:paraId="61C65CF7" w14:textId="77777777"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Systèmes d'information sur la santé</w:t>
            </w:r>
          </w:p>
        </w:tc>
        <w:tc>
          <w:tcPr>
            <w:tcW w:w="1985" w:type="dxa"/>
            <w:noWrap/>
            <w:vAlign w:val="center"/>
            <w:hideMark/>
          </w:tcPr>
          <w:p w14:paraId="11E95DF4" w14:textId="4D0F7792"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52,425,162,937</w:t>
            </w:r>
          </w:p>
        </w:tc>
        <w:tc>
          <w:tcPr>
            <w:tcW w:w="2268" w:type="dxa"/>
            <w:noWrap/>
            <w:vAlign w:val="center"/>
            <w:hideMark/>
          </w:tcPr>
          <w:p w14:paraId="40C61489" w14:textId="51FA7AD5"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131,073,106,691</w:t>
            </w:r>
          </w:p>
        </w:tc>
        <w:tc>
          <w:tcPr>
            <w:tcW w:w="2126" w:type="dxa"/>
            <w:noWrap/>
            <w:vAlign w:val="center"/>
            <w:hideMark/>
          </w:tcPr>
          <w:p w14:paraId="0A0E9CC5" w14:textId="72F3073E"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w:t>
            </w:r>
          </w:p>
        </w:tc>
        <w:tc>
          <w:tcPr>
            <w:tcW w:w="2268" w:type="dxa"/>
            <w:noWrap/>
            <w:vAlign w:val="center"/>
            <w:hideMark/>
          </w:tcPr>
          <w:p w14:paraId="6DA0F29A" w14:textId="2325A131"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37,015,324,868</w:t>
            </w:r>
          </w:p>
        </w:tc>
        <w:tc>
          <w:tcPr>
            <w:tcW w:w="2224" w:type="dxa"/>
            <w:noWrap/>
            <w:vAlign w:val="center"/>
            <w:hideMark/>
          </w:tcPr>
          <w:p w14:paraId="5287F142" w14:textId="6A52DE7F"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15,409,838,069</w:t>
            </w:r>
          </w:p>
        </w:tc>
      </w:tr>
      <w:tr w:rsidR="005E1464" w:rsidRPr="00723BEC" w14:paraId="75DCF204" w14:textId="77777777" w:rsidTr="00723BEC">
        <w:trPr>
          <w:trHeight w:val="249"/>
        </w:trPr>
        <w:tc>
          <w:tcPr>
            <w:tcW w:w="2972" w:type="dxa"/>
            <w:noWrap/>
            <w:hideMark/>
          </w:tcPr>
          <w:p w14:paraId="4E4AE163" w14:textId="77777777"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Santé communautaire</w:t>
            </w:r>
          </w:p>
        </w:tc>
        <w:tc>
          <w:tcPr>
            <w:tcW w:w="1985" w:type="dxa"/>
            <w:noWrap/>
            <w:vAlign w:val="center"/>
            <w:hideMark/>
          </w:tcPr>
          <w:p w14:paraId="29B5695C" w14:textId="01089B1C"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12,803,906,298</w:t>
            </w:r>
          </w:p>
        </w:tc>
        <w:tc>
          <w:tcPr>
            <w:tcW w:w="2268" w:type="dxa"/>
            <w:noWrap/>
            <w:vAlign w:val="center"/>
            <w:hideMark/>
          </w:tcPr>
          <w:p w14:paraId="2F97B275" w14:textId="4257CBE4"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59,331,862,131</w:t>
            </w:r>
          </w:p>
        </w:tc>
        <w:tc>
          <w:tcPr>
            <w:tcW w:w="2126" w:type="dxa"/>
            <w:noWrap/>
            <w:vAlign w:val="center"/>
            <w:hideMark/>
          </w:tcPr>
          <w:p w14:paraId="69A609A5" w14:textId="52192EDF"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3,947,924,633</w:t>
            </w:r>
          </w:p>
        </w:tc>
        <w:tc>
          <w:tcPr>
            <w:tcW w:w="2268" w:type="dxa"/>
            <w:noWrap/>
            <w:vAlign w:val="center"/>
            <w:hideMark/>
          </w:tcPr>
          <w:p w14:paraId="21CCE24C" w14:textId="3805EC69"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3,834,559,633</w:t>
            </w:r>
          </w:p>
        </w:tc>
        <w:tc>
          <w:tcPr>
            <w:tcW w:w="2224" w:type="dxa"/>
            <w:noWrap/>
            <w:vAlign w:val="center"/>
            <w:hideMark/>
          </w:tcPr>
          <w:p w14:paraId="4C1251E7" w14:textId="224765B6"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5,021,422,033</w:t>
            </w:r>
          </w:p>
        </w:tc>
      </w:tr>
      <w:tr w:rsidR="005E1464" w:rsidRPr="00723BEC" w14:paraId="50E3A19E" w14:textId="77777777" w:rsidTr="00723BEC">
        <w:trPr>
          <w:trHeight w:val="249"/>
        </w:trPr>
        <w:tc>
          <w:tcPr>
            <w:tcW w:w="2972" w:type="dxa"/>
            <w:noWrap/>
            <w:hideMark/>
          </w:tcPr>
          <w:p w14:paraId="383D8142" w14:textId="77777777"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Qualité des soins primaires</w:t>
            </w:r>
          </w:p>
        </w:tc>
        <w:tc>
          <w:tcPr>
            <w:tcW w:w="1985" w:type="dxa"/>
            <w:noWrap/>
            <w:vAlign w:val="center"/>
            <w:hideMark/>
          </w:tcPr>
          <w:p w14:paraId="2A9499EB" w14:textId="675A400C"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55,255,561,362</w:t>
            </w:r>
          </w:p>
        </w:tc>
        <w:tc>
          <w:tcPr>
            <w:tcW w:w="2268" w:type="dxa"/>
            <w:noWrap/>
            <w:vAlign w:val="center"/>
            <w:hideMark/>
          </w:tcPr>
          <w:p w14:paraId="21E19727" w14:textId="23CADCD4"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90,327,253,402</w:t>
            </w:r>
          </w:p>
        </w:tc>
        <w:tc>
          <w:tcPr>
            <w:tcW w:w="2126" w:type="dxa"/>
            <w:noWrap/>
            <w:vAlign w:val="center"/>
            <w:hideMark/>
          </w:tcPr>
          <w:p w14:paraId="66707148" w14:textId="1BC36E28"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80,000,000</w:t>
            </w:r>
          </w:p>
        </w:tc>
        <w:tc>
          <w:tcPr>
            <w:tcW w:w="2268" w:type="dxa"/>
            <w:noWrap/>
            <w:vAlign w:val="center"/>
            <w:hideMark/>
          </w:tcPr>
          <w:p w14:paraId="02B6C741" w14:textId="60386BE3"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30,701,275,085</w:t>
            </w:r>
          </w:p>
        </w:tc>
        <w:tc>
          <w:tcPr>
            <w:tcW w:w="2224" w:type="dxa"/>
            <w:noWrap/>
            <w:vAlign w:val="center"/>
            <w:hideMark/>
          </w:tcPr>
          <w:p w14:paraId="3906B1E6" w14:textId="782D4D34"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24,474,286,277</w:t>
            </w:r>
          </w:p>
        </w:tc>
      </w:tr>
      <w:tr w:rsidR="005E1464" w:rsidRPr="00723BEC" w14:paraId="4F81D1CD" w14:textId="77777777" w:rsidTr="00723BEC">
        <w:trPr>
          <w:trHeight w:val="249"/>
        </w:trPr>
        <w:tc>
          <w:tcPr>
            <w:tcW w:w="2972" w:type="dxa"/>
            <w:noWrap/>
            <w:hideMark/>
          </w:tcPr>
          <w:p w14:paraId="47BC0BCE" w14:textId="77777777"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Total</w:t>
            </w:r>
          </w:p>
        </w:tc>
        <w:tc>
          <w:tcPr>
            <w:tcW w:w="1985" w:type="dxa"/>
            <w:noWrap/>
            <w:vAlign w:val="center"/>
            <w:hideMark/>
          </w:tcPr>
          <w:p w14:paraId="141DBCC6" w14:textId="471C6A9F"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302,903,004,516</w:t>
            </w:r>
          </w:p>
        </w:tc>
        <w:tc>
          <w:tcPr>
            <w:tcW w:w="2268" w:type="dxa"/>
            <w:noWrap/>
            <w:vAlign w:val="center"/>
            <w:hideMark/>
          </w:tcPr>
          <w:p w14:paraId="53DFB0B9" w14:textId="5042A6C5" w:rsidR="005E1464" w:rsidRPr="00723BEC" w:rsidRDefault="005E1464"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770,832,091,921</w:t>
            </w:r>
          </w:p>
        </w:tc>
        <w:tc>
          <w:tcPr>
            <w:tcW w:w="2126" w:type="dxa"/>
            <w:noWrap/>
            <w:vAlign w:val="center"/>
            <w:hideMark/>
          </w:tcPr>
          <w:p w14:paraId="478B9D45" w14:textId="36E20B43" w:rsidR="005E1464" w:rsidRPr="00723BEC" w:rsidRDefault="00D03DB9"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10,714,706,483</w:t>
            </w:r>
          </w:p>
        </w:tc>
        <w:tc>
          <w:tcPr>
            <w:tcW w:w="2268" w:type="dxa"/>
            <w:noWrap/>
            <w:vAlign w:val="center"/>
            <w:hideMark/>
          </w:tcPr>
          <w:p w14:paraId="521D47C4" w14:textId="36C57F2F" w:rsidR="005E1464" w:rsidRPr="00723BEC" w:rsidRDefault="00D03DB9"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148,310,543,696</w:t>
            </w:r>
          </w:p>
        </w:tc>
        <w:tc>
          <w:tcPr>
            <w:tcW w:w="2224" w:type="dxa"/>
            <w:noWrap/>
            <w:vAlign w:val="center"/>
            <w:hideMark/>
          </w:tcPr>
          <w:p w14:paraId="48571307" w14:textId="641DCBFB" w:rsidR="005E1464" w:rsidRPr="00723BEC" w:rsidRDefault="00D03DB9" w:rsidP="00723BEC">
            <w:pPr>
              <w:spacing w:before="60" w:after="60" w:line="276" w:lineRule="auto"/>
              <w:jc w:val="center"/>
              <w:rPr>
                <w:rFonts w:ascii="Times New Roman" w:hAnsi="Times New Roman" w:cs="Times New Roman"/>
                <w:sz w:val="24"/>
                <w:szCs w:val="24"/>
              </w:rPr>
            </w:pPr>
            <w:r w:rsidRPr="00723BEC">
              <w:rPr>
                <w:rFonts w:ascii="Times New Roman" w:hAnsi="Times New Roman" w:cs="Times New Roman"/>
                <w:sz w:val="24"/>
                <w:szCs w:val="24"/>
              </w:rPr>
              <w:t>143,877,754,338</w:t>
            </w:r>
          </w:p>
        </w:tc>
      </w:tr>
    </w:tbl>
    <w:p w14:paraId="7B460C67" w14:textId="77777777" w:rsidR="00723BEC" w:rsidRDefault="00723BEC" w:rsidP="00D03DB9">
      <w:pPr>
        <w:pStyle w:val="Lgende"/>
        <w:rPr>
          <w:sz w:val="24"/>
          <w:szCs w:val="24"/>
        </w:rPr>
      </w:pPr>
    </w:p>
    <w:p w14:paraId="02ACD40D" w14:textId="77777777" w:rsidR="00723BEC" w:rsidRDefault="00723BEC" w:rsidP="00D03DB9">
      <w:pPr>
        <w:pStyle w:val="Lgende"/>
        <w:rPr>
          <w:sz w:val="24"/>
          <w:szCs w:val="24"/>
        </w:rPr>
      </w:pPr>
    </w:p>
    <w:p w14:paraId="3B4FA63A" w14:textId="77777777" w:rsidR="00723BEC" w:rsidRDefault="00723BEC" w:rsidP="00D03DB9">
      <w:pPr>
        <w:pStyle w:val="Lgende"/>
        <w:rPr>
          <w:sz w:val="24"/>
          <w:szCs w:val="24"/>
        </w:rPr>
      </w:pPr>
    </w:p>
    <w:p w14:paraId="79A8DF0D" w14:textId="77777777" w:rsidR="00723BEC" w:rsidRDefault="00723BEC" w:rsidP="00D03DB9">
      <w:pPr>
        <w:pStyle w:val="Lgende"/>
        <w:rPr>
          <w:sz w:val="24"/>
          <w:szCs w:val="24"/>
        </w:rPr>
      </w:pPr>
    </w:p>
    <w:p w14:paraId="5E8200B7" w14:textId="77777777" w:rsidR="00723BEC" w:rsidRDefault="00723BEC" w:rsidP="00D03DB9">
      <w:pPr>
        <w:pStyle w:val="Lgende"/>
        <w:rPr>
          <w:sz w:val="24"/>
          <w:szCs w:val="24"/>
        </w:rPr>
      </w:pPr>
    </w:p>
    <w:p w14:paraId="3C624439" w14:textId="77777777" w:rsidR="00723BEC" w:rsidRDefault="00723BEC" w:rsidP="00D03DB9">
      <w:pPr>
        <w:pStyle w:val="Lgende"/>
        <w:rPr>
          <w:sz w:val="24"/>
          <w:szCs w:val="24"/>
        </w:rPr>
      </w:pPr>
    </w:p>
    <w:p w14:paraId="20E00D16" w14:textId="77777777" w:rsidR="00723BEC" w:rsidRDefault="00723BEC" w:rsidP="00D03DB9">
      <w:pPr>
        <w:pStyle w:val="Lgende"/>
        <w:rPr>
          <w:sz w:val="24"/>
          <w:szCs w:val="24"/>
        </w:rPr>
      </w:pPr>
    </w:p>
    <w:p w14:paraId="66161063" w14:textId="29B51D17" w:rsidR="000F027F" w:rsidRPr="00723BEC" w:rsidRDefault="00D91BF7" w:rsidP="00D03DB9">
      <w:pPr>
        <w:pStyle w:val="Lgende"/>
        <w:rPr>
          <w:bCs w:val="0"/>
          <w:color w:val="000000"/>
          <w:sz w:val="24"/>
          <w:szCs w:val="24"/>
          <w:lang w:eastAsia="fr-FR"/>
        </w:rPr>
      </w:pPr>
      <w:bookmarkStart w:id="142" w:name="_Toc1588382"/>
      <w:r w:rsidRPr="00723BEC">
        <w:rPr>
          <w:sz w:val="24"/>
          <w:szCs w:val="24"/>
        </w:rPr>
        <w:lastRenderedPageBreak/>
        <w:t xml:space="preserve">Tableau </w:t>
      </w:r>
      <w:r w:rsidRPr="00723BEC">
        <w:rPr>
          <w:sz w:val="24"/>
          <w:szCs w:val="24"/>
        </w:rPr>
        <w:fldChar w:fldCharType="begin"/>
      </w:r>
      <w:r w:rsidRPr="00723BEC">
        <w:rPr>
          <w:sz w:val="24"/>
          <w:szCs w:val="24"/>
        </w:rPr>
        <w:instrText xml:space="preserve"> SEQ Tableau \* ARABIC </w:instrText>
      </w:r>
      <w:r w:rsidRPr="00723BEC">
        <w:rPr>
          <w:sz w:val="24"/>
          <w:szCs w:val="24"/>
        </w:rPr>
        <w:fldChar w:fldCharType="separate"/>
      </w:r>
      <w:r w:rsidR="00400C22">
        <w:rPr>
          <w:noProof/>
          <w:sz w:val="24"/>
          <w:szCs w:val="24"/>
        </w:rPr>
        <w:t>8</w:t>
      </w:r>
      <w:r w:rsidRPr="00723BEC">
        <w:rPr>
          <w:sz w:val="24"/>
          <w:szCs w:val="24"/>
        </w:rPr>
        <w:fldChar w:fldCharType="end"/>
      </w:r>
      <w:r w:rsidRPr="00723BEC">
        <w:rPr>
          <w:sz w:val="24"/>
          <w:szCs w:val="24"/>
        </w:rPr>
        <w:t xml:space="preserve"> : </w:t>
      </w:r>
      <w:r w:rsidR="000F027F" w:rsidRPr="00723BEC">
        <w:rPr>
          <w:bCs w:val="0"/>
          <w:color w:val="000000"/>
          <w:sz w:val="24"/>
          <w:szCs w:val="24"/>
          <w:lang w:eastAsia="fr-FR"/>
        </w:rPr>
        <w:t xml:space="preserve">Calcul des coûts présentés par </w:t>
      </w:r>
      <w:r w:rsidR="0084266C">
        <w:rPr>
          <w:bCs w:val="0"/>
          <w:color w:val="000000"/>
          <w:sz w:val="24"/>
          <w:szCs w:val="24"/>
          <w:lang w:eastAsia="fr-FR"/>
        </w:rPr>
        <w:t>catégorie des coû</w:t>
      </w:r>
      <w:r w:rsidR="00306861" w:rsidRPr="00723BEC">
        <w:rPr>
          <w:bCs w:val="0"/>
          <w:color w:val="000000"/>
          <w:sz w:val="24"/>
          <w:szCs w:val="24"/>
          <w:lang w:eastAsia="fr-FR"/>
        </w:rPr>
        <w:t>ts</w:t>
      </w:r>
      <w:bookmarkEnd w:id="142"/>
      <w:r w:rsidR="00306861" w:rsidRPr="00723BEC">
        <w:rPr>
          <w:bCs w:val="0"/>
          <w:color w:val="000000"/>
          <w:sz w:val="24"/>
          <w:szCs w:val="24"/>
          <w:lang w:eastAsia="fr-FR"/>
        </w:rPr>
        <w:t xml:space="preserve"> </w:t>
      </w:r>
    </w:p>
    <w:p w14:paraId="15CCE02A" w14:textId="77777777" w:rsidR="00D91BF7" w:rsidRPr="00D91BF7" w:rsidRDefault="00D91BF7" w:rsidP="00D91BF7">
      <w:pPr>
        <w:rPr>
          <w:lang w:val="fr-FR" w:eastAsia="fr-FR"/>
        </w:rPr>
      </w:pPr>
    </w:p>
    <w:tbl>
      <w:tblPr>
        <w:tblStyle w:val="Grilledutableau"/>
        <w:tblW w:w="13193" w:type="dxa"/>
        <w:tblLook w:val="04A0" w:firstRow="1" w:lastRow="0" w:firstColumn="1" w:lastColumn="0" w:noHBand="0" w:noVBand="1"/>
      </w:tblPr>
      <w:tblGrid>
        <w:gridCol w:w="3397"/>
        <w:gridCol w:w="2127"/>
        <w:gridCol w:w="1984"/>
        <w:gridCol w:w="1716"/>
        <w:gridCol w:w="1985"/>
        <w:gridCol w:w="1984"/>
      </w:tblGrid>
      <w:tr w:rsidR="00306861" w:rsidRPr="00723BEC" w14:paraId="0330F484" w14:textId="77777777" w:rsidTr="008F4009">
        <w:trPr>
          <w:trHeight w:val="263"/>
          <w:tblHeader/>
        </w:trPr>
        <w:tc>
          <w:tcPr>
            <w:tcW w:w="3397" w:type="dxa"/>
            <w:shd w:val="clear" w:color="auto" w:fill="DEEAF6" w:themeFill="accent5" w:themeFillTint="33"/>
            <w:noWrap/>
            <w:hideMark/>
          </w:tcPr>
          <w:p w14:paraId="3F20C9B8" w14:textId="77777777" w:rsidR="00306861" w:rsidRPr="00723BEC" w:rsidRDefault="00306861" w:rsidP="00723BEC">
            <w:pPr>
              <w:spacing w:before="60" w:after="60" w:line="276" w:lineRule="auto"/>
              <w:jc w:val="center"/>
              <w:rPr>
                <w:rFonts w:ascii="Times New Roman" w:eastAsia="Times New Roman" w:hAnsi="Times New Roman" w:cs="Times New Roman"/>
                <w:b/>
                <w:bCs/>
                <w:color w:val="000000"/>
                <w:sz w:val="24"/>
                <w:szCs w:val="24"/>
              </w:rPr>
            </w:pPr>
            <w:r w:rsidRPr="00723BEC">
              <w:rPr>
                <w:rFonts w:ascii="Times New Roman" w:eastAsia="Times New Roman" w:hAnsi="Times New Roman" w:cs="Times New Roman"/>
                <w:b/>
                <w:bCs/>
                <w:color w:val="000000"/>
                <w:sz w:val="24"/>
                <w:szCs w:val="24"/>
              </w:rPr>
              <w:t>Catégorie de coûts primaires</w:t>
            </w:r>
          </w:p>
        </w:tc>
        <w:tc>
          <w:tcPr>
            <w:tcW w:w="2127" w:type="dxa"/>
            <w:shd w:val="clear" w:color="auto" w:fill="DEEAF6" w:themeFill="accent5" w:themeFillTint="33"/>
            <w:noWrap/>
            <w:vAlign w:val="center"/>
            <w:hideMark/>
          </w:tcPr>
          <w:p w14:paraId="67E77AE6" w14:textId="77777777" w:rsidR="00306861" w:rsidRPr="00723BEC" w:rsidRDefault="00306861" w:rsidP="00723BEC">
            <w:pPr>
              <w:spacing w:before="60" w:after="60" w:line="276" w:lineRule="auto"/>
              <w:jc w:val="center"/>
              <w:rPr>
                <w:rFonts w:ascii="Times New Roman" w:eastAsia="Times New Roman" w:hAnsi="Times New Roman" w:cs="Times New Roman"/>
                <w:b/>
                <w:color w:val="000000"/>
                <w:sz w:val="24"/>
                <w:szCs w:val="24"/>
              </w:rPr>
            </w:pPr>
            <w:r w:rsidRPr="00723BEC">
              <w:rPr>
                <w:rFonts w:ascii="Times New Roman" w:eastAsia="Times New Roman" w:hAnsi="Times New Roman" w:cs="Times New Roman"/>
                <w:b/>
                <w:color w:val="000000"/>
                <w:sz w:val="24"/>
                <w:szCs w:val="24"/>
              </w:rPr>
              <w:t>Total 2018-2020</w:t>
            </w:r>
          </w:p>
        </w:tc>
        <w:tc>
          <w:tcPr>
            <w:tcW w:w="1984" w:type="dxa"/>
            <w:shd w:val="clear" w:color="auto" w:fill="DEEAF6" w:themeFill="accent5" w:themeFillTint="33"/>
            <w:noWrap/>
            <w:vAlign w:val="center"/>
            <w:hideMark/>
          </w:tcPr>
          <w:p w14:paraId="3662A857" w14:textId="77777777" w:rsidR="00306861" w:rsidRPr="00723BEC" w:rsidRDefault="00306861" w:rsidP="00723BEC">
            <w:pPr>
              <w:spacing w:before="60" w:after="60" w:line="276" w:lineRule="auto"/>
              <w:jc w:val="center"/>
              <w:rPr>
                <w:rFonts w:ascii="Times New Roman" w:eastAsia="Times New Roman" w:hAnsi="Times New Roman" w:cs="Times New Roman"/>
                <w:b/>
                <w:color w:val="000000"/>
                <w:sz w:val="24"/>
                <w:szCs w:val="24"/>
              </w:rPr>
            </w:pPr>
            <w:r w:rsidRPr="00723BEC">
              <w:rPr>
                <w:rFonts w:ascii="Times New Roman" w:eastAsia="Times New Roman" w:hAnsi="Times New Roman" w:cs="Times New Roman"/>
                <w:b/>
                <w:color w:val="000000"/>
                <w:sz w:val="24"/>
                <w:szCs w:val="24"/>
              </w:rPr>
              <w:t>Total 2018-2028</w:t>
            </w:r>
          </w:p>
        </w:tc>
        <w:tc>
          <w:tcPr>
            <w:tcW w:w="1716" w:type="dxa"/>
            <w:shd w:val="clear" w:color="auto" w:fill="DEEAF6" w:themeFill="accent5" w:themeFillTint="33"/>
            <w:noWrap/>
            <w:vAlign w:val="center"/>
            <w:hideMark/>
          </w:tcPr>
          <w:p w14:paraId="01E0E2D5" w14:textId="77777777" w:rsidR="00306861" w:rsidRPr="00723BEC" w:rsidRDefault="00306861" w:rsidP="00723BEC">
            <w:pPr>
              <w:spacing w:before="60" w:after="60" w:line="276" w:lineRule="auto"/>
              <w:jc w:val="center"/>
              <w:rPr>
                <w:rFonts w:ascii="Times New Roman" w:eastAsia="Times New Roman" w:hAnsi="Times New Roman" w:cs="Times New Roman"/>
                <w:b/>
                <w:bCs/>
                <w:color w:val="000000"/>
                <w:sz w:val="24"/>
                <w:szCs w:val="24"/>
              </w:rPr>
            </w:pPr>
            <w:r w:rsidRPr="00723BEC">
              <w:rPr>
                <w:rFonts w:ascii="Times New Roman" w:eastAsia="Times New Roman" w:hAnsi="Times New Roman" w:cs="Times New Roman"/>
                <w:b/>
                <w:bCs/>
                <w:color w:val="000000"/>
                <w:sz w:val="24"/>
                <w:szCs w:val="24"/>
              </w:rPr>
              <w:t>2018</w:t>
            </w:r>
          </w:p>
        </w:tc>
        <w:tc>
          <w:tcPr>
            <w:tcW w:w="1985" w:type="dxa"/>
            <w:shd w:val="clear" w:color="auto" w:fill="DEEAF6" w:themeFill="accent5" w:themeFillTint="33"/>
            <w:noWrap/>
            <w:vAlign w:val="center"/>
            <w:hideMark/>
          </w:tcPr>
          <w:p w14:paraId="2B6AB4F6" w14:textId="77777777" w:rsidR="00306861" w:rsidRPr="00723BEC" w:rsidRDefault="00306861" w:rsidP="00723BEC">
            <w:pPr>
              <w:spacing w:before="60" w:after="60" w:line="276" w:lineRule="auto"/>
              <w:jc w:val="center"/>
              <w:rPr>
                <w:rFonts w:ascii="Times New Roman" w:eastAsia="Times New Roman" w:hAnsi="Times New Roman" w:cs="Times New Roman"/>
                <w:b/>
                <w:bCs/>
                <w:color w:val="000000"/>
                <w:sz w:val="24"/>
                <w:szCs w:val="24"/>
              </w:rPr>
            </w:pPr>
            <w:r w:rsidRPr="00723BEC">
              <w:rPr>
                <w:rFonts w:ascii="Times New Roman" w:eastAsia="Times New Roman" w:hAnsi="Times New Roman" w:cs="Times New Roman"/>
                <w:b/>
                <w:bCs/>
                <w:color w:val="000000"/>
                <w:sz w:val="24"/>
                <w:szCs w:val="24"/>
              </w:rPr>
              <w:t>2019</w:t>
            </w:r>
          </w:p>
        </w:tc>
        <w:tc>
          <w:tcPr>
            <w:tcW w:w="1984" w:type="dxa"/>
            <w:shd w:val="clear" w:color="auto" w:fill="DEEAF6" w:themeFill="accent5" w:themeFillTint="33"/>
            <w:noWrap/>
            <w:vAlign w:val="center"/>
            <w:hideMark/>
          </w:tcPr>
          <w:p w14:paraId="37AD01F5" w14:textId="77777777" w:rsidR="00306861" w:rsidRPr="00723BEC" w:rsidRDefault="00306861" w:rsidP="00723BEC">
            <w:pPr>
              <w:spacing w:before="60" w:after="60" w:line="276" w:lineRule="auto"/>
              <w:jc w:val="center"/>
              <w:rPr>
                <w:rFonts w:ascii="Times New Roman" w:eastAsia="Times New Roman" w:hAnsi="Times New Roman" w:cs="Times New Roman"/>
                <w:b/>
                <w:bCs/>
                <w:color w:val="000000"/>
                <w:sz w:val="24"/>
                <w:szCs w:val="24"/>
              </w:rPr>
            </w:pPr>
            <w:r w:rsidRPr="00723BEC">
              <w:rPr>
                <w:rFonts w:ascii="Times New Roman" w:eastAsia="Times New Roman" w:hAnsi="Times New Roman" w:cs="Times New Roman"/>
                <w:b/>
                <w:bCs/>
                <w:color w:val="000000"/>
                <w:sz w:val="24"/>
                <w:szCs w:val="24"/>
              </w:rPr>
              <w:t>2020</w:t>
            </w:r>
          </w:p>
        </w:tc>
      </w:tr>
      <w:tr w:rsidR="00306861" w:rsidRPr="00723BEC" w14:paraId="687D0DDC" w14:textId="77777777" w:rsidTr="008F4009">
        <w:trPr>
          <w:trHeight w:val="263"/>
        </w:trPr>
        <w:tc>
          <w:tcPr>
            <w:tcW w:w="3397" w:type="dxa"/>
            <w:noWrap/>
            <w:hideMark/>
          </w:tcPr>
          <w:p w14:paraId="08211DA2"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Medicaments, produits de base et consommables</w:t>
            </w:r>
          </w:p>
        </w:tc>
        <w:tc>
          <w:tcPr>
            <w:tcW w:w="2127" w:type="dxa"/>
            <w:noWrap/>
            <w:vAlign w:val="center"/>
            <w:hideMark/>
          </w:tcPr>
          <w:p w14:paraId="797A93BC" w14:textId="03C896FB"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79,967,663,049</w:t>
            </w:r>
          </w:p>
        </w:tc>
        <w:tc>
          <w:tcPr>
            <w:tcW w:w="1984" w:type="dxa"/>
            <w:noWrap/>
            <w:vAlign w:val="center"/>
            <w:hideMark/>
          </w:tcPr>
          <w:p w14:paraId="6E8299DB" w14:textId="6ED38C31"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188,069,157,623</w:t>
            </w:r>
          </w:p>
        </w:tc>
        <w:tc>
          <w:tcPr>
            <w:tcW w:w="1716" w:type="dxa"/>
            <w:noWrap/>
            <w:vAlign w:val="center"/>
            <w:hideMark/>
          </w:tcPr>
          <w:p w14:paraId="23556052" w14:textId="1ADC5439"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w:t>
            </w:r>
          </w:p>
        </w:tc>
        <w:tc>
          <w:tcPr>
            <w:tcW w:w="1985" w:type="dxa"/>
            <w:noWrap/>
            <w:vAlign w:val="center"/>
            <w:hideMark/>
          </w:tcPr>
          <w:p w14:paraId="1D5CE3B6" w14:textId="067171B5"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38,033,831,525</w:t>
            </w:r>
          </w:p>
        </w:tc>
        <w:tc>
          <w:tcPr>
            <w:tcW w:w="1984" w:type="dxa"/>
            <w:noWrap/>
            <w:vAlign w:val="center"/>
            <w:hideMark/>
          </w:tcPr>
          <w:p w14:paraId="0F988042" w14:textId="7F35F66C"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41,933,831,525</w:t>
            </w:r>
          </w:p>
        </w:tc>
      </w:tr>
      <w:tr w:rsidR="00306861" w:rsidRPr="00723BEC" w14:paraId="4C9F2F81" w14:textId="77777777" w:rsidTr="008F4009">
        <w:trPr>
          <w:trHeight w:val="263"/>
        </w:trPr>
        <w:tc>
          <w:tcPr>
            <w:tcW w:w="3397" w:type="dxa"/>
            <w:noWrap/>
            <w:hideMark/>
          </w:tcPr>
          <w:p w14:paraId="20899F5E"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Recherche, S&amp;E et surveillance</w:t>
            </w:r>
          </w:p>
        </w:tc>
        <w:tc>
          <w:tcPr>
            <w:tcW w:w="2127" w:type="dxa"/>
            <w:noWrap/>
            <w:vAlign w:val="center"/>
            <w:hideMark/>
          </w:tcPr>
          <w:p w14:paraId="5AB3A8F2" w14:textId="0BFB7005"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44,328,440,916</w:t>
            </w:r>
          </w:p>
        </w:tc>
        <w:tc>
          <w:tcPr>
            <w:tcW w:w="1984" w:type="dxa"/>
            <w:noWrap/>
            <w:vAlign w:val="center"/>
            <w:hideMark/>
          </w:tcPr>
          <w:p w14:paraId="396536EA" w14:textId="0ABFC80C"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139,512,817,186</w:t>
            </w:r>
          </w:p>
        </w:tc>
        <w:tc>
          <w:tcPr>
            <w:tcW w:w="1716" w:type="dxa"/>
            <w:noWrap/>
            <w:vAlign w:val="center"/>
            <w:hideMark/>
          </w:tcPr>
          <w:p w14:paraId="7AF8712B" w14:textId="5686E2E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689,222,383</w:t>
            </w:r>
          </w:p>
        </w:tc>
        <w:tc>
          <w:tcPr>
            <w:tcW w:w="1985" w:type="dxa"/>
            <w:noWrap/>
            <w:vAlign w:val="center"/>
            <w:hideMark/>
          </w:tcPr>
          <w:p w14:paraId="281A675F" w14:textId="2C4BF4B3"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26,219,283,017</w:t>
            </w:r>
          </w:p>
        </w:tc>
        <w:tc>
          <w:tcPr>
            <w:tcW w:w="1984" w:type="dxa"/>
            <w:noWrap/>
            <w:vAlign w:val="center"/>
            <w:hideMark/>
          </w:tcPr>
          <w:p w14:paraId="17FC7EF5" w14:textId="3F319100"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17,419,935,515</w:t>
            </w:r>
          </w:p>
        </w:tc>
      </w:tr>
      <w:tr w:rsidR="00306861" w:rsidRPr="00723BEC" w14:paraId="66F5A4B2" w14:textId="77777777" w:rsidTr="008F4009">
        <w:trPr>
          <w:trHeight w:val="263"/>
        </w:trPr>
        <w:tc>
          <w:tcPr>
            <w:tcW w:w="3397" w:type="dxa"/>
            <w:noWrap/>
            <w:hideMark/>
          </w:tcPr>
          <w:p w14:paraId="11EE520A"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Infrastructure - frais de fonctionnement des établissements sanitaires</w:t>
            </w:r>
          </w:p>
        </w:tc>
        <w:tc>
          <w:tcPr>
            <w:tcW w:w="2127" w:type="dxa"/>
            <w:noWrap/>
            <w:vAlign w:val="center"/>
            <w:hideMark/>
          </w:tcPr>
          <w:p w14:paraId="7ECE0BDE" w14:textId="38C9DD06"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29,835,885,335</w:t>
            </w:r>
          </w:p>
        </w:tc>
        <w:tc>
          <w:tcPr>
            <w:tcW w:w="1984" w:type="dxa"/>
            <w:noWrap/>
            <w:vAlign w:val="center"/>
            <w:hideMark/>
          </w:tcPr>
          <w:p w14:paraId="41AA335E" w14:textId="7ACC5B24"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35,110,272,005</w:t>
            </w:r>
          </w:p>
        </w:tc>
        <w:tc>
          <w:tcPr>
            <w:tcW w:w="1716" w:type="dxa"/>
            <w:noWrap/>
            <w:vAlign w:val="center"/>
            <w:hideMark/>
          </w:tcPr>
          <w:p w14:paraId="39817065" w14:textId="59920979"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w:t>
            </w:r>
          </w:p>
        </w:tc>
        <w:tc>
          <w:tcPr>
            <w:tcW w:w="1985" w:type="dxa"/>
            <w:noWrap/>
            <w:vAlign w:val="center"/>
            <w:hideMark/>
          </w:tcPr>
          <w:p w14:paraId="35C1A4F7" w14:textId="6AABFBE4"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21,234,322,000</w:t>
            </w:r>
          </w:p>
        </w:tc>
        <w:tc>
          <w:tcPr>
            <w:tcW w:w="1984" w:type="dxa"/>
            <w:noWrap/>
            <w:vAlign w:val="center"/>
            <w:hideMark/>
          </w:tcPr>
          <w:p w14:paraId="60E25C23" w14:textId="76AAFBF3"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8,601,563,335</w:t>
            </w:r>
          </w:p>
        </w:tc>
      </w:tr>
      <w:tr w:rsidR="00306861" w:rsidRPr="00723BEC" w14:paraId="6B8255CD" w14:textId="77777777" w:rsidTr="008F4009">
        <w:trPr>
          <w:trHeight w:val="263"/>
        </w:trPr>
        <w:tc>
          <w:tcPr>
            <w:tcW w:w="3397" w:type="dxa"/>
            <w:noWrap/>
            <w:hideMark/>
          </w:tcPr>
          <w:p w14:paraId="78BC35C6" w14:textId="18909AC2"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Formation de base</w:t>
            </w:r>
          </w:p>
        </w:tc>
        <w:tc>
          <w:tcPr>
            <w:tcW w:w="2127" w:type="dxa"/>
            <w:noWrap/>
            <w:vAlign w:val="center"/>
            <w:hideMark/>
          </w:tcPr>
          <w:p w14:paraId="6767E975" w14:textId="1D1EE59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26,795,140,950</w:t>
            </w:r>
          </w:p>
        </w:tc>
        <w:tc>
          <w:tcPr>
            <w:tcW w:w="1984" w:type="dxa"/>
            <w:noWrap/>
            <w:vAlign w:val="center"/>
            <w:hideMark/>
          </w:tcPr>
          <w:p w14:paraId="18742983" w14:textId="41B62621"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38,382,932,300</w:t>
            </w:r>
          </w:p>
        </w:tc>
        <w:tc>
          <w:tcPr>
            <w:tcW w:w="1716" w:type="dxa"/>
            <w:noWrap/>
            <w:vAlign w:val="center"/>
            <w:hideMark/>
          </w:tcPr>
          <w:p w14:paraId="3B6951AB" w14:textId="0286584B"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6,875,000,000</w:t>
            </w:r>
          </w:p>
        </w:tc>
        <w:tc>
          <w:tcPr>
            <w:tcW w:w="1985" w:type="dxa"/>
            <w:noWrap/>
            <w:vAlign w:val="center"/>
            <w:hideMark/>
          </w:tcPr>
          <w:p w14:paraId="526EE71C" w14:textId="5235DB28"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12,181,956,450</w:t>
            </w:r>
          </w:p>
        </w:tc>
        <w:tc>
          <w:tcPr>
            <w:tcW w:w="1984" w:type="dxa"/>
            <w:noWrap/>
            <w:vAlign w:val="center"/>
            <w:hideMark/>
          </w:tcPr>
          <w:p w14:paraId="03A4FCC9" w14:textId="73A79A6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7,738,184,500</w:t>
            </w:r>
          </w:p>
        </w:tc>
      </w:tr>
      <w:tr w:rsidR="00306861" w:rsidRPr="00723BEC" w14:paraId="029F7EF1" w14:textId="77777777" w:rsidTr="008F4009">
        <w:trPr>
          <w:trHeight w:val="263"/>
        </w:trPr>
        <w:tc>
          <w:tcPr>
            <w:tcW w:w="3397" w:type="dxa"/>
            <w:noWrap/>
            <w:hideMark/>
          </w:tcPr>
          <w:p w14:paraId="02228ED1"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Chaîne d'approvisionnement (expédition, véhicules, transport, stockage, distribution)</w:t>
            </w:r>
          </w:p>
        </w:tc>
        <w:tc>
          <w:tcPr>
            <w:tcW w:w="2127" w:type="dxa"/>
            <w:noWrap/>
            <w:vAlign w:val="center"/>
            <w:hideMark/>
          </w:tcPr>
          <w:p w14:paraId="02CD866D" w14:textId="1AEA08CB"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21,512,840,000</w:t>
            </w:r>
          </w:p>
        </w:tc>
        <w:tc>
          <w:tcPr>
            <w:tcW w:w="1984" w:type="dxa"/>
            <w:noWrap/>
            <w:vAlign w:val="center"/>
            <w:hideMark/>
          </w:tcPr>
          <w:p w14:paraId="21AAB44E" w14:textId="41D3E973"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21,512,840,000</w:t>
            </w:r>
          </w:p>
        </w:tc>
        <w:tc>
          <w:tcPr>
            <w:tcW w:w="1716" w:type="dxa"/>
            <w:noWrap/>
            <w:vAlign w:val="center"/>
            <w:hideMark/>
          </w:tcPr>
          <w:p w14:paraId="2CD3E15C"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p>
        </w:tc>
        <w:tc>
          <w:tcPr>
            <w:tcW w:w="1985" w:type="dxa"/>
            <w:noWrap/>
            <w:vAlign w:val="center"/>
            <w:hideMark/>
          </w:tcPr>
          <w:p w14:paraId="57794E21" w14:textId="63E7E478"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11,005,270,000</w:t>
            </w:r>
          </w:p>
        </w:tc>
        <w:tc>
          <w:tcPr>
            <w:tcW w:w="1984" w:type="dxa"/>
            <w:noWrap/>
            <w:vAlign w:val="center"/>
            <w:hideMark/>
          </w:tcPr>
          <w:p w14:paraId="63B71B4F" w14:textId="49EA5245"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10,507,570,000</w:t>
            </w:r>
          </w:p>
        </w:tc>
      </w:tr>
      <w:tr w:rsidR="00306861" w:rsidRPr="00723BEC" w14:paraId="1F52EC68" w14:textId="77777777" w:rsidTr="008F4009">
        <w:trPr>
          <w:trHeight w:val="263"/>
        </w:trPr>
        <w:tc>
          <w:tcPr>
            <w:tcW w:w="3397" w:type="dxa"/>
            <w:noWrap/>
            <w:hideMark/>
          </w:tcPr>
          <w:p w14:paraId="3BD5A3D7"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Infrastructure des établissements de santé - construction ou achat</w:t>
            </w:r>
          </w:p>
        </w:tc>
        <w:tc>
          <w:tcPr>
            <w:tcW w:w="2127" w:type="dxa"/>
            <w:noWrap/>
            <w:vAlign w:val="center"/>
            <w:hideMark/>
          </w:tcPr>
          <w:p w14:paraId="0DFB431B" w14:textId="1B908D51"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26,948,604,505</w:t>
            </w:r>
          </w:p>
        </w:tc>
        <w:tc>
          <w:tcPr>
            <w:tcW w:w="1984" w:type="dxa"/>
            <w:noWrap/>
            <w:vAlign w:val="center"/>
            <w:hideMark/>
          </w:tcPr>
          <w:p w14:paraId="7B4A1EAC" w14:textId="31C1EBE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41,111,884,010</w:t>
            </w:r>
          </w:p>
        </w:tc>
        <w:tc>
          <w:tcPr>
            <w:tcW w:w="1716" w:type="dxa"/>
            <w:noWrap/>
            <w:vAlign w:val="center"/>
            <w:hideMark/>
          </w:tcPr>
          <w:p w14:paraId="6587B1B4"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p>
        </w:tc>
        <w:tc>
          <w:tcPr>
            <w:tcW w:w="1985" w:type="dxa"/>
            <w:noWrap/>
            <w:vAlign w:val="center"/>
            <w:hideMark/>
          </w:tcPr>
          <w:p w14:paraId="21B94519" w14:textId="163A7484"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8,176,500,000</w:t>
            </w:r>
          </w:p>
        </w:tc>
        <w:tc>
          <w:tcPr>
            <w:tcW w:w="1984" w:type="dxa"/>
            <w:noWrap/>
            <w:vAlign w:val="center"/>
            <w:hideMark/>
          </w:tcPr>
          <w:p w14:paraId="5B9C897A" w14:textId="71198098"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18,772,104,505</w:t>
            </w:r>
          </w:p>
        </w:tc>
      </w:tr>
      <w:tr w:rsidR="00306861" w:rsidRPr="00723BEC" w14:paraId="2CDC1363" w14:textId="77777777" w:rsidTr="008F4009">
        <w:trPr>
          <w:trHeight w:val="263"/>
        </w:trPr>
        <w:tc>
          <w:tcPr>
            <w:tcW w:w="3397" w:type="dxa"/>
            <w:noWrap/>
            <w:hideMark/>
          </w:tcPr>
          <w:p w14:paraId="4B441883"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Administration et gestion</w:t>
            </w:r>
          </w:p>
        </w:tc>
        <w:tc>
          <w:tcPr>
            <w:tcW w:w="2127" w:type="dxa"/>
            <w:noWrap/>
            <w:vAlign w:val="center"/>
            <w:hideMark/>
          </w:tcPr>
          <w:p w14:paraId="0E6D456A" w14:textId="654321F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10,835,672,577</w:t>
            </w:r>
          </w:p>
        </w:tc>
        <w:tc>
          <w:tcPr>
            <w:tcW w:w="1984" w:type="dxa"/>
            <w:noWrap/>
            <w:vAlign w:val="center"/>
            <w:hideMark/>
          </w:tcPr>
          <w:p w14:paraId="110CB599" w14:textId="159E0801"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21,348,315,311</w:t>
            </w:r>
          </w:p>
        </w:tc>
        <w:tc>
          <w:tcPr>
            <w:tcW w:w="1716" w:type="dxa"/>
            <w:noWrap/>
            <w:vAlign w:val="center"/>
            <w:hideMark/>
          </w:tcPr>
          <w:p w14:paraId="2F9F6A00" w14:textId="74D91D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491,495,467</w:t>
            </w:r>
          </w:p>
        </w:tc>
        <w:tc>
          <w:tcPr>
            <w:tcW w:w="1985" w:type="dxa"/>
            <w:noWrap/>
            <w:vAlign w:val="center"/>
            <w:hideMark/>
          </w:tcPr>
          <w:p w14:paraId="11B25D6A" w14:textId="30858B7A"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7,403,744,810</w:t>
            </w:r>
          </w:p>
        </w:tc>
        <w:tc>
          <w:tcPr>
            <w:tcW w:w="1984" w:type="dxa"/>
            <w:noWrap/>
            <w:vAlign w:val="center"/>
            <w:hideMark/>
          </w:tcPr>
          <w:p w14:paraId="02B67611" w14:textId="75558833"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2,940,432,300</w:t>
            </w:r>
          </w:p>
        </w:tc>
      </w:tr>
      <w:tr w:rsidR="00306861" w:rsidRPr="00723BEC" w14:paraId="357C7753" w14:textId="77777777" w:rsidTr="008F4009">
        <w:trPr>
          <w:trHeight w:val="263"/>
        </w:trPr>
        <w:tc>
          <w:tcPr>
            <w:tcW w:w="3397" w:type="dxa"/>
            <w:noWrap/>
            <w:hideMark/>
          </w:tcPr>
          <w:p w14:paraId="11E09310"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Soutien budgétaire / coûts non alloués</w:t>
            </w:r>
          </w:p>
        </w:tc>
        <w:tc>
          <w:tcPr>
            <w:tcW w:w="2127" w:type="dxa"/>
            <w:noWrap/>
            <w:vAlign w:val="center"/>
            <w:hideMark/>
          </w:tcPr>
          <w:p w14:paraId="6F768BF9" w14:textId="3DE3E706"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23,482,634,076</w:t>
            </w:r>
          </w:p>
        </w:tc>
        <w:tc>
          <w:tcPr>
            <w:tcW w:w="1984" w:type="dxa"/>
            <w:noWrap/>
            <w:vAlign w:val="center"/>
            <w:hideMark/>
          </w:tcPr>
          <w:p w14:paraId="31E4D462" w14:textId="2E1898B2"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178,031,825,150</w:t>
            </w:r>
          </w:p>
        </w:tc>
        <w:tc>
          <w:tcPr>
            <w:tcW w:w="1716" w:type="dxa"/>
            <w:noWrap/>
            <w:vAlign w:val="center"/>
            <w:hideMark/>
          </w:tcPr>
          <w:p w14:paraId="32B47012" w14:textId="1374DFC0"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681,265,000</w:t>
            </w:r>
          </w:p>
        </w:tc>
        <w:tc>
          <w:tcPr>
            <w:tcW w:w="1985" w:type="dxa"/>
            <w:noWrap/>
            <w:vAlign w:val="center"/>
            <w:hideMark/>
          </w:tcPr>
          <w:p w14:paraId="4F3C2C6B" w14:textId="148AB754"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7,029,797,386</w:t>
            </w:r>
          </w:p>
        </w:tc>
        <w:tc>
          <w:tcPr>
            <w:tcW w:w="1984" w:type="dxa"/>
            <w:noWrap/>
            <w:vAlign w:val="center"/>
            <w:hideMark/>
          </w:tcPr>
          <w:p w14:paraId="5280E275" w14:textId="49580DB2"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15,771,571,690</w:t>
            </w:r>
          </w:p>
        </w:tc>
      </w:tr>
      <w:tr w:rsidR="00306861" w:rsidRPr="00723BEC" w14:paraId="3AEF7507" w14:textId="77777777" w:rsidTr="008F4009">
        <w:trPr>
          <w:trHeight w:val="263"/>
        </w:trPr>
        <w:tc>
          <w:tcPr>
            <w:tcW w:w="3397" w:type="dxa"/>
            <w:noWrap/>
            <w:hideMark/>
          </w:tcPr>
          <w:p w14:paraId="02FA764F"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Formation continue</w:t>
            </w:r>
          </w:p>
        </w:tc>
        <w:tc>
          <w:tcPr>
            <w:tcW w:w="2127" w:type="dxa"/>
            <w:noWrap/>
            <w:vAlign w:val="center"/>
            <w:hideMark/>
          </w:tcPr>
          <w:p w14:paraId="5D996F4B" w14:textId="2319429F"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12,037,994,611</w:t>
            </w:r>
          </w:p>
        </w:tc>
        <w:tc>
          <w:tcPr>
            <w:tcW w:w="1984" w:type="dxa"/>
            <w:noWrap/>
            <w:vAlign w:val="center"/>
            <w:hideMark/>
          </w:tcPr>
          <w:p w14:paraId="624F6BBC" w14:textId="5605120E"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23,536,741,557</w:t>
            </w:r>
          </w:p>
        </w:tc>
        <w:tc>
          <w:tcPr>
            <w:tcW w:w="1716" w:type="dxa"/>
            <w:noWrap/>
            <w:vAlign w:val="center"/>
            <w:hideMark/>
          </w:tcPr>
          <w:p w14:paraId="1BE4F3D3" w14:textId="5FC94B02"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174,715,000</w:t>
            </w:r>
          </w:p>
        </w:tc>
        <w:tc>
          <w:tcPr>
            <w:tcW w:w="1985" w:type="dxa"/>
            <w:noWrap/>
            <w:vAlign w:val="center"/>
            <w:hideMark/>
          </w:tcPr>
          <w:p w14:paraId="396AA80A" w14:textId="2970F7EB"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5,425,082,692</w:t>
            </w:r>
          </w:p>
        </w:tc>
        <w:tc>
          <w:tcPr>
            <w:tcW w:w="1984" w:type="dxa"/>
            <w:noWrap/>
            <w:vAlign w:val="center"/>
            <w:hideMark/>
          </w:tcPr>
          <w:p w14:paraId="4BBD5EED" w14:textId="541BA7F3"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6,438,196,919</w:t>
            </w:r>
          </w:p>
        </w:tc>
      </w:tr>
      <w:tr w:rsidR="00306861" w:rsidRPr="00723BEC" w14:paraId="28208445" w14:textId="77777777" w:rsidTr="008F4009">
        <w:trPr>
          <w:trHeight w:val="263"/>
        </w:trPr>
        <w:tc>
          <w:tcPr>
            <w:tcW w:w="3397" w:type="dxa"/>
            <w:noWrap/>
            <w:hideMark/>
          </w:tcPr>
          <w:p w14:paraId="0F695999"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Infrastructure des établissements de santé - réhabilitation</w:t>
            </w:r>
          </w:p>
        </w:tc>
        <w:tc>
          <w:tcPr>
            <w:tcW w:w="2127" w:type="dxa"/>
            <w:noWrap/>
            <w:vAlign w:val="center"/>
            <w:hideMark/>
          </w:tcPr>
          <w:p w14:paraId="579F0411" w14:textId="57CE320E"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9,939,642,850</w:t>
            </w:r>
          </w:p>
        </w:tc>
        <w:tc>
          <w:tcPr>
            <w:tcW w:w="1984" w:type="dxa"/>
            <w:noWrap/>
            <w:vAlign w:val="center"/>
            <w:hideMark/>
          </w:tcPr>
          <w:p w14:paraId="0A6BF6F1" w14:textId="2176407A"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21,593,140,700</w:t>
            </w:r>
          </w:p>
        </w:tc>
        <w:tc>
          <w:tcPr>
            <w:tcW w:w="1716" w:type="dxa"/>
            <w:noWrap/>
            <w:vAlign w:val="center"/>
            <w:hideMark/>
          </w:tcPr>
          <w:p w14:paraId="6AED2B34"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p>
        </w:tc>
        <w:tc>
          <w:tcPr>
            <w:tcW w:w="1985" w:type="dxa"/>
            <w:noWrap/>
            <w:vAlign w:val="center"/>
            <w:hideMark/>
          </w:tcPr>
          <w:p w14:paraId="279F57D0" w14:textId="67081641"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5,333,700,000</w:t>
            </w:r>
          </w:p>
        </w:tc>
        <w:tc>
          <w:tcPr>
            <w:tcW w:w="1984" w:type="dxa"/>
            <w:noWrap/>
            <w:vAlign w:val="center"/>
            <w:hideMark/>
          </w:tcPr>
          <w:p w14:paraId="26F88C06" w14:textId="1870657B"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4,605,942,850</w:t>
            </w:r>
          </w:p>
        </w:tc>
      </w:tr>
      <w:tr w:rsidR="00306861" w:rsidRPr="00723BEC" w14:paraId="065D9272" w14:textId="77777777" w:rsidTr="008F4009">
        <w:trPr>
          <w:trHeight w:val="263"/>
        </w:trPr>
        <w:tc>
          <w:tcPr>
            <w:tcW w:w="3397" w:type="dxa"/>
            <w:noWrap/>
            <w:hideMark/>
          </w:tcPr>
          <w:p w14:paraId="027F067D"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Communication, plaidoyer et changement de comportement</w:t>
            </w:r>
          </w:p>
        </w:tc>
        <w:tc>
          <w:tcPr>
            <w:tcW w:w="2127" w:type="dxa"/>
            <w:noWrap/>
            <w:vAlign w:val="center"/>
            <w:hideMark/>
          </w:tcPr>
          <w:p w14:paraId="5E289E75" w14:textId="1E1B7115"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4,781,798,548</w:t>
            </w:r>
          </w:p>
        </w:tc>
        <w:tc>
          <w:tcPr>
            <w:tcW w:w="1984" w:type="dxa"/>
            <w:noWrap/>
            <w:vAlign w:val="center"/>
            <w:hideMark/>
          </w:tcPr>
          <w:p w14:paraId="5753DF6C" w14:textId="7F352926"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8,357,368,806</w:t>
            </w:r>
          </w:p>
        </w:tc>
        <w:tc>
          <w:tcPr>
            <w:tcW w:w="1716" w:type="dxa"/>
            <w:noWrap/>
            <w:vAlign w:val="center"/>
            <w:hideMark/>
          </w:tcPr>
          <w:p w14:paraId="47AF18D0" w14:textId="6E9675DA"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473,008,633</w:t>
            </w:r>
          </w:p>
        </w:tc>
        <w:tc>
          <w:tcPr>
            <w:tcW w:w="1985" w:type="dxa"/>
            <w:noWrap/>
            <w:vAlign w:val="center"/>
            <w:hideMark/>
          </w:tcPr>
          <w:p w14:paraId="2357B097" w14:textId="70C6EE5B"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2,316,917,783</w:t>
            </w:r>
          </w:p>
        </w:tc>
        <w:tc>
          <w:tcPr>
            <w:tcW w:w="1984" w:type="dxa"/>
            <w:noWrap/>
            <w:vAlign w:val="center"/>
            <w:hideMark/>
          </w:tcPr>
          <w:p w14:paraId="761E6034" w14:textId="609E3689"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1,991,872,133</w:t>
            </w:r>
          </w:p>
        </w:tc>
      </w:tr>
      <w:tr w:rsidR="00306861" w:rsidRPr="00723BEC" w14:paraId="2A6FE322" w14:textId="77777777" w:rsidTr="008F4009">
        <w:trPr>
          <w:trHeight w:val="263"/>
        </w:trPr>
        <w:tc>
          <w:tcPr>
            <w:tcW w:w="3397" w:type="dxa"/>
            <w:noWrap/>
            <w:hideMark/>
          </w:tcPr>
          <w:p w14:paraId="4EC7D417"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Assistance technique</w:t>
            </w:r>
          </w:p>
        </w:tc>
        <w:tc>
          <w:tcPr>
            <w:tcW w:w="2127" w:type="dxa"/>
            <w:noWrap/>
            <w:vAlign w:val="center"/>
            <w:hideMark/>
          </w:tcPr>
          <w:p w14:paraId="6320446E" w14:textId="61085B1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3,194,270,200</w:t>
            </w:r>
          </w:p>
        </w:tc>
        <w:tc>
          <w:tcPr>
            <w:tcW w:w="1984" w:type="dxa"/>
            <w:noWrap/>
            <w:vAlign w:val="center"/>
            <w:hideMark/>
          </w:tcPr>
          <w:p w14:paraId="67EE1423" w14:textId="1C11B2D0"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5,692,270,200</w:t>
            </w:r>
          </w:p>
        </w:tc>
        <w:tc>
          <w:tcPr>
            <w:tcW w:w="1716" w:type="dxa"/>
            <w:noWrap/>
            <w:vAlign w:val="center"/>
            <w:hideMark/>
          </w:tcPr>
          <w:p w14:paraId="33877D4C" w14:textId="6564366F"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w:t>
            </w:r>
          </w:p>
        </w:tc>
        <w:tc>
          <w:tcPr>
            <w:tcW w:w="1985" w:type="dxa"/>
            <w:noWrap/>
            <w:vAlign w:val="center"/>
            <w:hideMark/>
          </w:tcPr>
          <w:p w14:paraId="6FDEACBD" w14:textId="374D48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1,788,502,100</w:t>
            </w:r>
          </w:p>
        </w:tc>
        <w:tc>
          <w:tcPr>
            <w:tcW w:w="1984" w:type="dxa"/>
            <w:noWrap/>
            <w:vAlign w:val="center"/>
            <w:hideMark/>
          </w:tcPr>
          <w:p w14:paraId="4C95D096" w14:textId="32D1388F"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1,405,768,100</w:t>
            </w:r>
          </w:p>
        </w:tc>
      </w:tr>
      <w:tr w:rsidR="00306861" w:rsidRPr="00723BEC" w14:paraId="7319549B" w14:textId="77777777" w:rsidTr="00B81840">
        <w:trPr>
          <w:trHeight w:val="263"/>
        </w:trPr>
        <w:tc>
          <w:tcPr>
            <w:tcW w:w="3397" w:type="dxa"/>
            <w:noWrap/>
            <w:hideMark/>
          </w:tcPr>
          <w:p w14:paraId="2169649F"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lastRenderedPageBreak/>
              <w:t>Soutien à la vivre - activités generatrices de revenue, soutien alimentaire, soutien en espèces</w:t>
            </w:r>
          </w:p>
        </w:tc>
        <w:tc>
          <w:tcPr>
            <w:tcW w:w="2127" w:type="dxa"/>
            <w:noWrap/>
            <w:vAlign w:val="center"/>
            <w:hideMark/>
          </w:tcPr>
          <w:p w14:paraId="6345F65C" w14:textId="32051736"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6,906,000,000</w:t>
            </w:r>
          </w:p>
        </w:tc>
        <w:tc>
          <w:tcPr>
            <w:tcW w:w="1984" w:type="dxa"/>
            <w:noWrap/>
            <w:vAlign w:val="center"/>
            <w:hideMark/>
          </w:tcPr>
          <w:p w14:paraId="0E091605" w14:textId="3C520F02"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43,946,785,820</w:t>
            </w:r>
          </w:p>
        </w:tc>
        <w:tc>
          <w:tcPr>
            <w:tcW w:w="1716" w:type="dxa"/>
            <w:noWrap/>
            <w:vAlign w:val="center"/>
            <w:hideMark/>
          </w:tcPr>
          <w:p w14:paraId="0D9E7531" w14:textId="02D4FAF5"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1,260,000,000</w:t>
            </w:r>
          </w:p>
        </w:tc>
        <w:tc>
          <w:tcPr>
            <w:tcW w:w="1985" w:type="dxa"/>
            <w:noWrap/>
            <w:vAlign w:val="center"/>
            <w:hideMark/>
          </w:tcPr>
          <w:p w14:paraId="13029532" w14:textId="4F147B49"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1,260,000,000</w:t>
            </w:r>
          </w:p>
        </w:tc>
        <w:tc>
          <w:tcPr>
            <w:tcW w:w="1984" w:type="dxa"/>
            <w:noWrap/>
            <w:vAlign w:val="center"/>
            <w:hideMark/>
          </w:tcPr>
          <w:p w14:paraId="65226213" w14:textId="77F75510"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4,386,000,000</w:t>
            </w:r>
          </w:p>
        </w:tc>
      </w:tr>
      <w:tr w:rsidR="00306861" w:rsidRPr="00723BEC" w14:paraId="78864AD2" w14:textId="77777777" w:rsidTr="00B81840">
        <w:trPr>
          <w:trHeight w:val="263"/>
        </w:trPr>
        <w:tc>
          <w:tcPr>
            <w:tcW w:w="3397" w:type="dxa"/>
            <w:noWrap/>
            <w:hideMark/>
          </w:tcPr>
          <w:p w14:paraId="2DCFB91E"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Équipements médical</w:t>
            </w:r>
          </w:p>
        </w:tc>
        <w:tc>
          <w:tcPr>
            <w:tcW w:w="2127" w:type="dxa"/>
            <w:noWrap/>
            <w:vAlign w:val="center"/>
            <w:hideMark/>
          </w:tcPr>
          <w:p w14:paraId="14FD82A7" w14:textId="6C12F4EC"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1,529,253,900</w:t>
            </w:r>
          </w:p>
        </w:tc>
        <w:tc>
          <w:tcPr>
            <w:tcW w:w="1984" w:type="dxa"/>
            <w:noWrap/>
            <w:vAlign w:val="center"/>
            <w:hideMark/>
          </w:tcPr>
          <w:p w14:paraId="5C89F079" w14:textId="0D7F528F"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3,157,207,755</w:t>
            </w:r>
          </w:p>
        </w:tc>
        <w:tc>
          <w:tcPr>
            <w:tcW w:w="1716" w:type="dxa"/>
            <w:noWrap/>
            <w:vAlign w:val="center"/>
            <w:hideMark/>
          </w:tcPr>
          <w:p w14:paraId="32DB2774"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p>
        </w:tc>
        <w:tc>
          <w:tcPr>
            <w:tcW w:w="1985" w:type="dxa"/>
            <w:noWrap/>
            <w:vAlign w:val="center"/>
            <w:hideMark/>
          </w:tcPr>
          <w:p w14:paraId="1C854A49" w14:textId="4C9A3566"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496,769,267</w:t>
            </w:r>
          </w:p>
        </w:tc>
        <w:tc>
          <w:tcPr>
            <w:tcW w:w="1984" w:type="dxa"/>
            <w:noWrap/>
            <w:vAlign w:val="center"/>
            <w:hideMark/>
          </w:tcPr>
          <w:p w14:paraId="407F8E63" w14:textId="2DDB5502"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1,032,484,633</w:t>
            </w:r>
          </w:p>
        </w:tc>
      </w:tr>
      <w:tr w:rsidR="00306861" w:rsidRPr="00723BEC" w14:paraId="7EFEFE0E" w14:textId="77777777" w:rsidTr="00B81840">
        <w:trPr>
          <w:trHeight w:val="263"/>
        </w:trPr>
        <w:tc>
          <w:tcPr>
            <w:tcW w:w="3397" w:type="dxa"/>
            <w:noWrap/>
            <w:hideMark/>
          </w:tcPr>
          <w:p w14:paraId="52F158D8" w14:textId="77777777"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Événements communautaires de sensibilisation</w:t>
            </w:r>
          </w:p>
        </w:tc>
        <w:tc>
          <w:tcPr>
            <w:tcW w:w="2127" w:type="dxa"/>
            <w:noWrap/>
            <w:vAlign w:val="center"/>
            <w:hideMark/>
          </w:tcPr>
          <w:p w14:paraId="0FEA285E" w14:textId="38E960DD"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807,163,000</w:t>
            </w:r>
          </w:p>
        </w:tc>
        <w:tc>
          <w:tcPr>
            <w:tcW w:w="1984" w:type="dxa"/>
            <w:noWrap/>
            <w:vAlign w:val="center"/>
            <w:hideMark/>
          </w:tcPr>
          <w:p w14:paraId="251B6615" w14:textId="65A61858"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1,468,533,498</w:t>
            </w:r>
          </w:p>
        </w:tc>
        <w:tc>
          <w:tcPr>
            <w:tcW w:w="1716" w:type="dxa"/>
            <w:noWrap/>
            <w:vAlign w:val="center"/>
            <w:hideMark/>
          </w:tcPr>
          <w:p w14:paraId="2727F57E" w14:textId="28AD6D26"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70,000,000</w:t>
            </w:r>
          </w:p>
        </w:tc>
        <w:tc>
          <w:tcPr>
            <w:tcW w:w="1985" w:type="dxa"/>
            <w:noWrap/>
            <w:vAlign w:val="center"/>
            <w:hideMark/>
          </w:tcPr>
          <w:p w14:paraId="4301AFA6" w14:textId="7AB8072F"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404,866,667</w:t>
            </w:r>
          </w:p>
        </w:tc>
        <w:tc>
          <w:tcPr>
            <w:tcW w:w="1984" w:type="dxa"/>
            <w:noWrap/>
            <w:vAlign w:val="center"/>
            <w:hideMark/>
          </w:tcPr>
          <w:p w14:paraId="32BC5B15" w14:textId="5ADAFCDA" w:rsidR="00306861" w:rsidRPr="00723BEC" w:rsidRDefault="00306861" w:rsidP="00723BEC">
            <w:pPr>
              <w:spacing w:before="60" w:after="60" w:line="276" w:lineRule="auto"/>
              <w:jc w:val="center"/>
              <w:rPr>
                <w:rFonts w:ascii="Times New Roman" w:eastAsia="Times New Roman" w:hAnsi="Times New Roman" w:cs="Times New Roman"/>
                <w:color w:val="000000"/>
                <w:sz w:val="24"/>
                <w:szCs w:val="24"/>
              </w:rPr>
            </w:pPr>
            <w:r w:rsidRPr="00723BEC">
              <w:rPr>
                <w:rFonts w:ascii="Times New Roman" w:eastAsia="Times New Roman" w:hAnsi="Times New Roman" w:cs="Times New Roman"/>
                <w:color w:val="000000"/>
                <w:sz w:val="24"/>
                <w:szCs w:val="24"/>
              </w:rPr>
              <w:t>332,296,333</w:t>
            </w:r>
          </w:p>
        </w:tc>
      </w:tr>
      <w:tr w:rsidR="00306861" w:rsidRPr="00723BEC" w14:paraId="0050BA00" w14:textId="77777777" w:rsidTr="008F4009">
        <w:trPr>
          <w:trHeight w:val="263"/>
        </w:trPr>
        <w:tc>
          <w:tcPr>
            <w:tcW w:w="3397" w:type="dxa"/>
            <w:noWrap/>
            <w:hideMark/>
          </w:tcPr>
          <w:p w14:paraId="17655F97" w14:textId="1621B216" w:rsidR="00306861" w:rsidRPr="00723BEC" w:rsidRDefault="00AC3089" w:rsidP="00723BEC">
            <w:pPr>
              <w:spacing w:before="60" w:after="60" w:line="276" w:lineRule="auto"/>
              <w:jc w:val="center"/>
              <w:rPr>
                <w:rFonts w:ascii="Times New Roman" w:eastAsia="Times New Roman" w:hAnsi="Times New Roman" w:cs="Times New Roman"/>
                <w:b/>
                <w:bCs/>
                <w:color w:val="000000"/>
                <w:sz w:val="24"/>
                <w:szCs w:val="24"/>
              </w:rPr>
            </w:pPr>
            <w:r w:rsidRPr="00723BEC">
              <w:rPr>
                <w:rFonts w:ascii="Times New Roman" w:eastAsia="Times New Roman" w:hAnsi="Times New Roman" w:cs="Times New Roman"/>
                <w:b/>
                <w:bCs/>
                <w:color w:val="000000"/>
                <w:sz w:val="24"/>
                <w:szCs w:val="24"/>
              </w:rPr>
              <w:t>Total</w:t>
            </w:r>
          </w:p>
        </w:tc>
        <w:tc>
          <w:tcPr>
            <w:tcW w:w="2127" w:type="dxa"/>
            <w:noWrap/>
            <w:hideMark/>
          </w:tcPr>
          <w:p w14:paraId="2710EB1D" w14:textId="41C489BE" w:rsidR="00306861" w:rsidRPr="00723BEC" w:rsidRDefault="00306861" w:rsidP="00723BEC">
            <w:pPr>
              <w:spacing w:before="60" w:after="60" w:line="276" w:lineRule="auto"/>
              <w:jc w:val="center"/>
              <w:rPr>
                <w:rFonts w:ascii="Times New Roman" w:eastAsia="Times New Roman" w:hAnsi="Times New Roman" w:cs="Times New Roman"/>
                <w:b/>
                <w:color w:val="000000"/>
                <w:sz w:val="24"/>
                <w:szCs w:val="24"/>
              </w:rPr>
            </w:pPr>
            <w:r w:rsidRPr="00723BEC">
              <w:rPr>
                <w:rFonts w:ascii="Times New Roman" w:eastAsia="Times New Roman" w:hAnsi="Times New Roman" w:cs="Times New Roman"/>
                <w:b/>
                <w:color w:val="000000"/>
                <w:sz w:val="24"/>
                <w:szCs w:val="24"/>
              </w:rPr>
              <w:t>302,903,004,516</w:t>
            </w:r>
          </w:p>
        </w:tc>
        <w:tc>
          <w:tcPr>
            <w:tcW w:w="1984" w:type="dxa"/>
            <w:noWrap/>
            <w:hideMark/>
          </w:tcPr>
          <w:p w14:paraId="4F188768" w14:textId="0F10881D" w:rsidR="00306861" w:rsidRPr="00723BEC" w:rsidRDefault="00306861" w:rsidP="00723BEC">
            <w:pPr>
              <w:spacing w:before="60" w:after="60" w:line="276" w:lineRule="auto"/>
              <w:jc w:val="center"/>
              <w:rPr>
                <w:rFonts w:ascii="Times New Roman" w:eastAsia="Times New Roman" w:hAnsi="Times New Roman" w:cs="Times New Roman"/>
                <w:b/>
                <w:color w:val="000000"/>
                <w:sz w:val="24"/>
                <w:szCs w:val="24"/>
              </w:rPr>
            </w:pPr>
            <w:r w:rsidRPr="00723BEC">
              <w:rPr>
                <w:rFonts w:ascii="Times New Roman" w:eastAsia="Times New Roman" w:hAnsi="Times New Roman" w:cs="Times New Roman"/>
                <w:b/>
                <w:color w:val="000000"/>
                <w:sz w:val="24"/>
                <w:szCs w:val="24"/>
              </w:rPr>
              <w:t>770,832,091,921</w:t>
            </w:r>
          </w:p>
        </w:tc>
        <w:tc>
          <w:tcPr>
            <w:tcW w:w="1716" w:type="dxa"/>
            <w:noWrap/>
            <w:hideMark/>
          </w:tcPr>
          <w:p w14:paraId="7B0F92BE" w14:textId="7C013F60" w:rsidR="00306861" w:rsidRPr="00723BEC" w:rsidRDefault="00306861" w:rsidP="00723BEC">
            <w:pPr>
              <w:spacing w:before="60" w:after="60" w:line="276" w:lineRule="auto"/>
              <w:jc w:val="center"/>
              <w:rPr>
                <w:rFonts w:ascii="Times New Roman" w:eastAsia="Times New Roman" w:hAnsi="Times New Roman" w:cs="Times New Roman"/>
                <w:b/>
                <w:bCs/>
                <w:color w:val="000000"/>
                <w:sz w:val="24"/>
                <w:szCs w:val="24"/>
              </w:rPr>
            </w:pPr>
            <w:r w:rsidRPr="00723BEC">
              <w:rPr>
                <w:rFonts w:ascii="Times New Roman" w:eastAsia="Times New Roman" w:hAnsi="Times New Roman" w:cs="Times New Roman"/>
                <w:b/>
                <w:bCs/>
                <w:color w:val="000000"/>
                <w:sz w:val="24"/>
                <w:szCs w:val="24"/>
              </w:rPr>
              <w:t>10,714,706,483</w:t>
            </w:r>
          </w:p>
        </w:tc>
        <w:tc>
          <w:tcPr>
            <w:tcW w:w="1985" w:type="dxa"/>
            <w:noWrap/>
            <w:hideMark/>
          </w:tcPr>
          <w:p w14:paraId="1F7D8DCB" w14:textId="4BF9189E" w:rsidR="00306861" w:rsidRPr="00723BEC" w:rsidRDefault="00306861" w:rsidP="00723BEC">
            <w:pPr>
              <w:spacing w:before="60" w:after="60" w:line="276" w:lineRule="auto"/>
              <w:jc w:val="center"/>
              <w:rPr>
                <w:rFonts w:ascii="Times New Roman" w:eastAsia="Times New Roman" w:hAnsi="Times New Roman" w:cs="Times New Roman"/>
                <w:b/>
                <w:bCs/>
                <w:color w:val="000000"/>
                <w:sz w:val="24"/>
                <w:szCs w:val="24"/>
              </w:rPr>
            </w:pPr>
            <w:r w:rsidRPr="00723BEC">
              <w:rPr>
                <w:rFonts w:ascii="Times New Roman" w:eastAsia="Times New Roman" w:hAnsi="Times New Roman" w:cs="Times New Roman"/>
                <w:b/>
                <w:bCs/>
                <w:color w:val="000000"/>
                <w:sz w:val="24"/>
                <w:szCs w:val="24"/>
              </w:rPr>
              <w:t>148,310,543,696</w:t>
            </w:r>
          </w:p>
        </w:tc>
        <w:tc>
          <w:tcPr>
            <w:tcW w:w="1984" w:type="dxa"/>
            <w:noWrap/>
            <w:hideMark/>
          </w:tcPr>
          <w:p w14:paraId="2EB56782" w14:textId="5B379BBB" w:rsidR="00306861" w:rsidRPr="00723BEC" w:rsidRDefault="00306861" w:rsidP="00723BEC">
            <w:pPr>
              <w:spacing w:before="60" w:after="60" w:line="276" w:lineRule="auto"/>
              <w:jc w:val="center"/>
              <w:rPr>
                <w:rFonts w:ascii="Times New Roman" w:eastAsia="Times New Roman" w:hAnsi="Times New Roman" w:cs="Times New Roman"/>
                <w:b/>
                <w:bCs/>
                <w:color w:val="000000"/>
                <w:sz w:val="24"/>
                <w:szCs w:val="24"/>
              </w:rPr>
            </w:pPr>
            <w:r w:rsidRPr="00723BEC">
              <w:rPr>
                <w:rFonts w:ascii="Times New Roman" w:eastAsia="Times New Roman" w:hAnsi="Times New Roman" w:cs="Times New Roman"/>
                <w:b/>
                <w:bCs/>
                <w:color w:val="000000"/>
                <w:sz w:val="24"/>
                <w:szCs w:val="24"/>
              </w:rPr>
              <w:t>143,877,754,338</w:t>
            </w:r>
          </w:p>
        </w:tc>
      </w:tr>
    </w:tbl>
    <w:p w14:paraId="1DA26CEA" w14:textId="19A7EDA6" w:rsidR="00CE0117" w:rsidRDefault="00CE0117">
      <w:pPr>
        <w:rPr>
          <w:rFonts w:ascii="Times New Roman" w:eastAsia="Times New Roman" w:hAnsi="Times New Roman" w:cs="Times New Roman"/>
          <w:b/>
          <w:bCs/>
          <w:color w:val="000000"/>
          <w:sz w:val="24"/>
          <w:szCs w:val="24"/>
          <w:lang w:val="fr-FR" w:eastAsia="fr-FR"/>
        </w:rPr>
      </w:pPr>
    </w:p>
    <w:p w14:paraId="20DB0834" w14:textId="77777777" w:rsidR="000B5E70" w:rsidRPr="00333A62" w:rsidRDefault="000B5E70" w:rsidP="00333A62">
      <w:pPr>
        <w:spacing w:before="120" w:after="120" w:line="276" w:lineRule="auto"/>
        <w:rPr>
          <w:rFonts w:ascii="Times New Roman" w:hAnsi="Times New Roman" w:cs="Times New Roman"/>
          <w:sz w:val="24"/>
          <w:szCs w:val="24"/>
        </w:rPr>
      </w:pPr>
    </w:p>
    <w:p w14:paraId="65E5B44F" w14:textId="77777777" w:rsidR="0002340B" w:rsidRDefault="0002340B" w:rsidP="00333A62">
      <w:pPr>
        <w:pStyle w:val="Titre3"/>
        <w:spacing w:before="120" w:after="120" w:line="276" w:lineRule="auto"/>
        <w:rPr>
          <w:rFonts w:ascii="Times New Roman" w:hAnsi="Times New Roman" w:cs="Times New Roman"/>
          <w:color w:val="auto"/>
        </w:rPr>
        <w:sectPr w:rsidR="0002340B" w:rsidSect="009054EF">
          <w:footerReference w:type="default" r:id="rId51"/>
          <w:pgSz w:w="15840" w:h="12240" w:orient="landscape"/>
          <w:pgMar w:top="1134" w:right="1134" w:bottom="1134" w:left="1418" w:header="708" w:footer="708" w:gutter="0"/>
          <w:cols w:space="708"/>
          <w:docGrid w:linePitch="360"/>
        </w:sectPr>
      </w:pPr>
    </w:p>
    <w:p w14:paraId="26E42C77" w14:textId="09EBE6BF" w:rsidR="00815703" w:rsidRPr="00A5742E" w:rsidRDefault="00700523" w:rsidP="00A35A14">
      <w:pPr>
        <w:pStyle w:val="Titre2"/>
        <w:rPr>
          <w:rFonts w:ascii="Times New Roman" w:hAnsi="Times New Roman" w:cs="Times New Roman"/>
          <w:b/>
          <w:color w:val="0070C0"/>
          <w:sz w:val="24"/>
        </w:rPr>
      </w:pPr>
      <w:r w:rsidRPr="00A5742E">
        <w:rPr>
          <w:rFonts w:ascii="Times New Roman" w:hAnsi="Times New Roman" w:cs="Times New Roman"/>
          <w:b/>
          <w:color w:val="0070C0"/>
          <w:sz w:val="24"/>
        </w:rPr>
        <w:lastRenderedPageBreak/>
        <w:t xml:space="preserve"> </w:t>
      </w:r>
      <w:bookmarkStart w:id="143" w:name="_Toc1573850"/>
      <w:r w:rsidR="00825055" w:rsidRPr="00A5742E">
        <w:rPr>
          <w:rFonts w:ascii="Times New Roman" w:hAnsi="Times New Roman" w:cs="Times New Roman"/>
          <w:b/>
          <w:color w:val="0070C0"/>
          <w:sz w:val="24"/>
        </w:rPr>
        <w:t>Ressour</w:t>
      </w:r>
      <w:r w:rsidR="008233A2" w:rsidRPr="00A5742E">
        <w:rPr>
          <w:rFonts w:ascii="Times New Roman" w:hAnsi="Times New Roman" w:cs="Times New Roman"/>
          <w:b/>
          <w:color w:val="0070C0"/>
          <w:sz w:val="24"/>
        </w:rPr>
        <w:t>ces potentiellement disponibles</w:t>
      </w:r>
      <w:bookmarkEnd w:id="143"/>
    </w:p>
    <w:p w14:paraId="4C9EBCD8" w14:textId="07282B8F" w:rsidR="00B8430E" w:rsidRPr="008F4009" w:rsidRDefault="00B8430E" w:rsidP="008F4009">
      <w:pPr>
        <w:spacing w:before="120" w:after="120" w:line="276" w:lineRule="auto"/>
        <w:jc w:val="both"/>
        <w:rPr>
          <w:rFonts w:ascii="Times New Roman" w:hAnsi="Times New Roman" w:cs="Times New Roman"/>
          <w:sz w:val="24"/>
          <w:szCs w:val="24"/>
        </w:rPr>
      </w:pPr>
      <w:r w:rsidRPr="008F4009">
        <w:rPr>
          <w:rFonts w:ascii="Times New Roman" w:hAnsi="Times New Roman" w:cs="Times New Roman"/>
          <w:sz w:val="24"/>
          <w:szCs w:val="24"/>
        </w:rPr>
        <w:t>Afin de calculer les coûts totaux disponibles dans le secteur de la santé, une activité de cartographie des ressources a été entreprise pour recueillir toutes les données financières auprès des donateurs et du gouvernement de 2016 à 2020, afin de voir les tendances des montants totaux ainsi que les priorités disponibles des partenaires dans le secteur de la santé. Des informations détaillées sur cette analyse sont disponibles dans un rapport séparé.</w:t>
      </w:r>
    </w:p>
    <w:p w14:paraId="7A6F5420" w14:textId="77777777" w:rsidR="000E3218" w:rsidRDefault="000E3218" w:rsidP="008F4009">
      <w:pPr>
        <w:spacing w:before="120" w:after="120" w:line="276" w:lineRule="auto"/>
        <w:jc w:val="both"/>
        <w:rPr>
          <w:rFonts w:ascii="Times New Roman" w:hAnsi="Times New Roman" w:cs="Times New Roman"/>
          <w:sz w:val="24"/>
          <w:szCs w:val="24"/>
        </w:rPr>
      </w:pPr>
      <w:r w:rsidRPr="008F4009">
        <w:rPr>
          <w:rFonts w:ascii="Times New Roman" w:hAnsi="Times New Roman" w:cs="Times New Roman"/>
          <w:sz w:val="24"/>
          <w:szCs w:val="24"/>
        </w:rPr>
        <w:t xml:space="preserve">Les principales sources de financement du secteur ivoirien de la santé pour la période 2016-2020 sont le gouvernement, le Fonds mondial, l'USAID et l'AFD (figure). Au cours de cette période, 68 % des fonds n'étaient associés à aucun des domaines prioritaires du GFF, et les fonds budgétisés les plus importants concernaient la qualité des soins primaires, la santé communautaire et les domaines prioritaires des chaînes d'approvisionnement (tableau 10). </w:t>
      </w:r>
    </w:p>
    <w:p w14:paraId="54995636" w14:textId="77777777" w:rsidR="008F4009" w:rsidRPr="008F4009" w:rsidRDefault="008F4009" w:rsidP="008F4009">
      <w:pPr>
        <w:spacing w:before="120" w:after="120" w:line="276" w:lineRule="auto"/>
        <w:jc w:val="both"/>
        <w:rPr>
          <w:rFonts w:ascii="Times New Roman" w:hAnsi="Times New Roman" w:cs="Times New Roman"/>
          <w:sz w:val="24"/>
          <w:szCs w:val="24"/>
        </w:rPr>
      </w:pPr>
    </w:p>
    <w:p w14:paraId="2F7E74FA" w14:textId="775E9A11" w:rsidR="00AC3089" w:rsidRPr="008F4009" w:rsidRDefault="008F4009" w:rsidP="008F4009">
      <w:pPr>
        <w:pStyle w:val="Lgende"/>
        <w:rPr>
          <w:sz w:val="24"/>
          <w:szCs w:val="24"/>
        </w:rPr>
      </w:pPr>
      <w:bookmarkStart w:id="144" w:name="_Toc1588399"/>
      <w:r w:rsidRPr="008F4009">
        <w:rPr>
          <w:sz w:val="24"/>
        </w:rPr>
        <w:t xml:space="preserve">Figure </w:t>
      </w:r>
      <w:r w:rsidRPr="008F4009">
        <w:rPr>
          <w:sz w:val="24"/>
        </w:rPr>
        <w:fldChar w:fldCharType="begin"/>
      </w:r>
      <w:r w:rsidRPr="008F4009">
        <w:rPr>
          <w:sz w:val="24"/>
        </w:rPr>
        <w:instrText xml:space="preserve"> SEQ Figure \* ARABIC </w:instrText>
      </w:r>
      <w:r w:rsidRPr="008F4009">
        <w:rPr>
          <w:sz w:val="24"/>
        </w:rPr>
        <w:fldChar w:fldCharType="separate"/>
      </w:r>
      <w:r>
        <w:rPr>
          <w:noProof/>
          <w:sz w:val="24"/>
        </w:rPr>
        <w:t>12</w:t>
      </w:r>
      <w:r w:rsidRPr="008F4009">
        <w:rPr>
          <w:sz w:val="24"/>
        </w:rPr>
        <w:fldChar w:fldCharType="end"/>
      </w:r>
      <w:r w:rsidR="00AC3089" w:rsidRPr="008F4009">
        <w:rPr>
          <w:sz w:val="24"/>
          <w:szCs w:val="24"/>
        </w:rPr>
        <w:t xml:space="preserve"> : </w:t>
      </w:r>
      <w:r w:rsidR="00211C24" w:rsidRPr="008F4009">
        <w:rPr>
          <w:sz w:val="24"/>
          <w:szCs w:val="24"/>
        </w:rPr>
        <w:t>Financement total par source de financement, 2016-2020</w:t>
      </w:r>
      <w:bookmarkEnd w:id="144"/>
    </w:p>
    <w:p w14:paraId="71B1B0A7" w14:textId="05F6C668" w:rsidR="00AC3089" w:rsidRDefault="00AC3089" w:rsidP="00AC3089">
      <w:pPr>
        <w:spacing w:before="120" w:after="120" w:line="276" w:lineRule="auto"/>
        <w:jc w:val="center"/>
        <w:rPr>
          <w:rFonts w:ascii="Times New Roman" w:hAnsi="Times New Roman" w:cs="Times New Roman"/>
          <w:szCs w:val="24"/>
        </w:rPr>
      </w:pPr>
      <w:r w:rsidRPr="00D82D52">
        <w:rPr>
          <w:noProof/>
          <w:lang w:val="fr-FR" w:eastAsia="fr-FR"/>
        </w:rPr>
        <w:drawing>
          <wp:inline distT="0" distB="0" distL="0" distR="0" wp14:anchorId="67263F0C" wp14:editId="414DA333">
            <wp:extent cx="4677508" cy="4642338"/>
            <wp:effectExtent l="0" t="0" r="8890" b="6350"/>
            <wp:docPr id="3" name="Chart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6D0F438-DC6A-7A49-9136-AAF9B1890C4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5BC3AF51" w14:textId="5D2E2437" w:rsidR="00AC3089" w:rsidRDefault="00AC3089" w:rsidP="00333A62">
      <w:pPr>
        <w:spacing w:before="120" w:after="120" w:line="276" w:lineRule="auto"/>
        <w:rPr>
          <w:rFonts w:ascii="Times New Roman" w:hAnsi="Times New Roman" w:cs="Times New Roman"/>
          <w:szCs w:val="24"/>
        </w:rPr>
      </w:pPr>
    </w:p>
    <w:p w14:paraId="4E304957" w14:textId="2D7A7602" w:rsidR="00211C24" w:rsidRDefault="00211C24" w:rsidP="00333A62">
      <w:pPr>
        <w:spacing w:before="120" w:after="120" w:line="276" w:lineRule="auto"/>
        <w:rPr>
          <w:rFonts w:ascii="Times New Roman" w:hAnsi="Times New Roman" w:cs="Times New Roman"/>
          <w:szCs w:val="24"/>
        </w:rPr>
      </w:pPr>
    </w:p>
    <w:p w14:paraId="029FB35C" w14:textId="77777777" w:rsidR="00B81840" w:rsidRDefault="00B81840">
      <w:pPr>
        <w:rPr>
          <w:rFonts w:ascii="Times New Roman" w:eastAsia="Times New Roman" w:hAnsi="Times New Roman" w:cs="Times New Roman"/>
          <w:b/>
          <w:bCs/>
          <w:sz w:val="24"/>
          <w:szCs w:val="24"/>
          <w:lang w:val="fr-FR" w:eastAsia="en-GB"/>
        </w:rPr>
      </w:pPr>
      <w:r>
        <w:rPr>
          <w:sz w:val="24"/>
          <w:szCs w:val="24"/>
        </w:rPr>
        <w:br w:type="page"/>
      </w:r>
    </w:p>
    <w:p w14:paraId="5A201BDA" w14:textId="3E0FE3B7" w:rsidR="00211C24" w:rsidRPr="008F4009" w:rsidRDefault="008F4009" w:rsidP="008F4009">
      <w:pPr>
        <w:pStyle w:val="Lgende"/>
        <w:rPr>
          <w:bCs w:val="0"/>
          <w:color w:val="000000"/>
          <w:sz w:val="24"/>
          <w:szCs w:val="24"/>
          <w:lang w:eastAsia="fr-FR"/>
        </w:rPr>
      </w:pPr>
      <w:bookmarkStart w:id="145" w:name="_Toc1588383"/>
      <w:r w:rsidRPr="008F4009">
        <w:rPr>
          <w:sz w:val="24"/>
          <w:szCs w:val="24"/>
        </w:rPr>
        <w:lastRenderedPageBreak/>
        <w:t xml:space="preserve">Tableau </w:t>
      </w:r>
      <w:r w:rsidRPr="008F4009">
        <w:rPr>
          <w:sz w:val="24"/>
          <w:szCs w:val="24"/>
        </w:rPr>
        <w:fldChar w:fldCharType="begin"/>
      </w:r>
      <w:r w:rsidRPr="008F4009">
        <w:rPr>
          <w:sz w:val="24"/>
          <w:szCs w:val="24"/>
        </w:rPr>
        <w:instrText xml:space="preserve"> SEQ Tableau \* ARABIC </w:instrText>
      </w:r>
      <w:r w:rsidRPr="008F4009">
        <w:rPr>
          <w:sz w:val="24"/>
          <w:szCs w:val="24"/>
        </w:rPr>
        <w:fldChar w:fldCharType="separate"/>
      </w:r>
      <w:r w:rsidR="00400C22">
        <w:rPr>
          <w:noProof/>
          <w:sz w:val="24"/>
          <w:szCs w:val="24"/>
        </w:rPr>
        <w:t>10</w:t>
      </w:r>
      <w:r w:rsidRPr="008F4009">
        <w:rPr>
          <w:sz w:val="24"/>
          <w:szCs w:val="24"/>
        </w:rPr>
        <w:fldChar w:fldCharType="end"/>
      </w:r>
      <w:r w:rsidRPr="008F4009">
        <w:rPr>
          <w:sz w:val="24"/>
          <w:szCs w:val="24"/>
        </w:rPr>
        <w:t xml:space="preserve"> : </w:t>
      </w:r>
      <w:r w:rsidR="00AC3089" w:rsidRPr="008F4009">
        <w:rPr>
          <w:bCs w:val="0"/>
          <w:color w:val="000000"/>
          <w:sz w:val="24"/>
          <w:szCs w:val="24"/>
          <w:lang w:eastAsia="fr-FR"/>
        </w:rPr>
        <w:t>Ressources disponibles pour chaque priorit</w:t>
      </w:r>
      <w:r w:rsidR="00605CFC" w:rsidRPr="008F4009">
        <w:rPr>
          <w:bCs w:val="0"/>
          <w:color w:val="000000"/>
          <w:sz w:val="24"/>
          <w:szCs w:val="24"/>
          <w:lang w:eastAsia="fr-FR"/>
        </w:rPr>
        <w:t>é</w:t>
      </w:r>
      <w:r w:rsidR="00AC3089" w:rsidRPr="008F4009">
        <w:rPr>
          <w:bCs w:val="0"/>
          <w:color w:val="000000"/>
          <w:sz w:val="24"/>
          <w:szCs w:val="24"/>
          <w:lang w:eastAsia="fr-FR"/>
        </w:rPr>
        <w:t xml:space="preserve"> </w:t>
      </w:r>
      <w:r w:rsidRPr="008F4009">
        <w:rPr>
          <w:bCs w:val="0"/>
          <w:color w:val="000000"/>
          <w:sz w:val="24"/>
          <w:szCs w:val="24"/>
          <w:lang w:eastAsia="fr-FR"/>
        </w:rPr>
        <w:t>nationale</w:t>
      </w:r>
      <w:bookmarkEnd w:id="145"/>
      <w:r w:rsidR="00AC3089" w:rsidRPr="008F4009">
        <w:rPr>
          <w:bCs w:val="0"/>
          <w:color w:val="000000"/>
          <w:sz w:val="24"/>
          <w:szCs w:val="24"/>
          <w:lang w:eastAsia="fr-FR"/>
        </w:rPr>
        <w:t xml:space="preserve"> </w:t>
      </w:r>
    </w:p>
    <w:tbl>
      <w:tblPr>
        <w:tblStyle w:val="Grilledutableau"/>
        <w:tblpPr w:leftFromText="180" w:rightFromText="180" w:vertAnchor="text" w:horzAnchor="margin" w:tblpXSpec="center" w:tblpY="147"/>
        <w:tblW w:w="11589" w:type="dxa"/>
        <w:tblLook w:val="04A0" w:firstRow="1" w:lastRow="0" w:firstColumn="1" w:lastColumn="0" w:noHBand="0" w:noVBand="1"/>
      </w:tblPr>
      <w:tblGrid>
        <w:gridCol w:w="2309"/>
        <w:gridCol w:w="1856"/>
        <w:gridCol w:w="1856"/>
        <w:gridCol w:w="1856"/>
        <w:gridCol w:w="1856"/>
        <w:gridCol w:w="1856"/>
      </w:tblGrid>
      <w:tr w:rsidR="00211C24" w:rsidRPr="008F4009" w14:paraId="75C639FB" w14:textId="77777777" w:rsidTr="008F4009">
        <w:trPr>
          <w:trHeight w:val="290"/>
        </w:trPr>
        <w:tc>
          <w:tcPr>
            <w:tcW w:w="2309" w:type="dxa"/>
            <w:shd w:val="clear" w:color="auto" w:fill="DEEAF6" w:themeFill="accent5" w:themeFillTint="33"/>
            <w:noWrap/>
            <w:vAlign w:val="center"/>
            <w:hideMark/>
          </w:tcPr>
          <w:p w14:paraId="5A1E0F79" w14:textId="719E7547" w:rsidR="00211C24" w:rsidRPr="008F4009" w:rsidRDefault="008F4009" w:rsidP="008F4009">
            <w:pPr>
              <w:spacing w:before="60" w:after="60" w:line="276" w:lineRule="auto"/>
              <w:jc w:val="center"/>
              <w:rPr>
                <w:rFonts w:ascii="Times New Roman" w:hAnsi="Times New Roman" w:cs="Times New Roman"/>
                <w:b/>
                <w:bCs/>
                <w:sz w:val="24"/>
                <w:szCs w:val="24"/>
                <w:lang w:val="fr-FR"/>
              </w:rPr>
            </w:pPr>
            <w:r w:rsidRPr="008F4009">
              <w:rPr>
                <w:rFonts w:ascii="Times New Roman" w:hAnsi="Times New Roman" w:cs="Times New Roman"/>
                <w:b/>
                <w:bCs/>
                <w:sz w:val="24"/>
                <w:szCs w:val="24"/>
                <w:lang w:val="fr-FR"/>
              </w:rPr>
              <w:t>Priorité nationale dans le cadre du GFF</w:t>
            </w:r>
          </w:p>
        </w:tc>
        <w:tc>
          <w:tcPr>
            <w:tcW w:w="1856" w:type="dxa"/>
            <w:shd w:val="clear" w:color="auto" w:fill="DEEAF6" w:themeFill="accent5" w:themeFillTint="33"/>
            <w:noWrap/>
            <w:vAlign w:val="center"/>
            <w:hideMark/>
          </w:tcPr>
          <w:p w14:paraId="4E448520" w14:textId="77777777" w:rsidR="00211C24" w:rsidRPr="008F4009" w:rsidRDefault="00211C24" w:rsidP="008F4009">
            <w:pPr>
              <w:spacing w:before="60" w:after="60" w:line="276" w:lineRule="auto"/>
              <w:jc w:val="center"/>
              <w:rPr>
                <w:rFonts w:ascii="Times New Roman" w:hAnsi="Times New Roman" w:cs="Times New Roman"/>
                <w:b/>
                <w:bCs/>
                <w:sz w:val="24"/>
                <w:szCs w:val="24"/>
                <w:lang w:val="fr-FR"/>
              </w:rPr>
            </w:pPr>
            <w:r w:rsidRPr="008F4009">
              <w:rPr>
                <w:rFonts w:ascii="Times New Roman" w:hAnsi="Times New Roman" w:cs="Times New Roman"/>
                <w:b/>
                <w:bCs/>
                <w:sz w:val="24"/>
                <w:szCs w:val="24"/>
                <w:lang w:val="fr-FR"/>
              </w:rPr>
              <w:t>2016</w:t>
            </w:r>
          </w:p>
        </w:tc>
        <w:tc>
          <w:tcPr>
            <w:tcW w:w="1856" w:type="dxa"/>
            <w:shd w:val="clear" w:color="auto" w:fill="DEEAF6" w:themeFill="accent5" w:themeFillTint="33"/>
            <w:noWrap/>
            <w:vAlign w:val="center"/>
            <w:hideMark/>
          </w:tcPr>
          <w:p w14:paraId="35B3F33E" w14:textId="77777777" w:rsidR="00211C24" w:rsidRPr="008F4009" w:rsidRDefault="00211C24" w:rsidP="008F4009">
            <w:pPr>
              <w:spacing w:before="60" w:after="60" w:line="276" w:lineRule="auto"/>
              <w:jc w:val="center"/>
              <w:rPr>
                <w:rFonts w:ascii="Times New Roman" w:hAnsi="Times New Roman" w:cs="Times New Roman"/>
                <w:b/>
                <w:bCs/>
                <w:sz w:val="24"/>
                <w:szCs w:val="24"/>
                <w:lang w:val="fr-FR"/>
              </w:rPr>
            </w:pPr>
            <w:r w:rsidRPr="008F4009">
              <w:rPr>
                <w:rFonts w:ascii="Times New Roman" w:hAnsi="Times New Roman" w:cs="Times New Roman"/>
                <w:b/>
                <w:bCs/>
                <w:sz w:val="24"/>
                <w:szCs w:val="24"/>
                <w:lang w:val="fr-FR"/>
              </w:rPr>
              <w:t>2017</w:t>
            </w:r>
          </w:p>
        </w:tc>
        <w:tc>
          <w:tcPr>
            <w:tcW w:w="1856" w:type="dxa"/>
            <w:shd w:val="clear" w:color="auto" w:fill="DEEAF6" w:themeFill="accent5" w:themeFillTint="33"/>
            <w:noWrap/>
            <w:vAlign w:val="center"/>
            <w:hideMark/>
          </w:tcPr>
          <w:p w14:paraId="53876A76" w14:textId="77777777" w:rsidR="00211C24" w:rsidRPr="008F4009" w:rsidRDefault="00211C24" w:rsidP="008F4009">
            <w:pPr>
              <w:spacing w:before="60" w:after="60" w:line="276" w:lineRule="auto"/>
              <w:jc w:val="center"/>
              <w:rPr>
                <w:rFonts w:ascii="Times New Roman" w:hAnsi="Times New Roman" w:cs="Times New Roman"/>
                <w:b/>
                <w:bCs/>
                <w:sz w:val="24"/>
                <w:szCs w:val="24"/>
                <w:lang w:val="fr-FR"/>
              </w:rPr>
            </w:pPr>
            <w:r w:rsidRPr="008F4009">
              <w:rPr>
                <w:rFonts w:ascii="Times New Roman" w:hAnsi="Times New Roman" w:cs="Times New Roman"/>
                <w:b/>
                <w:bCs/>
                <w:sz w:val="24"/>
                <w:szCs w:val="24"/>
                <w:lang w:val="fr-FR"/>
              </w:rPr>
              <w:t>2018</w:t>
            </w:r>
          </w:p>
        </w:tc>
        <w:tc>
          <w:tcPr>
            <w:tcW w:w="1856" w:type="dxa"/>
            <w:shd w:val="clear" w:color="auto" w:fill="DEEAF6" w:themeFill="accent5" w:themeFillTint="33"/>
            <w:noWrap/>
            <w:vAlign w:val="center"/>
            <w:hideMark/>
          </w:tcPr>
          <w:p w14:paraId="0D0C2203" w14:textId="77777777" w:rsidR="00211C24" w:rsidRPr="008F4009" w:rsidRDefault="00211C24" w:rsidP="008F4009">
            <w:pPr>
              <w:spacing w:before="60" w:after="60" w:line="276" w:lineRule="auto"/>
              <w:jc w:val="center"/>
              <w:rPr>
                <w:rFonts w:ascii="Times New Roman" w:hAnsi="Times New Roman" w:cs="Times New Roman"/>
                <w:b/>
                <w:bCs/>
                <w:sz w:val="24"/>
                <w:szCs w:val="24"/>
                <w:lang w:val="fr-FR"/>
              </w:rPr>
            </w:pPr>
            <w:r w:rsidRPr="008F4009">
              <w:rPr>
                <w:rFonts w:ascii="Times New Roman" w:hAnsi="Times New Roman" w:cs="Times New Roman"/>
                <w:b/>
                <w:bCs/>
                <w:sz w:val="24"/>
                <w:szCs w:val="24"/>
                <w:lang w:val="fr-FR"/>
              </w:rPr>
              <w:t>2019</w:t>
            </w:r>
          </w:p>
        </w:tc>
        <w:tc>
          <w:tcPr>
            <w:tcW w:w="1856" w:type="dxa"/>
            <w:shd w:val="clear" w:color="auto" w:fill="DEEAF6" w:themeFill="accent5" w:themeFillTint="33"/>
            <w:noWrap/>
            <w:vAlign w:val="center"/>
            <w:hideMark/>
          </w:tcPr>
          <w:p w14:paraId="25818B35" w14:textId="77777777" w:rsidR="00211C24" w:rsidRPr="008F4009" w:rsidRDefault="00211C24" w:rsidP="008F4009">
            <w:pPr>
              <w:spacing w:before="60" w:after="60" w:line="276" w:lineRule="auto"/>
              <w:jc w:val="center"/>
              <w:rPr>
                <w:rFonts w:ascii="Times New Roman" w:hAnsi="Times New Roman" w:cs="Times New Roman"/>
                <w:b/>
                <w:bCs/>
                <w:sz w:val="24"/>
                <w:szCs w:val="24"/>
                <w:lang w:val="fr-FR"/>
              </w:rPr>
            </w:pPr>
            <w:r w:rsidRPr="008F4009">
              <w:rPr>
                <w:rFonts w:ascii="Times New Roman" w:hAnsi="Times New Roman" w:cs="Times New Roman"/>
                <w:b/>
                <w:bCs/>
                <w:sz w:val="24"/>
                <w:szCs w:val="24"/>
                <w:lang w:val="fr-FR"/>
              </w:rPr>
              <w:t>2020</w:t>
            </w:r>
          </w:p>
        </w:tc>
      </w:tr>
      <w:tr w:rsidR="00211C24" w:rsidRPr="008F4009" w14:paraId="4496FB93" w14:textId="77777777" w:rsidTr="008F4009">
        <w:trPr>
          <w:trHeight w:val="290"/>
        </w:trPr>
        <w:tc>
          <w:tcPr>
            <w:tcW w:w="2309" w:type="dxa"/>
            <w:noWrap/>
            <w:hideMark/>
          </w:tcPr>
          <w:p w14:paraId="50AB4832"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Ne contribue pas</w:t>
            </w:r>
          </w:p>
        </w:tc>
        <w:tc>
          <w:tcPr>
            <w:tcW w:w="1856" w:type="dxa"/>
            <w:noWrap/>
            <w:vAlign w:val="center"/>
            <w:hideMark/>
          </w:tcPr>
          <w:p w14:paraId="55FD834D"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267,343,138,505</w:t>
            </w:r>
          </w:p>
        </w:tc>
        <w:tc>
          <w:tcPr>
            <w:tcW w:w="1856" w:type="dxa"/>
            <w:noWrap/>
            <w:vAlign w:val="center"/>
            <w:hideMark/>
          </w:tcPr>
          <w:p w14:paraId="79A2F257"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314,822,265,530</w:t>
            </w:r>
          </w:p>
        </w:tc>
        <w:tc>
          <w:tcPr>
            <w:tcW w:w="1856" w:type="dxa"/>
            <w:noWrap/>
            <w:vAlign w:val="center"/>
            <w:hideMark/>
          </w:tcPr>
          <w:p w14:paraId="7B37FDD8"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317,784,832,849</w:t>
            </w:r>
          </w:p>
        </w:tc>
        <w:tc>
          <w:tcPr>
            <w:tcW w:w="1856" w:type="dxa"/>
            <w:noWrap/>
            <w:vAlign w:val="center"/>
            <w:hideMark/>
          </w:tcPr>
          <w:p w14:paraId="2E124C9E"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105,995,467,225</w:t>
            </w:r>
          </w:p>
        </w:tc>
        <w:tc>
          <w:tcPr>
            <w:tcW w:w="1856" w:type="dxa"/>
            <w:noWrap/>
            <w:vAlign w:val="center"/>
            <w:hideMark/>
          </w:tcPr>
          <w:p w14:paraId="0F121AB3"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66,572,451,005</w:t>
            </w:r>
          </w:p>
        </w:tc>
      </w:tr>
      <w:tr w:rsidR="00211C24" w:rsidRPr="008F4009" w14:paraId="0D46BF94" w14:textId="77777777" w:rsidTr="008F4009">
        <w:trPr>
          <w:trHeight w:val="290"/>
        </w:trPr>
        <w:tc>
          <w:tcPr>
            <w:tcW w:w="2309" w:type="dxa"/>
            <w:noWrap/>
            <w:hideMark/>
          </w:tcPr>
          <w:p w14:paraId="6F3E193B"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Qualité des soins primaires</w:t>
            </w:r>
          </w:p>
        </w:tc>
        <w:tc>
          <w:tcPr>
            <w:tcW w:w="1856" w:type="dxa"/>
            <w:noWrap/>
            <w:vAlign w:val="center"/>
            <w:hideMark/>
          </w:tcPr>
          <w:p w14:paraId="3C5ADCAD"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24,554,577,181</w:t>
            </w:r>
          </w:p>
        </w:tc>
        <w:tc>
          <w:tcPr>
            <w:tcW w:w="1856" w:type="dxa"/>
            <w:noWrap/>
            <w:vAlign w:val="center"/>
            <w:hideMark/>
          </w:tcPr>
          <w:p w14:paraId="04D0B696"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37,218,921,011</w:t>
            </w:r>
          </w:p>
        </w:tc>
        <w:tc>
          <w:tcPr>
            <w:tcW w:w="1856" w:type="dxa"/>
            <w:noWrap/>
            <w:vAlign w:val="center"/>
            <w:hideMark/>
          </w:tcPr>
          <w:p w14:paraId="55F954E2"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71,042,735,298</w:t>
            </w:r>
          </w:p>
        </w:tc>
        <w:tc>
          <w:tcPr>
            <w:tcW w:w="1856" w:type="dxa"/>
            <w:noWrap/>
            <w:vAlign w:val="center"/>
            <w:hideMark/>
          </w:tcPr>
          <w:p w14:paraId="593A4B60"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132,575,596,595</w:t>
            </w:r>
          </w:p>
        </w:tc>
        <w:tc>
          <w:tcPr>
            <w:tcW w:w="1856" w:type="dxa"/>
            <w:noWrap/>
            <w:vAlign w:val="center"/>
            <w:hideMark/>
          </w:tcPr>
          <w:p w14:paraId="2C6A8395"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16,996,014,454</w:t>
            </w:r>
          </w:p>
        </w:tc>
      </w:tr>
      <w:tr w:rsidR="00211C24" w:rsidRPr="008F4009" w14:paraId="65C1F286" w14:textId="77777777" w:rsidTr="008F4009">
        <w:trPr>
          <w:trHeight w:val="290"/>
        </w:trPr>
        <w:tc>
          <w:tcPr>
            <w:tcW w:w="2309" w:type="dxa"/>
            <w:noWrap/>
            <w:hideMark/>
          </w:tcPr>
          <w:p w14:paraId="6E303913"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Santé communautaire</w:t>
            </w:r>
          </w:p>
        </w:tc>
        <w:tc>
          <w:tcPr>
            <w:tcW w:w="1856" w:type="dxa"/>
            <w:noWrap/>
            <w:vAlign w:val="center"/>
            <w:hideMark/>
          </w:tcPr>
          <w:p w14:paraId="4B0A8377"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9,529,441,080</w:t>
            </w:r>
          </w:p>
        </w:tc>
        <w:tc>
          <w:tcPr>
            <w:tcW w:w="1856" w:type="dxa"/>
            <w:noWrap/>
            <w:vAlign w:val="center"/>
            <w:hideMark/>
          </w:tcPr>
          <w:p w14:paraId="6D6245EB"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11,587,131,074</w:t>
            </w:r>
          </w:p>
        </w:tc>
        <w:tc>
          <w:tcPr>
            <w:tcW w:w="1856" w:type="dxa"/>
            <w:noWrap/>
            <w:vAlign w:val="center"/>
            <w:hideMark/>
          </w:tcPr>
          <w:p w14:paraId="6E213278"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18,229,501,751</w:t>
            </w:r>
          </w:p>
        </w:tc>
        <w:tc>
          <w:tcPr>
            <w:tcW w:w="1856" w:type="dxa"/>
            <w:noWrap/>
            <w:vAlign w:val="center"/>
            <w:hideMark/>
          </w:tcPr>
          <w:p w14:paraId="0A9A073B"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13,963,871,307</w:t>
            </w:r>
          </w:p>
        </w:tc>
        <w:tc>
          <w:tcPr>
            <w:tcW w:w="1856" w:type="dxa"/>
            <w:noWrap/>
            <w:vAlign w:val="center"/>
            <w:hideMark/>
          </w:tcPr>
          <w:p w14:paraId="5214099F"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15,145,157,198</w:t>
            </w:r>
          </w:p>
        </w:tc>
      </w:tr>
      <w:tr w:rsidR="00211C24" w:rsidRPr="008F4009" w14:paraId="3F65B59E" w14:textId="77777777" w:rsidTr="008F4009">
        <w:trPr>
          <w:trHeight w:val="290"/>
        </w:trPr>
        <w:tc>
          <w:tcPr>
            <w:tcW w:w="2309" w:type="dxa"/>
            <w:noWrap/>
            <w:hideMark/>
          </w:tcPr>
          <w:p w14:paraId="5C81EFBF"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Chaînes d'approvisionnement</w:t>
            </w:r>
          </w:p>
        </w:tc>
        <w:tc>
          <w:tcPr>
            <w:tcW w:w="1856" w:type="dxa"/>
            <w:noWrap/>
            <w:vAlign w:val="center"/>
            <w:hideMark/>
          </w:tcPr>
          <w:p w14:paraId="7FD74FE5"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6,985,856,373</w:t>
            </w:r>
          </w:p>
        </w:tc>
        <w:tc>
          <w:tcPr>
            <w:tcW w:w="1856" w:type="dxa"/>
            <w:noWrap/>
            <w:vAlign w:val="center"/>
            <w:hideMark/>
          </w:tcPr>
          <w:p w14:paraId="0220F869"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9,524,008,696</w:t>
            </w:r>
          </w:p>
        </w:tc>
        <w:tc>
          <w:tcPr>
            <w:tcW w:w="1856" w:type="dxa"/>
            <w:noWrap/>
            <w:vAlign w:val="center"/>
            <w:hideMark/>
          </w:tcPr>
          <w:p w14:paraId="45E67D21"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18,101,092,042</w:t>
            </w:r>
          </w:p>
        </w:tc>
        <w:tc>
          <w:tcPr>
            <w:tcW w:w="1856" w:type="dxa"/>
            <w:noWrap/>
            <w:vAlign w:val="center"/>
            <w:hideMark/>
          </w:tcPr>
          <w:p w14:paraId="365B428B"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14,964,575,995</w:t>
            </w:r>
          </w:p>
        </w:tc>
        <w:tc>
          <w:tcPr>
            <w:tcW w:w="1856" w:type="dxa"/>
            <w:noWrap/>
            <w:vAlign w:val="center"/>
            <w:hideMark/>
          </w:tcPr>
          <w:p w14:paraId="66149A06"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14,226,275,769</w:t>
            </w:r>
          </w:p>
        </w:tc>
      </w:tr>
      <w:tr w:rsidR="00211C24" w:rsidRPr="008F4009" w14:paraId="51A7BF20" w14:textId="77777777" w:rsidTr="008F4009">
        <w:trPr>
          <w:trHeight w:val="290"/>
        </w:trPr>
        <w:tc>
          <w:tcPr>
            <w:tcW w:w="2309" w:type="dxa"/>
            <w:noWrap/>
            <w:hideMark/>
          </w:tcPr>
          <w:p w14:paraId="3BF53548"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Ressources humaines</w:t>
            </w:r>
          </w:p>
        </w:tc>
        <w:tc>
          <w:tcPr>
            <w:tcW w:w="1856" w:type="dxa"/>
            <w:noWrap/>
            <w:vAlign w:val="center"/>
            <w:hideMark/>
          </w:tcPr>
          <w:p w14:paraId="4909DE8D"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17,110,994,512</w:t>
            </w:r>
          </w:p>
        </w:tc>
        <w:tc>
          <w:tcPr>
            <w:tcW w:w="1856" w:type="dxa"/>
            <w:noWrap/>
            <w:vAlign w:val="center"/>
            <w:hideMark/>
          </w:tcPr>
          <w:p w14:paraId="1AABA76F"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19,810,541,369</w:t>
            </w:r>
          </w:p>
        </w:tc>
        <w:tc>
          <w:tcPr>
            <w:tcW w:w="1856" w:type="dxa"/>
            <w:noWrap/>
            <w:vAlign w:val="center"/>
            <w:hideMark/>
          </w:tcPr>
          <w:p w14:paraId="4643097E"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9,337,917,263</w:t>
            </w:r>
          </w:p>
        </w:tc>
        <w:tc>
          <w:tcPr>
            <w:tcW w:w="1856" w:type="dxa"/>
            <w:noWrap/>
            <w:vAlign w:val="center"/>
            <w:hideMark/>
          </w:tcPr>
          <w:p w14:paraId="14CFFB25"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625,625,000</w:t>
            </w:r>
          </w:p>
        </w:tc>
        <w:tc>
          <w:tcPr>
            <w:tcW w:w="1856" w:type="dxa"/>
            <w:noWrap/>
            <w:vAlign w:val="center"/>
            <w:hideMark/>
          </w:tcPr>
          <w:p w14:paraId="09E28227"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622,877,937</w:t>
            </w:r>
          </w:p>
        </w:tc>
      </w:tr>
      <w:tr w:rsidR="00211C24" w:rsidRPr="008F4009" w14:paraId="0FDD8AA2" w14:textId="77777777" w:rsidTr="008F4009">
        <w:trPr>
          <w:trHeight w:val="290"/>
        </w:trPr>
        <w:tc>
          <w:tcPr>
            <w:tcW w:w="2309" w:type="dxa"/>
            <w:noWrap/>
            <w:hideMark/>
          </w:tcPr>
          <w:p w14:paraId="2B5C07DE"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Systèmes d'information sur la santé</w:t>
            </w:r>
          </w:p>
        </w:tc>
        <w:tc>
          <w:tcPr>
            <w:tcW w:w="1856" w:type="dxa"/>
            <w:noWrap/>
            <w:vAlign w:val="center"/>
            <w:hideMark/>
          </w:tcPr>
          <w:p w14:paraId="04A68FF1"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8,304,737,004</w:t>
            </w:r>
          </w:p>
        </w:tc>
        <w:tc>
          <w:tcPr>
            <w:tcW w:w="1856" w:type="dxa"/>
            <w:noWrap/>
            <w:vAlign w:val="center"/>
            <w:hideMark/>
          </w:tcPr>
          <w:p w14:paraId="04ECBE30"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11,335,145,075</w:t>
            </w:r>
          </w:p>
        </w:tc>
        <w:tc>
          <w:tcPr>
            <w:tcW w:w="1856" w:type="dxa"/>
            <w:noWrap/>
            <w:vAlign w:val="center"/>
            <w:hideMark/>
          </w:tcPr>
          <w:p w14:paraId="0948DC4E"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5,143,181,655</w:t>
            </w:r>
          </w:p>
        </w:tc>
        <w:tc>
          <w:tcPr>
            <w:tcW w:w="1856" w:type="dxa"/>
            <w:noWrap/>
            <w:vAlign w:val="center"/>
            <w:hideMark/>
          </w:tcPr>
          <w:p w14:paraId="4B385DE6"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5,155,757,363</w:t>
            </w:r>
          </w:p>
        </w:tc>
        <w:tc>
          <w:tcPr>
            <w:tcW w:w="1856" w:type="dxa"/>
            <w:noWrap/>
            <w:vAlign w:val="center"/>
            <w:hideMark/>
          </w:tcPr>
          <w:p w14:paraId="4C7717EC"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2,204,758,993</w:t>
            </w:r>
          </w:p>
        </w:tc>
      </w:tr>
      <w:tr w:rsidR="00211C24" w:rsidRPr="008F4009" w14:paraId="4DF39705" w14:textId="77777777" w:rsidTr="008F4009">
        <w:trPr>
          <w:trHeight w:val="290"/>
        </w:trPr>
        <w:tc>
          <w:tcPr>
            <w:tcW w:w="2309" w:type="dxa"/>
            <w:noWrap/>
            <w:hideMark/>
          </w:tcPr>
          <w:p w14:paraId="411C30C8"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CMU et autres réformes du secteur de la santé</w:t>
            </w:r>
          </w:p>
        </w:tc>
        <w:tc>
          <w:tcPr>
            <w:tcW w:w="1856" w:type="dxa"/>
            <w:noWrap/>
            <w:vAlign w:val="center"/>
            <w:hideMark/>
          </w:tcPr>
          <w:p w14:paraId="718850E1"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32,357,073</w:t>
            </w:r>
          </w:p>
        </w:tc>
        <w:tc>
          <w:tcPr>
            <w:tcW w:w="1856" w:type="dxa"/>
            <w:noWrap/>
            <w:vAlign w:val="center"/>
            <w:hideMark/>
          </w:tcPr>
          <w:p w14:paraId="1593BAFB"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31,956,920</w:t>
            </w:r>
          </w:p>
        </w:tc>
        <w:tc>
          <w:tcPr>
            <w:tcW w:w="1856" w:type="dxa"/>
            <w:noWrap/>
            <w:vAlign w:val="center"/>
            <w:hideMark/>
          </w:tcPr>
          <w:p w14:paraId="5F78F0BF"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745,856,175</w:t>
            </w:r>
          </w:p>
        </w:tc>
        <w:tc>
          <w:tcPr>
            <w:tcW w:w="1856" w:type="dxa"/>
            <w:noWrap/>
            <w:vAlign w:val="center"/>
            <w:hideMark/>
          </w:tcPr>
          <w:p w14:paraId="3DB8A6C1"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732,525,000</w:t>
            </w:r>
          </w:p>
        </w:tc>
        <w:tc>
          <w:tcPr>
            <w:tcW w:w="1856" w:type="dxa"/>
            <w:noWrap/>
            <w:vAlign w:val="center"/>
            <w:hideMark/>
          </w:tcPr>
          <w:p w14:paraId="6FE20C02"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661,000,000</w:t>
            </w:r>
          </w:p>
        </w:tc>
      </w:tr>
      <w:tr w:rsidR="00211C24" w:rsidRPr="008F4009" w14:paraId="716C214F" w14:textId="77777777" w:rsidTr="008F4009">
        <w:trPr>
          <w:trHeight w:val="290"/>
        </w:trPr>
        <w:tc>
          <w:tcPr>
            <w:tcW w:w="2309" w:type="dxa"/>
            <w:noWrap/>
            <w:hideMark/>
          </w:tcPr>
          <w:p w14:paraId="14F5830B"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Intégration du secteur privé</w:t>
            </w:r>
          </w:p>
        </w:tc>
        <w:tc>
          <w:tcPr>
            <w:tcW w:w="1856" w:type="dxa"/>
            <w:noWrap/>
            <w:vAlign w:val="center"/>
            <w:hideMark/>
          </w:tcPr>
          <w:p w14:paraId="29B109E0"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101,850,000</w:t>
            </w:r>
          </w:p>
        </w:tc>
        <w:tc>
          <w:tcPr>
            <w:tcW w:w="1856" w:type="dxa"/>
            <w:noWrap/>
            <w:vAlign w:val="center"/>
            <w:hideMark/>
          </w:tcPr>
          <w:p w14:paraId="07D497CB"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95,729,998</w:t>
            </w:r>
          </w:p>
        </w:tc>
        <w:tc>
          <w:tcPr>
            <w:tcW w:w="1856" w:type="dxa"/>
            <w:noWrap/>
            <w:vAlign w:val="center"/>
            <w:hideMark/>
          </w:tcPr>
          <w:p w14:paraId="01CFE9D1"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237,541,156</w:t>
            </w:r>
          </w:p>
        </w:tc>
        <w:tc>
          <w:tcPr>
            <w:tcW w:w="1856" w:type="dxa"/>
            <w:noWrap/>
            <w:vAlign w:val="center"/>
            <w:hideMark/>
          </w:tcPr>
          <w:p w14:paraId="2049AAB4"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93,262,234</w:t>
            </w:r>
          </w:p>
        </w:tc>
        <w:tc>
          <w:tcPr>
            <w:tcW w:w="1856" w:type="dxa"/>
            <w:noWrap/>
            <w:vAlign w:val="center"/>
            <w:hideMark/>
          </w:tcPr>
          <w:p w14:paraId="45268293"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24,104,624</w:t>
            </w:r>
          </w:p>
        </w:tc>
      </w:tr>
      <w:tr w:rsidR="00211C24" w:rsidRPr="008F4009" w14:paraId="1992853F" w14:textId="77777777" w:rsidTr="008F4009">
        <w:trPr>
          <w:trHeight w:val="290"/>
        </w:trPr>
        <w:tc>
          <w:tcPr>
            <w:tcW w:w="2309" w:type="dxa"/>
            <w:noWrap/>
            <w:hideMark/>
          </w:tcPr>
          <w:p w14:paraId="5C46C0B8"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Total</w:t>
            </w:r>
          </w:p>
        </w:tc>
        <w:tc>
          <w:tcPr>
            <w:tcW w:w="1856" w:type="dxa"/>
            <w:noWrap/>
            <w:vAlign w:val="center"/>
            <w:hideMark/>
          </w:tcPr>
          <w:p w14:paraId="215C37C6"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333,962,951,728</w:t>
            </w:r>
          </w:p>
        </w:tc>
        <w:tc>
          <w:tcPr>
            <w:tcW w:w="1856" w:type="dxa"/>
            <w:noWrap/>
            <w:vAlign w:val="center"/>
            <w:hideMark/>
          </w:tcPr>
          <w:p w14:paraId="69D4741B"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404,425,699,673</w:t>
            </w:r>
          </w:p>
        </w:tc>
        <w:tc>
          <w:tcPr>
            <w:tcW w:w="1856" w:type="dxa"/>
            <w:noWrap/>
            <w:vAlign w:val="center"/>
            <w:hideMark/>
          </w:tcPr>
          <w:p w14:paraId="16770D19"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440,622,658,190</w:t>
            </w:r>
          </w:p>
        </w:tc>
        <w:tc>
          <w:tcPr>
            <w:tcW w:w="1856" w:type="dxa"/>
            <w:noWrap/>
            <w:vAlign w:val="center"/>
            <w:hideMark/>
          </w:tcPr>
          <w:p w14:paraId="703E3106"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274,106,680,720</w:t>
            </w:r>
          </w:p>
        </w:tc>
        <w:tc>
          <w:tcPr>
            <w:tcW w:w="1856" w:type="dxa"/>
            <w:noWrap/>
            <w:vAlign w:val="center"/>
            <w:hideMark/>
          </w:tcPr>
          <w:p w14:paraId="1CEBB52F" w14:textId="77777777" w:rsidR="00211C24" w:rsidRPr="008F4009" w:rsidRDefault="00211C24" w:rsidP="008F4009">
            <w:pPr>
              <w:spacing w:before="60" w:after="60" w:line="276" w:lineRule="auto"/>
              <w:jc w:val="center"/>
              <w:rPr>
                <w:rFonts w:ascii="Times New Roman" w:hAnsi="Times New Roman" w:cs="Times New Roman"/>
                <w:sz w:val="24"/>
                <w:szCs w:val="24"/>
                <w:lang w:val="fr-FR"/>
              </w:rPr>
            </w:pPr>
            <w:r w:rsidRPr="008F4009">
              <w:rPr>
                <w:rFonts w:ascii="Times New Roman" w:hAnsi="Times New Roman" w:cs="Times New Roman"/>
                <w:sz w:val="24"/>
                <w:szCs w:val="24"/>
                <w:lang w:val="fr-FR"/>
              </w:rPr>
              <w:t>116,452,639,980</w:t>
            </w:r>
          </w:p>
        </w:tc>
      </w:tr>
    </w:tbl>
    <w:p w14:paraId="582F2ED6" w14:textId="77777777" w:rsidR="00306861" w:rsidRDefault="00306861" w:rsidP="00333A62">
      <w:pPr>
        <w:spacing w:before="120" w:after="120" w:line="276" w:lineRule="auto"/>
        <w:rPr>
          <w:rFonts w:ascii="Times New Roman" w:hAnsi="Times New Roman" w:cs="Times New Roman"/>
          <w:szCs w:val="24"/>
        </w:rPr>
      </w:pPr>
    </w:p>
    <w:p w14:paraId="62BCE3DC" w14:textId="77777777" w:rsidR="00B81840" w:rsidRDefault="00B81840" w:rsidP="00333A62">
      <w:pPr>
        <w:spacing w:before="120" w:after="120" w:line="276" w:lineRule="auto"/>
        <w:rPr>
          <w:rFonts w:ascii="Times New Roman" w:hAnsi="Times New Roman" w:cs="Times New Roman"/>
          <w:szCs w:val="24"/>
        </w:rPr>
      </w:pPr>
    </w:p>
    <w:p w14:paraId="11BF7A86" w14:textId="17DFB7E0" w:rsidR="000E3218" w:rsidRPr="00033A34" w:rsidRDefault="008233A2" w:rsidP="00033A34">
      <w:pPr>
        <w:pStyle w:val="Titre2"/>
        <w:rPr>
          <w:rFonts w:ascii="Times New Roman" w:hAnsi="Times New Roman" w:cs="Times New Roman"/>
          <w:b/>
          <w:color w:val="0070C0"/>
          <w:sz w:val="24"/>
        </w:rPr>
      </w:pPr>
      <w:bookmarkStart w:id="146" w:name="_Toc1573851"/>
      <w:r w:rsidRPr="00A5742E">
        <w:rPr>
          <w:rFonts w:ascii="Times New Roman" w:hAnsi="Times New Roman" w:cs="Times New Roman"/>
          <w:b/>
          <w:color w:val="0070C0"/>
          <w:sz w:val="24"/>
        </w:rPr>
        <w:t>Analyse du gap financier</w:t>
      </w:r>
      <w:bookmarkEnd w:id="146"/>
    </w:p>
    <w:p w14:paraId="34F14695" w14:textId="3C328C69" w:rsidR="00033A34" w:rsidRPr="008F4009" w:rsidRDefault="00605CFC" w:rsidP="008F4009">
      <w:pPr>
        <w:spacing w:before="120" w:after="120" w:line="276" w:lineRule="auto"/>
        <w:jc w:val="both"/>
        <w:rPr>
          <w:rFonts w:ascii="Times New Roman" w:hAnsi="Times New Roman" w:cs="Times New Roman"/>
          <w:sz w:val="24"/>
          <w:szCs w:val="24"/>
        </w:rPr>
      </w:pPr>
      <w:r w:rsidRPr="008F4009">
        <w:rPr>
          <w:rFonts w:ascii="Times New Roman" w:hAnsi="Times New Roman" w:cs="Times New Roman"/>
          <w:sz w:val="24"/>
          <w:szCs w:val="24"/>
        </w:rPr>
        <w:t>Une analyse des gaps financiers a été réalisée entre 2018-2020 afin de comparer le total des besoins de financement du GFF en matière d'investissement et les ressources disponibles dans la base de données de cartographie des ressources. Cette analyse indique que pour la période 2018-2020, les gaps les plus importants concernent les chaînes d'approvisionnement (89 milliards FCFA), les systèmes d'information sanitaire (41 milliards FCFA) et les réformes du secteur de la santé (19 milliards FCFA).</w:t>
      </w:r>
    </w:p>
    <w:p w14:paraId="7B3711C1" w14:textId="1A24DD4B" w:rsidR="00605CFC" w:rsidRDefault="00605CFC" w:rsidP="00333A62">
      <w:pPr>
        <w:spacing w:before="120" w:after="120" w:line="276" w:lineRule="auto"/>
        <w:rPr>
          <w:rFonts w:ascii="Times New Roman" w:hAnsi="Times New Roman" w:cs="Times New Roman"/>
          <w:szCs w:val="24"/>
        </w:rPr>
      </w:pPr>
    </w:p>
    <w:p w14:paraId="048113EB" w14:textId="77777777" w:rsidR="008F4009" w:rsidRDefault="008F4009">
      <w:pPr>
        <w:rPr>
          <w:rFonts w:ascii="Times New Roman" w:eastAsia="Times New Roman" w:hAnsi="Times New Roman" w:cs="Times New Roman"/>
          <w:b/>
          <w:bCs/>
          <w:sz w:val="24"/>
          <w:szCs w:val="24"/>
          <w:lang w:val="fr-FR" w:eastAsia="en-GB"/>
        </w:rPr>
      </w:pPr>
      <w:r>
        <w:rPr>
          <w:sz w:val="24"/>
          <w:szCs w:val="24"/>
        </w:rPr>
        <w:br w:type="page"/>
      </w:r>
    </w:p>
    <w:p w14:paraId="21C33DD0" w14:textId="55032B8A" w:rsidR="00605CFC" w:rsidRDefault="008F4009" w:rsidP="008F4009">
      <w:pPr>
        <w:pStyle w:val="Lgende"/>
        <w:rPr>
          <w:bCs w:val="0"/>
          <w:color w:val="000000"/>
          <w:sz w:val="24"/>
          <w:szCs w:val="24"/>
          <w:lang w:eastAsia="fr-FR"/>
        </w:rPr>
      </w:pPr>
      <w:bookmarkStart w:id="147" w:name="_Toc1588384"/>
      <w:r w:rsidRPr="008F4009">
        <w:rPr>
          <w:sz w:val="24"/>
          <w:szCs w:val="24"/>
        </w:rPr>
        <w:lastRenderedPageBreak/>
        <w:t xml:space="preserve">Tableau </w:t>
      </w:r>
      <w:r w:rsidRPr="008F4009">
        <w:rPr>
          <w:sz w:val="24"/>
          <w:szCs w:val="24"/>
        </w:rPr>
        <w:fldChar w:fldCharType="begin"/>
      </w:r>
      <w:r w:rsidRPr="008F4009">
        <w:rPr>
          <w:sz w:val="24"/>
          <w:szCs w:val="24"/>
        </w:rPr>
        <w:instrText xml:space="preserve"> SEQ Tableau \* ARABIC </w:instrText>
      </w:r>
      <w:r w:rsidRPr="008F4009">
        <w:rPr>
          <w:sz w:val="24"/>
          <w:szCs w:val="24"/>
        </w:rPr>
        <w:fldChar w:fldCharType="separate"/>
      </w:r>
      <w:r w:rsidR="00400C22">
        <w:rPr>
          <w:noProof/>
          <w:sz w:val="24"/>
          <w:szCs w:val="24"/>
        </w:rPr>
        <w:t>11</w:t>
      </w:r>
      <w:r w:rsidRPr="008F4009">
        <w:rPr>
          <w:sz w:val="24"/>
          <w:szCs w:val="24"/>
        </w:rPr>
        <w:fldChar w:fldCharType="end"/>
      </w:r>
      <w:r w:rsidR="00605CFC" w:rsidRPr="008F4009">
        <w:rPr>
          <w:sz w:val="24"/>
          <w:szCs w:val="24"/>
        </w:rPr>
        <w:t xml:space="preserve">: </w:t>
      </w:r>
      <w:r w:rsidR="00605CFC" w:rsidRPr="008F4009">
        <w:rPr>
          <w:bCs w:val="0"/>
          <w:color w:val="000000"/>
          <w:sz w:val="24"/>
          <w:szCs w:val="24"/>
          <w:lang w:eastAsia="fr-FR"/>
        </w:rPr>
        <w:t xml:space="preserve">Gaps financiers pour les priorités </w:t>
      </w:r>
      <w:bookmarkEnd w:id="147"/>
      <w:r w:rsidR="00DE13E5">
        <w:rPr>
          <w:bCs w:val="0"/>
          <w:color w:val="000000"/>
          <w:sz w:val="24"/>
          <w:szCs w:val="24"/>
          <w:lang w:eastAsia="fr-FR"/>
        </w:rPr>
        <w:t>nationales dans le cadre du GFF</w:t>
      </w:r>
      <w:r w:rsidR="00605CFC" w:rsidRPr="008F4009">
        <w:rPr>
          <w:bCs w:val="0"/>
          <w:color w:val="000000"/>
          <w:sz w:val="24"/>
          <w:szCs w:val="24"/>
          <w:lang w:eastAsia="fr-FR"/>
        </w:rPr>
        <w:t xml:space="preserve"> </w:t>
      </w:r>
    </w:p>
    <w:p w14:paraId="1C5D191B" w14:textId="77777777" w:rsidR="008F4009" w:rsidRPr="008F4009" w:rsidRDefault="008F4009" w:rsidP="008F4009">
      <w:pPr>
        <w:rPr>
          <w:sz w:val="8"/>
          <w:lang w:val="fr-FR" w:eastAsia="fr-FR"/>
        </w:rPr>
      </w:pPr>
    </w:p>
    <w:tbl>
      <w:tblPr>
        <w:tblStyle w:val="Grilledutableau"/>
        <w:tblW w:w="10201" w:type="dxa"/>
        <w:tblLook w:val="04A0" w:firstRow="1" w:lastRow="0" w:firstColumn="1" w:lastColumn="0" w:noHBand="0" w:noVBand="1"/>
      </w:tblPr>
      <w:tblGrid>
        <w:gridCol w:w="2788"/>
        <w:gridCol w:w="2452"/>
        <w:gridCol w:w="2552"/>
        <w:gridCol w:w="2409"/>
      </w:tblGrid>
      <w:tr w:rsidR="00033A34" w:rsidRPr="008F4009" w14:paraId="1F3B5C42" w14:textId="77777777" w:rsidTr="008F4009">
        <w:trPr>
          <w:trHeight w:val="219"/>
        </w:trPr>
        <w:tc>
          <w:tcPr>
            <w:tcW w:w="2788" w:type="dxa"/>
            <w:shd w:val="clear" w:color="auto" w:fill="DEEAF6" w:themeFill="accent5" w:themeFillTint="33"/>
            <w:noWrap/>
            <w:vAlign w:val="center"/>
            <w:hideMark/>
          </w:tcPr>
          <w:p w14:paraId="2DA8178E" w14:textId="576F561A" w:rsidR="00033A34" w:rsidRPr="008F4009" w:rsidRDefault="00033A34" w:rsidP="00DE13E5">
            <w:pPr>
              <w:spacing w:before="60" w:after="60" w:line="276" w:lineRule="auto"/>
              <w:jc w:val="center"/>
              <w:rPr>
                <w:rFonts w:ascii="Times New Roman" w:hAnsi="Times New Roman" w:cs="Times New Roman"/>
                <w:b/>
                <w:bCs/>
                <w:sz w:val="24"/>
                <w:szCs w:val="24"/>
              </w:rPr>
            </w:pPr>
            <w:r w:rsidRPr="008F4009">
              <w:rPr>
                <w:rFonts w:ascii="Times New Roman" w:hAnsi="Times New Roman" w:cs="Times New Roman"/>
                <w:b/>
                <w:bCs/>
                <w:sz w:val="24"/>
                <w:szCs w:val="24"/>
              </w:rPr>
              <w:t>Priorité</w:t>
            </w:r>
            <w:r w:rsidR="00DE13E5">
              <w:rPr>
                <w:rFonts w:ascii="Times New Roman" w:hAnsi="Times New Roman" w:cs="Times New Roman"/>
                <w:b/>
                <w:bCs/>
                <w:sz w:val="24"/>
                <w:szCs w:val="24"/>
              </w:rPr>
              <w:t>s</w:t>
            </w:r>
            <w:bookmarkStart w:id="148" w:name="_GoBack"/>
            <w:bookmarkEnd w:id="148"/>
            <w:r w:rsidRPr="008F4009">
              <w:rPr>
                <w:rFonts w:ascii="Times New Roman" w:hAnsi="Times New Roman" w:cs="Times New Roman"/>
                <w:b/>
                <w:bCs/>
                <w:sz w:val="24"/>
                <w:szCs w:val="24"/>
              </w:rPr>
              <w:t xml:space="preserve"> </w:t>
            </w:r>
            <w:r w:rsidR="00DE13E5">
              <w:rPr>
                <w:rFonts w:ascii="Times New Roman" w:hAnsi="Times New Roman" w:cs="Times New Roman"/>
                <w:b/>
                <w:bCs/>
                <w:sz w:val="24"/>
                <w:szCs w:val="24"/>
              </w:rPr>
              <w:t>nationales dans le cadre du GFF</w:t>
            </w:r>
          </w:p>
        </w:tc>
        <w:tc>
          <w:tcPr>
            <w:tcW w:w="2452" w:type="dxa"/>
            <w:shd w:val="clear" w:color="auto" w:fill="DEEAF6" w:themeFill="accent5" w:themeFillTint="33"/>
            <w:noWrap/>
            <w:vAlign w:val="center"/>
            <w:hideMark/>
          </w:tcPr>
          <w:p w14:paraId="249C7A67" w14:textId="77777777" w:rsidR="00033A34" w:rsidRPr="008F4009" w:rsidRDefault="00033A34" w:rsidP="008F4009">
            <w:pPr>
              <w:spacing w:before="60" w:after="60" w:line="276" w:lineRule="auto"/>
              <w:jc w:val="center"/>
              <w:rPr>
                <w:rFonts w:ascii="Times New Roman" w:hAnsi="Times New Roman" w:cs="Times New Roman"/>
                <w:b/>
                <w:bCs/>
                <w:sz w:val="24"/>
                <w:szCs w:val="24"/>
              </w:rPr>
            </w:pPr>
            <w:r w:rsidRPr="008F4009">
              <w:rPr>
                <w:rFonts w:ascii="Times New Roman" w:hAnsi="Times New Roman" w:cs="Times New Roman"/>
                <w:b/>
                <w:bCs/>
                <w:sz w:val="24"/>
                <w:szCs w:val="24"/>
              </w:rPr>
              <w:t>Besoins d'investissement du GFF, 2018-2020</w:t>
            </w:r>
          </w:p>
        </w:tc>
        <w:tc>
          <w:tcPr>
            <w:tcW w:w="2552" w:type="dxa"/>
            <w:shd w:val="clear" w:color="auto" w:fill="DEEAF6" w:themeFill="accent5" w:themeFillTint="33"/>
            <w:noWrap/>
            <w:vAlign w:val="center"/>
            <w:hideMark/>
          </w:tcPr>
          <w:p w14:paraId="221096C3" w14:textId="77777777" w:rsidR="00033A34" w:rsidRPr="008F4009" w:rsidRDefault="00033A34" w:rsidP="008F4009">
            <w:pPr>
              <w:spacing w:before="60" w:after="60" w:line="276" w:lineRule="auto"/>
              <w:jc w:val="center"/>
              <w:rPr>
                <w:rFonts w:ascii="Times New Roman" w:hAnsi="Times New Roman" w:cs="Times New Roman"/>
                <w:b/>
                <w:bCs/>
                <w:sz w:val="24"/>
                <w:szCs w:val="24"/>
              </w:rPr>
            </w:pPr>
            <w:r w:rsidRPr="008F4009">
              <w:rPr>
                <w:rFonts w:ascii="Times New Roman" w:hAnsi="Times New Roman" w:cs="Times New Roman"/>
                <w:b/>
                <w:bCs/>
                <w:sz w:val="24"/>
                <w:szCs w:val="24"/>
              </w:rPr>
              <w:t>Ressources disponibles, 2018-2020</w:t>
            </w:r>
          </w:p>
        </w:tc>
        <w:tc>
          <w:tcPr>
            <w:tcW w:w="2409" w:type="dxa"/>
            <w:shd w:val="clear" w:color="auto" w:fill="DEEAF6" w:themeFill="accent5" w:themeFillTint="33"/>
            <w:noWrap/>
            <w:vAlign w:val="center"/>
            <w:hideMark/>
          </w:tcPr>
          <w:p w14:paraId="71748C68" w14:textId="77777777" w:rsidR="00033A34" w:rsidRPr="008F4009" w:rsidRDefault="00033A34" w:rsidP="008F4009">
            <w:pPr>
              <w:spacing w:before="60" w:after="60" w:line="276" w:lineRule="auto"/>
              <w:jc w:val="center"/>
              <w:rPr>
                <w:rFonts w:ascii="Times New Roman" w:hAnsi="Times New Roman" w:cs="Times New Roman"/>
                <w:b/>
                <w:bCs/>
                <w:sz w:val="24"/>
                <w:szCs w:val="24"/>
              </w:rPr>
            </w:pPr>
            <w:r w:rsidRPr="008F4009">
              <w:rPr>
                <w:rFonts w:ascii="Times New Roman" w:hAnsi="Times New Roman" w:cs="Times New Roman"/>
                <w:b/>
                <w:bCs/>
                <w:sz w:val="24"/>
                <w:szCs w:val="24"/>
              </w:rPr>
              <w:t>Écarts ou excédents, 2018-2020</w:t>
            </w:r>
          </w:p>
        </w:tc>
      </w:tr>
      <w:tr w:rsidR="00033A34" w:rsidRPr="008F4009" w14:paraId="672A97CD" w14:textId="77777777" w:rsidTr="008F4009">
        <w:trPr>
          <w:trHeight w:val="219"/>
        </w:trPr>
        <w:tc>
          <w:tcPr>
            <w:tcW w:w="2788" w:type="dxa"/>
            <w:noWrap/>
            <w:hideMark/>
          </w:tcPr>
          <w:p w14:paraId="434F07CC" w14:textId="77777777"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Chaînes d'approvisionnement</w:t>
            </w:r>
          </w:p>
        </w:tc>
        <w:tc>
          <w:tcPr>
            <w:tcW w:w="2452" w:type="dxa"/>
            <w:noWrap/>
            <w:vAlign w:val="center"/>
            <w:hideMark/>
          </w:tcPr>
          <w:p w14:paraId="49EB0350" w14:textId="7EB07ED3"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130,782,769,819</w:t>
            </w:r>
          </w:p>
        </w:tc>
        <w:tc>
          <w:tcPr>
            <w:tcW w:w="2552" w:type="dxa"/>
            <w:noWrap/>
            <w:vAlign w:val="center"/>
            <w:hideMark/>
          </w:tcPr>
          <w:p w14:paraId="57EAE49C" w14:textId="62364E4E"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42,038,722,786</w:t>
            </w:r>
          </w:p>
        </w:tc>
        <w:tc>
          <w:tcPr>
            <w:tcW w:w="2409" w:type="dxa"/>
            <w:noWrap/>
            <w:vAlign w:val="center"/>
            <w:hideMark/>
          </w:tcPr>
          <w:p w14:paraId="695118A0" w14:textId="5866F647"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(88,744,047,034)</w:t>
            </w:r>
          </w:p>
        </w:tc>
      </w:tr>
      <w:tr w:rsidR="00033A34" w:rsidRPr="008F4009" w14:paraId="268837E4" w14:textId="77777777" w:rsidTr="008F4009">
        <w:trPr>
          <w:trHeight w:val="219"/>
        </w:trPr>
        <w:tc>
          <w:tcPr>
            <w:tcW w:w="2788" w:type="dxa"/>
            <w:noWrap/>
            <w:hideMark/>
          </w:tcPr>
          <w:p w14:paraId="680E7FF7" w14:textId="77777777"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CMU et autres réformes du secteur de la santé</w:t>
            </w:r>
          </w:p>
        </w:tc>
        <w:tc>
          <w:tcPr>
            <w:tcW w:w="2452" w:type="dxa"/>
            <w:noWrap/>
            <w:vAlign w:val="center"/>
            <w:hideMark/>
          </w:tcPr>
          <w:p w14:paraId="0F502789" w14:textId="67D2CEF3"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21,089,178,656</w:t>
            </w:r>
          </w:p>
        </w:tc>
        <w:tc>
          <w:tcPr>
            <w:tcW w:w="2552" w:type="dxa"/>
            <w:noWrap/>
            <w:vAlign w:val="center"/>
            <w:hideMark/>
          </w:tcPr>
          <w:p w14:paraId="11096F77" w14:textId="27FBA7C1"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2,129,653,668</w:t>
            </w:r>
          </w:p>
        </w:tc>
        <w:tc>
          <w:tcPr>
            <w:tcW w:w="2409" w:type="dxa"/>
            <w:noWrap/>
            <w:vAlign w:val="center"/>
            <w:hideMark/>
          </w:tcPr>
          <w:p w14:paraId="3205E0A7" w14:textId="7C5F7046"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(18,959,524,988)</w:t>
            </w:r>
          </w:p>
        </w:tc>
      </w:tr>
      <w:tr w:rsidR="00033A34" w:rsidRPr="008F4009" w14:paraId="6D4B171D" w14:textId="77777777" w:rsidTr="008F4009">
        <w:trPr>
          <w:trHeight w:val="219"/>
        </w:trPr>
        <w:tc>
          <w:tcPr>
            <w:tcW w:w="2788" w:type="dxa"/>
            <w:noWrap/>
            <w:hideMark/>
          </w:tcPr>
          <w:p w14:paraId="52D4FBC5" w14:textId="77777777"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Intégration du secteur privé</w:t>
            </w:r>
          </w:p>
        </w:tc>
        <w:tc>
          <w:tcPr>
            <w:tcW w:w="2452" w:type="dxa"/>
            <w:noWrap/>
            <w:vAlign w:val="center"/>
            <w:hideMark/>
          </w:tcPr>
          <w:p w14:paraId="4FCB9B84" w14:textId="1CBAA783"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2,471,954,335</w:t>
            </w:r>
          </w:p>
        </w:tc>
        <w:tc>
          <w:tcPr>
            <w:tcW w:w="2552" w:type="dxa"/>
            <w:noWrap/>
            <w:vAlign w:val="center"/>
            <w:hideMark/>
          </w:tcPr>
          <w:p w14:paraId="511A06D2" w14:textId="3BD36958"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234,745,514</w:t>
            </w:r>
          </w:p>
        </w:tc>
        <w:tc>
          <w:tcPr>
            <w:tcW w:w="2409" w:type="dxa"/>
            <w:noWrap/>
            <w:vAlign w:val="center"/>
            <w:hideMark/>
          </w:tcPr>
          <w:p w14:paraId="6E848765" w14:textId="387D16D5"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(2,237,208,821)</w:t>
            </w:r>
          </w:p>
        </w:tc>
      </w:tr>
      <w:tr w:rsidR="00033A34" w:rsidRPr="008F4009" w14:paraId="1713BBEA" w14:textId="77777777" w:rsidTr="008F4009">
        <w:trPr>
          <w:trHeight w:val="219"/>
        </w:trPr>
        <w:tc>
          <w:tcPr>
            <w:tcW w:w="2788" w:type="dxa"/>
            <w:noWrap/>
            <w:hideMark/>
          </w:tcPr>
          <w:p w14:paraId="74C2A340" w14:textId="77777777"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Ressources humaines</w:t>
            </w:r>
          </w:p>
        </w:tc>
        <w:tc>
          <w:tcPr>
            <w:tcW w:w="2452" w:type="dxa"/>
            <w:noWrap/>
            <w:vAlign w:val="center"/>
            <w:hideMark/>
          </w:tcPr>
          <w:p w14:paraId="69FDC7DB" w14:textId="3B19C364"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28,074,471,110</w:t>
            </w:r>
          </w:p>
        </w:tc>
        <w:tc>
          <w:tcPr>
            <w:tcW w:w="2552" w:type="dxa"/>
            <w:noWrap/>
            <w:vAlign w:val="center"/>
            <w:hideMark/>
          </w:tcPr>
          <w:p w14:paraId="47E91545" w14:textId="7CAF989D"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2,918,310,394</w:t>
            </w:r>
          </w:p>
        </w:tc>
        <w:tc>
          <w:tcPr>
            <w:tcW w:w="2409" w:type="dxa"/>
            <w:noWrap/>
            <w:vAlign w:val="center"/>
            <w:hideMark/>
          </w:tcPr>
          <w:p w14:paraId="53E1C372" w14:textId="777EAC94"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(25,156,160,716)</w:t>
            </w:r>
          </w:p>
        </w:tc>
      </w:tr>
      <w:tr w:rsidR="00033A34" w:rsidRPr="008F4009" w14:paraId="689693FB" w14:textId="77777777" w:rsidTr="008F4009">
        <w:trPr>
          <w:trHeight w:val="219"/>
        </w:trPr>
        <w:tc>
          <w:tcPr>
            <w:tcW w:w="2788" w:type="dxa"/>
            <w:noWrap/>
            <w:hideMark/>
          </w:tcPr>
          <w:p w14:paraId="6B1CCF21" w14:textId="77777777"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Systèmes d'information sur la santé</w:t>
            </w:r>
          </w:p>
        </w:tc>
        <w:tc>
          <w:tcPr>
            <w:tcW w:w="2452" w:type="dxa"/>
            <w:noWrap/>
            <w:vAlign w:val="center"/>
            <w:hideMark/>
          </w:tcPr>
          <w:p w14:paraId="4B431DFF" w14:textId="58947DCF"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52,425,162,937</w:t>
            </w:r>
          </w:p>
        </w:tc>
        <w:tc>
          <w:tcPr>
            <w:tcW w:w="2552" w:type="dxa"/>
            <w:noWrap/>
            <w:vAlign w:val="center"/>
            <w:hideMark/>
          </w:tcPr>
          <w:p w14:paraId="68E2A6F6" w14:textId="6E4D89EA"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11,358,344,179</w:t>
            </w:r>
          </w:p>
        </w:tc>
        <w:tc>
          <w:tcPr>
            <w:tcW w:w="2409" w:type="dxa"/>
            <w:noWrap/>
            <w:vAlign w:val="center"/>
            <w:hideMark/>
          </w:tcPr>
          <w:p w14:paraId="5A2C17B6" w14:textId="2FB0B7B7"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(41,066,818,757)</w:t>
            </w:r>
          </w:p>
        </w:tc>
      </w:tr>
      <w:tr w:rsidR="00033A34" w:rsidRPr="008F4009" w14:paraId="5E324A55" w14:textId="77777777" w:rsidTr="008F4009">
        <w:trPr>
          <w:trHeight w:val="219"/>
        </w:trPr>
        <w:tc>
          <w:tcPr>
            <w:tcW w:w="2788" w:type="dxa"/>
            <w:noWrap/>
            <w:hideMark/>
          </w:tcPr>
          <w:p w14:paraId="73B7EF7A" w14:textId="77777777"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Santé communautaire</w:t>
            </w:r>
          </w:p>
        </w:tc>
        <w:tc>
          <w:tcPr>
            <w:tcW w:w="2452" w:type="dxa"/>
            <w:noWrap/>
            <w:vAlign w:val="center"/>
            <w:hideMark/>
          </w:tcPr>
          <w:p w14:paraId="726B1FB7" w14:textId="642A41C5"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12,803,906,298</w:t>
            </w:r>
          </w:p>
        </w:tc>
        <w:tc>
          <w:tcPr>
            <w:tcW w:w="2552" w:type="dxa"/>
            <w:noWrap/>
            <w:vAlign w:val="center"/>
            <w:hideMark/>
          </w:tcPr>
          <w:p w14:paraId="12ACAE30" w14:textId="1DEC839B"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47,322,692,426</w:t>
            </w:r>
          </w:p>
        </w:tc>
        <w:tc>
          <w:tcPr>
            <w:tcW w:w="2409" w:type="dxa"/>
            <w:noWrap/>
            <w:vAlign w:val="center"/>
            <w:hideMark/>
          </w:tcPr>
          <w:p w14:paraId="05A320E9" w14:textId="263454A8"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34,518,786,128</w:t>
            </w:r>
          </w:p>
        </w:tc>
      </w:tr>
      <w:tr w:rsidR="00033A34" w:rsidRPr="008F4009" w14:paraId="28ACD575" w14:textId="77777777" w:rsidTr="008F4009">
        <w:trPr>
          <w:trHeight w:val="219"/>
        </w:trPr>
        <w:tc>
          <w:tcPr>
            <w:tcW w:w="2788" w:type="dxa"/>
            <w:noWrap/>
            <w:hideMark/>
          </w:tcPr>
          <w:p w14:paraId="4A5A87DA" w14:textId="77777777"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Qualité des soins primaires</w:t>
            </w:r>
          </w:p>
        </w:tc>
        <w:tc>
          <w:tcPr>
            <w:tcW w:w="2452" w:type="dxa"/>
            <w:noWrap/>
            <w:vAlign w:val="center"/>
            <w:hideMark/>
          </w:tcPr>
          <w:p w14:paraId="0E1AA265" w14:textId="6813B4AB"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55,255,561,362</w:t>
            </w:r>
          </w:p>
        </w:tc>
        <w:tc>
          <w:tcPr>
            <w:tcW w:w="2552" w:type="dxa"/>
            <w:noWrap/>
            <w:vAlign w:val="center"/>
            <w:hideMark/>
          </w:tcPr>
          <w:p w14:paraId="2ED4BB42" w14:textId="3EEDE77C"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188,257,812,261</w:t>
            </w:r>
          </w:p>
        </w:tc>
        <w:tc>
          <w:tcPr>
            <w:tcW w:w="2409" w:type="dxa"/>
            <w:noWrap/>
            <w:vAlign w:val="center"/>
            <w:hideMark/>
          </w:tcPr>
          <w:p w14:paraId="3220A027" w14:textId="06A1DB5D"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133,002,250,899</w:t>
            </w:r>
          </w:p>
        </w:tc>
      </w:tr>
      <w:tr w:rsidR="00033A34" w:rsidRPr="008F4009" w14:paraId="314FDEA1" w14:textId="77777777" w:rsidTr="008F4009">
        <w:trPr>
          <w:trHeight w:val="219"/>
        </w:trPr>
        <w:tc>
          <w:tcPr>
            <w:tcW w:w="2788" w:type="dxa"/>
            <w:noWrap/>
            <w:hideMark/>
          </w:tcPr>
          <w:p w14:paraId="0985A274" w14:textId="77777777"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Total</w:t>
            </w:r>
          </w:p>
        </w:tc>
        <w:tc>
          <w:tcPr>
            <w:tcW w:w="2452" w:type="dxa"/>
            <w:noWrap/>
            <w:vAlign w:val="center"/>
            <w:hideMark/>
          </w:tcPr>
          <w:p w14:paraId="66B5F16A" w14:textId="000D8DC7"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302,903,004,516</w:t>
            </w:r>
          </w:p>
        </w:tc>
        <w:tc>
          <w:tcPr>
            <w:tcW w:w="2552" w:type="dxa"/>
            <w:noWrap/>
            <w:vAlign w:val="center"/>
            <w:hideMark/>
          </w:tcPr>
          <w:p w14:paraId="6CFB4EF7" w14:textId="04D5C2C0"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294,260,281,228</w:t>
            </w:r>
          </w:p>
        </w:tc>
        <w:tc>
          <w:tcPr>
            <w:tcW w:w="2409" w:type="dxa"/>
            <w:noWrap/>
            <w:vAlign w:val="center"/>
            <w:hideMark/>
          </w:tcPr>
          <w:p w14:paraId="0011434F" w14:textId="179CDFE6" w:rsidR="00033A34" w:rsidRPr="008F4009" w:rsidRDefault="00033A34" w:rsidP="008F4009">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(8,642,723,288)</w:t>
            </w:r>
          </w:p>
        </w:tc>
      </w:tr>
    </w:tbl>
    <w:p w14:paraId="4A966072" w14:textId="19CC7486" w:rsidR="00605CFC" w:rsidRPr="008F4009" w:rsidRDefault="00605CFC" w:rsidP="008F4009">
      <w:pPr>
        <w:spacing w:before="120" w:after="120" w:line="276" w:lineRule="auto"/>
        <w:jc w:val="both"/>
        <w:rPr>
          <w:rFonts w:ascii="Times New Roman" w:hAnsi="Times New Roman" w:cs="Times New Roman"/>
          <w:sz w:val="24"/>
          <w:szCs w:val="24"/>
        </w:rPr>
      </w:pPr>
      <w:r w:rsidRPr="008F4009">
        <w:rPr>
          <w:rFonts w:ascii="Times New Roman" w:hAnsi="Times New Roman" w:cs="Times New Roman"/>
          <w:sz w:val="24"/>
          <w:szCs w:val="24"/>
        </w:rPr>
        <w:t xml:space="preserve">Une analyse des écarts entre les catégories de coûts pour les activités financées dans le cadre du scénario d'investissement du Fonds mondial montre que les écarts les plus importants concernent les médicaments, le suivi et l'évaluation et la construction d'installations sanitaires. Il y a des excédents pour la réhabilitation, l'équipement médical, l'administration et l'assistance technique.  </w:t>
      </w:r>
    </w:p>
    <w:p w14:paraId="2A56F86B" w14:textId="77777777" w:rsidR="008F4009" w:rsidRDefault="008F4009" w:rsidP="00605CFC">
      <w:pPr>
        <w:pStyle w:val="Lgende"/>
        <w:rPr>
          <w:sz w:val="24"/>
          <w:szCs w:val="24"/>
        </w:rPr>
      </w:pPr>
    </w:p>
    <w:p w14:paraId="037E67C9" w14:textId="77777777" w:rsidR="00B81840" w:rsidRDefault="00B81840" w:rsidP="00400C22">
      <w:pPr>
        <w:pStyle w:val="Lgende"/>
        <w:rPr>
          <w:sz w:val="24"/>
          <w:szCs w:val="24"/>
        </w:rPr>
      </w:pPr>
    </w:p>
    <w:p w14:paraId="73B6FDA6" w14:textId="3B9EA30C" w:rsidR="00605CFC" w:rsidRPr="00400C22" w:rsidRDefault="00400C22" w:rsidP="00400C22">
      <w:pPr>
        <w:pStyle w:val="Lgende"/>
        <w:rPr>
          <w:bCs w:val="0"/>
          <w:color w:val="000000"/>
          <w:sz w:val="24"/>
          <w:szCs w:val="24"/>
          <w:lang w:eastAsia="fr-FR"/>
        </w:rPr>
      </w:pPr>
      <w:bookmarkStart w:id="149" w:name="_Toc1588385"/>
      <w:bookmarkStart w:id="150" w:name="_Toc1588400"/>
      <w:r w:rsidRPr="00400C22">
        <w:rPr>
          <w:sz w:val="24"/>
          <w:szCs w:val="24"/>
        </w:rPr>
        <w:t xml:space="preserve">Tableau </w:t>
      </w:r>
      <w:r w:rsidRPr="00400C22">
        <w:rPr>
          <w:sz w:val="24"/>
          <w:szCs w:val="24"/>
        </w:rPr>
        <w:fldChar w:fldCharType="begin"/>
      </w:r>
      <w:r w:rsidRPr="00400C22">
        <w:rPr>
          <w:sz w:val="24"/>
          <w:szCs w:val="24"/>
        </w:rPr>
        <w:instrText xml:space="preserve"> SEQ Tableau \* ARABIC </w:instrText>
      </w:r>
      <w:r w:rsidRPr="00400C22">
        <w:rPr>
          <w:sz w:val="24"/>
          <w:szCs w:val="24"/>
        </w:rPr>
        <w:fldChar w:fldCharType="separate"/>
      </w:r>
      <w:r w:rsidRPr="00400C22">
        <w:rPr>
          <w:noProof/>
          <w:sz w:val="24"/>
          <w:szCs w:val="24"/>
        </w:rPr>
        <w:t>12</w:t>
      </w:r>
      <w:r w:rsidRPr="00400C22">
        <w:rPr>
          <w:sz w:val="24"/>
          <w:szCs w:val="24"/>
        </w:rPr>
        <w:fldChar w:fldCharType="end"/>
      </w:r>
      <w:r w:rsidR="008F4009" w:rsidRPr="00400C22">
        <w:rPr>
          <w:sz w:val="24"/>
          <w:szCs w:val="24"/>
        </w:rPr>
        <w:fldChar w:fldCharType="begin"/>
      </w:r>
      <w:r w:rsidR="008F4009" w:rsidRPr="00400C22">
        <w:rPr>
          <w:sz w:val="24"/>
          <w:szCs w:val="24"/>
        </w:rPr>
        <w:instrText xml:space="preserve"> SEQ Figure \* ARABIC </w:instrText>
      </w:r>
      <w:r w:rsidR="008F4009" w:rsidRPr="00400C22">
        <w:rPr>
          <w:sz w:val="24"/>
          <w:szCs w:val="24"/>
        </w:rPr>
        <w:fldChar w:fldCharType="end"/>
      </w:r>
      <w:r w:rsidR="00605CFC" w:rsidRPr="00400C22">
        <w:rPr>
          <w:sz w:val="24"/>
          <w:szCs w:val="24"/>
        </w:rPr>
        <w:t xml:space="preserve">: </w:t>
      </w:r>
      <w:r w:rsidR="00605CFC" w:rsidRPr="00400C22">
        <w:rPr>
          <w:bCs w:val="0"/>
          <w:color w:val="000000"/>
          <w:sz w:val="24"/>
          <w:szCs w:val="24"/>
          <w:lang w:eastAsia="fr-FR"/>
        </w:rPr>
        <w:t xml:space="preserve">Gaps financiers pour les catégories de </w:t>
      </w:r>
      <w:r w:rsidR="00605CFC" w:rsidRPr="00400C22">
        <w:rPr>
          <w:bCs w:val="0"/>
          <w:color w:val="000000"/>
          <w:sz w:val="24"/>
          <w:szCs w:val="24"/>
          <w:lang w:val="fr-CA" w:eastAsia="fr-FR"/>
        </w:rPr>
        <w:t>coûts</w:t>
      </w:r>
      <w:bookmarkEnd w:id="149"/>
      <w:bookmarkEnd w:id="150"/>
    </w:p>
    <w:p w14:paraId="49AD1F2F" w14:textId="77777777" w:rsidR="00605CFC" w:rsidRPr="00B81840" w:rsidRDefault="00605CFC" w:rsidP="00605CFC">
      <w:pPr>
        <w:rPr>
          <w:sz w:val="12"/>
          <w:lang w:val="fr-FR" w:eastAsia="fr-FR"/>
        </w:rPr>
      </w:pPr>
    </w:p>
    <w:tbl>
      <w:tblPr>
        <w:tblStyle w:val="Grilledutableau"/>
        <w:tblW w:w="10305" w:type="dxa"/>
        <w:tblLook w:val="04A0" w:firstRow="1" w:lastRow="0" w:firstColumn="1" w:lastColumn="0" w:noHBand="0" w:noVBand="1"/>
      </w:tblPr>
      <w:tblGrid>
        <w:gridCol w:w="3256"/>
        <w:gridCol w:w="2159"/>
        <w:gridCol w:w="2419"/>
        <w:gridCol w:w="2471"/>
      </w:tblGrid>
      <w:tr w:rsidR="00605CFC" w:rsidRPr="008F4009" w14:paraId="6EE6A1E3" w14:textId="77777777" w:rsidTr="00B81840">
        <w:trPr>
          <w:trHeight w:val="123"/>
          <w:tblHeader/>
        </w:trPr>
        <w:tc>
          <w:tcPr>
            <w:tcW w:w="3256" w:type="dxa"/>
            <w:shd w:val="clear" w:color="auto" w:fill="DEEAF6" w:themeFill="accent5" w:themeFillTint="33"/>
            <w:noWrap/>
            <w:vAlign w:val="center"/>
            <w:hideMark/>
          </w:tcPr>
          <w:p w14:paraId="5E2060B4" w14:textId="78617B2D" w:rsidR="00605CFC" w:rsidRPr="008F4009" w:rsidRDefault="00605CFC" w:rsidP="00400C22">
            <w:pPr>
              <w:spacing w:before="60" w:after="60" w:line="276" w:lineRule="auto"/>
              <w:jc w:val="center"/>
              <w:rPr>
                <w:rFonts w:ascii="Times New Roman" w:hAnsi="Times New Roman" w:cs="Times New Roman"/>
                <w:b/>
                <w:sz w:val="24"/>
                <w:szCs w:val="24"/>
              </w:rPr>
            </w:pPr>
            <w:r w:rsidRPr="008F4009">
              <w:rPr>
                <w:rFonts w:ascii="Times New Roman" w:hAnsi="Times New Roman" w:cs="Times New Roman"/>
                <w:b/>
                <w:sz w:val="24"/>
                <w:szCs w:val="24"/>
              </w:rPr>
              <w:t>Catégories de coûts</w:t>
            </w:r>
          </w:p>
        </w:tc>
        <w:tc>
          <w:tcPr>
            <w:tcW w:w="2159" w:type="dxa"/>
            <w:shd w:val="clear" w:color="auto" w:fill="DEEAF6" w:themeFill="accent5" w:themeFillTint="33"/>
            <w:noWrap/>
            <w:vAlign w:val="center"/>
            <w:hideMark/>
          </w:tcPr>
          <w:p w14:paraId="1B2AB508" w14:textId="77777777" w:rsidR="00605CFC" w:rsidRPr="008F4009" w:rsidRDefault="00605CFC" w:rsidP="00400C22">
            <w:pPr>
              <w:spacing w:before="60" w:after="60" w:line="276" w:lineRule="auto"/>
              <w:jc w:val="center"/>
              <w:rPr>
                <w:rFonts w:ascii="Times New Roman" w:hAnsi="Times New Roman" w:cs="Times New Roman"/>
                <w:b/>
                <w:bCs/>
                <w:sz w:val="24"/>
                <w:szCs w:val="24"/>
              </w:rPr>
            </w:pPr>
            <w:r w:rsidRPr="008F4009">
              <w:rPr>
                <w:rFonts w:ascii="Times New Roman" w:hAnsi="Times New Roman" w:cs="Times New Roman"/>
                <w:b/>
                <w:bCs/>
                <w:sz w:val="24"/>
                <w:szCs w:val="24"/>
              </w:rPr>
              <w:t>Besoins d'investissement du GFF, 2018-2020</w:t>
            </w:r>
          </w:p>
        </w:tc>
        <w:tc>
          <w:tcPr>
            <w:tcW w:w="2419" w:type="dxa"/>
            <w:shd w:val="clear" w:color="auto" w:fill="DEEAF6" w:themeFill="accent5" w:themeFillTint="33"/>
            <w:noWrap/>
            <w:vAlign w:val="center"/>
            <w:hideMark/>
          </w:tcPr>
          <w:p w14:paraId="506FB877" w14:textId="77777777" w:rsidR="00605CFC" w:rsidRPr="008F4009" w:rsidRDefault="00605CFC" w:rsidP="00400C22">
            <w:pPr>
              <w:spacing w:before="60" w:after="60" w:line="276" w:lineRule="auto"/>
              <w:jc w:val="center"/>
              <w:rPr>
                <w:rFonts w:ascii="Times New Roman" w:hAnsi="Times New Roman" w:cs="Times New Roman"/>
                <w:b/>
                <w:bCs/>
                <w:sz w:val="24"/>
                <w:szCs w:val="24"/>
              </w:rPr>
            </w:pPr>
            <w:r w:rsidRPr="008F4009">
              <w:rPr>
                <w:rFonts w:ascii="Times New Roman" w:hAnsi="Times New Roman" w:cs="Times New Roman"/>
                <w:b/>
                <w:bCs/>
                <w:sz w:val="24"/>
                <w:szCs w:val="24"/>
              </w:rPr>
              <w:t>Ressources disponibles, 2018-2020</w:t>
            </w:r>
          </w:p>
        </w:tc>
        <w:tc>
          <w:tcPr>
            <w:tcW w:w="2471" w:type="dxa"/>
            <w:shd w:val="clear" w:color="auto" w:fill="DEEAF6" w:themeFill="accent5" w:themeFillTint="33"/>
            <w:noWrap/>
            <w:vAlign w:val="center"/>
            <w:hideMark/>
          </w:tcPr>
          <w:p w14:paraId="69048EC9" w14:textId="77777777" w:rsidR="00605CFC" w:rsidRPr="008F4009" w:rsidRDefault="00605CFC" w:rsidP="00400C22">
            <w:pPr>
              <w:spacing w:before="60" w:after="60" w:line="276" w:lineRule="auto"/>
              <w:jc w:val="center"/>
              <w:rPr>
                <w:rFonts w:ascii="Times New Roman" w:hAnsi="Times New Roman" w:cs="Times New Roman"/>
                <w:b/>
                <w:bCs/>
                <w:sz w:val="24"/>
                <w:szCs w:val="24"/>
              </w:rPr>
            </w:pPr>
            <w:r w:rsidRPr="008F4009">
              <w:rPr>
                <w:rFonts w:ascii="Times New Roman" w:hAnsi="Times New Roman" w:cs="Times New Roman"/>
                <w:b/>
                <w:bCs/>
                <w:sz w:val="24"/>
                <w:szCs w:val="24"/>
              </w:rPr>
              <w:t>Écarts ou excédents, 2018-2020</w:t>
            </w:r>
          </w:p>
        </w:tc>
      </w:tr>
      <w:tr w:rsidR="00605CFC" w:rsidRPr="008F4009" w14:paraId="24BBE8BB" w14:textId="77777777" w:rsidTr="00400C22">
        <w:trPr>
          <w:trHeight w:val="123"/>
        </w:trPr>
        <w:tc>
          <w:tcPr>
            <w:tcW w:w="3256" w:type="dxa"/>
            <w:noWrap/>
            <w:hideMark/>
          </w:tcPr>
          <w:p w14:paraId="20DD7EBF"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Administration et gestion</w:t>
            </w:r>
          </w:p>
        </w:tc>
        <w:tc>
          <w:tcPr>
            <w:tcW w:w="2159" w:type="dxa"/>
            <w:noWrap/>
            <w:vAlign w:val="center"/>
            <w:hideMark/>
          </w:tcPr>
          <w:p w14:paraId="6C5433D6" w14:textId="20B3B516"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10,835,672,577</w:t>
            </w:r>
          </w:p>
        </w:tc>
        <w:tc>
          <w:tcPr>
            <w:tcW w:w="2419" w:type="dxa"/>
            <w:noWrap/>
            <w:vAlign w:val="center"/>
            <w:hideMark/>
          </w:tcPr>
          <w:p w14:paraId="75557966" w14:textId="39CF5039"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41,800,628,258</w:t>
            </w:r>
          </w:p>
        </w:tc>
        <w:tc>
          <w:tcPr>
            <w:tcW w:w="2471" w:type="dxa"/>
            <w:noWrap/>
            <w:vAlign w:val="center"/>
            <w:hideMark/>
          </w:tcPr>
          <w:p w14:paraId="6B1F242E" w14:textId="42389DA6"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30,964,955,681</w:t>
            </w:r>
          </w:p>
        </w:tc>
      </w:tr>
      <w:tr w:rsidR="00605CFC" w:rsidRPr="008F4009" w14:paraId="7391A136" w14:textId="77777777" w:rsidTr="00400C22">
        <w:trPr>
          <w:trHeight w:val="123"/>
        </w:trPr>
        <w:tc>
          <w:tcPr>
            <w:tcW w:w="3256" w:type="dxa"/>
            <w:noWrap/>
            <w:hideMark/>
          </w:tcPr>
          <w:p w14:paraId="57DC16B0"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Assistance technique</w:t>
            </w:r>
          </w:p>
        </w:tc>
        <w:tc>
          <w:tcPr>
            <w:tcW w:w="2159" w:type="dxa"/>
            <w:noWrap/>
            <w:vAlign w:val="center"/>
            <w:hideMark/>
          </w:tcPr>
          <w:p w14:paraId="315F4617" w14:textId="007F9FF1"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3,194,270,200</w:t>
            </w:r>
          </w:p>
        </w:tc>
        <w:tc>
          <w:tcPr>
            <w:tcW w:w="2419" w:type="dxa"/>
            <w:noWrap/>
            <w:vAlign w:val="center"/>
            <w:hideMark/>
          </w:tcPr>
          <w:p w14:paraId="2F10A644" w14:textId="79B9D2F4"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19,850,688,833</w:t>
            </w:r>
          </w:p>
        </w:tc>
        <w:tc>
          <w:tcPr>
            <w:tcW w:w="2471" w:type="dxa"/>
            <w:noWrap/>
            <w:vAlign w:val="center"/>
            <w:hideMark/>
          </w:tcPr>
          <w:p w14:paraId="2CC7443D" w14:textId="46425BE0"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16,656,418,633</w:t>
            </w:r>
          </w:p>
        </w:tc>
      </w:tr>
      <w:tr w:rsidR="00605CFC" w:rsidRPr="008F4009" w14:paraId="0319941D" w14:textId="77777777" w:rsidTr="00400C22">
        <w:trPr>
          <w:trHeight w:val="123"/>
        </w:trPr>
        <w:tc>
          <w:tcPr>
            <w:tcW w:w="3256" w:type="dxa"/>
            <w:noWrap/>
            <w:hideMark/>
          </w:tcPr>
          <w:p w14:paraId="34E298A4"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Chaîne d'approvisionnement (expédition, véhicules, transport, stockage, distribution)</w:t>
            </w:r>
          </w:p>
        </w:tc>
        <w:tc>
          <w:tcPr>
            <w:tcW w:w="2159" w:type="dxa"/>
            <w:noWrap/>
            <w:vAlign w:val="center"/>
            <w:hideMark/>
          </w:tcPr>
          <w:p w14:paraId="7406A783" w14:textId="6D35E9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21,512,840,000</w:t>
            </w:r>
          </w:p>
        </w:tc>
        <w:tc>
          <w:tcPr>
            <w:tcW w:w="2419" w:type="dxa"/>
            <w:noWrap/>
            <w:vAlign w:val="center"/>
            <w:hideMark/>
          </w:tcPr>
          <w:p w14:paraId="3E5547EC" w14:textId="6BB80C89"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18,415,603,360</w:t>
            </w:r>
          </w:p>
        </w:tc>
        <w:tc>
          <w:tcPr>
            <w:tcW w:w="2471" w:type="dxa"/>
            <w:noWrap/>
            <w:vAlign w:val="center"/>
            <w:hideMark/>
          </w:tcPr>
          <w:p w14:paraId="68B501F9" w14:textId="0EC5D25E"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(3,097,236,640)</w:t>
            </w:r>
          </w:p>
        </w:tc>
      </w:tr>
      <w:tr w:rsidR="00605CFC" w:rsidRPr="008F4009" w14:paraId="49F9428C" w14:textId="77777777" w:rsidTr="00400C22">
        <w:trPr>
          <w:trHeight w:val="123"/>
        </w:trPr>
        <w:tc>
          <w:tcPr>
            <w:tcW w:w="3256" w:type="dxa"/>
            <w:noWrap/>
            <w:hideMark/>
          </w:tcPr>
          <w:p w14:paraId="0753CA2C"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lastRenderedPageBreak/>
              <w:t>Communication, plaidoyer et changement de comportement</w:t>
            </w:r>
          </w:p>
        </w:tc>
        <w:tc>
          <w:tcPr>
            <w:tcW w:w="2159" w:type="dxa"/>
            <w:noWrap/>
            <w:vAlign w:val="center"/>
            <w:hideMark/>
          </w:tcPr>
          <w:p w14:paraId="347F9EDA" w14:textId="41A72C12"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4,781,798,548</w:t>
            </w:r>
          </w:p>
        </w:tc>
        <w:tc>
          <w:tcPr>
            <w:tcW w:w="2419" w:type="dxa"/>
            <w:noWrap/>
            <w:vAlign w:val="center"/>
            <w:hideMark/>
          </w:tcPr>
          <w:p w14:paraId="1EFDE9C1" w14:textId="0C96E846"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9,448,961,877</w:t>
            </w:r>
          </w:p>
        </w:tc>
        <w:tc>
          <w:tcPr>
            <w:tcW w:w="2471" w:type="dxa"/>
            <w:noWrap/>
            <w:vAlign w:val="center"/>
            <w:hideMark/>
          </w:tcPr>
          <w:p w14:paraId="0DFD502B" w14:textId="46B13744"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4,667,163,330</w:t>
            </w:r>
          </w:p>
        </w:tc>
      </w:tr>
      <w:tr w:rsidR="00605CFC" w:rsidRPr="008F4009" w14:paraId="4E1C3AE7" w14:textId="77777777" w:rsidTr="00400C22">
        <w:trPr>
          <w:trHeight w:val="123"/>
        </w:trPr>
        <w:tc>
          <w:tcPr>
            <w:tcW w:w="3256" w:type="dxa"/>
            <w:noWrap/>
            <w:hideMark/>
          </w:tcPr>
          <w:p w14:paraId="7A7ACA89"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Équipements médical</w:t>
            </w:r>
          </w:p>
        </w:tc>
        <w:tc>
          <w:tcPr>
            <w:tcW w:w="2159" w:type="dxa"/>
            <w:noWrap/>
            <w:vAlign w:val="center"/>
            <w:hideMark/>
          </w:tcPr>
          <w:p w14:paraId="53B8F1D7" w14:textId="3C234988"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1,529,253,900</w:t>
            </w:r>
          </w:p>
        </w:tc>
        <w:tc>
          <w:tcPr>
            <w:tcW w:w="2419" w:type="dxa"/>
            <w:noWrap/>
            <w:vAlign w:val="center"/>
            <w:hideMark/>
          </w:tcPr>
          <w:p w14:paraId="7922998C" w14:textId="21E87286"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34,862,596,502</w:t>
            </w:r>
          </w:p>
        </w:tc>
        <w:tc>
          <w:tcPr>
            <w:tcW w:w="2471" w:type="dxa"/>
            <w:noWrap/>
            <w:vAlign w:val="center"/>
            <w:hideMark/>
          </w:tcPr>
          <w:p w14:paraId="3F6984E6" w14:textId="212E0DFA"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33,333,342,602</w:t>
            </w:r>
          </w:p>
        </w:tc>
      </w:tr>
      <w:tr w:rsidR="00605CFC" w:rsidRPr="008F4009" w14:paraId="2837C89C" w14:textId="77777777" w:rsidTr="00400C22">
        <w:trPr>
          <w:trHeight w:val="123"/>
        </w:trPr>
        <w:tc>
          <w:tcPr>
            <w:tcW w:w="3256" w:type="dxa"/>
            <w:noWrap/>
            <w:hideMark/>
          </w:tcPr>
          <w:p w14:paraId="2C0C9778"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Événements communautaires de sensibilisation</w:t>
            </w:r>
          </w:p>
        </w:tc>
        <w:tc>
          <w:tcPr>
            <w:tcW w:w="2159" w:type="dxa"/>
            <w:noWrap/>
            <w:vAlign w:val="center"/>
            <w:hideMark/>
          </w:tcPr>
          <w:p w14:paraId="7A1BB17B" w14:textId="2FBE9BBB"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807,163,000</w:t>
            </w:r>
          </w:p>
        </w:tc>
        <w:tc>
          <w:tcPr>
            <w:tcW w:w="2419" w:type="dxa"/>
            <w:noWrap/>
            <w:vAlign w:val="center"/>
            <w:hideMark/>
          </w:tcPr>
          <w:p w14:paraId="1374A230" w14:textId="5FD8E5C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1,837,482,441</w:t>
            </w:r>
          </w:p>
        </w:tc>
        <w:tc>
          <w:tcPr>
            <w:tcW w:w="2471" w:type="dxa"/>
            <w:noWrap/>
            <w:vAlign w:val="center"/>
            <w:hideMark/>
          </w:tcPr>
          <w:p w14:paraId="7C7ED17E" w14:textId="104E46CC"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1,030,319,441</w:t>
            </w:r>
          </w:p>
        </w:tc>
      </w:tr>
      <w:tr w:rsidR="00605CFC" w:rsidRPr="008F4009" w14:paraId="1CCC75ED" w14:textId="77777777" w:rsidTr="00400C22">
        <w:trPr>
          <w:trHeight w:val="123"/>
        </w:trPr>
        <w:tc>
          <w:tcPr>
            <w:tcW w:w="3256" w:type="dxa"/>
            <w:noWrap/>
            <w:hideMark/>
          </w:tcPr>
          <w:p w14:paraId="7F17C9A2"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Formation continue</w:t>
            </w:r>
          </w:p>
        </w:tc>
        <w:tc>
          <w:tcPr>
            <w:tcW w:w="2159" w:type="dxa"/>
            <w:noWrap/>
            <w:vAlign w:val="center"/>
            <w:hideMark/>
          </w:tcPr>
          <w:p w14:paraId="4E9F3833" w14:textId="38AC429C"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12,037,994,611</w:t>
            </w:r>
          </w:p>
        </w:tc>
        <w:tc>
          <w:tcPr>
            <w:tcW w:w="2419" w:type="dxa"/>
            <w:noWrap/>
            <w:vAlign w:val="center"/>
            <w:hideMark/>
          </w:tcPr>
          <w:p w14:paraId="4D3BC92E" w14:textId="433E077C"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13,387,898,480</w:t>
            </w:r>
          </w:p>
        </w:tc>
        <w:tc>
          <w:tcPr>
            <w:tcW w:w="2471" w:type="dxa"/>
            <w:noWrap/>
            <w:vAlign w:val="center"/>
            <w:hideMark/>
          </w:tcPr>
          <w:p w14:paraId="09A1BC96" w14:textId="6F1FD2E5"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1,349,903,869</w:t>
            </w:r>
          </w:p>
        </w:tc>
      </w:tr>
      <w:tr w:rsidR="00605CFC" w:rsidRPr="008F4009" w14:paraId="37822C6A" w14:textId="77777777" w:rsidTr="00400C22">
        <w:trPr>
          <w:trHeight w:val="123"/>
        </w:trPr>
        <w:tc>
          <w:tcPr>
            <w:tcW w:w="3256" w:type="dxa"/>
            <w:noWrap/>
            <w:hideMark/>
          </w:tcPr>
          <w:p w14:paraId="6AD4B7BF" w14:textId="32EA85AA"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Formation de base</w:t>
            </w:r>
          </w:p>
        </w:tc>
        <w:tc>
          <w:tcPr>
            <w:tcW w:w="2159" w:type="dxa"/>
            <w:noWrap/>
            <w:vAlign w:val="center"/>
            <w:hideMark/>
          </w:tcPr>
          <w:p w14:paraId="7D9A127E" w14:textId="025C0BC2"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26,795,140,950</w:t>
            </w:r>
          </w:p>
        </w:tc>
        <w:tc>
          <w:tcPr>
            <w:tcW w:w="2419" w:type="dxa"/>
            <w:noWrap/>
            <w:vAlign w:val="center"/>
            <w:hideMark/>
          </w:tcPr>
          <w:p w14:paraId="1AC47292" w14:textId="2E9B265A"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8,944,145,327</w:t>
            </w:r>
          </w:p>
        </w:tc>
        <w:tc>
          <w:tcPr>
            <w:tcW w:w="2471" w:type="dxa"/>
            <w:noWrap/>
            <w:vAlign w:val="center"/>
            <w:hideMark/>
          </w:tcPr>
          <w:p w14:paraId="7D6C1C2F" w14:textId="111B2104"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(17,850,995,623)</w:t>
            </w:r>
          </w:p>
        </w:tc>
      </w:tr>
      <w:tr w:rsidR="00605CFC" w:rsidRPr="008F4009" w14:paraId="06190F0B" w14:textId="77777777" w:rsidTr="00400C22">
        <w:trPr>
          <w:trHeight w:val="123"/>
        </w:trPr>
        <w:tc>
          <w:tcPr>
            <w:tcW w:w="3256" w:type="dxa"/>
            <w:noWrap/>
            <w:hideMark/>
          </w:tcPr>
          <w:p w14:paraId="17EEA35F"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Infrastructure - frais de fonctionnement des établissements sanitaires</w:t>
            </w:r>
          </w:p>
        </w:tc>
        <w:tc>
          <w:tcPr>
            <w:tcW w:w="2159" w:type="dxa"/>
            <w:noWrap/>
            <w:vAlign w:val="center"/>
            <w:hideMark/>
          </w:tcPr>
          <w:p w14:paraId="38FE2437" w14:textId="7E66F093"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29,835,885,335</w:t>
            </w:r>
          </w:p>
        </w:tc>
        <w:tc>
          <w:tcPr>
            <w:tcW w:w="2419" w:type="dxa"/>
            <w:noWrap/>
            <w:vAlign w:val="center"/>
            <w:hideMark/>
          </w:tcPr>
          <w:p w14:paraId="08C02E5F" w14:textId="7948B746"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7,847,742,715</w:t>
            </w:r>
          </w:p>
        </w:tc>
        <w:tc>
          <w:tcPr>
            <w:tcW w:w="2471" w:type="dxa"/>
            <w:noWrap/>
            <w:vAlign w:val="center"/>
            <w:hideMark/>
          </w:tcPr>
          <w:p w14:paraId="4FBFA490" w14:textId="75ABFB1A"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(21,988,142,620)</w:t>
            </w:r>
          </w:p>
        </w:tc>
      </w:tr>
      <w:tr w:rsidR="00605CFC" w:rsidRPr="008F4009" w14:paraId="624E8B04" w14:textId="77777777" w:rsidTr="00400C22">
        <w:trPr>
          <w:trHeight w:val="123"/>
        </w:trPr>
        <w:tc>
          <w:tcPr>
            <w:tcW w:w="3256" w:type="dxa"/>
            <w:noWrap/>
            <w:hideMark/>
          </w:tcPr>
          <w:p w14:paraId="0A62CD99"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Infrastructure des établissements de santé - construction ou achat</w:t>
            </w:r>
          </w:p>
        </w:tc>
        <w:tc>
          <w:tcPr>
            <w:tcW w:w="2159" w:type="dxa"/>
            <w:noWrap/>
            <w:vAlign w:val="center"/>
            <w:hideMark/>
          </w:tcPr>
          <w:p w14:paraId="0B762DB1" w14:textId="125C048A"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26,948,604,505</w:t>
            </w:r>
          </w:p>
        </w:tc>
        <w:tc>
          <w:tcPr>
            <w:tcW w:w="2419" w:type="dxa"/>
            <w:noWrap/>
            <w:vAlign w:val="center"/>
            <w:hideMark/>
          </w:tcPr>
          <w:p w14:paraId="4FC3A13D" w14:textId="4105A606"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719,500,000</w:t>
            </w:r>
          </w:p>
        </w:tc>
        <w:tc>
          <w:tcPr>
            <w:tcW w:w="2471" w:type="dxa"/>
            <w:noWrap/>
            <w:vAlign w:val="center"/>
            <w:hideMark/>
          </w:tcPr>
          <w:p w14:paraId="1F0D7502" w14:textId="10BF0B2D"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(26,229,104,505)</w:t>
            </w:r>
          </w:p>
        </w:tc>
      </w:tr>
      <w:tr w:rsidR="00605CFC" w:rsidRPr="008F4009" w14:paraId="1897FEE4" w14:textId="77777777" w:rsidTr="00400C22">
        <w:trPr>
          <w:trHeight w:val="123"/>
        </w:trPr>
        <w:tc>
          <w:tcPr>
            <w:tcW w:w="3256" w:type="dxa"/>
            <w:noWrap/>
            <w:hideMark/>
          </w:tcPr>
          <w:p w14:paraId="7A38089E"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Infrastructure des établissements de santé - réhabilitation</w:t>
            </w:r>
          </w:p>
        </w:tc>
        <w:tc>
          <w:tcPr>
            <w:tcW w:w="2159" w:type="dxa"/>
            <w:noWrap/>
            <w:vAlign w:val="center"/>
            <w:hideMark/>
          </w:tcPr>
          <w:p w14:paraId="52AF9261" w14:textId="397787F5"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9,939,642,850</w:t>
            </w:r>
          </w:p>
        </w:tc>
        <w:tc>
          <w:tcPr>
            <w:tcW w:w="2419" w:type="dxa"/>
            <w:noWrap/>
            <w:vAlign w:val="center"/>
            <w:hideMark/>
          </w:tcPr>
          <w:p w14:paraId="348F6C2E" w14:textId="6A32CBC1"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59,854,912,954</w:t>
            </w:r>
          </w:p>
        </w:tc>
        <w:tc>
          <w:tcPr>
            <w:tcW w:w="2471" w:type="dxa"/>
            <w:noWrap/>
            <w:vAlign w:val="center"/>
            <w:hideMark/>
          </w:tcPr>
          <w:p w14:paraId="7D35EB7C" w14:textId="0963F0DE"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49,915,270,104</w:t>
            </w:r>
          </w:p>
        </w:tc>
      </w:tr>
      <w:tr w:rsidR="00605CFC" w:rsidRPr="008F4009" w14:paraId="2C44E836" w14:textId="77777777" w:rsidTr="00400C22">
        <w:trPr>
          <w:trHeight w:val="123"/>
        </w:trPr>
        <w:tc>
          <w:tcPr>
            <w:tcW w:w="3256" w:type="dxa"/>
            <w:noWrap/>
            <w:hideMark/>
          </w:tcPr>
          <w:p w14:paraId="1A1A3AA3"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Medicaments, produits de base et consommables</w:t>
            </w:r>
          </w:p>
        </w:tc>
        <w:tc>
          <w:tcPr>
            <w:tcW w:w="2159" w:type="dxa"/>
            <w:noWrap/>
            <w:vAlign w:val="center"/>
            <w:hideMark/>
          </w:tcPr>
          <w:p w14:paraId="7B482F77" w14:textId="06F9B141"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79,967,663,049</w:t>
            </w:r>
          </w:p>
        </w:tc>
        <w:tc>
          <w:tcPr>
            <w:tcW w:w="2419" w:type="dxa"/>
            <w:noWrap/>
            <w:vAlign w:val="center"/>
            <w:hideMark/>
          </w:tcPr>
          <w:p w14:paraId="1B51E789" w14:textId="29A793A8"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31,458,069,414</w:t>
            </w:r>
          </w:p>
        </w:tc>
        <w:tc>
          <w:tcPr>
            <w:tcW w:w="2471" w:type="dxa"/>
            <w:noWrap/>
            <w:vAlign w:val="center"/>
            <w:hideMark/>
          </w:tcPr>
          <w:p w14:paraId="302C3DA0" w14:textId="1CD85705"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(48,509,593,636)</w:t>
            </w:r>
          </w:p>
        </w:tc>
      </w:tr>
      <w:tr w:rsidR="00605CFC" w:rsidRPr="008F4009" w14:paraId="533B2496" w14:textId="77777777" w:rsidTr="00400C22">
        <w:trPr>
          <w:trHeight w:val="123"/>
        </w:trPr>
        <w:tc>
          <w:tcPr>
            <w:tcW w:w="3256" w:type="dxa"/>
            <w:noWrap/>
            <w:hideMark/>
          </w:tcPr>
          <w:p w14:paraId="6A8D2539"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Recherche, S&amp;E et surveillance</w:t>
            </w:r>
          </w:p>
        </w:tc>
        <w:tc>
          <w:tcPr>
            <w:tcW w:w="2159" w:type="dxa"/>
            <w:noWrap/>
            <w:vAlign w:val="center"/>
            <w:hideMark/>
          </w:tcPr>
          <w:p w14:paraId="43D9F218" w14:textId="375D4B50"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44,328,440,916</w:t>
            </w:r>
          </w:p>
        </w:tc>
        <w:tc>
          <w:tcPr>
            <w:tcW w:w="2419" w:type="dxa"/>
            <w:noWrap/>
            <w:vAlign w:val="center"/>
            <w:hideMark/>
          </w:tcPr>
          <w:p w14:paraId="1B295C43" w14:textId="6EFA2336"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6,400,043,564</w:t>
            </w:r>
          </w:p>
        </w:tc>
        <w:tc>
          <w:tcPr>
            <w:tcW w:w="2471" w:type="dxa"/>
            <w:noWrap/>
            <w:vAlign w:val="center"/>
            <w:hideMark/>
          </w:tcPr>
          <w:p w14:paraId="1CC52C24" w14:textId="0D25B9FE"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(37,928,397,352)</w:t>
            </w:r>
          </w:p>
        </w:tc>
      </w:tr>
      <w:tr w:rsidR="00605CFC" w:rsidRPr="008F4009" w14:paraId="5A263284" w14:textId="77777777" w:rsidTr="00400C22">
        <w:trPr>
          <w:trHeight w:val="123"/>
        </w:trPr>
        <w:tc>
          <w:tcPr>
            <w:tcW w:w="3256" w:type="dxa"/>
            <w:noWrap/>
            <w:hideMark/>
          </w:tcPr>
          <w:p w14:paraId="1EF78196"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Soutien à la vivre - activités generatrices de revenue, soutien alimentaire, soutien en espèces</w:t>
            </w:r>
          </w:p>
        </w:tc>
        <w:tc>
          <w:tcPr>
            <w:tcW w:w="2159" w:type="dxa"/>
            <w:noWrap/>
            <w:vAlign w:val="center"/>
            <w:hideMark/>
          </w:tcPr>
          <w:p w14:paraId="18330AF8" w14:textId="3A6EDC06"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6,906,000,000</w:t>
            </w:r>
          </w:p>
        </w:tc>
        <w:tc>
          <w:tcPr>
            <w:tcW w:w="2419" w:type="dxa"/>
            <w:noWrap/>
            <w:vAlign w:val="center"/>
            <w:hideMark/>
          </w:tcPr>
          <w:p w14:paraId="79389DC3" w14:textId="564B15C4"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21,786,982,911</w:t>
            </w:r>
          </w:p>
        </w:tc>
        <w:tc>
          <w:tcPr>
            <w:tcW w:w="2471" w:type="dxa"/>
            <w:noWrap/>
            <w:vAlign w:val="center"/>
            <w:hideMark/>
          </w:tcPr>
          <w:p w14:paraId="0C094199" w14:textId="178672B9"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14,880,982,911</w:t>
            </w:r>
          </w:p>
        </w:tc>
      </w:tr>
      <w:tr w:rsidR="00605CFC" w:rsidRPr="008F4009" w14:paraId="58042D4C" w14:textId="77777777" w:rsidTr="00400C22">
        <w:trPr>
          <w:trHeight w:val="123"/>
        </w:trPr>
        <w:tc>
          <w:tcPr>
            <w:tcW w:w="3256" w:type="dxa"/>
            <w:noWrap/>
            <w:hideMark/>
          </w:tcPr>
          <w:p w14:paraId="066CEB0B" w14:textId="77777777"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Soutien budgétaire / coûts non alloués</w:t>
            </w:r>
          </w:p>
        </w:tc>
        <w:tc>
          <w:tcPr>
            <w:tcW w:w="2159" w:type="dxa"/>
            <w:noWrap/>
            <w:vAlign w:val="center"/>
            <w:hideMark/>
          </w:tcPr>
          <w:p w14:paraId="1B81A67E" w14:textId="4483279F"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23,482,634,076</w:t>
            </w:r>
          </w:p>
        </w:tc>
        <w:tc>
          <w:tcPr>
            <w:tcW w:w="2419" w:type="dxa"/>
            <w:noWrap/>
            <w:vAlign w:val="center"/>
            <w:hideMark/>
          </w:tcPr>
          <w:p w14:paraId="57DCEAAA" w14:textId="213F99BD"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6,323,439,903</w:t>
            </w:r>
          </w:p>
        </w:tc>
        <w:tc>
          <w:tcPr>
            <w:tcW w:w="2471" w:type="dxa"/>
            <w:noWrap/>
            <w:vAlign w:val="center"/>
            <w:hideMark/>
          </w:tcPr>
          <w:p w14:paraId="5123731E" w14:textId="1FF9B883" w:rsidR="00605CFC" w:rsidRPr="008F4009" w:rsidRDefault="00605CFC" w:rsidP="00400C22">
            <w:pPr>
              <w:spacing w:before="60" w:after="60" w:line="276" w:lineRule="auto"/>
              <w:jc w:val="center"/>
              <w:rPr>
                <w:rFonts w:ascii="Times New Roman" w:hAnsi="Times New Roman" w:cs="Times New Roman"/>
                <w:sz w:val="24"/>
                <w:szCs w:val="24"/>
              </w:rPr>
            </w:pPr>
            <w:r w:rsidRPr="008F4009">
              <w:rPr>
                <w:rFonts w:ascii="Times New Roman" w:hAnsi="Times New Roman" w:cs="Times New Roman"/>
                <w:sz w:val="24"/>
                <w:szCs w:val="24"/>
              </w:rPr>
              <w:t>(17,159,194,173)</w:t>
            </w:r>
          </w:p>
        </w:tc>
      </w:tr>
      <w:tr w:rsidR="00605CFC" w:rsidRPr="008F4009" w14:paraId="203F710C" w14:textId="77777777" w:rsidTr="00133CF4">
        <w:trPr>
          <w:trHeight w:val="123"/>
        </w:trPr>
        <w:tc>
          <w:tcPr>
            <w:tcW w:w="3256" w:type="dxa"/>
            <w:noWrap/>
            <w:hideMark/>
          </w:tcPr>
          <w:p w14:paraId="334AAFED" w14:textId="77777777" w:rsidR="00605CFC" w:rsidRPr="008F4009" w:rsidRDefault="00605CFC" w:rsidP="00400C22">
            <w:pPr>
              <w:spacing w:before="60" w:after="60" w:line="276" w:lineRule="auto"/>
              <w:jc w:val="center"/>
              <w:rPr>
                <w:rFonts w:ascii="Times New Roman" w:hAnsi="Times New Roman" w:cs="Times New Roman"/>
                <w:b/>
                <w:sz w:val="24"/>
                <w:szCs w:val="24"/>
              </w:rPr>
            </w:pPr>
            <w:r w:rsidRPr="008F4009">
              <w:rPr>
                <w:rFonts w:ascii="Times New Roman" w:hAnsi="Times New Roman" w:cs="Times New Roman"/>
                <w:b/>
                <w:sz w:val="24"/>
                <w:szCs w:val="24"/>
              </w:rPr>
              <w:t>Total</w:t>
            </w:r>
          </w:p>
        </w:tc>
        <w:tc>
          <w:tcPr>
            <w:tcW w:w="2159" w:type="dxa"/>
            <w:noWrap/>
            <w:hideMark/>
          </w:tcPr>
          <w:p w14:paraId="534BDF7A" w14:textId="02475780" w:rsidR="00605CFC" w:rsidRPr="008F4009" w:rsidRDefault="00605CFC" w:rsidP="00400C22">
            <w:pPr>
              <w:spacing w:before="60" w:after="60" w:line="276" w:lineRule="auto"/>
              <w:jc w:val="center"/>
              <w:rPr>
                <w:rFonts w:ascii="Times New Roman" w:hAnsi="Times New Roman" w:cs="Times New Roman"/>
                <w:b/>
                <w:sz w:val="24"/>
                <w:szCs w:val="24"/>
              </w:rPr>
            </w:pPr>
            <w:r w:rsidRPr="008F4009">
              <w:rPr>
                <w:rFonts w:ascii="Times New Roman" w:hAnsi="Times New Roman" w:cs="Times New Roman"/>
                <w:b/>
                <w:sz w:val="24"/>
                <w:szCs w:val="24"/>
              </w:rPr>
              <w:t>302,903,004,516</w:t>
            </w:r>
          </w:p>
        </w:tc>
        <w:tc>
          <w:tcPr>
            <w:tcW w:w="2419" w:type="dxa"/>
            <w:noWrap/>
            <w:hideMark/>
          </w:tcPr>
          <w:p w14:paraId="20C936FF" w14:textId="0CB0D3ED" w:rsidR="00605CFC" w:rsidRPr="008F4009" w:rsidRDefault="00605CFC" w:rsidP="00400C22">
            <w:pPr>
              <w:spacing w:before="60" w:after="60" w:line="276" w:lineRule="auto"/>
              <w:jc w:val="center"/>
              <w:rPr>
                <w:rFonts w:ascii="Times New Roman" w:hAnsi="Times New Roman" w:cs="Times New Roman"/>
                <w:b/>
                <w:sz w:val="24"/>
                <w:szCs w:val="24"/>
              </w:rPr>
            </w:pPr>
            <w:r w:rsidRPr="008F4009">
              <w:rPr>
                <w:rFonts w:ascii="Times New Roman" w:hAnsi="Times New Roman" w:cs="Times New Roman"/>
                <w:b/>
                <w:sz w:val="24"/>
                <w:szCs w:val="24"/>
              </w:rPr>
              <w:t>282,938,696,539</w:t>
            </w:r>
          </w:p>
        </w:tc>
        <w:tc>
          <w:tcPr>
            <w:tcW w:w="2471" w:type="dxa"/>
            <w:noWrap/>
            <w:hideMark/>
          </w:tcPr>
          <w:p w14:paraId="624F88C9" w14:textId="76BED2B9" w:rsidR="00605CFC" w:rsidRPr="008F4009" w:rsidRDefault="00605CFC" w:rsidP="00400C22">
            <w:pPr>
              <w:spacing w:before="60" w:after="60" w:line="276" w:lineRule="auto"/>
              <w:jc w:val="center"/>
              <w:rPr>
                <w:rFonts w:ascii="Times New Roman" w:hAnsi="Times New Roman" w:cs="Times New Roman"/>
                <w:b/>
                <w:sz w:val="24"/>
                <w:szCs w:val="24"/>
              </w:rPr>
            </w:pPr>
            <w:r w:rsidRPr="008F4009">
              <w:rPr>
                <w:rFonts w:ascii="Times New Roman" w:hAnsi="Times New Roman" w:cs="Times New Roman"/>
                <w:b/>
                <w:sz w:val="24"/>
                <w:szCs w:val="24"/>
              </w:rPr>
              <w:t>(19,964,307,977)</w:t>
            </w:r>
          </w:p>
        </w:tc>
      </w:tr>
    </w:tbl>
    <w:p w14:paraId="72FA2888" w14:textId="77777777" w:rsidR="00A44C75" w:rsidRDefault="00A44C75" w:rsidP="00333A62">
      <w:pPr>
        <w:spacing w:before="120" w:after="120" w:line="276" w:lineRule="auto"/>
        <w:rPr>
          <w:rFonts w:ascii="Times New Roman" w:hAnsi="Times New Roman" w:cs="Times New Roman"/>
          <w:szCs w:val="24"/>
        </w:rPr>
      </w:pPr>
    </w:p>
    <w:p w14:paraId="6FD5475D" w14:textId="77777777" w:rsidR="00A44C75" w:rsidRPr="00A5742E" w:rsidRDefault="00A44C75" w:rsidP="00333A62">
      <w:pPr>
        <w:spacing w:before="120" w:after="120" w:line="276" w:lineRule="auto"/>
        <w:rPr>
          <w:rFonts w:ascii="Times New Roman" w:hAnsi="Times New Roman" w:cs="Times New Roman"/>
          <w:szCs w:val="24"/>
        </w:rPr>
      </w:pPr>
    </w:p>
    <w:p w14:paraId="71B2A712" w14:textId="4D56BCB1" w:rsidR="00815703" w:rsidRPr="00A5742E" w:rsidRDefault="00825055" w:rsidP="00183F43">
      <w:pPr>
        <w:pStyle w:val="Titre1"/>
        <w:rPr>
          <w:rFonts w:ascii="Times New Roman" w:hAnsi="Times New Roman" w:cs="Times New Roman"/>
          <w:b/>
          <w:color w:val="0070C0"/>
          <w:sz w:val="24"/>
          <w:szCs w:val="26"/>
        </w:rPr>
      </w:pPr>
      <w:bookmarkStart w:id="151" w:name="_Toc1573852"/>
      <w:r w:rsidRPr="00A5742E">
        <w:rPr>
          <w:rFonts w:ascii="Times New Roman" w:hAnsi="Times New Roman" w:cs="Times New Roman"/>
          <w:b/>
          <w:color w:val="0070C0"/>
          <w:sz w:val="24"/>
          <w:szCs w:val="26"/>
        </w:rPr>
        <w:lastRenderedPageBreak/>
        <w:t>RÉFÉRENCES</w:t>
      </w:r>
      <w:bookmarkEnd w:id="151"/>
      <w:r w:rsidRPr="00A5742E">
        <w:rPr>
          <w:rFonts w:ascii="Times New Roman" w:hAnsi="Times New Roman" w:cs="Times New Roman"/>
          <w:b/>
          <w:color w:val="0070C0"/>
          <w:sz w:val="24"/>
          <w:szCs w:val="26"/>
        </w:rPr>
        <w:t xml:space="preserve"> </w:t>
      </w:r>
    </w:p>
    <w:p w14:paraId="6DC05EF0" w14:textId="77777777" w:rsidR="00815703" w:rsidRPr="00A5742E" w:rsidRDefault="00825055" w:rsidP="00183F43">
      <w:pPr>
        <w:pStyle w:val="Titre1"/>
        <w:rPr>
          <w:rFonts w:ascii="Times New Roman" w:hAnsi="Times New Roman" w:cs="Times New Roman"/>
          <w:b/>
          <w:color w:val="0070C0"/>
          <w:sz w:val="24"/>
          <w:szCs w:val="26"/>
        </w:rPr>
      </w:pPr>
      <w:bookmarkStart w:id="152" w:name="_Toc1573853"/>
      <w:r w:rsidRPr="00A5742E">
        <w:rPr>
          <w:rFonts w:ascii="Times New Roman" w:hAnsi="Times New Roman" w:cs="Times New Roman"/>
          <w:b/>
          <w:color w:val="0070C0"/>
          <w:sz w:val="24"/>
          <w:szCs w:val="26"/>
        </w:rPr>
        <w:t>ANNEXES</w:t>
      </w:r>
      <w:bookmarkEnd w:id="152"/>
      <w:r w:rsidRPr="00A5742E">
        <w:rPr>
          <w:rFonts w:ascii="Times New Roman" w:hAnsi="Times New Roman" w:cs="Times New Roman"/>
          <w:b/>
          <w:color w:val="0070C0"/>
          <w:sz w:val="24"/>
          <w:szCs w:val="26"/>
        </w:rPr>
        <w:t xml:space="preserve"> </w:t>
      </w:r>
    </w:p>
    <w:p w14:paraId="532FB5A3" w14:textId="53D1D68E" w:rsidR="00183F43" w:rsidRPr="00A5742E" w:rsidRDefault="00A5742E" w:rsidP="00F62E94">
      <w:pPr>
        <w:pStyle w:val="Titre2"/>
        <w:rPr>
          <w:rFonts w:ascii="Times New Roman" w:hAnsi="Times New Roman" w:cs="Times New Roman"/>
          <w:b/>
          <w:color w:val="0070C0"/>
          <w:sz w:val="24"/>
        </w:rPr>
      </w:pPr>
      <w:bookmarkStart w:id="153" w:name="_Toc1573854"/>
      <w:r w:rsidRPr="00A5742E">
        <w:rPr>
          <w:rFonts w:ascii="Times New Roman" w:hAnsi="Times New Roman" w:cs="Times New Roman"/>
          <w:b/>
          <w:color w:val="0070C0"/>
          <w:sz w:val="24"/>
        </w:rPr>
        <w:t xml:space="preserve">Annexe </w:t>
      </w:r>
      <w:r w:rsidR="00825055" w:rsidRPr="00A5742E">
        <w:rPr>
          <w:rFonts w:ascii="Times New Roman" w:hAnsi="Times New Roman" w:cs="Times New Roman"/>
          <w:b/>
          <w:color w:val="0070C0"/>
          <w:sz w:val="24"/>
        </w:rPr>
        <w:t xml:space="preserve">1. </w:t>
      </w:r>
      <w:r w:rsidRPr="00A5742E">
        <w:rPr>
          <w:rFonts w:ascii="Times New Roman" w:hAnsi="Times New Roman" w:cs="Times New Roman"/>
          <w:b/>
          <w:color w:val="0070C0"/>
          <w:sz w:val="24"/>
        </w:rPr>
        <w:t>Cadre logique</w:t>
      </w:r>
      <w:bookmarkEnd w:id="153"/>
      <w:r w:rsidRPr="00A5742E">
        <w:rPr>
          <w:rFonts w:ascii="Times New Roman" w:hAnsi="Times New Roman" w:cs="Times New Roman"/>
          <w:b/>
          <w:color w:val="0070C0"/>
          <w:sz w:val="24"/>
        </w:rPr>
        <w:t xml:space="preserve"> </w:t>
      </w:r>
    </w:p>
    <w:p w14:paraId="228526D4" w14:textId="1EC33FA9" w:rsidR="00183F43" w:rsidRPr="00A5742E" w:rsidRDefault="00A5742E" w:rsidP="00183F43">
      <w:pPr>
        <w:pStyle w:val="Titre2"/>
        <w:rPr>
          <w:rFonts w:ascii="Times New Roman" w:hAnsi="Times New Roman" w:cs="Times New Roman"/>
          <w:b/>
          <w:color w:val="0070C0"/>
          <w:sz w:val="24"/>
        </w:rPr>
      </w:pPr>
      <w:bookmarkStart w:id="154" w:name="_Toc1573855"/>
      <w:r w:rsidRPr="00A5742E">
        <w:rPr>
          <w:rFonts w:ascii="Times New Roman" w:hAnsi="Times New Roman" w:cs="Times New Roman"/>
          <w:b/>
          <w:color w:val="0070C0"/>
          <w:sz w:val="24"/>
        </w:rPr>
        <w:t xml:space="preserve">Annexe </w:t>
      </w:r>
      <w:r w:rsidR="00825055" w:rsidRPr="00A5742E">
        <w:rPr>
          <w:rFonts w:ascii="Times New Roman" w:hAnsi="Times New Roman" w:cs="Times New Roman"/>
          <w:b/>
          <w:color w:val="0070C0"/>
          <w:sz w:val="24"/>
        </w:rPr>
        <w:t xml:space="preserve">2. </w:t>
      </w:r>
      <w:r w:rsidRPr="00A5742E">
        <w:rPr>
          <w:rFonts w:ascii="Times New Roman" w:hAnsi="Times New Roman" w:cs="Times New Roman"/>
          <w:b/>
          <w:color w:val="0070C0"/>
          <w:sz w:val="24"/>
        </w:rPr>
        <w:t>Cadre des résultats et de suivi et évaluation</w:t>
      </w:r>
      <w:bookmarkEnd w:id="154"/>
    </w:p>
    <w:p w14:paraId="12D3CD52" w14:textId="468155BF" w:rsidR="00825055" w:rsidRPr="00A5742E" w:rsidRDefault="00A5742E" w:rsidP="00183F43">
      <w:pPr>
        <w:pStyle w:val="Titre2"/>
        <w:rPr>
          <w:rFonts w:ascii="Times New Roman" w:hAnsi="Times New Roman" w:cs="Times New Roman"/>
          <w:b/>
          <w:color w:val="0070C0"/>
          <w:sz w:val="24"/>
        </w:rPr>
      </w:pPr>
      <w:bookmarkStart w:id="155" w:name="_Toc1573856"/>
      <w:r w:rsidRPr="00A5742E">
        <w:rPr>
          <w:rFonts w:ascii="Times New Roman" w:hAnsi="Times New Roman" w:cs="Times New Roman"/>
          <w:b/>
          <w:color w:val="0070C0"/>
          <w:sz w:val="24"/>
        </w:rPr>
        <w:t xml:space="preserve">Annexe </w:t>
      </w:r>
      <w:r w:rsidR="00825055" w:rsidRPr="00A5742E">
        <w:rPr>
          <w:rFonts w:ascii="Times New Roman" w:hAnsi="Times New Roman" w:cs="Times New Roman"/>
          <w:b/>
          <w:color w:val="0070C0"/>
          <w:sz w:val="24"/>
        </w:rPr>
        <w:t xml:space="preserve">3 : </w:t>
      </w:r>
      <w:r w:rsidRPr="00A5742E">
        <w:rPr>
          <w:rFonts w:ascii="Times New Roman" w:hAnsi="Times New Roman" w:cs="Times New Roman"/>
          <w:b/>
          <w:color w:val="0070C0"/>
          <w:sz w:val="24"/>
        </w:rPr>
        <w:t>Processus d’élaboration du dossier d’investissement</w:t>
      </w:r>
      <w:bookmarkEnd w:id="155"/>
      <w:r w:rsidRPr="00A5742E">
        <w:rPr>
          <w:rFonts w:ascii="Times New Roman" w:hAnsi="Times New Roman" w:cs="Times New Roman"/>
          <w:b/>
          <w:color w:val="0070C0"/>
          <w:sz w:val="24"/>
        </w:rPr>
        <w:t xml:space="preserve"> </w:t>
      </w:r>
    </w:p>
    <w:p w14:paraId="627878D0" w14:textId="77777777" w:rsidR="00815703" w:rsidRPr="00A5742E" w:rsidRDefault="00815703" w:rsidP="00333A62">
      <w:pPr>
        <w:spacing w:before="120" w:after="120" w:line="276" w:lineRule="auto"/>
        <w:rPr>
          <w:rFonts w:ascii="Times New Roman" w:hAnsi="Times New Roman" w:cs="Times New Roman"/>
          <w:szCs w:val="24"/>
        </w:rPr>
      </w:pPr>
    </w:p>
    <w:p w14:paraId="42BF9BFA" w14:textId="38432AB8" w:rsidR="0002340B" w:rsidRPr="00A5742E" w:rsidRDefault="0002340B" w:rsidP="00333A62">
      <w:pPr>
        <w:spacing w:before="120" w:after="120" w:line="276" w:lineRule="auto"/>
        <w:rPr>
          <w:rFonts w:ascii="Times New Roman" w:hAnsi="Times New Roman" w:cs="Times New Roman"/>
          <w:szCs w:val="24"/>
        </w:rPr>
      </w:pPr>
    </w:p>
    <w:p w14:paraId="0D832E51" w14:textId="77777777" w:rsidR="0002340B" w:rsidRPr="0002340B" w:rsidRDefault="0002340B" w:rsidP="0002340B">
      <w:pPr>
        <w:rPr>
          <w:rFonts w:ascii="Times New Roman" w:hAnsi="Times New Roman" w:cs="Times New Roman"/>
          <w:sz w:val="24"/>
          <w:szCs w:val="24"/>
        </w:rPr>
      </w:pPr>
    </w:p>
    <w:p w14:paraId="6C94AD11" w14:textId="77777777" w:rsidR="0002340B" w:rsidRPr="0002340B" w:rsidRDefault="0002340B" w:rsidP="0002340B">
      <w:pPr>
        <w:rPr>
          <w:rFonts w:ascii="Times New Roman" w:hAnsi="Times New Roman" w:cs="Times New Roman"/>
          <w:sz w:val="24"/>
          <w:szCs w:val="24"/>
        </w:rPr>
      </w:pPr>
    </w:p>
    <w:p w14:paraId="53ED23C8" w14:textId="77777777" w:rsidR="0002340B" w:rsidRPr="0002340B" w:rsidRDefault="0002340B" w:rsidP="0002340B">
      <w:pPr>
        <w:rPr>
          <w:rFonts w:ascii="Times New Roman" w:hAnsi="Times New Roman" w:cs="Times New Roman"/>
          <w:sz w:val="24"/>
          <w:szCs w:val="24"/>
        </w:rPr>
      </w:pPr>
    </w:p>
    <w:p w14:paraId="6982C313" w14:textId="77777777" w:rsidR="0002340B" w:rsidRPr="0002340B" w:rsidRDefault="0002340B" w:rsidP="0002340B">
      <w:pPr>
        <w:rPr>
          <w:rFonts w:ascii="Times New Roman" w:hAnsi="Times New Roman" w:cs="Times New Roman"/>
          <w:sz w:val="24"/>
          <w:szCs w:val="24"/>
        </w:rPr>
      </w:pPr>
    </w:p>
    <w:p w14:paraId="25FBCC64" w14:textId="77777777" w:rsidR="0002340B" w:rsidRPr="0002340B" w:rsidRDefault="0002340B" w:rsidP="0002340B">
      <w:pPr>
        <w:rPr>
          <w:rFonts w:ascii="Times New Roman" w:hAnsi="Times New Roman" w:cs="Times New Roman"/>
          <w:sz w:val="24"/>
          <w:szCs w:val="24"/>
        </w:rPr>
      </w:pPr>
    </w:p>
    <w:p w14:paraId="0051E3AC" w14:textId="77777777" w:rsidR="0002340B" w:rsidRPr="0002340B" w:rsidRDefault="0002340B" w:rsidP="0002340B">
      <w:pPr>
        <w:rPr>
          <w:rFonts w:ascii="Times New Roman" w:hAnsi="Times New Roman" w:cs="Times New Roman"/>
          <w:sz w:val="24"/>
          <w:szCs w:val="24"/>
        </w:rPr>
      </w:pPr>
    </w:p>
    <w:p w14:paraId="3D8E5B5D" w14:textId="77777777" w:rsidR="0002340B" w:rsidRPr="0002340B" w:rsidRDefault="0002340B" w:rsidP="0002340B">
      <w:pPr>
        <w:rPr>
          <w:rFonts w:ascii="Times New Roman" w:hAnsi="Times New Roman" w:cs="Times New Roman"/>
          <w:sz w:val="24"/>
          <w:szCs w:val="24"/>
        </w:rPr>
      </w:pPr>
    </w:p>
    <w:p w14:paraId="40066B2B" w14:textId="77777777" w:rsidR="0002340B" w:rsidRPr="0002340B" w:rsidRDefault="0002340B" w:rsidP="0002340B">
      <w:pPr>
        <w:rPr>
          <w:rFonts w:ascii="Times New Roman" w:hAnsi="Times New Roman" w:cs="Times New Roman"/>
          <w:sz w:val="24"/>
          <w:szCs w:val="24"/>
        </w:rPr>
      </w:pPr>
    </w:p>
    <w:p w14:paraId="25EF9B2B" w14:textId="77777777" w:rsidR="0002340B" w:rsidRPr="0002340B" w:rsidRDefault="0002340B" w:rsidP="0002340B">
      <w:pPr>
        <w:rPr>
          <w:rFonts w:ascii="Times New Roman" w:hAnsi="Times New Roman" w:cs="Times New Roman"/>
          <w:sz w:val="24"/>
          <w:szCs w:val="24"/>
        </w:rPr>
      </w:pPr>
    </w:p>
    <w:p w14:paraId="210C1B77" w14:textId="77777777" w:rsidR="0002340B" w:rsidRPr="0002340B" w:rsidRDefault="0002340B" w:rsidP="0002340B">
      <w:pPr>
        <w:rPr>
          <w:rFonts w:ascii="Times New Roman" w:hAnsi="Times New Roman" w:cs="Times New Roman"/>
          <w:sz w:val="24"/>
          <w:szCs w:val="24"/>
        </w:rPr>
      </w:pPr>
    </w:p>
    <w:p w14:paraId="072FB1CA" w14:textId="77777777" w:rsidR="0002340B" w:rsidRPr="0002340B" w:rsidRDefault="0002340B" w:rsidP="0002340B">
      <w:pPr>
        <w:rPr>
          <w:rFonts w:ascii="Times New Roman" w:hAnsi="Times New Roman" w:cs="Times New Roman"/>
          <w:sz w:val="24"/>
          <w:szCs w:val="24"/>
        </w:rPr>
      </w:pPr>
    </w:p>
    <w:p w14:paraId="03CA9D87" w14:textId="4BC44077" w:rsidR="0002340B" w:rsidRDefault="0002340B" w:rsidP="0002340B">
      <w:pPr>
        <w:rPr>
          <w:rFonts w:ascii="Times New Roman" w:hAnsi="Times New Roman" w:cs="Times New Roman"/>
          <w:sz w:val="24"/>
          <w:szCs w:val="24"/>
        </w:rPr>
      </w:pPr>
    </w:p>
    <w:p w14:paraId="42E9E3E8" w14:textId="21D90A7C" w:rsidR="0002340B" w:rsidRDefault="0002340B" w:rsidP="0002340B">
      <w:pPr>
        <w:rPr>
          <w:rFonts w:ascii="Times New Roman" w:hAnsi="Times New Roman" w:cs="Times New Roman"/>
          <w:sz w:val="24"/>
          <w:szCs w:val="24"/>
        </w:rPr>
      </w:pPr>
    </w:p>
    <w:p w14:paraId="1E73EA4D" w14:textId="5FF048BD" w:rsidR="00815703" w:rsidRPr="0002340B" w:rsidRDefault="0002340B" w:rsidP="0002340B">
      <w:pPr>
        <w:tabs>
          <w:tab w:val="left" w:pos="7170"/>
        </w:tabs>
        <w:rPr>
          <w:rFonts w:ascii="Times New Roman" w:hAnsi="Times New Roman" w:cs="Times New Roman"/>
          <w:sz w:val="24"/>
          <w:szCs w:val="24"/>
        </w:rPr>
      </w:pPr>
      <w:r>
        <w:rPr>
          <w:rFonts w:ascii="Times New Roman" w:hAnsi="Times New Roman" w:cs="Times New Roman"/>
          <w:sz w:val="24"/>
          <w:szCs w:val="24"/>
        </w:rPr>
        <w:tab/>
      </w:r>
    </w:p>
    <w:sectPr w:rsidR="00815703" w:rsidRPr="0002340B" w:rsidSect="00B81840">
      <w:footerReference w:type="default" r:id="rId53"/>
      <w:pgSz w:w="12240" w:h="15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36FC47" w14:textId="77777777" w:rsidR="00183BD5" w:rsidRDefault="00183BD5" w:rsidP="000D0291">
      <w:pPr>
        <w:spacing w:after="0" w:line="240" w:lineRule="auto"/>
      </w:pPr>
      <w:r>
        <w:separator/>
      </w:r>
    </w:p>
  </w:endnote>
  <w:endnote w:type="continuationSeparator" w:id="0">
    <w:p w14:paraId="2B90CA46" w14:textId="77777777" w:rsidR="00183BD5" w:rsidRDefault="00183BD5" w:rsidP="000D0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642C58" w14:textId="3A4817C3" w:rsidR="00C742EB" w:rsidRDefault="00C742EB">
    <w:pPr>
      <w:pStyle w:val="Pieddepage"/>
      <w:jc w:val="right"/>
    </w:pPr>
  </w:p>
  <w:p w14:paraId="3E9E76EE" w14:textId="16A58A07" w:rsidR="00C742EB" w:rsidRPr="0002340B" w:rsidRDefault="00C742EB">
    <w:pPr>
      <w:pStyle w:val="Pieddepage"/>
      <w:rPr>
        <w:rFonts w:ascii="Times New Roman" w:hAnsi="Times New Roman" w:cs="Times New Roman"/>
      </w:rPr>
    </w:pPr>
    <w:r w:rsidRPr="0002340B">
      <w:rPr>
        <w:rFonts w:ascii="Times New Roman" w:hAnsi="Times New Roman" w:cs="Times New Roman"/>
      </w:rPr>
      <w:t>Dossier d’Investissement Côte d’Ivoire</w:t>
    </w:r>
    <w:r w:rsidRPr="0002340B">
      <w:rPr>
        <w:rFonts w:ascii="Times New Roman" w:hAnsi="Times New Roman" w:cs="Times New Roman"/>
      </w:rPr>
      <w:tab/>
    </w:r>
    <w:r w:rsidRPr="0002340B">
      <w:rPr>
        <w:rFonts w:ascii="Times New Roman" w:hAnsi="Times New Roman" w:cs="Times New Roman"/>
      </w:rPr>
      <w:tab/>
      <w:t>Janvier 2019</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28836916"/>
      <w:docPartObj>
        <w:docPartGallery w:val="Page Numbers (Bottom of Page)"/>
        <w:docPartUnique/>
      </w:docPartObj>
    </w:sdtPr>
    <w:sdtEndPr>
      <w:rPr>
        <w:rFonts w:ascii="Times New Roman" w:hAnsi="Times New Roman" w:cs="Times New Roman"/>
      </w:rPr>
    </w:sdtEndPr>
    <w:sdtContent>
      <w:p w14:paraId="44E3ECDF" w14:textId="77777777" w:rsidR="00C742EB" w:rsidRPr="009A30D8" w:rsidRDefault="00C742EB">
        <w:pPr>
          <w:pStyle w:val="Pieddepage"/>
          <w:jc w:val="right"/>
          <w:rPr>
            <w:rFonts w:ascii="Times New Roman" w:hAnsi="Times New Roman" w:cs="Times New Roman"/>
          </w:rPr>
        </w:pPr>
        <w:r w:rsidRPr="009A30D8">
          <w:rPr>
            <w:rFonts w:ascii="Times New Roman" w:hAnsi="Times New Roman" w:cs="Times New Roman"/>
          </w:rPr>
          <w:fldChar w:fldCharType="begin"/>
        </w:r>
        <w:r w:rsidRPr="009A30D8">
          <w:rPr>
            <w:rFonts w:ascii="Times New Roman" w:hAnsi="Times New Roman" w:cs="Times New Roman"/>
          </w:rPr>
          <w:instrText>PAGE   \* MERGEFORMAT</w:instrText>
        </w:r>
        <w:r w:rsidRPr="009A30D8">
          <w:rPr>
            <w:rFonts w:ascii="Times New Roman" w:hAnsi="Times New Roman" w:cs="Times New Roman"/>
          </w:rPr>
          <w:fldChar w:fldCharType="separate"/>
        </w:r>
        <w:r w:rsidR="0084266C" w:rsidRPr="0084266C">
          <w:rPr>
            <w:rFonts w:ascii="Times New Roman" w:hAnsi="Times New Roman" w:cs="Times New Roman"/>
            <w:noProof/>
            <w:lang w:val="fr-FR"/>
          </w:rPr>
          <w:t>4</w:t>
        </w:r>
        <w:r w:rsidRPr="009A30D8">
          <w:rPr>
            <w:rFonts w:ascii="Times New Roman" w:hAnsi="Times New Roman" w:cs="Times New Roman"/>
          </w:rPr>
          <w:fldChar w:fldCharType="end"/>
        </w:r>
      </w:p>
    </w:sdtContent>
  </w:sdt>
  <w:p w14:paraId="77030771" w14:textId="5A5BA21E" w:rsidR="00C742EB" w:rsidRPr="009A30D8" w:rsidRDefault="00C742EB">
    <w:pPr>
      <w:pStyle w:val="Pieddepage"/>
      <w:rPr>
        <w:rFonts w:ascii="Times New Roman" w:hAnsi="Times New Roman" w:cs="Times New Roman"/>
      </w:rPr>
    </w:pPr>
    <w:r w:rsidRPr="009A30D8">
      <w:rPr>
        <w:rFonts w:ascii="Times New Roman" w:hAnsi="Times New Roman" w:cs="Times New Roman"/>
      </w:rPr>
      <w:t>Dossier d’Investissement Côte d’Ivoire</w:t>
    </w:r>
    <w:r>
      <w:rPr>
        <w:rFonts w:ascii="Times New Roman" w:hAnsi="Times New Roman" w:cs="Times New Roman"/>
      </w:rPr>
      <w:tab/>
    </w:r>
    <w:r>
      <w:rPr>
        <w:rFonts w:ascii="Times New Roman" w:hAnsi="Times New Roman" w:cs="Times New Roman"/>
      </w:rPr>
      <w:tab/>
    </w:r>
    <w:r w:rsidRPr="009A30D8">
      <w:rPr>
        <w:rFonts w:ascii="Times New Roman" w:hAnsi="Times New Roman" w:cs="Times New Roman"/>
      </w:rPr>
      <w:t>Janvier 2019</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7457848"/>
      <w:docPartObj>
        <w:docPartGallery w:val="Page Numbers (Bottom of Page)"/>
        <w:docPartUnique/>
      </w:docPartObj>
    </w:sdtPr>
    <w:sdtEndPr>
      <w:rPr>
        <w:rFonts w:ascii="Times New Roman" w:hAnsi="Times New Roman" w:cs="Times New Roman"/>
      </w:rPr>
    </w:sdtEndPr>
    <w:sdtContent>
      <w:p w14:paraId="2D2DD00A" w14:textId="77777777" w:rsidR="00C742EB" w:rsidRPr="009A30D8" w:rsidRDefault="00C742EB">
        <w:pPr>
          <w:pStyle w:val="Pieddepage"/>
          <w:jc w:val="right"/>
          <w:rPr>
            <w:rFonts w:ascii="Times New Roman" w:hAnsi="Times New Roman" w:cs="Times New Roman"/>
          </w:rPr>
        </w:pPr>
        <w:r w:rsidRPr="009A30D8">
          <w:rPr>
            <w:rFonts w:ascii="Times New Roman" w:hAnsi="Times New Roman" w:cs="Times New Roman"/>
          </w:rPr>
          <w:fldChar w:fldCharType="begin"/>
        </w:r>
        <w:r w:rsidRPr="009A30D8">
          <w:rPr>
            <w:rFonts w:ascii="Times New Roman" w:hAnsi="Times New Roman" w:cs="Times New Roman"/>
          </w:rPr>
          <w:instrText>PAGE   \* MERGEFORMAT</w:instrText>
        </w:r>
        <w:r w:rsidRPr="009A30D8">
          <w:rPr>
            <w:rFonts w:ascii="Times New Roman" w:hAnsi="Times New Roman" w:cs="Times New Roman"/>
          </w:rPr>
          <w:fldChar w:fldCharType="separate"/>
        </w:r>
        <w:r w:rsidR="0084266C" w:rsidRPr="0084266C">
          <w:rPr>
            <w:rFonts w:ascii="Times New Roman" w:hAnsi="Times New Roman" w:cs="Times New Roman"/>
            <w:noProof/>
            <w:lang w:val="fr-FR"/>
          </w:rPr>
          <w:t>46</w:t>
        </w:r>
        <w:r w:rsidRPr="009A30D8">
          <w:rPr>
            <w:rFonts w:ascii="Times New Roman" w:hAnsi="Times New Roman" w:cs="Times New Roman"/>
          </w:rPr>
          <w:fldChar w:fldCharType="end"/>
        </w:r>
      </w:p>
    </w:sdtContent>
  </w:sdt>
  <w:p w14:paraId="5192CB6D" w14:textId="091716B6" w:rsidR="00C742EB" w:rsidRPr="009A30D8" w:rsidRDefault="00C742EB">
    <w:pPr>
      <w:pStyle w:val="Pieddepage"/>
      <w:rPr>
        <w:rFonts w:ascii="Times New Roman" w:hAnsi="Times New Roman" w:cs="Times New Roman"/>
      </w:rPr>
    </w:pPr>
    <w:r w:rsidRPr="009A30D8">
      <w:rPr>
        <w:rFonts w:ascii="Times New Roman" w:hAnsi="Times New Roman" w:cs="Times New Roman"/>
      </w:rPr>
      <w:t>Dossier d’Investissement Côte d’Ivoire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9A30D8">
      <w:rPr>
        <w:rFonts w:ascii="Times New Roman" w:hAnsi="Times New Roman" w:cs="Times New Roman"/>
      </w:rPr>
      <w:t>Janvier 2019</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806976"/>
      <w:docPartObj>
        <w:docPartGallery w:val="Page Numbers (Bottom of Page)"/>
        <w:docPartUnique/>
      </w:docPartObj>
    </w:sdtPr>
    <w:sdtEndPr>
      <w:rPr>
        <w:rFonts w:ascii="Times New Roman" w:hAnsi="Times New Roman" w:cs="Times New Roman"/>
      </w:rPr>
    </w:sdtEndPr>
    <w:sdtContent>
      <w:p w14:paraId="6D3A271F" w14:textId="77777777" w:rsidR="00C742EB" w:rsidRPr="009A30D8" w:rsidRDefault="00C742EB">
        <w:pPr>
          <w:pStyle w:val="Pieddepage"/>
          <w:jc w:val="right"/>
          <w:rPr>
            <w:rFonts w:ascii="Times New Roman" w:hAnsi="Times New Roman" w:cs="Times New Roman"/>
          </w:rPr>
        </w:pPr>
        <w:r w:rsidRPr="009A30D8">
          <w:rPr>
            <w:rFonts w:ascii="Times New Roman" w:hAnsi="Times New Roman" w:cs="Times New Roman"/>
          </w:rPr>
          <w:fldChar w:fldCharType="begin"/>
        </w:r>
        <w:r w:rsidRPr="009A30D8">
          <w:rPr>
            <w:rFonts w:ascii="Times New Roman" w:hAnsi="Times New Roman" w:cs="Times New Roman"/>
          </w:rPr>
          <w:instrText>PAGE   \* MERGEFORMAT</w:instrText>
        </w:r>
        <w:r w:rsidRPr="009A30D8">
          <w:rPr>
            <w:rFonts w:ascii="Times New Roman" w:hAnsi="Times New Roman" w:cs="Times New Roman"/>
          </w:rPr>
          <w:fldChar w:fldCharType="separate"/>
        </w:r>
        <w:r w:rsidR="0084266C" w:rsidRPr="0084266C">
          <w:rPr>
            <w:rFonts w:ascii="Times New Roman" w:hAnsi="Times New Roman" w:cs="Times New Roman"/>
            <w:noProof/>
            <w:lang w:val="fr-FR"/>
          </w:rPr>
          <w:t>50</w:t>
        </w:r>
        <w:r w:rsidRPr="009A30D8">
          <w:rPr>
            <w:rFonts w:ascii="Times New Roman" w:hAnsi="Times New Roman" w:cs="Times New Roman"/>
          </w:rPr>
          <w:fldChar w:fldCharType="end"/>
        </w:r>
      </w:p>
    </w:sdtContent>
  </w:sdt>
  <w:p w14:paraId="6AFBCD2A" w14:textId="77777777" w:rsidR="00C742EB" w:rsidRPr="009A30D8" w:rsidRDefault="00C742EB">
    <w:pPr>
      <w:pStyle w:val="Pieddepage"/>
      <w:rPr>
        <w:rFonts w:ascii="Times New Roman" w:hAnsi="Times New Roman" w:cs="Times New Roman"/>
      </w:rPr>
    </w:pPr>
    <w:r w:rsidRPr="009A30D8">
      <w:rPr>
        <w:rFonts w:ascii="Times New Roman" w:hAnsi="Times New Roman" w:cs="Times New Roman"/>
      </w:rPr>
      <w:t>Dossier d’Investissement Côte d’Ivoire</w:t>
    </w:r>
    <w:r>
      <w:rPr>
        <w:rFonts w:ascii="Times New Roman" w:hAnsi="Times New Roman" w:cs="Times New Roman"/>
      </w:rPr>
      <w:tab/>
    </w:r>
    <w:r>
      <w:rPr>
        <w:rFonts w:ascii="Times New Roman" w:hAnsi="Times New Roman" w:cs="Times New Roman"/>
      </w:rPr>
      <w:tab/>
    </w:r>
    <w:r w:rsidRPr="009A30D8">
      <w:rPr>
        <w:rFonts w:ascii="Times New Roman" w:hAnsi="Times New Roman" w:cs="Times New Roman"/>
      </w:rPr>
      <w:t>Janvier 2019</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4664931"/>
      <w:docPartObj>
        <w:docPartGallery w:val="Page Numbers (Bottom of Page)"/>
        <w:docPartUnique/>
      </w:docPartObj>
    </w:sdtPr>
    <w:sdtEndPr>
      <w:rPr>
        <w:rFonts w:ascii="Times New Roman" w:hAnsi="Times New Roman" w:cs="Times New Roman"/>
      </w:rPr>
    </w:sdtEndPr>
    <w:sdtContent>
      <w:p w14:paraId="7D45DD97" w14:textId="77777777" w:rsidR="00C742EB" w:rsidRPr="009A30D8" w:rsidRDefault="00C742EB">
        <w:pPr>
          <w:pStyle w:val="Pieddepage"/>
          <w:jc w:val="right"/>
          <w:rPr>
            <w:rFonts w:ascii="Times New Roman" w:hAnsi="Times New Roman" w:cs="Times New Roman"/>
          </w:rPr>
        </w:pPr>
        <w:r w:rsidRPr="009A30D8">
          <w:rPr>
            <w:rFonts w:ascii="Times New Roman" w:hAnsi="Times New Roman" w:cs="Times New Roman"/>
          </w:rPr>
          <w:fldChar w:fldCharType="begin"/>
        </w:r>
        <w:r w:rsidRPr="009A30D8">
          <w:rPr>
            <w:rFonts w:ascii="Times New Roman" w:hAnsi="Times New Roman" w:cs="Times New Roman"/>
          </w:rPr>
          <w:instrText>PAGE   \* MERGEFORMAT</w:instrText>
        </w:r>
        <w:r w:rsidRPr="009A30D8">
          <w:rPr>
            <w:rFonts w:ascii="Times New Roman" w:hAnsi="Times New Roman" w:cs="Times New Roman"/>
          </w:rPr>
          <w:fldChar w:fldCharType="separate"/>
        </w:r>
        <w:r w:rsidR="0084266C" w:rsidRPr="0084266C">
          <w:rPr>
            <w:rFonts w:ascii="Times New Roman" w:hAnsi="Times New Roman" w:cs="Times New Roman"/>
            <w:noProof/>
            <w:lang w:val="fr-FR"/>
          </w:rPr>
          <w:t>52</w:t>
        </w:r>
        <w:r w:rsidRPr="009A30D8">
          <w:rPr>
            <w:rFonts w:ascii="Times New Roman" w:hAnsi="Times New Roman" w:cs="Times New Roman"/>
          </w:rPr>
          <w:fldChar w:fldCharType="end"/>
        </w:r>
      </w:p>
    </w:sdtContent>
  </w:sdt>
  <w:p w14:paraId="7C52DDB1" w14:textId="120FC89D" w:rsidR="00C742EB" w:rsidRPr="009A30D8" w:rsidRDefault="00C742EB">
    <w:pPr>
      <w:pStyle w:val="Pieddepage"/>
      <w:rPr>
        <w:rFonts w:ascii="Times New Roman" w:hAnsi="Times New Roman" w:cs="Times New Roman"/>
      </w:rPr>
    </w:pPr>
    <w:r w:rsidRPr="009A30D8">
      <w:rPr>
        <w:rFonts w:ascii="Times New Roman" w:hAnsi="Times New Roman" w:cs="Times New Roman"/>
      </w:rPr>
      <w:t>Dossier d’Investissement Côte d’Ivoire</w:t>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9A30D8">
      <w:rPr>
        <w:rFonts w:ascii="Times New Roman" w:hAnsi="Times New Roman" w:cs="Times New Roman"/>
      </w:rPr>
      <w:t>Janvier 2019</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4356467"/>
      <w:docPartObj>
        <w:docPartGallery w:val="Page Numbers (Bottom of Page)"/>
        <w:docPartUnique/>
      </w:docPartObj>
    </w:sdtPr>
    <w:sdtEndPr>
      <w:rPr>
        <w:rFonts w:ascii="Times New Roman" w:hAnsi="Times New Roman" w:cs="Times New Roman"/>
      </w:rPr>
    </w:sdtEndPr>
    <w:sdtContent>
      <w:p w14:paraId="2D5E4CFA" w14:textId="77777777" w:rsidR="00C742EB" w:rsidRPr="009A30D8" w:rsidRDefault="00C742EB">
        <w:pPr>
          <w:pStyle w:val="Pieddepage"/>
          <w:jc w:val="right"/>
          <w:rPr>
            <w:rFonts w:ascii="Times New Roman" w:hAnsi="Times New Roman" w:cs="Times New Roman"/>
          </w:rPr>
        </w:pPr>
        <w:r w:rsidRPr="009A30D8">
          <w:rPr>
            <w:rFonts w:ascii="Times New Roman" w:hAnsi="Times New Roman" w:cs="Times New Roman"/>
          </w:rPr>
          <w:fldChar w:fldCharType="begin"/>
        </w:r>
        <w:r w:rsidRPr="009A30D8">
          <w:rPr>
            <w:rFonts w:ascii="Times New Roman" w:hAnsi="Times New Roman" w:cs="Times New Roman"/>
          </w:rPr>
          <w:instrText>PAGE   \* MERGEFORMAT</w:instrText>
        </w:r>
        <w:r w:rsidRPr="009A30D8">
          <w:rPr>
            <w:rFonts w:ascii="Times New Roman" w:hAnsi="Times New Roman" w:cs="Times New Roman"/>
          </w:rPr>
          <w:fldChar w:fldCharType="separate"/>
        </w:r>
        <w:r w:rsidR="00DE13E5" w:rsidRPr="00DE13E5">
          <w:rPr>
            <w:rFonts w:ascii="Times New Roman" w:hAnsi="Times New Roman" w:cs="Times New Roman"/>
            <w:noProof/>
            <w:lang w:val="fr-FR"/>
          </w:rPr>
          <w:t>70</w:t>
        </w:r>
        <w:r w:rsidRPr="009A30D8">
          <w:rPr>
            <w:rFonts w:ascii="Times New Roman" w:hAnsi="Times New Roman" w:cs="Times New Roman"/>
          </w:rPr>
          <w:fldChar w:fldCharType="end"/>
        </w:r>
      </w:p>
    </w:sdtContent>
  </w:sdt>
  <w:p w14:paraId="15BBCB79" w14:textId="3BA4F0D4" w:rsidR="00C742EB" w:rsidRPr="009A30D8" w:rsidRDefault="00C742EB">
    <w:pPr>
      <w:pStyle w:val="Pieddepage"/>
      <w:rPr>
        <w:rFonts w:ascii="Times New Roman" w:hAnsi="Times New Roman" w:cs="Times New Roman"/>
      </w:rPr>
    </w:pPr>
    <w:r w:rsidRPr="009A30D8">
      <w:rPr>
        <w:rFonts w:ascii="Times New Roman" w:hAnsi="Times New Roman" w:cs="Times New Roman"/>
      </w:rPr>
      <w:t>Dossier d’Investissement Côte d’Ivoire</w:t>
    </w:r>
    <w:r>
      <w:rPr>
        <w:rFonts w:ascii="Times New Roman" w:hAnsi="Times New Roman" w:cs="Times New Roman"/>
      </w:rPr>
      <w:tab/>
    </w:r>
    <w:r>
      <w:rPr>
        <w:rFonts w:ascii="Times New Roman" w:hAnsi="Times New Roman" w:cs="Times New Roman"/>
      </w:rPr>
      <w:tab/>
    </w:r>
    <w:r w:rsidRPr="009A30D8">
      <w:rPr>
        <w:rFonts w:ascii="Times New Roman" w:hAnsi="Times New Roman" w:cs="Times New Roman"/>
      </w:rPr>
      <w:t>Janvier 2019</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5199259"/>
      <w:docPartObj>
        <w:docPartGallery w:val="Page Numbers (Bottom of Page)"/>
        <w:docPartUnique/>
      </w:docPartObj>
    </w:sdtPr>
    <w:sdtEndPr>
      <w:rPr>
        <w:rFonts w:ascii="Times New Roman" w:hAnsi="Times New Roman" w:cs="Times New Roman"/>
      </w:rPr>
    </w:sdtEndPr>
    <w:sdtContent>
      <w:p w14:paraId="7824780B" w14:textId="77777777" w:rsidR="00C742EB" w:rsidRPr="009A30D8" w:rsidRDefault="00C742EB">
        <w:pPr>
          <w:pStyle w:val="Pieddepage"/>
          <w:jc w:val="right"/>
          <w:rPr>
            <w:rFonts w:ascii="Times New Roman" w:hAnsi="Times New Roman" w:cs="Times New Roman"/>
          </w:rPr>
        </w:pPr>
        <w:r w:rsidRPr="009A30D8">
          <w:rPr>
            <w:rFonts w:ascii="Times New Roman" w:hAnsi="Times New Roman" w:cs="Times New Roman"/>
          </w:rPr>
          <w:fldChar w:fldCharType="begin"/>
        </w:r>
        <w:r w:rsidRPr="009A30D8">
          <w:rPr>
            <w:rFonts w:ascii="Times New Roman" w:hAnsi="Times New Roman" w:cs="Times New Roman"/>
          </w:rPr>
          <w:instrText>PAGE   \* MERGEFORMAT</w:instrText>
        </w:r>
        <w:r w:rsidRPr="009A30D8">
          <w:rPr>
            <w:rFonts w:ascii="Times New Roman" w:hAnsi="Times New Roman" w:cs="Times New Roman"/>
          </w:rPr>
          <w:fldChar w:fldCharType="separate"/>
        </w:r>
        <w:r w:rsidR="00DE13E5" w:rsidRPr="00DE13E5">
          <w:rPr>
            <w:rFonts w:ascii="Times New Roman" w:hAnsi="Times New Roman" w:cs="Times New Roman"/>
            <w:noProof/>
            <w:lang w:val="fr-FR"/>
          </w:rPr>
          <w:t>73</w:t>
        </w:r>
        <w:r w:rsidRPr="009A30D8">
          <w:rPr>
            <w:rFonts w:ascii="Times New Roman" w:hAnsi="Times New Roman" w:cs="Times New Roman"/>
          </w:rPr>
          <w:fldChar w:fldCharType="end"/>
        </w:r>
      </w:p>
    </w:sdtContent>
  </w:sdt>
  <w:p w14:paraId="2A1E2EC4" w14:textId="1AE9CDA7" w:rsidR="00C742EB" w:rsidRPr="009A30D8" w:rsidRDefault="00C742EB">
    <w:pPr>
      <w:pStyle w:val="Pieddepage"/>
      <w:rPr>
        <w:rFonts w:ascii="Times New Roman" w:hAnsi="Times New Roman" w:cs="Times New Roman"/>
      </w:rPr>
    </w:pPr>
    <w:r w:rsidRPr="009A30D8">
      <w:rPr>
        <w:rFonts w:ascii="Times New Roman" w:hAnsi="Times New Roman" w:cs="Times New Roman"/>
      </w:rPr>
      <w:t>Dossier d’Investissement Côte d’Ivoire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9A30D8">
      <w:rPr>
        <w:rFonts w:ascii="Times New Roman" w:hAnsi="Times New Roman" w:cs="Times New Roman"/>
      </w:rPr>
      <w:t>Janvier 2019</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0113231"/>
      <w:docPartObj>
        <w:docPartGallery w:val="Page Numbers (Bottom of Page)"/>
        <w:docPartUnique/>
      </w:docPartObj>
    </w:sdtPr>
    <w:sdtEndPr>
      <w:rPr>
        <w:rFonts w:ascii="Times New Roman" w:hAnsi="Times New Roman" w:cs="Times New Roman"/>
      </w:rPr>
    </w:sdtEndPr>
    <w:sdtContent>
      <w:p w14:paraId="30D38A63" w14:textId="77777777" w:rsidR="00C742EB" w:rsidRPr="009A30D8" w:rsidRDefault="00C742EB">
        <w:pPr>
          <w:pStyle w:val="Pieddepage"/>
          <w:jc w:val="right"/>
          <w:rPr>
            <w:rFonts w:ascii="Times New Roman" w:hAnsi="Times New Roman" w:cs="Times New Roman"/>
          </w:rPr>
        </w:pPr>
        <w:r w:rsidRPr="009A30D8">
          <w:rPr>
            <w:rFonts w:ascii="Times New Roman" w:hAnsi="Times New Roman" w:cs="Times New Roman"/>
          </w:rPr>
          <w:fldChar w:fldCharType="begin"/>
        </w:r>
        <w:r w:rsidRPr="009A30D8">
          <w:rPr>
            <w:rFonts w:ascii="Times New Roman" w:hAnsi="Times New Roman" w:cs="Times New Roman"/>
          </w:rPr>
          <w:instrText>PAGE   \* MERGEFORMAT</w:instrText>
        </w:r>
        <w:r w:rsidRPr="009A30D8">
          <w:rPr>
            <w:rFonts w:ascii="Times New Roman" w:hAnsi="Times New Roman" w:cs="Times New Roman"/>
          </w:rPr>
          <w:fldChar w:fldCharType="separate"/>
        </w:r>
        <w:r w:rsidR="00DE13E5" w:rsidRPr="00DE13E5">
          <w:rPr>
            <w:rFonts w:ascii="Times New Roman" w:hAnsi="Times New Roman" w:cs="Times New Roman"/>
            <w:noProof/>
            <w:lang w:val="fr-FR"/>
          </w:rPr>
          <w:t>74</w:t>
        </w:r>
        <w:r w:rsidRPr="009A30D8">
          <w:rPr>
            <w:rFonts w:ascii="Times New Roman" w:hAnsi="Times New Roman" w:cs="Times New Roman"/>
          </w:rPr>
          <w:fldChar w:fldCharType="end"/>
        </w:r>
      </w:p>
    </w:sdtContent>
  </w:sdt>
  <w:p w14:paraId="3E70B3E8" w14:textId="77777777" w:rsidR="00C742EB" w:rsidRPr="009A30D8" w:rsidRDefault="00C742EB">
    <w:pPr>
      <w:pStyle w:val="Pieddepage"/>
      <w:rPr>
        <w:rFonts w:ascii="Times New Roman" w:hAnsi="Times New Roman" w:cs="Times New Roman"/>
      </w:rPr>
    </w:pPr>
    <w:r w:rsidRPr="009A30D8">
      <w:rPr>
        <w:rFonts w:ascii="Times New Roman" w:hAnsi="Times New Roman" w:cs="Times New Roman"/>
      </w:rPr>
      <w:t>Dossier d’Investissement Côte d’Ivoire</w:t>
    </w:r>
    <w:r>
      <w:rPr>
        <w:rFonts w:ascii="Times New Roman" w:hAnsi="Times New Roman" w:cs="Times New Roman"/>
      </w:rPr>
      <w:tab/>
    </w:r>
    <w:r>
      <w:rPr>
        <w:rFonts w:ascii="Times New Roman" w:hAnsi="Times New Roman" w:cs="Times New Roman"/>
      </w:rPr>
      <w:tab/>
    </w:r>
    <w:r w:rsidRPr="009A30D8">
      <w:rPr>
        <w:rFonts w:ascii="Times New Roman" w:hAnsi="Times New Roman" w:cs="Times New Roman"/>
      </w:rPr>
      <w:t>Janvier 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726760" w14:textId="77777777" w:rsidR="00183BD5" w:rsidRDefault="00183BD5" w:rsidP="000D0291">
      <w:pPr>
        <w:spacing w:after="0" w:line="240" w:lineRule="auto"/>
      </w:pPr>
      <w:r>
        <w:separator/>
      </w:r>
    </w:p>
  </w:footnote>
  <w:footnote w:type="continuationSeparator" w:id="0">
    <w:p w14:paraId="1F691078" w14:textId="77777777" w:rsidR="00183BD5" w:rsidRDefault="00183BD5" w:rsidP="000D0291">
      <w:pPr>
        <w:spacing w:after="0" w:line="240" w:lineRule="auto"/>
      </w:pPr>
      <w:r>
        <w:continuationSeparator/>
      </w:r>
    </w:p>
  </w:footnote>
  <w:footnote w:id="1">
    <w:p w14:paraId="29A007DB" w14:textId="77777777" w:rsidR="00C742EB" w:rsidRPr="00BC4D4D" w:rsidRDefault="00C742EB" w:rsidP="0025060B">
      <w:pPr>
        <w:spacing w:after="0" w:line="240" w:lineRule="auto"/>
        <w:jc w:val="both"/>
        <w:rPr>
          <w:rFonts w:ascii="Times New Roman" w:hAnsi="Times New Roman" w:cs="Times New Roman"/>
          <w:sz w:val="18"/>
          <w:szCs w:val="18"/>
          <w:lang w:val="fr-FR"/>
        </w:rPr>
      </w:pPr>
      <w:r w:rsidRPr="0002340B">
        <w:rPr>
          <w:rStyle w:val="Appelnotedebasdep"/>
          <w:rFonts w:ascii="Times New Roman" w:hAnsi="Times New Roman" w:cs="Times New Roman"/>
          <w:sz w:val="20"/>
          <w:szCs w:val="18"/>
        </w:rPr>
        <w:footnoteRef/>
      </w:r>
      <w:r w:rsidRPr="0002340B">
        <w:rPr>
          <w:rFonts w:ascii="Times New Roman" w:hAnsi="Times New Roman" w:cs="Times New Roman"/>
          <w:sz w:val="20"/>
          <w:szCs w:val="18"/>
          <w:lang w:val="fr-FR"/>
        </w:rPr>
        <w:t xml:space="preserve"> </w:t>
      </w:r>
      <w:r w:rsidRPr="00BC4D4D">
        <w:rPr>
          <w:rFonts w:ascii="Times New Roman" w:hAnsi="Times New Roman" w:cs="Times New Roman"/>
          <w:sz w:val="20"/>
          <w:szCs w:val="18"/>
          <w:lang w:val="fr-FR"/>
        </w:rPr>
        <w:t>La Stratégie mondiale pour la santé de la femme, de l’enfant et de l’adolescent 2016-2030 est une feuille de route rédigée sous l’égide des organisations du système des Nations-Unies pour favoriser l’avènement d’un monde dans lequel chaque mère puisse jouir d’une grossesse en bonne santé et désirée, ainsi que d’un accouchement dans de bonnes conditions, dans lequel chaque enfant puisse survivre au-delà de son cinquième anniversaire, et dans lequel chaque femme, chaque enfant et chaque adolescent puisse s’épanouir et réaliser tout son potentiel, apportant ainsi d’énormes dividendes sur le plan social, démographique et économique. La Stratégie Mondiale fournit un plan d’action pour la réalisation de ces objectifs ambitieux et, contribue à la mise en œuvre des Objectifs de Développement Durable (ODD).</w:t>
      </w:r>
    </w:p>
  </w:footnote>
  <w:footnote w:id="2">
    <w:p w14:paraId="7B5A357F" w14:textId="77777777" w:rsidR="00C742EB" w:rsidRPr="00BE7626" w:rsidRDefault="00C742EB" w:rsidP="0025060B">
      <w:pPr>
        <w:pStyle w:val="Notedebasdepage"/>
        <w:jc w:val="both"/>
        <w:rPr>
          <w:sz w:val="18"/>
          <w:szCs w:val="18"/>
          <w:lang w:val="fr-CI"/>
        </w:rPr>
      </w:pPr>
      <w:r w:rsidRPr="0002340B">
        <w:rPr>
          <w:rStyle w:val="Appelnotedebasdep"/>
          <w:sz w:val="20"/>
          <w:szCs w:val="18"/>
        </w:rPr>
        <w:footnoteRef/>
      </w:r>
      <w:r w:rsidRPr="002B5BD3">
        <w:rPr>
          <w:sz w:val="20"/>
          <w:szCs w:val="18"/>
          <w:lang w:val="fr-CI"/>
        </w:rPr>
        <w:t xml:space="preserve"> </w:t>
      </w:r>
      <w:r w:rsidRPr="002B5BD3">
        <w:rPr>
          <w:rFonts w:ascii="Times New Roman" w:hAnsi="Times New Roman" w:cs="Times New Roman"/>
          <w:sz w:val="20"/>
          <w:szCs w:val="18"/>
          <w:lang w:val="fr-CI"/>
        </w:rPr>
        <w:t>Une équipe multidisciplinaire comprenant la Primature, le Ministère de la Santé et de l’Hygiène Publique, le Ministère de l’Economie et des Finances, le Ministère de l’Emploi et de la Protection Sociale, le Ministère chargé du Budget et du Portefeuille de l'Etat, les partenaires techniques et financiers, la société civile, et le secteur privé.</w:t>
      </w:r>
    </w:p>
  </w:footnote>
  <w:footnote w:id="3">
    <w:p w14:paraId="047E511A" w14:textId="77777777" w:rsidR="00C742EB" w:rsidRPr="008839B5" w:rsidRDefault="00C742EB" w:rsidP="0002340B">
      <w:pPr>
        <w:pStyle w:val="Notedebasdepage"/>
        <w:jc w:val="both"/>
        <w:rPr>
          <w:rFonts w:ascii="Times New Roman" w:hAnsi="Times New Roman" w:cs="Times New Roman"/>
          <w:sz w:val="20"/>
          <w:szCs w:val="20"/>
          <w:lang w:val="fr-FR"/>
        </w:rPr>
      </w:pPr>
      <w:r w:rsidRPr="008839B5">
        <w:rPr>
          <w:rStyle w:val="Appelnotedebasdep"/>
          <w:rFonts w:ascii="Times New Roman" w:hAnsi="Times New Roman" w:cs="Times New Roman"/>
          <w:szCs w:val="20"/>
        </w:rPr>
        <w:footnoteRef/>
      </w:r>
      <w:r w:rsidRPr="008839B5">
        <w:rPr>
          <w:rFonts w:ascii="Times New Roman" w:hAnsi="Times New Roman" w:cs="Times New Roman"/>
          <w:szCs w:val="20"/>
          <w:lang w:val="fr-FR"/>
        </w:rPr>
        <w:t xml:space="preserve"> </w:t>
      </w:r>
      <w:r w:rsidRPr="008839B5">
        <w:rPr>
          <w:rFonts w:ascii="Times New Roman" w:hAnsi="Times New Roman" w:cs="Times New Roman"/>
          <w:sz w:val="20"/>
          <w:szCs w:val="20"/>
          <w:lang w:val="fr-FR"/>
        </w:rPr>
        <w:t>Base de données sur la population, INS/Département de la démographie et des statistiques sociales, 2014</w:t>
      </w:r>
    </w:p>
  </w:footnote>
  <w:footnote w:id="4">
    <w:p w14:paraId="7CFA0E62" w14:textId="0E63FE2A" w:rsidR="00C742EB" w:rsidRPr="008839B5" w:rsidRDefault="00C742EB" w:rsidP="0002340B">
      <w:pPr>
        <w:pStyle w:val="Notedebasdepage"/>
        <w:jc w:val="both"/>
        <w:rPr>
          <w:rFonts w:ascii="Times New Roman" w:hAnsi="Times New Roman" w:cs="Times New Roman"/>
          <w:sz w:val="20"/>
          <w:szCs w:val="20"/>
          <w:lang w:val="fr-FR"/>
        </w:rPr>
      </w:pPr>
      <w:r w:rsidRPr="008839B5">
        <w:rPr>
          <w:rFonts w:ascii="Times New Roman" w:hAnsi="Times New Roman" w:cs="Times New Roman"/>
          <w:sz w:val="20"/>
          <w:szCs w:val="20"/>
        </w:rPr>
        <w:footnoteRef/>
      </w:r>
      <w:r w:rsidRPr="008839B5">
        <w:rPr>
          <w:rFonts w:ascii="Times New Roman" w:hAnsi="Times New Roman" w:cs="Times New Roman"/>
          <w:sz w:val="20"/>
          <w:szCs w:val="20"/>
          <w:lang w:val="fr-FR"/>
        </w:rPr>
        <w:t xml:space="preserve"> Ordonnance n° 2011-262 du 28 septembre 2011 portant orientation de l'organisation générale de l'administration territoriale de l'Etat</w:t>
      </w:r>
    </w:p>
  </w:footnote>
  <w:footnote w:id="5">
    <w:p w14:paraId="2006D1CB" w14:textId="77777777" w:rsidR="00C742EB" w:rsidRPr="008839B5" w:rsidRDefault="00C742EB" w:rsidP="0002340B">
      <w:pPr>
        <w:pStyle w:val="Notedebasdepage"/>
        <w:jc w:val="both"/>
        <w:rPr>
          <w:rFonts w:ascii="Times New Roman" w:hAnsi="Times New Roman" w:cs="Times New Roman"/>
          <w:sz w:val="20"/>
          <w:szCs w:val="20"/>
          <w:lang w:val="fr-FR"/>
        </w:rPr>
      </w:pPr>
      <w:r w:rsidRPr="008839B5">
        <w:rPr>
          <w:rFonts w:ascii="Times New Roman" w:hAnsi="Times New Roman" w:cs="Times New Roman"/>
          <w:sz w:val="20"/>
          <w:szCs w:val="20"/>
        </w:rPr>
        <w:footnoteRef/>
      </w:r>
      <w:r w:rsidRPr="008839B5">
        <w:rPr>
          <w:rFonts w:ascii="Times New Roman" w:hAnsi="Times New Roman" w:cs="Times New Roman"/>
          <w:sz w:val="20"/>
          <w:szCs w:val="20"/>
          <w:lang w:val="fr-FR"/>
        </w:rPr>
        <w:t xml:space="preserve"> Loi n° 2014-453 du 05 août 2014 portant statut du District Autonome d'Abidjan</w:t>
      </w:r>
    </w:p>
    <w:p w14:paraId="40AB2CE4" w14:textId="77777777" w:rsidR="00C742EB" w:rsidRPr="008839B5" w:rsidRDefault="00C742EB" w:rsidP="0002340B">
      <w:pPr>
        <w:pStyle w:val="Notedebasdepage"/>
        <w:jc w:val="both"/>
        <w:rPr>
          <w:rFonts w:ascii="Times New Roman" w:hAnsi="Times New Roman" w:cs="Times New Roman"/>
          <w:sz w:val="20"/>
          <w:szCs w:val="20"/>
          <w:lang w:val="fr-FR"/>
        </w:rPr>
      </w:pPr>
      <w:r w:rsidRPr="008839B5">
        <w:rPr>
          <w:rFonts w:ascii="Times New Roman" w:hAnsi="Times New Roman" w:cs="Times New Roman"/>
          <w:sz w:val="20"/>
          <w:szCs w:val="20"/>
          <w:lang w:val="fr-FR"/>
        </w:rPr>
        <w:t>Loi n° 2014-454 du 05 août 2014 portant statut du District Autonome de Yamoussoukro</w:t>
      </w:r>
    </w:p>
  </w:footnote>
  <w:footnote w:id="6">
    <w:p w14:paraId="01E5FFFF" w14:textId="77777777" w:rsidR="00C742EB" w:rsidRPr="008839B5" w:rsidRDefault="00C742EB" w:rsidP="0002340B">
      <w:pPr>
        <w:pStyle w:val="Notedebasdepage"/>
        <w:jc w:val="both"/>
        <w:rPr>
          <w:rFonts w:ascii="Times New Roman" w:hAnsi="Times New Roman" w:cs="Times New Roman"/>
          <w:sz w:val="20"/>
          <w:szCs w:val="20"/>
          <w:lang w:val="fr-FR"/>
        </w:rPr>
      </w:pPr>
      <w:r w:rsidRPr="008839B5">
        <w:rPr>
          <w:rFonts w:ascii="Times New Roman" w:hAnsi="Times New Roman" w:cs="Times New Roman"/>
          <w:sz w:val="20"/>
          <w:szCs w:val="20"/>
        </w:rPr>
        <w:footnoteRef/>
      </w:r>
      <w:r w:rsidRPr="008839B5">
        <w:rPr>
          <w:rFonts w:ascii="Times New Roman" w:hAnsi="Times New Roman" w:cs="Times New Roman"/>
          <w:sz w:val="20"/>
          <w:szCs w:val="20"/>
          <w:lang w:val="fr-FR"/>
        </w:rPr>
        <w:t xml:space="preserve"> Décret N° 2011-263 du 28 septembre 2011 portant organisation du territoire nationale en district et en région</w:t>
      </w:r>
    </w:p>
    <w:p w14:paraId="6F9A92F4" w14:textId="77777777" w:rsidR="00C742EB" w:rsidRPr="00097063" w:rsidRDefault="00C742EB" w:rsidP="004E0F0E">
      <w:pPr>
        <w:pStyle w:val="Notedebasdepage"/>
        <w:rPr>
          <w:sz w:val="22"/>
          <w:lang w:val="fr-FR"/>
        </w:rPr>
      </w:pPr>
    </w:p>
  </w:footnote>
  <w:footnote w:id="7">
    <w:p w14:paraId="18049920" w14:textId="77777777" w:rsidR="00C742EB" w:rsidRPr="0002340B" w:rsidRDefault="00C742EB" w:rsidP="0002340B">
      <w:pPr>
        <w:pStyle w:val="Notedebasdepage"/>
        <w:jc w:val="both"/>
        <w:rPr>
          <w:rFonts w:ascii="Times New Roman" w:hAnsi="Times New Roman" w:cs="Times New Roman"/>
          <w:sz w:val="20"/>
          <w:szCs w:val="18"/>
          <w:lang w:val="fr-FR"/>
        </w:rPr>
      </w:pPr>
      <w:r w:rsidRPr="0002340B">
        <w:rPr>
          <w:rStyle w:val="Appelnotedebasdep"/>
          <w:rFonts w:ascii="Times New Roman" w:eastAsia="MS Mincho" w:hAnsi="Times New Roman" w:cs="Times New Roman"/>
          <w:sz w:val="20"/>
          <w:szCs w:val="18"/>
        </w:rPr>
        <w:footnoteRef/>
      </w:r>
      <w:r w:rsidRPr="0002340B">
        <w:rPr>
          <w:rFonts w:ascii="Times New Roman" w:hAnsi="Times New Roman" w:cs="Times New Roman"/>
          <w:sz w:val="20"/>
          <w:szCs w:val="18"/>
          <w:lang w:val="fr-FR"/>
        </w:rPr>
        <w:t xml:space="preserve"> DIIS_ASS_2017_ 28072018_VF</w:t>
      </w:r>
    </w:p>
  </w:footnote>
  <w:footnote w:id="8">
    <w:p w14:paraId="03731C32" w14:textId="4F4336A6" w:rsidR="00C742EB" w:rsidRPr="0002340B" w:rsidRDefault="00C742EB" w:rsidP="0002340B">
      <w:pPr>
        <w:pStyle w:val="Notedebasdepage"/>
        <w:jc w:val="both"/>
        <w:rPr>
          <w:rFonts w:ascii="Times New Roman" w:hAnsi="Times New Roman" w:cs="Times New Roman"/>
          <w:sz w:val="20"/>
          <w:szCs w:val="18"/>
          <w:lang w:val="fr-FR"/>
        </w:rPr>
      </w:pPr>
      <w:r w:rsidRPr="0002340B">
        <w:rPr>
          <w:rStyle w:val="Appelnotedebasdep"/>
          <w:rFonts w:ascii="Times New Roman" w:eastAsia="MS Mincho" w:hAnsi="Times New Roman" w:cs="Times New Roman"/>
          <w:sz w:val="20"/>
          <w:szCs w:val="18"/>
        </w:rPr>
        <w:footnoteRef/>
      </w:r>
      <w:r w:rsidRPr="0002340B">
        <w:rPr>
          <w:rFonts w:ascii="Times New Roman" w:hAnsi="Times New Roman" w:cs="Times New Roman"/>
          <w:sz w:val="20"/>
          <w:szCs w:val="18"/>
          <w:lang w:val="fr-FR"/>
        </w:rPr>
        <w:t xml:space="preserve"> Étude de la Charge de Travail et Détermination des Normes en Perso</w:t>
      </w:r>
      <w:r>
        <w:rPr>
          <w:rFonts w:ascii="Times New Roman" w:hAnsi="Times New Roman" w:cs="Times New Roman"/>
          <w:sz w:val="20"/>
          <w:szCs w:val="18"/>
          <w:lang w:val="fr-FR"/>
        </w:rPr>
        <w:t>nnel de santé en Côte d’Ivoire,</w:t>
      </w:r>
      <w:r w:rsidRPr="0002340B">
        <w:rPr>
          <w:rFonts w:ascii="Times New Roman" w:hAnsi="Times New Roman" w:cs="Times New Roman"/>
          <w:sz w:val="20"/>
          <w:szCs w:val="18"/>
          <w:lang w:val="fr-FR"/>
        </w:rPr>
        <w:t xml:space="preserve"> MSHP, Nov. 2017</w:t>
      </w:r>
    </w:p>
  </w:footnote>
  <w:footnote w:id="9">
    <w:p w14:paraId="02EE746F" w14:textId="77777777" w:rsidR="00C742EB" w:rsidRPr="0002340B" w:rsidRDefault="00C742EB" w:rsidP="0002340B">
      <w:pPr>
        <w:pStyle w:val="Notedebasdepage"/>
        <w:jc w:val="both"/>
        <w:rPr>
          <w:rFonts w:ascii="Times New Roman" w:hAnsi="Times New Roman" w:cs="Times New Roman"/>
          <w:sz w:val="20"/>
          <w:szCs w:val="18"/>
          <w:lang w:val="fr-FR"/>
        </w:rPr>
      </w:pPr>
      <w:r w:rsidRPr="0002340B">
        <w:rPr>
          <w:rStyle w:val="Appelnotedebasdep"/>
          <w:rFonts w:ascii="Times New Roman" w:hAnsi="Times New Roman" w:cs="Times New Roman"/>
          <w:sz w:val="20"/>
          <w:szCs w:val="18"/>
        </w:rPr>
        <w:footnoteRef/>
      </w:r>
      <w:r w:rsidRPr="0002340B">
        <w:rPr>
          <w:rFonts w:ascii="Times New Roman" w:hAnsi="Times New Roman" w:cs="Times New Roman"/>
          <w:sz w:val="20"/>
          <w:szCs w:val="18"/>
          <w:lang w:val="fr-FR"/>
        </w:rPr>
        <w:t xml:space="preserve"> Rapport des Statistiques Sanitaires 2015, page 3.</w:t>
      </w:r>
    </w:p>
  </w:footnote>
  <w:footnote w:id="10">
    <w:p w14:paraId="10F56C64" w14:textId="77777777" w:rsidR="00C742EB" w:rsidRPr="009663FA" w:rsidRDefault="00C742EB" w:rsidP="0002340B">
      <w:pPr>
        <w:pStyle w:val="Notedebasdepage"/>
        <w:jc w:val="both"/>
      </w:pPr>
      <w:r w:rsidRPr="0002340B">
        <w:rPr>
          <w:rStyle w:val="Appelnotedebasdep"/>
          <w:rFonts w:ascii="Times New Roman" w:hAnsi="Times New Roman" w:cs="Times New Roman"/>
          <w:sz w:val="20"/>
          <w:szCs w:val="18"/>
        </w:rPr>
        <w:footnoteRef/>
      </w:r>
      <w:r w:rsidRPr="0002340B">
        <w:rPr>
          <w:rFonts w:ascii="Times New Roman" w:hAnsi="Times New Roman" w:cs="Times New Roman"/>
          <w:sz w:val="20"/>
          <w:szCs w:val="18"/>
        </w:rPr>
        <w:t xml:space="preserve"> Carte Sanitaire 2015.</w:t>
      </w:r>
    </w:p>
  </w:footnote>
  <w:footnote w:id="11">
    <w:p w14:paraId="324BF64C" w14:textId="77777777" w:rsidR="00C742EB" w:rsidRPr="00C02E2C" w:rsidRDefault="00C742EB" w:rsidP="00E628FE">
      <w:pPr>
        <w:pStyle w:val="Notedebasdepage"/>
        <w:rPr>
          <w:rFonts w:ascii="Times New Roman" w:hAnsi="Times New Roman"/>
          <w:sz w:val="20"/>
          <w:szCs w:val="18"/>
          <w:lang w:val="en-US"/>
        </w:rPr>
      </w:pPr>
      <w:r w:rsidRPr="00C02E2C">
        <w:rPr>
          <w:rStyle w:val="Appelnotedebasdep"/>
          <w:rFonts w:ascii="Times New Roman" w:hAnsi="Times New Roman"/>
          <w:sz w:val="20"/>
          <w:szCs w:val="18"/>
        </w:rPr>
        <w:footnoteRef/>
      </w:r>
      <w:r w:rsidRPr="00C02E2C">
        <w:rPr>
          <w:rFonts w:ascii="Times New Roman" w:hAnsi="Times New Roman"/>
          <w:sz w:val="20"/>
          <w:szCs w:val="18"/>
          <w:lang w:val="en-US"/>
        </w:rPr>
        <w:t xml:space="preserve"> Worldbank Database Indicators (WDI)</w:t>
      </w:r>
    </w:p>
  </w:footnote>
  <w:footnote w:id="12">
    <w:p w14:paraId="27349468" w14:textId="77777777" w:rsidR="00C742EB" w:rsidRPr="00C02E2C" w:rsidRDefault="00C742EB" w:rsidP="00E628FE">
      <w:pPr>
        <w:pStyle w:val="Notedebasdepage"/>
        <w:rPr>
          <w:rFonts w:ascii="Times New Roman" w:hAnsi="Times New Roman"/>
          <w:sz w:val="20"/>
          <w:szCs w:val="18"/>
          <w:lang w:val="en-US"/>
        </w:rPr>
      </w:pPr>
      <w:r w:rsidRPr="00C02E2C">
        <w:rPr>
          <w:rStyle w:val="Appelnotedebasdep"/>
          <w:rFonts w:ascii="Times New Roman" w:hAnsi="Times New Roman"/>
          <w:sz w:val="20"/>
          <w:szCs w:val="18"/>
        </w:rPr>
        <w:footnoteRef/>
      </w:r>
      <w:r w:rsidRPr="00C02E2C">
        <w:rPr>
          <w:rFonts w:ascii="Times New Roman" w:hAnsi="Times New Roman"/>
          <w:sz w:val="20"/>
          <w:szCs w:val="18"/>
          <w:lang w:val="en-US"/>
        </w:rPr>
        <w:t xml:space="preserve"> WDI</w:t>
      </w:r>
    </w:p>
  </w:footnote>
  <w:footnote w:id="13">
    <w:p w14:paraId="272E289C" w14:textId="77777777" w:rsidR="00C742EB" w:rsidRPr="00097036" w:rsidRDefault="00C742EB" w:rsidP="00E628FE">
      <w:pPr>
        <w:pStyle w:val="Notedebasdepage"/>
        <w:rPr>
          <w:rFonts w:ascii="Times New Roman" w:hAnsi="Times New Roman"/>
          <w:sz w:val="18"/>
          <w:szCs w:val="18"/>
          <w:lang w:val="en-US"/>
        </w:rPr>
      </w:pPr>
      <w:r w:rsidRPr="00C02E2C">
        <w:rPr>
          <w:rStyle w:val="Appelnotedebasdep"/>
          <w:rFonts w:ascii="Times New Roman" w:hAnsi="Times New Roman"/>
          <w:sz w:val="20"/>
          <w:szCs w:val="18"/>
        </w:rPr>
        <w:footnoteRef/>
      </w:r>
      <w:r w:rsidRPr="00C02E2C">
        <w:rPr>
          <w:rFonts w:ascii="Times New Roman" w:hAnsi="Times New Roman"/>
          <w:sz w:val="20"/>
          <w:szCs w:val="18"/>
          <w:lang w:val="en-US"/>
        </w:rPr>
        <w:t xml:space="preserve"> Public Financing for Health in Africa: from Abuja to the SDGs, WHO 2016</w:t>
      </w:r>
    </w:p>
  </w:footnote>
  <w:footnote w:id="14">
    <w:p w14:paraId="2B4AD67E" w14:textId="3620ABC1" w:rsidR="00C742EB" w:rsidRPr="00C02E2C" w:rsidRDefault="00C742EB">
      <w:pPr>
        <w:pStyle w:val="Notedebasdepage"/>
        <w:rPr>
          <w:rFonts w:ascii="Times New Roman" w:hAnsi="Times New Roman" w:cs="Times New Roman"/>
          <w:sz w:val="20"/>
          <w:szCs w:val="18"/>
          <w:lang w:val="fr-FR"/>
        </w:rPr>
      </w:pPr>
      <w:r w:rsidRPr="00C02E2C">
        <w:rPr>
          <w:rStyle w:val="Appelnotedebasdep"/>
          <w:rFonts w:ascii="Times New Roman" w:hAnsi="Times New Roman" w:cs="Times New Roman"/>
          <w:sz w:val="20"/>
          <w:szCs w:val="18"/>
        </w:rPr>
        <w:footnoteRef/>
      </w:r>
      <w:r w:rsidRPr="00C02E2C">
        <w:rPr>
          <w:rFonts w:ascii="Times New Roman" w:hAnsi="Times New Roman" w:cs="Times New Roman"/>
          <w:sz w:val="20"/>
          <w:szCs w:val="18"/>
          <w:lang w:val="fr-FR"/>
        </w:rPr>
        <w:t xml:space="preserve"> Ministère de la Santé et de l’Hygiène Publique</w:t>
      </w:r>
    </w:p>
  </w:footnote>
  <w:footnote w:id="15">
    <w:p w14:paraId="2598E434" w14:textId="1F2D0528" w:rsidR="00C742EB" w:rsidRPr="00C372A4" w:rsidRDefault="00C742EB">
      <w:pPr>
        <w:pStyle w:val="Notedebasdepage"/>
        <w:rPr>
          <w:lang w:val="fr-FR"/>
        </w:rPr>
      </w:pPr>
      <w:r>
        <w:rPr>
          <w:rStyle w:val="Appelnotedebasdep"/>
        </w:rPr>
        <w:footnoteRef/>
      </w:r>
      <w:r w:rsidRPr="00A85D83">
        <w:rPr>
          <w:lang w:val="fr-CA"/>
        </w:rPr>
        <w:t xml:space="preserve"> </w:t>
      </w:r>
      <w:r w:rsidRPr="00C02E2C">
        <w:rPr>
          <w:rFonts w:ascii="Times New Roman" w:hAnsi="Times New Roman" w:cs="Times New Roman"/>
          <w:sz w:val="20"/>
          <w:szCs w:val="18"/>
          <w:lang w:val="fr-FR"/>
        </w:rPr>
        <w:t>Diagnostic de situation du secteur privé de la santé; Direction des Etablissements et des Professions sanitaires (DEPS) - Expertise France, Deuxième Draft août 2017</w:t>
      </w:r>
    </w:p>
  </w:footnote>
  <w:footnote w:id="16">
    <w:p w14:paraId="7BD90BED" w14:textId="3DB33C95" w:rsidR="00C742EB" w:rsidRPr="002B29B2" w:rsidRDefault="00C742EB">
      <w:pPr>
        <w:pStyle w:val="Notedebasdepage"/>
        <w:rPr>
          <w:lang w:val="fr-FR"/>
        </w:rPr>
      </w:pPr>
      <w:r>
        <w:rPr>
          <w:rStyle w:val="Appelnotedebasdep"/>
        </w:rPr>
        <w:footnoteRef/>
      </w:r>
      <w:r w:rsidRPr="00A85D83">
        <w:rPr>
          <w:lang w:val="fr-CA"/>
        </w:rPr>
        <w:t xml:space="preserve"> </w:t>
      </w:r>
      <w:r w:rsidRPr="00C02E2C">
        <w:rPr>
          <w:rFonts w:ascii="Times New Roman" w:hAnsi="Times New Roman" w:cs="Times New Roman"/>
          <w:sz w:val="20"/>
          <w:szCs w:val="18"/>
          <w:lang w:val="fr-FR"/>
        </w:rPr>
        <w:t>PNDS 2016-2020</w:t>
      </w:r>
    </w:p>
  </w:footnote>
  <w:footnote w:id="17">
    <w:p w14:paraId="25862025" w14:textId="2E01078A" w:rsidR="00C742EB" w:rsidRPr="00FE5A16" w:rsidRDefault="00C742EB">
      <w:pPr>
        <w:pStyle w:val="Notedebasdepage"/>
        <w:rPr>
          <w:lang w:val="fr-FR"/>
        </w:rPr>
      </w:pPr>
      <w:r w:rsidRPr="00C02E2C">
        <w:rPr>
          <w:rStyle w:val="Appelnotedebasdep"/>
          <w:rFonts w:ascii="Times New Roman" w:hAnsi="Times New Roman" w:cs="Times New Roman"/>
          <w:sz w:val="20"/>
          <w:szCs w:val="18"/>
        </w:rPr>
        <w:footnoteRef/>
      </w:r>
      <w:r w:rsidRPr="00C02E2C">
        <w:rPr>
          <w:rFonts w:ascii="Times New Roman" w:hAnsi="Times New Roman" w:cs="Times New Roman"/>
          <w:sz w:val="20"/>
          <w:szCs w:val="18"/>
          <w:lang w:val="fr-FR"/>
        </w:rPr>
        <w:t xml:space="preserve"> </w:t>
      </w:r>
      <w:r w:rsidRPr="00C02E2C">
        <w:rPr>
          <w:rFonts w:ascii="Times New Roman" w:hAnsi="Times New Roman" w:cs="Times New Roman"/>
          <w:bCs/>
          <w:sz w:val="20"/>
          <w:szCs w:val="18"/>
          <w:lang w:val="fr-FR"/>
        </w:rPr>
        <w:t>Source Banque Mondiale</w:t>
      </w:r>
    </w:p>
  </w:footnote>
  <w:footnote w:id="18">
    <w:p w14:paraId="4A7C1E9B" w14:textId="6BC33C51" w:rsidR="00C742EB" w:rsidRPr="00C02E2C" w:rsidRDefault="00C742EB" w:rsidP="008C2884">
      <w:pPr>
        <w:pStyle w:val="Notedebasdepage"/>
        <w:rPr>
          <w:rFonts w:ascii="Times New Roman" w:hAnsi="Times New Roman" w:cs="Times New Roman"/>
          <w:sz w:val="20"/>
          <w:szCs w:val="18"/>
          <w:lang w:val="fr-FR"/>
        </w:rPr>
      </w:pPr>
      <w:r w:rsidRPr="00C02E2C">
        <w:rPr>
          <w:rStyle w:val="Appelnotedebasdep"/>
          <w:rFonts w:ascii="Times New Roman" w:hAnsi="Times New Roman" w:cs="Times New Roman"/>
          <w:sz w:val="20"/>
          <w:szCs w:val="18"/>
        </w:rPr>
        <w:footnoteRef/>
      </w:r>
      <w:r w:rsidRPr="00C02E2C">
        <w:rPr>
          <w:rFonts w:ascii="Times New Roman" w:hAnsi="Times New Roman" w:cs="Times New Roman"/>
          <w:sz w:val="20"/>
          <w:szCs w:val="18"/>
          <w:lang w:val="fr-FR"/>
        </w:rPr>
        <w:t xml:space="preserve"> Rapport national sur la surveillance des décès maternels et riposte en </w:t>
      </w:r>
      <w:r w:rsidRPr="00C02E2C">
        <w:rPr>
          <w:rFonts w:ascii="Times New Roman" w:hAnsi="Times New Roman" w:cs="Times New Roman"/>
          <w:bCs/>
          <w:sz w:val="20"/>
          <w:szCs w:val="18"/>
          <w:lang w:val="fr-CI"/>
        </w:rPr>
        <w:t>Côte d’Ivoire 2017</w:t>
      </w:r>
    </w:p>
  </w:footnote>
  <w:footnote w:id="19">
    <w:p w14:paraId="6D67E4BC" w14:textId="29EB7ABB" w:rsidR="00C742EB" w:rsidRPr="00C02E2C" w:rsidRDefault="00C742EB" w:rsidP="008C2884">
      <w:pPr>
        <w:pStyle w:val="Notedebasdepage"/>
        <w:rPr>
          <w:rFonts w:ascii="Times New Roman" w:hAnsi="Times New Roman" w:cs="Times New Roman"/>
          <w:sz w:val="20"/>
          <w:szCs w:val="18"/>
          <w:lang w:val="fr-FR"/>
        </w:rPr>
      </w:pPr>
      <w:r w:rsidRPr="00C02E2C">
        <w:rPr>
          <w:rStyle w:val="Appelnotedebasdep"/>
          <w:rFonts w:ascii="Times New Roman" w:hAnsi="Times New Roman" w:cs="Times New Roman"/>
          <w:sz w:val="20"/>
          <w:szCs w:val="18"/>
        </w:rPr>
        <w:footnoteRef/>
      </w:r>
      <w:r w:rsidRPr="00C02E2C">
        <w:rPr>
          <w:rFonts w:ascii="Times New Roman" w:hAnsi="Times New Roman" w:cs="Times New Roman"/>
          <w:sz w:val="20"/>
          <w:szCs w:val="18"/>
          <w:lang w:val="fr-FR"/>
        </w:rPr>
        <w:t xml:space="preserve"> Plan stratégique national pour la santé de la mère, du nouveau-né et de l’enfant 2016-2020</w:t>
      </w:r>
    </w:p>
  </w:footnote>
  <w:footnote w:id="20">
    <w:p w14:paraId="0365DB9B" w14:textId="17D16DC4" w:rsidR="00C742EB" w:rsidRPr="00710788" w:rsidRDefault="00C742EB" w:rsidP="008C2884">
      <w:pPr>
        <w:pStyle w:val="Notedebasdepage"/>
        <w:rPr>
          <w:lang w:val="fr-FR"/>
        </w:rPr>
      </w:pPr>
      <w:r w:rsidRPr="00C02E2C">
        <w:rPr>
          <w:rStyle w:val="Appelnotedebasdep"/>
          <w:rFonts w:ascii="Times New Roman" w:hAnsi="Times New Roman" w:cs="Times New Roman"/>
          <w:sz w:val="20"/>
          <w:szCs w:val="18"/>
        </w:rPr>
        <w:footnoteRef/>
      </w:r>
      <w:r w:rsidRPr="00C02E2C">
        <w:rPr>
          <w:rFonts w:ascii="Times New Roman" w:hAnsi="Times New Roman" w:cs="Times New Roman"/>
          <w:sz w:val="20"/>
          <w:szCs w:val="18"/>
          <w:lang w:val="fr-FR"/>
        </w:rPr>
        <w:t xml:space="preserve"> Rapport national sur la surveillance des décès maternels et riposte en </w:t>
      </w:r>
      <w:r w:rsidRPr="00C02E2C">
        <w:rPr>
          <w:rFonts w:ascii="Times New Roman" w:hAnsi="Times New Roman" w:cs="Times New Roman"/>
          <w:bCs/>
          <w:sz w:val="20"/>
          <w:szCs w:val="18"/>
          <w:lang w:val="fr-CI"/>
        </w:rPr>
        <w:t>Côte d’Ivoire 2017</w:t>
      </w:r>
    </w:p>
  </w:footnote>
  <w:footnote w:id="21">
    <w:p w14:paraId="068E430C" w14:textId="77777777" w:rsidR="00C742EB" w:rsidRPr="00C02E2C" w:rsidRDefault="00C742EB" w:rsidP="008E2A85">
      <w:pPr>
        <w:pStyle w:val="Notedebasdepage"/>
        <w:rPr>
          <w:rFonts w:ascii="Times New Roman" w:hAnsi="Times New Roman" w:cs="Times New Roman"/>
          <w:sz w:val="20"/>
          <w:szCs w:val="18"/>
          <w:lang w:val="en-US"/>
        </w:rPr>
      </w:pPr>
      <w:r w:rsidRPr="00C02E2C">
        <w:rPr>
          <w:rStyle w:val="Appelnotedebasdep"/>
          <w:rFonts w:ascii="Times New Roman" w:hAnsi="Times New Roman" w:cs="Times New Roman"/>
          <w:sz w:val="20"/>
          <w:szCs w:val="18"/>
        </w:rPr>
        <w:footnoteRef/>
      </w:r>
      <w:r w:rsidRPr="00C02E2C">
        <w:rPr>
          <w:rFonts w:ascii="Times New Roman" w:hAnsi="Times New Roman" w:cs="Times New Roman"/>
          <w:sz w:val="20"/>
          <w:szCs w:val="18"/>
          <w:lang w:val="en-US"/>
        </w:rPr>
        <w:t xml:space="preserve"> </w:t>
      </w:r>
      <w:r w:rsidRPr="00C02E2C">
        <w:rPr>
          <w:rFonts w:ascii="Times New Roman" w:eastAsiaTheme="majorEastAsia" w:hAnsi="Times New Roman" w:cs="Times New Roman"/>
          <w:sz w:val="20"/>
          <w:szCs w:val="18"/>
          <w:lang w:val="en-US"/>
        </w:rPr>
        <w:t>RASS 2016</w:t>
      </w:r>
    </w:p>
  </w:footnote>
  <w:footnote w:id="22">
    <w:p w14:paraId="72AB7EB6" w14:textId="03E28697" w:rsidR="00C742EB" w:rsidRPr="002B5BD3" w:rsidRDefault="00C742EB">
      <w:pPr>
        <w:pStyle w:val="Notedebasdepage"/>
        <w:rPr>
          <w:rFonts w:ascii="Times New Roman" w:hAnsi="Times New Roman" w:cs="Times New Roman"/>
          <w:sz w:val="20"/>
          <w:szCs w:val="18"/>
        </w:rPr>
      </w:pPr>
      <w:r w:rsidRPr="00C02E2C">
        <w:rPr>
          <w:rStyle w:val="Appelnotedebasdep"/>
          <w:rFonts w:ascii="Times New Roman" w:hAnsi="Times New Roman" w:cs="Times New Roman"/>
          <w:sz w:val="20"/>
          <w:szCs w:val="18"/>
        </w:rPr>
        <w:footnoteRef/>
      </w:r>
      <w:r w:rsidRPr="00C02E2C">
        <w:rPr>
          <w:rFonts w:ascii="Times New Roman" w:hAnsi="Times New Roman" w:cs="Times New Roman"/>
          <w:sz w:val="20"/>
          <w:szCs w:val="18"/>
        </w:rPr>
        <w:t xml:space="preserve"> RASS 2016</w:t>
      </w:r>
    </w:p>
  </w:footnote>
  <w:footnote w:id="23">
    <w:p w14:paraId="70BF074F" w14:textId="6088D7B8" w:rsidR="00C742EB" w:rsidRPr="00CE3D17" w:rsidRDefault="00C742EB">
      <w:pPr>
        <w:pStyle w:val="Notedebasdepage"/>
        <w:rPr>
          <w:rFonts w:ascii="Times New Roman" w:hAnsi="Times New Roman" w:cs="Times New Roman"/>
          <w:sz w:val="18"/>
          <w:szCs w:val="18"/>
          <w:lang w:val="en-US"/>
        </w:rPr>
      </w:pPr>
      <w:r w:rsidRPr="00C02E2C">
        <w:rPr>
          <w:rStyle w:val="Appelnotedebasdep"/>
          <w:rFonts w:ascii="Times New Roman" w:hAnsi="Times New Roman" w:cs="Times New Roman"/>
          <w:sz w:val="20"/>
          <w:szCs w:val="18"/>
        </w:rPr>
        <w:footnoteRef/>
      </w:r>
      <w:r w:rsidRPr="00C02E2C">
        <w:rPr>
          <w:rFonts w:ascii="Times New Roman" w:hAnsi="Times New Roman" w:cs="Times New Roman"/>
          <w:sz w:val="20"/>
          <w:szCs w:val="18"/>
        </w:rPr>
        <w:t xml:space="preserve"> </w:t>
      </w:r>
      <w:r w:rsidRPr="00C02E2C">
        <w:rPr>
          <w:rFonts w:ascii="Times New Roman" w:hAnsi="Times New Roman" w:cs="Times New Roman"/>
          <w:sz w:val="20"/>
          <w:szCs w:val="18"/>
          <w:lang w:val="en-US"/>
        </w:rPr>
        <w:t>Plan ENAP CIV 2018-2020</w:t>
      </w:r>
    </w:p>
  </w:footnote>
  <w:footnote w:id="24">
    <w:p w14:paraId="16EB0FF4" w14:textId="3515DC66" w:rsidR="00C742EB" w:rsidRPr="002B5BD3" w:rsidRDefault="00C742EB">
      <w:pPr>
        <w:pStyle w:val="Notedebasdepage"/>
        <w:rPr>
          <w:rFonts w:ascii="Times New Roman" w:hAnsi="Times New Roman" w:cs="Times New Roman"/>
          <w:sz w:val="18"/>
          <w:szCs w:val="18"/>
          <w:lang w:val="fr-CI"/>
        </w:rPr>
      </w:pPr>
      <w:r w:rsidRPr="00C02E2C">
        <w:rPr>
          <w:rStyle w:val="Appelnotedebasdep"/>
          <w:rFonts w:ascii="Times New Roman" w:hAnsi="Times New Roman" w:cs="Times New Roman"/>
          <w:sz w:val="20"/>
          <w:szCs w:val="18"/>
        </w:rPr>
        <w:footnoteRef/>
      </w:r>
      <w:r w:rsidRPr="002B5BD3">
        <w:rPr>
          <w:rFonts w:ascii="Times New Roman" w:hAnsi="Times New Roman" w:cs="Times New Roman"/>
          <w:sz w:val="20"/>
          <w:szCs w:val="18"/>
          <w:lang w:val="fr-CI"/>
        </w:rPr>
        <w:t xml:space="preserve"> MICS 2016</w:t>
      </w:r>
    </w:p>
  </w:footnote>
  <w:footnote w:id="25">
    <w:p w14:paraId="605A8721" w14:textId="6460964F" w:rsidR="00C742EB" w:rsidRPr="00C02E2C" w:rsidRDefault="00C742EB">
      <w:pPr>
        <w:pStyle w:val="Notedebasdepage"/>
        <w:rPr>
          <w:rFonts w:ascii="Times New Roman" w:hAnsi="Times New Roman" w:cs="Times New Roman"/>
          <w:sz w:val="20"/>
          <w:szCs w:val="18"/>
          <w:lang w:val="fr-FR"/>
        </w:rPr>
      </w:pPr>
      <w:r w:rsidRPr="00C02E2C">
        <w:rPr>
          <w:rStyle w:val="Appelnotedebasdep"/>
          <w:rFonts w:ascii="Times New Roman" w:hAnsi="Times New Roman" w:cs="Times New Roman"/>
          <w:sz w:val="20"/>
          <w:szCs w:val="18"/>
        </w:rPr>
        <w:footnoteRef/>
      </w:r>
      <w:r w:rsidRPr="00C02E2C">
        <w:rPr>
          <w:rFonts w:ascii="Times New Roman" w:hAnsi="Times New Roman" w:cs="Times New Roman"/>
          <w:sz w:val="20"/>
          <w:szCs w:val="18"/>
          <w:lang w:val="fr-FR"/>
        </w:rPr>
        <w:t xml:space="preserve"> </w:t>
      </w:r>
      <w:r w:rsidRPr="00C02E2C">
        <w:rPr>
          <w:rFonts w:ascii="Times New Roman" w:hAnsi="Times New Roman" w:cs="Times New Roman"/>
          <w:bCs/>
          <w:sz w:val="20"/>
          <w:szCs w:val="18"/>
          <w:lang w:val="fr-FR"/>
        </w:rPr>
        <w:t>Enquête Nutrition Mortalité en CI, 2004.</w:t>
      </w:r>
    </w:p>
  </w:footnote>
  <w:footnote w:id="26">
    <w:p w14:paraId="228A17E2" w14:textId="2E67DCB5" w:rsidR="00C742EB" w:rsidRPr="00A621C9" w:rsidRDefault="00C742EB">
      <w:pPr>
        <w:pStyle w:val="Notedebasdepage"/>
        <w:rPr>
          <w:lang w:val="fr-FR"/>
        </w:rPr>
      </w:pPr>
      <w:r w:rsidRPr="00C02E2C">
        <w:rPr>
          <w:rStyle w:val="Appelnotedebasdep"/>
          <w:rFonts w:ascii="Times New Roman" w:hAnsi="Times New Roman" w:cs="Times New Roman"/>
          <w:sz w:val="20"/>
          <w:szCs w:val="18"/>
        </w:rPr>
        <w:footnoteRef/>
      </w:r>
      <w:r w:rsidRPr="00C02E2C">
        <w:rPr>
          <w:rFonts w:ascii="Times New Roman" w:hAnsi="Times New Roman" w:cs="Times New Roman"/>
          <w:sz w:val="20"/>
          <w:szCs w:val="18"/>
          <w:lang w:val="fr-FR"/>
        </w:rPr>
        <w:t xml:space="preserve"> </w:t>
      </w:r>
      <w:r w:rsidRPr="00C02E2C">
        <w:rPr>
          <w:rFonts w:ascii="Times New Roman" w:hAnsi="Times New Roman" w:cs="Times New Roman"/>
          <w:sz w:val="20"/>
          <w:szCs w:val="18"/>
          <w:lang w:val="fr-CI"/>
        </w:rPr>
        <w:t>EDS-MICS 2012</w:t>
      </w:r>
    </w:p>
  </w:footnote>
  <w:footnote w:id="27">
    <w:p w14:paraId="02F96CDA" w14:textId="445824B8" w:rsidR="00C742EB" w:rsidRPr="000703B8" w:rsidRDefault="00C742EB">
      <w:pPr>
        <w:pStyle w:val="Notedebasdepage"/>
        <w:rPr>
          <w:rFonts w:ascii="Times New Roman" w:hAnsi="Times New Roman" w:cs="Times New Roman"/>
          <w:sz w:val="18"/>
          <w:szCs w:val="18"/>
          <w:lang w:val="fr-FR"/>
        </w:rPr>
      </w:pPr>
      <w:r w:rsidRPr="005B4FCE">
        <w:rPr>
          <w:rStyle w:val="Appelnotedebasdep"/>
          <w:rFonts w:ascii="Times New Roman" w:hAnsi="Times New Roman" w:cs="Times New Roman"/>
          <w:sz w:val="20"/>
          <w:szCs w:val="18"/>
        </w:rPr>
        <w:footnoteRef/>
      </w:r>
      <w:r w:rsidRPr="002B5BD3">
        <w:rPr>
          <w:rFonts w:ascii="Times New Roman" w:hAnsi="Times New Roman" w:cs="Times New Roman"/>
          <w:sz w:val="20"/>
          <w:szCs w:val="18"/>
          <w:lang w:val="fr-CI"/>
        </w:rPr>
        <w:t xml:space="preserve"> </w:t>
      </w:r>
      <w:r w:rsidRPr="005B4FCE">
        <w:rPr>
          <w:rFonts w:ascii="Times New Roman" w:hAnsi="Times New Roman" w:cs="Times New Roman"/>
          <w:sz w:val="20"/>
          <w:szCs w:val="18"/>
          <w:lang w:val="fr-FR"/>
        </w:rPr>
        <w:t>Plan Stratégique Santé Adolescents et Jeunes 2016-2020</w:t>
      </w:r>
    </w:p>
  </w:footnote>
  <w:footnote w:id="28">
    <w:p w14:paraId="75DC372B" w14:textId="77777777" w:rsidR="00C742EB" w:rsidRPr="005B4FCE" w:rsidRDefault="00C742EB" w:rsidP="000D0291">
      <w:pPr>
        <w:pStyle w:val="Notedebasdepage"/>
        <w:rPr>
          <w:rFonts w:ascii="Times New Roman" w:hAnsi="Times New Roman" w:cs="Times New Roman"/>
          <w:sz w:val="20"/>
          <w:szCs w:val="16"/>
          <w:lang w:val="fr-FR"/>
        </w:rPr>
      </w:pPr>
      <w:r w:rsidRPr="005B4FCE">
        <w:rPr>
          <w:rStyle w:val="Appelnotedebasdep"/>
          <w:rFonts w:ascii="Times New Roman" w:hAnsi="Times New Roman" w:cs="Times New Roman"/>
          <w:sz w:val="20"/>
          <w:szCs w:val="16"/>
        </w:rPr>
        <w:footnoteRef/>
      </w:r>
      <w:r w:rsidRPr="005B4FCE">
        <w:rPr>
          <w:rFonts w:ascii="Times New Roman" w:hAnsi="Times New Roman" w:cs="Times New Roman"/>
          <w:sz w:val="20"/>
          <w:szCs w:val="16"/>
          <w:lang w:val="fr-FR"/>
        </w:rPr>
        <w:t xml:space="preserve"> EDS-CI III</w:t>
      </w:r>
    </w:p>
  </w:footnote>
  <w:footnote w:id="29">
    <w:p w14:paraId="403302A1" w14:textId="2E91E541" w:rsidR="00C742EB" w:rsidRPr="005B20BE" w:rsidRDefault="00C742EB">
      <w:pPr>
        <w:pStyle w:val="Notedebasdepage"/>
        <w:rPr>
          <w:lang w:val="fr-FR"/>
        </w:rPr>
      </w:pPr>
      <w:r w:rsidRPr="005B4FCE">
        <w:rPr>
          <w:rStyle w:val="Appelnotedebasdep"/>
          <w:rFonts w:ascii="Times New Roman" w:hAnsi="Times New Roman" w:cs="Times New Roman"/>
          <w:sz w:val="20"/>
          <w:szCs w:val="16"/>
        </w:rPr>
        <w:footnoteRef/>
      </w:r>
      <w:r w:rsidRPr="005B4FCE">
        <w:rPr>
          <w:rFonts w:ascii="Times New Roman" w:hAnsi="Times New Roman" w:cs="Times New Roman"/>
          <w:sz w:val="20"/>
          <w:szCs w:val="16"/>
          <w:lang w:val="fr-FR"/>
        </w:rPr>
        <w:t xml:space="preserve"> Rapport enquête SARA 2016 Côte d’Ivoire</w:t>
      </w:r>
    </w:p>
  </w:footnote>
  <w:footnote w:id="30">
    <w:p w14:paraId="093E9A9B" w14:textId="02676522" w:rsidR="00C742EB" w:rsidRPr="00F878CF" w:rsidRDefault="00C742EB">
      <w:pPr>
        <w:pStyle w:val="Notedebasdepage"/>
        <w:rPr>
          <w:rFonts w:ascii="Times New Roman" w:hAnsi="Times New Roman" w:cs="Times New Roman"/>
          <w:sz w:val="18"/>
          <w:szCs w:val="18"/>
          <w:lang w:val="fr-FR"/>
        </w:rPr>
      </w:pPr>
      <w:r w:rsidRPr="005B4FCE">
        <w:rPr>
          <w:rStyle w:val="Appelnotedebasdep"/>
          <w:rFonts w:ascii="Times New Roman" w:hAnsi="Times New Roman" w:cs="Times New Roman"/>
          <w:sz w:val="20"/>
          <w:szCs w:val="18"/>
        </w:rPr>
        <w:footnoteRef/>
      </w:r>
      <w:r w:rsidRPr="005B4FCE">
        <w:rPr>
          <w:rFonts w:ascii="Times New Roman" w:hAnsi="Times New Roman" w:cs="Times New Roman"/>
          <w:sz w:val="20"/>
          <w:szCs w:val="18"/>
          <w:lang w:val="fr-FR"/>
        </w:rPr>
        <w:t xml:space="preserve"> Source Track 2020</w:t>
      </w:r>
    </w:p>
  </w:footnote>
  <w:footnote w:id="31">
    <w:p w14:paraId="7A7BCC2D" w14:textId="7CB2FAF6" w:rsidR="00C742EB" w:rsidRPr="005B4FCE" w:rsidRDefault="00C742EB">
      <w:pPr>
        <w:pStyle w:val="Notedebasdepage"/>
        <w:rPr>
          <w:rFonts w:ascii="Times New Roman" w:hAnsi="Times New Roman" w:cs="Times New Roman"/>
          <w:sz w:val="20"/>
          <w:szCs w:val="20"/>
          <w:lang w:val="fr-FR"/>
        </w:rPr>
      </w:pPr>
      <w:r w:rsidRPr="005B4FCE">
        <w:rPr>
          <w:rStyle w:val="Appelnotedebasdep"/>
          <w:rFonts w:ascii="Times New Roman" w:hAnsi="Times New Roman" w:cs="Times New Roman"/>
          <w:sz w:val="20"/>
          <w:szCs w:val="20"/>
        </w:rPr>
        <w:footnoteRef/>
      </w:r>
      <w:r w:rsidRPr="005B4FCE">
        <w:rPr>
          <w:rFonts w:ascii="Times New Roman" w:hAnsi="Times New Roman" w:cs="Times New Roman"/>
          <w:sz w:val="20"/>
          <w:szCs w:val="20"/>
          <w:lang w:val="fr-FR"/>
        </w:rPr>
        <w:t xml:space="preserve"> Plan Stratégique National de la Mère, du nouveau-né et de l’Enfant 2016-2020</w:t>
      </w:r>
    </w:p>
  </w:footnote>
  <w:footnote w:id="32">
    <w:p w14:paraId="338F0504" w14:textId="77777777" w:rsidR="00C742EB" w:rsidRPr="008C7DB0" w:rsidRDefault="00C742EB" w:rsidP="00045DB4">
      <w:pPr>
        <w:pStyle w:val="Notedebasdepage"/>
        <w:rPr>
          <w:rFonts w:ascii="Calibri" w:hAnsi="Calibri"/>
          <w:sz w:val="20"/>
          <w:lang w:val="fr-FR"/>
        </w:rPr>
      </w:pPr>
      <w:r w:rsidRPr="005B4FCE">
        <w:rPr>
          <w:rStyle w:val="Appelnotedebasdep"/>
          <w:rFonts w:ascii="Times New Roman" w:hAnsi="Times New Roman" w:cs="Times New Roman"/>
          <w:sz w:val="20"/>
          <w:szCs w:val="20"/>
        </w:rPr>
        <w:footnoteRef/>
      </w:r>
      <w:r w:rsidRPr="005B4FCE">
        <w:rPr>
          <w:rFonts w:ascii="Times New Roman" w:hAnsi="Times New Roman" w:cs="Times New Roman"/>
          <w:sz w:val="20"/>
          <w:szCs w:val="20"/>
          <w:lang w:val="fr-FR"/>
        </w:rPr>
        <w:t xml:space="preserve"> Rapport VIH 2017</w:t>
      </w:r>
    </w:p>
  </w:footnote>
  <w:footnote w:id="33">
    <w:p w14:paraId="50440E68" w14:textId="77777777" w:rsidR="00C742EB" w:rsidRPr="009A30D8" w:rsidRDefault="00C742EB" w:rsidP="00EC2C00">
      <w:pPr>
        <w:pStyle w:val="Notedebasdepage"/>
        <w:rPr>
          <w:rFonts w:ascii="Times New Roman" w:hAnsi="Times New Roman" w:cs="Times New Roman"/>
          <w:lang w:val="fr-FR"/>
        </w:rPr>
      </w:pPr>
      <w:r w:rsidRPr="005B4FCE">
        <w:rPr>
          <w:rStyle w:val="Appelnotedebasdep"/>
          <w:rFonts w:ascii="Times New Roman" w:hAnsi="Times New Roman" w:cs="Times New Roman"/>
          <w:sz w:val="20"/>
        </w:rPr>
        <w:footnoteRef/>
      </w:r>
      <w:r w:rsidRPr="005B4FCE">
        <w:rPr>
          <w:rFonts w:ascii="Times New Roman" w:hAnsi="Times New Roman" w:cs="Times New Roman"/>
          <w:sz w:val="20"/>
          <w:lang w:val="fr-FR"/>
        </w:rPr>
        <w:t xml:space="preserve"> MEMIS, Annuaire des données relatives aux naissances et décès enregistrés à l’état civil de janvier 2012 à mai 2014.</w:t>
      </w:r>
    </w:p>
  </w:footnote>
  <w:footnote w:id="34">
    <w:p w14:paraId="5DE99D12" w14:textId="77777777" w:rsidR="00C742EB" w:rsidRPr="005B4FCE" w:rsidRDefault="00C742EB" w:rsidP="009A30D8">
      <w:pPr>
        <w:pStyle w:val="Notedebasdepage"/>
        <w:jc w:val="both"/>
        <w:rPr>
          <w:rFonts w:ascii="Times New Roman" w:hAnsi="Times New Roman" w:cs="Times New Roman"/>
          <w:sz w:val="20"/>
          <w:szCs w:val="22"/>
          <w:lang w:val="fr-FR"/>
        </w:rPr>
      </w:pPr>
      <w:r w:rsidRPr="005B4FCE">
        <w:rPr>
          <w:rStyle w:val="Appelnotedebasdep"/>
          <w:rFonts w:ascii="Times New Roman" w:hAnsi="Times New Roman" w:cs="Times New Roman"/>
          <w:sz w:val="20"/>
          <w:szCs w:val="22"/>
        </w:rPr>
        <w:footnoteRef/>
      </w:r>
      <w:r w:rsidRPr="005B4FCE">
        <w:rPr>
          <w:rFonts w:ascii="Times New Roman" w:hAnsi="Times New Roman" w:cs="Times New Roman"/>
          <w:sz w:val="20"/>
          <w:szCs w:val="22"/>
          <w:lang w:val="fr-FR"/>
        </w:rPr>
        <w:t xml:space="preserve"> Etude de suivi relative aux centres d’état-civil et aux connaissances, attitudes et pratiques des populations des régions du Gbêkê, du Guémon, du Kabadougou, du Tonkpi et du Worodougou en matière d’état-civil »</w:t>
      </w:r>
    </w:p>
  </w:footnote>
  <w:footnote w:id="35">
    <w:p w14:paraId="663BADF4" w14:textId="77777777" w:rsidR="00C742EB" w:rsidRPr="009A30D8" w:rsidRDefault="00C742EB" w:rsidP="009A30D8">
      <w:pPr>
        <w:pStyle w:val="Notedebasdepage"/>
        <w:jc w:val="both"/>
        <w:rPr>
          <w:rFonts w:ascii="Times New Roman" w:hAnsi="Times New Roman" w:cs="Times New Roman"/>
          <w:sz w:val="22"/>
          <w:szCs w:val="22"/>
          <w:lang w:val="fr-FR"/>
        </w:rPr>
      </w:pPr>
      <w:r w:rsidRPr="005B4FCE">
        <w:rPr>
          <w:rStyle w:val="Appelnotedebasdep"/>
          <w:rFonts w:ascii="Times New Roman" w:hAnsi="Times New Roman" w:cs="Times New Roman"/>
          <w:sz w:val="20"/>
          <w:szCs w:val="22"/>
        </w:rPr>
        <w:footnoteRef/>
      </w:r>
      <w:r w:rsidRPr="005B4FCE">
        <w:rPr>
          <w:rFonts w:ascii="Times New Roman" w:hAnsi="Times New Roman" w:cs="Times New Roman"/>
          <w:sz w:val="20"/>
          <w:szCs w:val="22"/>
          <w:lang w:val="fr-FR"/>
        </w:rPr>
        <w:t xml:space="preserve"> Etude de suivi des indicateurs du Projet « Appui à l’état civil : Promotion de l’enregistrement des naissances et des personnes non déclarées dans les délais »</w:t>
      </w:r>
    </w:p>
  </w:footnote>
  <w:footnote w:id="36">
    <w:p w14:paraId="5F1BBF2B" w14:textId="77777777" w:rsidR="00C742EB" w:rsidRPr="000528E9" w:rsidRDefault="00C742EB" w:rsidP="006E36F4">
      <w:pPr>
        <w:pStyle w:val="Notedebasdepage"/>
        <w:rPr>
          <w:rFonts w:ascii="Times New Roman" w:hAnsi="Times New Roman" w:cs="Times New Roman"/>
          <w:sz w:val="18"/>
          <w:szCs w:val="18"/>
          <w:lang w:val="fr-CA"/>
        </w:rPr>
      </w:pPr>
      <w:r w:rsidRPr="000528E9">
        <w:rPr>
          <w:rStyle w:val="Appelnotedebasdep"/>
          <w:rFonts w:ascii="Times New Roman" w:hAnsi="Times New Roman" w:cs="Times New Roman"/>
          <w:sz w:val="18"/>
          <w:szCs w:val="18"/>
        </w:rPr>
        <w:footnoteRef/>
      </w:r>
      <w:r w:rsidRPr="000528E9">
        <w:rPr>
          <w:rFonts w:ascii="Times New Roman" w:hAnsi="Times New Roman" w:cs="Times New Roman"/>
          <w:sz w:val="18"/>
          <w:szCs w:val="18"/>
          <w:lang w:val="fr-CA"/>
        </w:rPr>
        <w:t xml:space="preserve"> </w:t>
      </w:r>
      <w:r w:rsidRPr="000528E9">
        <w:rPr>
          <w:rFonts w:ascii="Times New Roman" w:hAnsi="Times New Roman" w:cs="Times New Roman"/>
          <w:sz w:val="18"/>
          <w:szCs w:val="18"/>
        </w:rPr>
        <w:t>WHO/HAI study, 2013</w:t>
      </w:r>
    </w:p>
  </w:footnote>
  <w:footnote w:id="37">
    <w:p w14:paraId="2382D88D" w14:textId="77777777" w:rsidR="00C742EB" w:rsidRPr="00A85D83" w:rsidRDefault="00C742EB" w:rsidP="006E36F4">
      <w:pPr>
        <w:pStyle w:val="Notedebasdepage"/>
        <w:rPr>
          <w:rFonts w:ascii="Times New Roman" w:hAnsi="Times New Roman" w:cs="Times New Roman"/>
          <w:sz w:val="16"/>
        </w:rPr>
      </w:pPr>
      <w:r w:rsidRPr="000528E9">
        <w:rPr>
          <w:rStyle w:val="Appelnotedebasdep"/>
          <w:rFonts w:ascii="Times New Roman" w:hAnsi="Times New Roman" w:cs="Times New Roman"/>
          <w:sz w:val="16"/>
        </w:rPr>
        <w:footnoteRef/>
      </w:r>
      <w:r w:rsidRPr="000528E9">
        <w:rPr>
          <w:rFonts w:ascii="Times New Roman" w:hAnsi="Times New Roman" w:cs="Times New Roman"/>
          <w:sz w:val="16"/>
          <w:lang w:val="fr-CA"/>
        </w:rPr>
        <w:t xml:space="preserve"> Barber, R.M. et al, 2017. </w:t>
      </w:r>
      <w:r w:rsidRPr="000528E9">
        <w:rPr>
          <w:rFonts w:ascii="Times New Roman" w:hAnsi="Times New Roman" w:cs="Times New Roman"/>
          <w:sz w:val="16"/>
        </w:rPr>
        <w:t>Healthcare Access and Quality Index based on mortality from causes amenable to personal health care in 195 countries and territories, 1990–2015: a novel analysis from the Global Burden of Disease Study 2015. The Lancet 390, 231–266. https://doi.org/10.1016/S0140-6736(17)30818-8</w:t>
      </w:r>
    </w:p>
  </w:footnote>
  <w:footnote w:id="38">
    <w:p w14:paraId="6DBA5623" w14:textId="77777777" w:rsidR="00C742EB" w:rsidRPr="000528E9" w:rsidRDefault="00C742EB" w:rsidP="006E36F4">
      <w:pPr>
        <w:pStyle w:val="Notedebasdepage"/>
        <w:rPr>
          <w:rFonts w:ascii="Times New Roman" w:hAnsi="Times New Roman" w:cs="Times New Roman"/>
          <w:sz w:val="16"/>
          <w:szCs w:val="16"/>
          <w:lang w:val="fr-CA"/>
        </w:rPr>
      </w:pPr>
      <w:r w:rsidRPr="000528E9">
        <w:rPr>
          <w:rStyle w:val="Appelnotedebasdep"/>
          <w:rFonts w:ascii="Times New Roman" w:hAnsi="Times New Roman" w:cs="Times New Roman"/>
          <w:sz w:val="16"/>
          <w:szCs w:val="16"/>
        </w:rPr>
        <w:footnoteRef/>
      </w:r>
      <w:r w:rsidRPr="00A85D83">
        <w:rPr>
          <w:rFonts w:ascii="Times New Roman" w:hAnsi="Times New Roman" w:cs="Times New Roman"/>
          <w:sz w:val="16"/>
          <w:szCs w:val="16"/>
        </w:rPr>
        <w:t xml:space="preserve"> Kruk, M.E., Gage, A.D., Joseph, N.T., Danaei, G., García-Saisó, S., Salomon, J.A., 2018. </w:t>
      </w:r>
      <w:r w:rsidRPr="000528E9">
        <w:rPr>
          <w:rFonts w:ascii="Times New Roman" w:hAnsi="Times New Roman" w:cs="Times New Roman"/>
          <w:sz w:val="16"/>
          <w:szCs w:val="16"/>
        </w:rPr>
        <w:t xml:space="preserve">Mortality due to low-quality health systems in the universal health coverage era: a systematic analysis of amenable deaths in 137 countries. The Lancet. </w:t>
      </w:r>
      <w:hyperlink r:id="rId1" w:history="1">
        <w:r w:rsidRPr="000528E9">
          <w:rPr>
            <w:rStyle w:val="Lienhypertexte"/>
            <w:rFonts w:ascii="Times New Roman" w:hAnsi="Times New Roman" w:cs="Times New Roman"/>
            <w:sz w:val="16"/>
            <w:szCs w:val="16"/>
          </w:rPr>
          <w:t>https://doi.org/10.1016/S0140-6736(18)31668-4</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B411C3"/>
    <w:multiLevelType w:val="hybridMultilevel"/>
    <w:tmpl w:val="C6CACDAE"/>
    <w:lvl w:ilvl="0" w:tplc="09C8A9A4">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83903DD"/>
    <w:multiLevelType w:val="hybridMultilevel"/>
    <w:tmpl w:val="B40CD70C"/>
    <w:lvl w:ilvl="0" w:tplc="300C000B">
      <w:start w:val="1"/>
      <w:numFmt w:val="bullet"/>
      <w:lvlText w:val=""/>
      <w:lvlJc w:val="left"/>
      <w:pPr>
        <w:ind w:left="828" w:hanging="360"/>
      </w:pPr>
      <w:rPr>
        <w:rFonts w:ascii="Wingdings" w:hAnsi="Wingdings" w:hint="default"/>
      </w:rPr>
    </w:lvl>
    <w:lvl w:ilvl="1" w:tplc="300C0003" w:tentative="1">
      <w:start w:val="1"/>
      <w:numFmt w:val="bullet"/>
      <w:lvlText w:val="o"/>
      <w:lvlJc w:val="left"/>
      <w:pPr>
        <w:ind w:left="1548" w:hanging="360"/>
      </w:pPr>
      <w:rPr>
        <w:rFonts w:ascii="Courier New" w:hAnsi="Courier New" w:cs="Courier New" w:hint="default"/>
      </w:rPr>
    </w:lvl>
    <w:lvl w:ilvl="2" w:tplc="300C0005" w:tentative="1">
      <w:start w:val="1"/>
      <w:numFmt w:val="bullet"/>
      <w:lvlText w:val=""/>
      <w:lvlJc w:val="left"/>
      <w:pPr>
        <w:ind w:left="2268" w:hanging="360"/>
      </w:pPr>
      <w:rPr>
        <w:rFonts w:ascii="Wingdings" w:hAnsi="Wingdings" w:hint="default"/>
      </w:rPr>
    </w:lvl>
    <w:lvl w:ilvl="3" w:tplc="300C0001" w:tentative="1">
      <w:start w:val="1"/>
      <w:numFmt w:val="bullet"/>
      <w:lvlText w:val=""/>
      <w:lvlJc w:val="left"/>
      <w:pPr>
        <w:ind w:left="2988" w:hanging="360"/>
      </w:pPr>
      <w:rPr>
        <w:rFonts w:ascii="Symbol" w:hAnsi="Symbol" w:hint="default"/>
      </w:rPr>
    </w:lvl>
    <w:lvl w:ilvl="4" w:tplc="300C0003" w:tentative="1">
      <w:start w:val="1"/>
      <w:numFmt w:val="bullet"/>
      <w:lvlText w:val="o"/>
      <w:lvlJc w:val="left"/>
      <w:pPr>
        <w:ind w:left="3708" w:hanging="360"/>
      </w:pPr>
      <w:rPr>
        <w:rFonts w:ascii="Courier New" w:hAnsi="Courier New" w:cs="Courier New" w:hint="default"/>
      </w:rPr>
    </w:lvl>
    <w:lvl w:ilvl="5" w:tplc="300C0005" w:tentative="1">
      <w:start w:val="1"/>
      <w:numFmt w:val="bullet"/>
      <w:lvlText w:val=""/>
      <w:lvlJc w:val="left"/>
      <w:pPr>
        <w:ind w:left="4428" w:hanging="360"/>
      </w:pPr>
      <w:rPr>
        <w:rFonts w:ascii="Wingdings" w:hAnsi="Wingdings" w:hint="default"/>
      </w:rPr>
    </w:lvl>
    <w:lvl w:ilvl="6" w:tplc="300C0001" w:tentative="1">
      <w:start w:val="1"/>
      <w:numFmt w:val="bullet"/>
      <w:lvlText w:val=""/>
      <w:lvlJc w:val="left"/>
      <w:pPr>
        <w:ind w:left="5148" w:hanging="360"/>
      </w:pPr>
      <w:rPr>
        <w:rFonts w:ascii="Symbol" w:hAnsi="Symbol" w:hint="default"/>
      </w:rPr>
    </w:lvl>
    <w:lvl w:ilvl="7" w:tplc="300C0003" w:tentative="1">
      <w:start w:val="1"/>
      <w:numFmt w:val="bullet"/>
      <w:lvlText w:val="o"/>
      <w:lvlJc w:val="left"/>
      <w:pPr>
        <w:ind w:left="5868" w:hanging="360"/>
      </w:pPr>
      <w:rPr>
        <w:rFonts w:ascii="Courier New" w:hAnsi="Courier New" w:cs="Courier New" w:hint="default"/>
      </w:rPr>
    </w:lvl>
    <w:lvl w:ilvl="8" w:tplc="300C0005" w:tentative="1">
      <w:start w:val="1"/>
      <w:numFmt w:val="bullet"/>
      <w:lvlText w:val=""/>
      <w:lvlJc w:val="left"/>
      <w:pPr>
        <w:ind w:left="6588" w:hanging="360"/>
      </w:pPr>
      <w:rPr>
        <w:rFonts w:ascii="Wingdings" w:hAnsi="Wingdings" w:hint="default"/>
      </w:rPr>
    </w:lvl>
  </w:abstractNum>
  <w:abstractNum w:abstractNumId="2" w15:restartNumberingAfterBreak="0">
    <w:nsid w:val="1B536C7D"/>
    <w:multiLevelType w:val="hybridMultilevel"/>
    <w:tmpl w:val="79AE8A44"/>
    <w:lvl w:ilvl="0" w:tplc="300C000B">
      <w:start w:val="1"/>
      <w:numFmt w:val="bullet"/>
      <w:lvlText w:val=""/>
      <w:lvlJc w:val="left"/>
      <w:pPr>
        <w:ind w:left="828" w:hanging="360"/>
      </w:pPr>
      <w:rPr>
        <w:rFonts w:ascii="Wingdings" w:hAnsi="Wingdings" w:hint="default"/>
      </w:rPr>
    </w:lvl>
    <w:lvl w:ilvl="1" w:tplc="300C0003" w:tentative="1">
      <w:start w:val="1"/>
      <w:numFmt w:val="bullet"/>
      <w:lvlText w:val="o"/>
      <w:lvlJc w:val="left"/>
      <w:pPr>
        <w:ind w:left="1548" w:hanging="360"/>
      </w:pPr>
      <w:rPr>
        <w:rFonts w:ascii="Courier New" w:hAnsi="Courier New" w:cs="Courier New" w:hint="default"/>
      </w:rPr>
    </w:lvl>
    <w:lvl w:ilvl="2" w:tplc="300C0005" w:tentative="1">
      <w:start w:val="1"/>
      <w:numFmt w:val="bullet"/>
      <w:lvlText w:val=""/>
      <w:lvlJc w:val="left"/>
      <w:pPr>
        <w:ind w:left="2268" w:hanging="360"/>
      </w:pPr>
      <w:rPr>
        <w:rFonts w:ascii="Wingdings" w:hAnsi="Wingdings" w:hint="default"/>
      </w:rPr>
    </w:lvl>
    <w:lvl w:ilvl="3" w:tplc="300C0001" w:tentative="1">
      <w:start w:val="1"/>
      <w:numFmt w:val="bullet"/>
      <w:lvlText w:val=""/>
      <w:lvlJc w:val="left"/>
      <w:pPr>
        <w:ind w:left="2988" w:hanging="360"/>
      </w:pPr>
      <w:rPr>
        <w:rFonts w:ascii="Symbol" w:hAnsi="Symbol" w:hint="default"/>
      </w:rPr>
    </w:lvl>
    <w:lvl w:ilvl="4" w:tplc="300C0003" w:tentative="1">
      <w:start w:val="1"/>
      <w:numFmt w:val="bullet"/>
      <w:lvlText w:val="o"/>
      <w:lvlJc w:val="left"/>
      <w:pPr>
        <w:ind w:left="3708" w:hanging="360"/>
      </w:pPr>
      <w:rPr>
        <w:rFonts w:ascii="Courier New" w:hAnsi="Courier New" w:cs="Courier New" w:hint="default"/>
      </w:rPr>
    </w:lvl>
    <w:lvl w:ilvl="5" w:tplc="300C0005" w:tentative="1">
      <w:start w:val="1"/>
      <w:numFmt w:val="bullet"/>
      <w:lvlText w:val=""/>
      <w:lvlJc w:val="left"/>
      <w:pPr>
        <w:ind w:left="4428" w:hanging="360"/>
      </w:pPr>
      <w:rPr>
        <w:rFonts w:ascii="Wingdings" w:hAnsi="Wingdings" w:hint="default"/>
      </w:rPr>
    </w:lvl>
    <w:lvl w:ilvl="6" w:tplc="300C0001" w:tentative="1">
      <w:start w:val="1"/>
      <w:numFmt w:val="bullet"/>
      <w:lvlText w:val=""/>
      <w:lvlJc w:val="left"/>
      <w:pPr>
        <w:ind w:left="5148" w:hanging="360"/>
      </w:pPr>
      <w:rPr>
        <w:rFonts w:ascii="Symbol" w:hAnsi="Symbol" w:hint="default"/>
      </w:rPr>
    </w:lvl>
    <w:lvl w:ilvl="7" w:tplc="300C0003" w:tentative="1">
      <w:start w:val="1"/>
      <w:numFmt w:val="bullet"/>
      <w:lvlText w:val="o"/>
      <w:lvlJc w:val="left"/>
      <w:pPr>
        <w:ind w:left="5868" w:hanging="360"/>
      </w:pPr>
      <w:rPr>
        <w:rFonts w:ascii="Courier New" w:hAnsi="Courier New" w:cs="Courier New" w:hint="default"/>
      </w:rPr>
    </w:lvl>
    <w:lvl w:ilvl="8" w:tplc="300C0005" w:tentative="1">
      <w:start w:val="1"/>
      <w:numFmt w:val="bullet"/>
      <w:lvlText w:val=""/>
      <w:lvlJc w:val="left"/>
      <w:pPr>
        <w:ind w:left="6588" w:hanging="360"/>
      </w:pPr>
      <w:rPr>
        <w:rFonts w:ascii="Wingdings" w:hAnsi="Wingdings" w:hint="default"/>
      </w:rPr>
    </w:lvl>
  </w:abstractNum>
  <w:abstractNum w:abstractNumId="3" w15:restartNumberingAfterBreak="0">
    <w:nsid w:val="211A264A"/>
    <w:multiLevelType w:val="hybridMultilevel"/>
    <w:tmpl w:val="2EF6EE9E"/>
    <w:lvl w:ilvl="0" w:tplc="BE2C35DE">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1FD1DDE"/>
    <w:multiLevelType w:val="hybridMultilevel"/>
    <w:tmpl w:val="0F2C47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4B0C6F"/>
    <w:multiLevelType w:val="hybridMultilevel"/>
    <w:tmpl w:val="FEB63EB8"/>
    <w:lvl w:ilvl="0" w:tplc="8724039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FF625D7"/>
    <w:multiLevelType w:val="hybridMultilevel"/>
    <w:tmpl w:val="EB56DBE6"/>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42770259"/>
    <w:multiLevelType w:val="hybridMultilevel"/>
    <w:tmpl w:val="FA821274"/>
    <w:lvl w:ilvl="0" w:tplc="E9D2B5F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D82A79"/>
    <w:multiLevelType w:val="hybridMultilevel"/>
    <w:tmpl w:val="C1A69EE0"/>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9" w15:restartNumberingAfterBreak="0">
    <w:nsid w:val="46487465"/>
    <w:multiLevelType w:val="hybridMultilevel"/>
    <w:tmpl w:val="3CDC42FE"/>
    <w:lvl w:ilvl="0" w:tplc="993C4128">
      <w:start w:val="1"/>
      <w:numFmt w:val="bullet"/>
      <w:lvlText w:val="•"/>
      <w:lvlJc w:val="left"/>
      <w:pPr>
        <w:tabs>
          <w:tab w:val="num" w:pos="720"/>
        </w:tabs>
        <w:ind w:left="720" w:hanging="360"/>
      </w:pPr>
      <w:rPr>
        <w:rFonts w:ascii="Arial" w:hAnsi="Arial" w:hint="default"/>
      </w:rPr>
    </w:lvl>
    <w:lvl w:ilvl="1" w:tplc="0FEADDD8">
      <w:start w:val="1"/>
      <w:numFmt w:val="bullet"/>
      <w:lvlText w:val="•"/>
      <w:lvlJc w:val="left"/>
      <w:pPr>
        <w:tabs>
          <w:tab w:val="num" w:pos="1440"/>
        </w:tabs>
        <w:ind w:left="1440" w:hanging="360"/>
      </w:pPr>
      <w:rPr>
        <w:rFonts w:ascii="Arial" w:hAnsi="Arial" w:hint="default"/>
      </w:rPr>
    </w:lvl>
    <w:lvl w:ilvl="2" w:tplc="413E640E" w:tentative="1">
      <w:start w:val="1"/>
      <w:numFmt w:val="bullet"/>
      <w:lvlText w:val="•"/>
      <w:lvlJc w:val="left"/>
      <w:pPr>
        <w:tabs>
          <w:tab w:val="num" w:pos="2160"/>
        </w:tabs>
        <w:ind w:left="2160" w:hanging="360"/>
      </w:pPr>
      <w:rPr>
        <w:rFonts w:ascii="Arial" w:hAnsi="Arial" w:hint="default"/>
      </w:rPr>
    </w:lvl>
    <w:lvl w:ilvl="3" w:tplc="D57229E6" w:tentative="1">
      <w:start w:val="1"/>
      <w:numFmt w:val="bullet"/>
      <w:lvlText w:val="•"/>
      <w:lvlJc w:val="left"/>
      <w:pPr>
        <w:tabs>
          <w:tab w:val="num" w:pos="2880"/>
        </w:tabs>
        <w:ind w:left="2880" w:hanging="360"/>
      </w:pPr>
      <w:rPr>
        <w:rFonts w:ascii="Arial" w:hAnsi="Arial" w:hint="default"/>
      </w:rPr>
    </w:lvl>
    <w:lvl w:ilvl="4" w:tplc="E63AC0A8" w:tentative="1">
      <w:start w:val="1"/>
      <w:numFmt w:val="bullet"/>
      <w:lvlText w:val="•"/>
      <w:lvlJc w:val="left"/>
      <w:pPr>
        <w:tabs>
          <w:tab w:val="num" w:pos="3600"/>
        </w:tabs>
        <w:ind w:left="3600" w:hanging="360"/>
      </w:pPr>
      <w:rPr>
        <w:rFonts w:ascii="Arial" w:hAnsi="Arial" w:hint="default"/>
      </w:rPr>
    </w:lvl>
    <w:lvl w:ilvl="5" w:tplc="883AB0C4" w:tentative="1">
      <w:start w:val="1"/>
      <w:numFmt w:val="bullet"/>
      <w:lvlText w:val="•"/>
      <w:lvlJc w:val="left"/>
      <w:pPr>
        <w:tabs>
          <w:tab w:val="num" w:pos="4320"/>
        </w:tabs>
        <w:ind w:left="4320" w:hanging="360"/>
      </w:pPr>
      <w:rPr>
        <w:rFonts w:ascii="Arial" w:hAnsi="Arial" w:hint="default"/>
      </w:rPr>
    </w:lvl>
    <w:lvl w:ilvl="6" w:tplc="D4EE494C" w:tentative="1">
      <w:start w:val="1"/>
      <w:numFmt w:val="bullet"/>
      <w:lvlText w:val="•"/>
      <w:lvlJc w:val="left"/>
      <w:pPr>
        <w:tabs>
          <w:tab w:val="num" w:pos="5040"/>
        </w:tabs>
        <w:ind w:left="5040" w:hanging="360"/>
      </w:pPr>
      <w:rPr>
        <w:rFonts w:ascii="Arial" w:hAnsi="Arial" w:hint="default"/>
      </w:rPr>
    </w:lvl>
    <w:lvl w:ilvl="7" w:tplc="58702CEC" w:tentative="1">
      <w:start w:val="1"/>
      <w:numFmt w:val="bullet"/>
      <w:lvlText w:val="•"/>
      <w:lvlJc w:val="left"/>
      <w:pPr>
        <w:tabs>
          <w:tab w:val="num" w:pos="5760"/>
        </w:tabs>
        <w:ind w:left="5760" w:hanging="360"/>
      </w:pPr>
      <w:rPr>
        <w:rFonts w:ascii="Arial" w:hAnsi="Arial" w:hint="default"/>
      </w:rPr>
    </w:lvl>
    <w:lvl w:ilvl="8" w:tplc="B7641AD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1090348"/>
    <w:multiLevelType w:val="hybridMultilevel"/>
    <w:tmpl w:val="20BAD490"/>
    <w:lvl w:ilvl="0" w:tplc="414A224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4A7B33"/>
    <w:multiLevelType w:val="hybridMultilevel"/>
    <w:tmpl w:val="2F2644B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15:restartNumberingAfterBreak="0">
    <w:nsid w:val="5D443213"/>
    <w:multiLevelType w:val="hybridMultilevel"/>
    <w:tmpl w:val="695C85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E4425F4"/>
    <w:multiLevelType w:val="hybridMultilevel"/>
    <w:tmpl w:val="7B0C1940"/>
    <w:lvl w:ilvl="0" w:tplc="414A2248">
      <w:numFmt w:val="bullet"/>
      <w:lvlText w:val="-"/>
      <w:lvlJc w:val="left"/>
      <w:pPr>
        <w:ind w:left="720" w:hanging="360"/>
      </w:pPr>
      <w:rPr>
        <w:rFonts w:ascii="Times New Roman" w:eastAsia="Times New Roman" w:hAnsi="Times New Roman" w:cs="Times New Roman"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4" w15:restartNumberingAfterBreak="0">
    <w:nsid w:val="60197906"/>
    <w:multiLevelType w:val="hybridMultilevel"/>
    <w:tmpl w:val="47E6D15C"/>
    <w:lvl w:ilvl="0" w:tplc="BE2C35DE">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71F52BC"/>
    <w:multiLevelType w:val="multilevel"/>
    <w:tmpl w:val="B4800E9C"/>
    <w:lvl w:ilvl="0">
      <w:start w:val="1"/>
      <w:numFmt w:val="upperRoman"/>
      <w:pStyle w:val="Titre1"/>
      <w:lvlText w:val="%1"/>
      <w:lvlJc w:val="left"/>
      <w:pPr>
        <w:ind w:left="432" w:hanging="432"/>
      </w:pPr>
      <w:rPr>
        <w:rFonts w:hint="default"/>
        <w:color w:val="0070C0"/>
      </w:rPr>
    </w:lvl>
    <w:lvl w:ilvl="1">
      <w:start w:val="1"/>
      <w:numFmt w:val="decimal"/>
      <w:pStyle w:val="Titre2"/>
      <w:lvlText w:val="%1.%2"/>
      <w:lvlJc w:val="left"/>
      <w:pPr>
        <w:ind w:left="576" w:hanging="576"/>
      </w:pPr>
      <w:rPr>
        <w:rFonts w:hint="default"/>
        <w:b/>
        <w:color w:val="0070C0"/>
      </w:rPr>
    </w:lvl>
    <w:lvl w:ilvl="2">
      <w:start w:val="1"/>
      <w:numFmt w:val="decimal"/>
      <w:pStyle w:val="Titre3"/>
      <w:lvlText w:val="%1.%2.%3"/>
      <w:lvlJc w:val="left"/>
      <w:pPr>
        <w:ind w:left="720" w:hanging="720"/>
      </w:pPr>
      <w:rPr>
        <w:rFonts w:hint="default"/>
      </w:rPr>
    </w:lvl>
    <w:lvl w:ilvl="3">
      <w:start w:val="1"/>
      <w:numFmt w:val="decimal"/>
      <w:pStyle w:val="Titre4"/>
      <w:lvlText w:val="%1.%2.%3.%4"/>
      <w:lvlJc w:val="left"/>
      <w:pPr>
        <w:ind w:left="864" w:hanging="864"/>
      </w:pPr>
      <w:rPr>
        <w:rFonts w:hint="default"/>
      </w:rPr>
    </w:lvl>
    <w:lvl w:ilvl="4">
      <w:start w:val="1"/>
      <w:numFmt w:val="decimal"/>
      <w:pStyle w:val="Titre5"/>
      <w:lvlText w:val="%1.%2.%3.%4.%5"/>
      <w:lvlJc w:val="left"/>
      <w:pPr>
        <w:ind w:left="1008" w:hanging="1008"/>
      </w:pPr>
      <w:rPr>
        <w:rFonts w:hint="default"/>
      </w:rPr>
    </w:lvl>
    <w:lvl w:ilvl="5">
      <w:start w:val="1"/>
      <w:numFmt w:val="decimal"/>
      <w:pStyle w:val="Titre6"/>
      <w:lvlText w:val="%1.%2.%3.%4.%5.%6"/>
      <w:lvlJc w:val="left"/>
      <w:pPr>
        <w:ind w:left="1152" w:hanging="1152"/>
      </w:pPr>
      <w:rPr>
        <w:rFonts w:hint="default"/>
      </w:rPr>
    </w:lvl>
    <w:lvl w:ilvl="6">
      <w:start w:val="1"/>
      <w:numFmt w:val="decimal"/>
      <w:pStyle w:val="Titre7"/>
      <w:lvlText w:val="%1.%2.%3.%4.%5.%6.%7"/>
      <w:lvlJc w:val="left"/>
      <w:pPr>
        <w:ind w:left="1296" w:hanging="1296"/>
      </w:pPr>
      <w:rPr>
        <w:rFonts w:hint="default"/>
      </w:rPr>
    </w:lvl>
    <w:lvl w:ilvl="7">
      <w:start w:val="1"/>
      <w:numFmt w:val="decimal"/>
      <w:pStyle w:val="Titre8"/>
      <w:lvlText w:val="%1.%2.%3.%4.%5.%6.%7.%8"/>
      <w:lvlJc w:val="left"/>
      <w:pPr>
        <w:ind w:left="1440" w:hanging="1440"/>
      </w:pPr>
      <w:rPr>
        <w:rFonts w:hint="default"/>
      </w:rPr>
    </w:lvl>
    <w:lvl w:ilvl="8">
      <w:start w:val="1"/>
      <w:numFmt w:val="decimal"/>
      <w:pStyle w:val="Titre9"/>
      <w:lvlText w:val="%1.%2.%3.%4.%5.%6.%7.%8.%9"/>
      <w:lvlJc w:val="left"/>
      <w:pPr>
        <w:ind w:left="1584" w:hanging="1584"/>
      </w:pPr>
      <w:rPr>
        <w:rFonts w:hint="default"/>
      </w:rPr>
    </w:lvl>
  </w:abstractNum>
  <w:abstractNum w:abstractNumId="16" w15:restartNumberingAfterBreak="0">
    <w:nsid w:val="6A994035"/>
    <w:multiLevelType w:val="hybridMultilevel"/>
    <w:tmpl w:val="E88CBF10"/>
    <w:lvl w:ilvl="0" w:tplc="CA4E9678">
      <w:start w:val="2"/>
      <w:numFmt w:val="bullet"/>
      <w:lvlText w:val="-"/>
      <w:lvlJc w:val="left"/>
      <w:pPr>
        <w:ind w:left="720" w:hanging="360"/>
      </w:pPr>
      <w:rPr>
        <w:rFonts w:ascii="Cambria" w:eastAsia="Times New Roman" w:hAnsi="Cambria" w:cs="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B814542"/>
    <w:multiLevelType w:val="hybridMultilevel"/>
    <w:tmpl w:val="6A1AF030"/>
    <w:lvl w:ilvl="0" w:tplc="BE2C35DE">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5"/>
  </w:num>
  <w:num w:numId="2">
    <w:abstractNumId w:val="14"/>
  </w:num>
  <w:num w:numId="3">
    <w:abstractNumId w:val="7"/>
  </w:num>
  <w:num w:numId="4">
    <w:abstractNumId w:val="11"/>
  </w:num>
  <w:num w:numId="5">
    <w:abstractNumId w:val="4"/>
  </w:num>
  <w:num w:numId="6">
    <w:abstractNumId w:val="8"/>
  </w:num>
  <w:num w:numId="7">
    <w:abstractNumId w:val="6"/>
  </w:num>
  <w:num w:numId="8">
    <w:abstractNumId w:val="16"/>
  </w:num>
  <w:num w:numId="9">
    <w:abstractNumId w:val="5"/>
  </w:num>
  <w:num w:numId="10">
    <w:abstractNumId w:val="13"/>
  </w:num>
  <w:num w:numId="11">
    <w:abstractNumId w:val="12"/>
  </w:num>
  <w:num w:numId="12">
    <w:abstractNumId w:val="2"/>
  </w:num>
  <w:num w:numId="13">
    <w:abstractNumId w:val="1"/>
  </w:num>
  <w:num w:numId="14">
    <w:abstractNumId w:val="10"/>
  </w:num>
  <w:num w:numId="15">
    <w:abstractNumId w:val="15"/>
    <w:lvlOverride w:ilvl="0">
      <w:startOverride w:val="3"/>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17"/>
  </w:num>
  <w:num w:numId="18">
    <w:abstractNumId w:val="9"/>
  </w:num>
  <w:num w:numId="19">
    <w:abstractNumId w:val="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8E0"/>
    <w:rsid w:val="00001EB6"/>
    <w:rsid w:val="00004097"/>
    <w:rsid w:val="00007929"/>
    <w:rsid w:val="00015A62"/>
    <w:rsid w:val="000204E3"/>
    <w:rsid w:val="00021CD8"/>
    <w:rsid w:val="0002340B"/>
    <w:rsid w:val="000307F7"/>
    <w:rsid w:val="00033A34"/>
    <w:rsid w:val="000378E0"/>
    <w:rsid w:val="00044251"/>
    <w:rsid w:val="00045DB4"/>
    <w:rsid w:val="0005304E"/>
    <w:rsid w:val="0005376F"/>
    <w:rsid w:val="00055A9E"/>
    <w:rsid w:val="000622F1"/>
    <w:rsid w:val="000637E0"/>
    <w:rsid w:val="000703B8"/>
    <w:rsid w:val="00071AA8"/>
    <w:rsid w:val="00080513"/>
    <w:rsid w:val="000827DE"/>
    <w:rsid w:val="00084400"/>
    <w:rsid w:val="00086770"/>
    <w:rsid w:val="0009029A"/>
    <w:rsid w:val="00090B5F"/>
    <w:rsid w:val="000A191E"/>
    <w:rsid w:val="000A319C"/>
    <w:rsid w:val="000A3EB8"/>
    <w:rsid w:val="000A67DA"/>
    <w:rsid w:val="000B1686"/>
    <w:rsid w:val="000B48A5"/>
    <w:rsid w:val="000B558C"/>
    <w:rsid w:val="000B5E70"/>
    <w:rsid w:val="000C623B"/>
    <w:rsid w:val="000D0291"/>
    <w:rsid w:val="000D145F"/>
    <w:rsid w:val="000D59DC"/>
    <w:rsid w:val="000D6852"/>
    <w:rsid w:val="000E3218"/>
    <w:rsid w:val="000E3925"/>
    <w:rsid w:val="000E6A90"/>
    <w:rsid w:val="000F027F"/>
    <w:rsid w:val="000F1E4C"/>
    <w:rsid w:val="000F598E"/>
    <w:rsid w:val="001035FD"/>
    <w:rsid w:val="00112D3C"/>
    <w:rsid w:val="00132C40"/>
    <w:rsid w:val="00133256"/>
    <w:rsid w:val="00133CF4"/>
    <w:rsid w:val="0014576C"/>
    <w:rsid w:val="00145B48"/>
    <w:rsid w:val="00147F49"/>
    <w:rsid w:val="00152F88"/>
    <w:rsid w:val="00153B9A"/>
    <w:rsid w:val="001543CF"/>
    <w:rsid w:val="00165FA1"/>
    <w:rsid w:val="001802BC"/>
    <w:rsid w:val="00180BAC"/>
    <w:rsid w:val="00183BD5"/>
    <w:rsid w:val="00183F43"/>
    <w:rsid w:val="00194CCA"/>
    <w:rsid w:val="00195B50"/>
    <w:rsid w:val="00197023"/>
    <w:rsid w:val="001B3251"/>
    <w:rsid w:val="001C236E"/>
    <w:rsid w:val="001C7189"/>
    <w:rsid w:val="001C752C"/>
    <w:rsid w:val="001D4A0B"/>
    <w:rsid w:val="001D5D16"/>
    <w:rsid w:val="001D76FB"/>
    <w:rsid w:val="001E2719"/>
    <w:rsid w:val="001E6397"/>
    <w:rsid w:val="001F463F"/>
    <w:rsid w:val="0020101E"/>
    <w:rsid w:val="00205980"/>
    <w:rsid w:val="00211C24"/>
    <w:rsid w:val="0021546E"/>
    <w:rsid w:val="00231FF4"/>
    <w:rsid w:val="0025060B"/>
    <w:rsid w:val="0027080E"/>
    <w:rsid w:val="00270AF9"/>
    <w:rsid w:val="002712E3"/>
    <w:rsid w:val="00272A4F"/>
    <w:rsid w:val="00275C05"/>
    <w:rsid w:val="00280E7D"/>
    <w:rsid w:val="00282082"/>
    <w:rsid w:val="0028503E"/>
    <w:rsid w:val="00293F4E"/>
    <w:rsid w:val="00297897"/>
    <w:rsid w:val="002A01BB"/>
    <w:rsid w:val="002A3FB8"/>
    <w:rsid w:val="002A5721"/>
    <w:rsid w:val="002B29B2"/>
    <w:rsid w:val="002B5BD3"/>
    <w:rsid w:val="002C1828"/>
    <w:rsid w:val="002D124B"/>
    <w:rsid w:val="002D193C"/>
    <w:rsid w:val="002D1F8B"/>
    <w:rsid w:val="002D562C"/>
    <w:rsid w:val="002D740F"/>
    <w:rsid w:val="002E25ED"/>
    <w:rsid w:val="002F23D0"/>
    <w:rsid w:val="002F24CA"/>
    <w:rsid w:val="002F311A"/>
    <w:rsid w:val="002F4206"/>
    <w:rsid w:val="00306861"/>
    <w:rsid w:val="003131D1"/>
    <w:rsid w:val="00315919"/>
    <w:rsid w:val="003218DF"/>
    <w:rsid w:val="00332CE5"/>
    <w:rsid w:val="00333A62"/>
    <w:rsid w:val="0034053A"/>
    <w:rsid w:val="00353865"/>
    <w:rsid w:val="003670BE"/>
    <w:rsid w:val="003879AD"/>
    <w:rsid w:val="00390923"/>
    <w:rsid w:val="003928BB"/>
    <w:rsid w:val="003968FC"/>
    <w:rsid w:val="003976DD"/>
    <w:rsid w:val="003A4BCA"/>
    <w:rsid w:val="003A573F"/>
    <w:rsid w:val="003A79B8"/>
    <w:rsid w:val="003B558B"/>
    <w:rsid w:val="003C390A"/>
    <w:rsid w:val="003C57BB"/>
    <w:rsid w:val="003E172A"/>
    <w:rsid w:val="003E34A0"/>
    <w:rsid w:val="003E39A2"/>
    <w:rsid w:val="003E5BEC"/>
    <w:rsid w:val="00400C22"/>
    <w:rsid w:val="00402D6E"/>
    <w:rsid w:val="004045F9"/>
    <w:rsid w:val="00405A07"/>
    <w:rsid w:val="0040713A"/>
    <w:rsid w:val="004112AB"/>
    <w:rsid w:val="004135AF"/>
    <w:rsid w:val="0043271B"/>
    <w:rsid w:val="00442E69"/>
    <w:rsid w:val="0046293F"/>
    <w:rsid w:val="00486BA0"/>
    <w:rsid w:val="0049292E"/>
    <w:rsid w:val="004A497E"/>
    <w:rsid w:val="004B380A"/>
    <w:rsid w:val="004B706E"/>
    <w:rsid w:val="004D7ACA"/>
    <w:rsid w:val="004E0F0E"/>
    <w:rsid w:val="004F1AC3"/>
    <w:rsid w:val="004F71E8"/>
    <w:rsid w:val="00503843"/>
    <w:rsid w:val="0050393A"/>
    <w:rsid w:val="00523646"/>
    <w:rsid w:val="005272F4"/>
    <w:rsid w:val="00530F02"/>
    <w:rsid w:val="005403E9"/>
    <w:rsid w:val="0054353C"/>
    <w:rsid w:val="00554D79"/>
    <w:rsid w:val="00566D3C"/>
    <w:rsid w:val="005737AC"/>
    <w:rsid w:val="00574BB5"/>
    <w:rsid w:val="005764F0"/>
    <w:rsid w:val="00576D90"/>
    <w:rsid w:val="00577796"/>
    <w:rsid w:val="0059222E"/>
    <w:rsid w:val="0059447A"/>
    <w:rsid w:val="00595201"/>
    <w:rsid w:val="005A01D0"/>
    <w:rsid w:val="005A6FA9"/>
    <w:rsid w:val="005A7DAB"/>
    <w:rsid w:val="005B20BE"/>
    <w:rsid w:val="005B4FCE"/>
    <w:rsid w:val="005C23F9"/>
    <w:rsid w:val="005D75A6"/>
    <w:rsid w:val="005E1464"/>
    <w:rsid w:val="005E2F06"/>
    <w:rsid w:val="005E47E5"/>
    <w:rsid w:val="005F6E62"/>
    <w:rsid w:val="006011D9"/>
    <w:rsid w:val="0060318D"/>
    <w:rsid w:val="00603EA1"/>
    <w:rsid w:val="00605CFC"/>
    <w:rsid w:val="006070E4"/>
    <w:rsid w:val="00607A2B"/>
    <w:rsid w:val="006249C4"/>
    <w:rsid w:val="0062684F"/>
    <w:rsid w:val="006300B5"/>
    <w:rsid w:val="00636EB8"/>
    <w:rsid w:val="006414D0"/>
    <w:rsid w:val="00641849"/>
    <w:rsid w:val="00662497"/>
    <w:rsid w:val="006676AE"/>
    <w:rsid w:val="006700AD"/>
    <w:rsid w:val="0067068B"/>
    <w:rsid w:val="00672D02"/>
    <w:rsid w:val="006773F6"/>
    <w:rsid w:val="006920CF"/>
    <w:rsid w:val="0069215A"/>
    <w:rsid w:val="00692C34"/>
    <w:rsid w:val="0069723A"/>
    <w:rsid w:val="006A7EAE"/>
    <w:rsid w:val="006B3491"/>
    <w:rsid w:val="006C0B89"/>
    <w:rsid w:val="006C36B8"/>
    <w:rsid w:val="006C5050"/>
    <w:rsid w:val="006C508E"/>
    <w:rsid w:val="006D02E0"/>
    <w:rsid w:val="006D5283"/>
    <w:rsid w:val="006D5559"/>
    <w:rsid w:val="006D7ED5"/>
    <w:rsid w:val="006E36F4"/>
    <w:rsid w:val="006E66CF"/>
    <w:rsid w:val="006E6BF8"/>
    <w:rsid w:val="006E7F4E"/>
    <w:rsid w:val="006F6775"/>
    <w:rsid w:val="00700523"/>
    <w:rsid w:val="00702F89"/>
    <w:rsid w:val="007039FB"/>
    <w:rsid w:val="00707721"/>
    <w:rsid w:val="00710788"/>
    <w:rsid w:val="00714586"/>
    <w:rsid w:val="00721B91"/>
    <w:rsid w:val="00723BEC"/>
    <w:rsid w:val="00732741"/>
    <w:rsid w:val="00734A94"/>
    <w:rsid w:val="00742C55"/>
    <w:rsid w:val="007431B6"/>
    <w:rsid w:val="007519C8"/>
    <w:rsid w:val="007557D0"/>
    <w:rsid w:val="0075728D"/>
    <w:rsid w:val="00767423"/>
    <w:rsid w:val="0077743F"/>
    <w:rsid w:val="00777701"/>
    <w:rsid w:val="00777C54"/>
    <w:rsid w:val="00787EB2"/>
    <w:rsid w:val="0079042B"/>
    <w:rsid w:val="00790D53"/>
    <w:rsid w:val="00793EFD"/>
    <w:rsid w:val="007A0CE7"/>
    <w:rsid w:val="007A15B1"/>
    <w:rsid w:val="007A202A"/>
    <w:rsid w:val="007B2943"/>
    <w:rsid w:val="007B5676"/>
    <w:rsid w:val="007B56F1"/>
    <w:rsid w:val="007B7B70"/>
    <w:rsid w:val="007C59FB"/>
    <w:rsid w:val="007C5BCC"/>
    <w:rsid w:val="007D68E6"/>
    <w:rsid w:val="007E5457"/>
    <w:rsid w:val="007F5D87"/>
    <w:rsid w:val="00804D0E"/>
    <w:rsid w:val="008065F5"/>
    <w:rsid w:val="00807B51"/>
    <w:rsid w:val="008143B5"/>
    <w:rsid w:val="00815703"/>
    <w:rsid w:val="00821339"/>
    <w:rsid w:val="008233A2"/>
    <w:rsid w:val="00823F7B"/>
    <w:rsid w:val="00825055"/>
    <w:rsid w:val="00827F8B"/>
    <w:rsid w:val="0083243B"/>
    <w:rsid w:val="00834CAE"/>
    <w:rsid w:val="008353C9"/>
    <w:rsid w:val="00836C9C"/>
    <w:rsid w:val="0084266C"/>
    <w:rsid w:val="00845D3D"/>
    <w:rsid w:val="0085115F"/>
    <w:rsid w:val="008541A3"/>
    <w:rsid w:val="00880A2A"/>
    <w:rsid w:val="008839B5"/>
    <w:rsid w:val="00885BFD"/>
    <w:rsid w:val="0089395C"/>
    <w:rsid w:val="008948DB"/>
    <w:rsid w:val="0089502A"/>
    <w:rsid w:val="008A0F97"/>
    <w:rsid w:val="008B317A"/>
    <w:rsid w:val="008B34E7"/>
    <w:rsid w:val="008B48D7"/>
    <w:rsid w:val="008B6EDE"/>
    <w:rsid w:val="008C105C"/>
    <w:rsid w:val="008C2884"/>
    <w:rsid w:val="008C497E"/>
    <w:rsid w:val="008C697C"/>
    <w:rsid w:val="008E0C8E"/>
    <w:rsid w:val="008E0F2F"/>
    <w:rsid w:val="008E2A85"/>
    <w:rsid w:val="008E2CDE"/>
    <w:rsid w:val="008E3EE8"/>
    <w:rsid w:val="008E6BB9"/>
    <w:rsid w:val="008F2701"/>
    <w:rsid w:val="008F4009"/>
    <w:rsid w:val="008F6C73"/>
    <w:rsid w:val="009054EF"/>
    <w:rsid w:val="009104FF"/>
    <w:rsid w:val="00911E65"/>
    <w:rsid w:val="00920A5C"/>
    <w:rsid w:val="0092355A"/>
    <w:rsid w:val="009379FD"/>
    <w:rsid w:val="0094324C"/>
    <w:rsid w:val="00953F0C"/>
    <w:rsid w:val="00963CE4"/>
    <w:rsid w:val="00964564"/>
    <w:rsid w:val="00973496"/>
    <w:rsid w:val="00976CFE"/>
    <w:rsid w:val="009929FB"/>
    <w:rsid w:val="00993096"/>
    <w:rsid w:val="009A04F0"/>
    <w:rsid w:val="009A30D8"/>
    <w:rsid w:val="009A6711"/>
    <w:rsid w:val="009B0B16"/>
    <w:rsid w:val="009C0A62"/>
    <w:rsid w:val="009C20FA"/>
    <w:rsid w:val="009C2D4A"/>
    <w:rsid w:val="009D353C"/>
    <w:rsid w:val="009F3A47"/>
    <w:rsid w:val="00A01BA9"/>
    <w:rsid w:val="00A02C39"/>
    <w:rsid w:val="00A05A95"/>
    <w:rsid w:val="00A10EE7"/>
    <w:rsid w:val="00A152F2"/>
    <w:rsid w:val="00A1538F"/>
    <w:rsid w:val="00A166A6"/>
    <w:rsid w:val="00A27514"/>
    <w:rsid w:val="00A342A3"/>
    <w:rsid w:val="00A35A14"/>
    <w:rsid w:val="00A35D88"/>
    <w:rsid w:val="00A43FE2"/>
    <w:rsid w:val="00A44C75"/>
    <w:rsid w:val="00A5574F"/>
    <w:rsid w:val="00A55944"/>
    <w:rsid w:val="00A56A95"/>
    <w:rsid w:val="00A56E03"/>
    <w:rsid w:val="00A5742E"/>
    <w:rsid w:val="00A621C9"/>
    <w:rsid w:val="00A70C8A"/>
    <w:rsid w:val="00A75E51"/>
    <w:rsid w:val="00A85D83"/>
    <w:rsid w:val="00A91B05"/>
    <w:rsid w:val="00A9400C"/>
    <w:rsid w:val="00A944AA"/>
    <w:rsid w:val="00AA3FE2"/>
    <w:rsid w:val="00AA5BA0"/>
    <w:rsid w:val="00AB69EF"/>
    <w:rsid w:val="00AC3089"/>
    <w:rsid w:val="00AC370C"/>
    <w:rsid w:val="00AC70FE"/>
    <w:rsid w:val="00AD2B5A"/>
    <w:rsid w:val="00AD55BF"/>
    <w:rsid w:val="00AD6247"/>
    <w:rsid w:val="00AD6609"/>
    <w:rsid w:val="00AE1DFE"/>
    <w:rsid w:val="00AE62AA"/>
    <w:rsid w:val="00AE7E53"/>
    <w:rsid w:val="00B11699"/>
    <w:rsid w:val="00B1665C"/>
    <w:rsid w:val="00B1748F"/>
    <w:rsid w:val="00B22CBE"/>
    <w:rsid w:val="00B250EA"/>
    <w:rsid w:val="00B27AA7"/>
    <w:rsid w:val="00B32C12"/>
    <w:rsid w:val="00B527C1"/>
    <w:rsid w:val="00B615CB"/>
    <w:rsid w:val="00B64FC7"/>
    <w:rsid w:val="00B72721"/>
    <w:rsid w:val="00B74698"/>
    <w:rsid w:val="00B773BD"/>
    <w:rsid w:val="00B81840"/>
    <w:rsid w:val="00B832A0"/>
    <w:rsid w:val="00B8430E"/>
    <w:rsid w:val="00BB7B88"/>
    <w:rsid w:val="00BB7E08"/>
    <w:rsid w:val="00BC089F"/>
    <w:rsid w:val="00BC4D4D"/>
    <w:rsid w:val="00BC6B09"/>
    <w:rsid w:val="00BD1A20"/>
    <w:rsid w:val="00C004CC"/>
    <w:rsid w:val="00C02E2C"/>
    <w:rsid w:val="00C045DB"/>
    <w:rsid w:val="00C13960"/>
    <w:rsid w:val="00C16696"/>
    <w:rsid w:val="00C26D45"/>
    <w:rsid w:val="00C27761"/>
    <w:rsid w:val="00C3641B"/>
    <w:rsid w:val="00C372A4"/>
    <w:rsid w:val="00C40E83"/>
    <w:rsid w:val="00C44990"/>
    <w:rsid w:val="00C45EC1"/>
    <w:rsid w:val="00C553C8"/>
    <w:rsid w:val="00C62E4E"/>
    <w:rsid w:val="00C65046"/>
    <w:rsid w:val="00C742EB"/>
    <w:rsid w:val="00C821FB"/>
    <w:rsid w:val="00C85634"/>
    <w:rsid w:val="00C90752"/>
    <w:rsid w:val="00C93780"/>
    <w:rsid w:val="00C95D9B"/>
    <w:rsid w:val="00C97BD8"/>
    <w:rsid w:val="00CA21D1"/>
    <w:rsid w:val="00CA3363"/>
    <w:rsid w:val="00CA6CF8"/>
    <w:rsid w:val="00CA7676"/>
    <w:rsid w:val="00CA7B74"/>
    <w:rsid w:val="00CB4649"/>
    <w:rsid w:val="00CB77E4"/>
    <w:rsid w:val="00CC5F0E"/>
    <w:rsid w:val="00CE0117"/>
    <w:rsid w:val="00CE0A27"/>
    <w:rsid w:val="00CE1354"/>
    <w:rsid w:val="00CE236E"/>
    <w:rsid w:val="00CE3D17"/>
    <w:rsid w:val="00CE4D05"/>
    <w:rsid w:val="00CF0E63"/>
    <w:rsid w:val="00D01B89"/>
    <w:rsid w:val="00D028CF"/>
    <w:rsid w:val="00D0358F"/>
    <w:rsid w:val="00D03DB9"/>
    <w:rsid w:val="00D12985"/>
    <w:rsid w:val="00D24E1B"/>
    <w:rsid w:val="00D31FE3"/>
    <w:rsid w:val="00D4044E"/>
    <w:rsid w:val="00D40B0C"/>
    <w:rsid w:val="00D417E8"/>
    <w:rsid w:val="00D418FF"/>
    <w:rsid w:val="00D530BF"/>
    <w:rsid w:val="00D53E4B"/>
    <w:rsid w:val="00D55CE5"/>
    <w:rsid w:val="00D6104C"/>
    <w:rsid w:val="00D645CB"/>
    <w:rsid w:val="00D65695"/>
    <w:rsid w:val="00D74FDC"/>
    <w:rsid w:val="00D84434"/>
    <w:rsid w:val="00D90B08"/>
    <w:rsid w:val="00D90BCB"/>
    <w:rsid w:val="00D91BF7"/>
    <w:rsid w:val="00D9559E"/>
    <w:rsid w:val="00D97AEA"/>
    <w:rsid w:val="00D97CCC"/>
    <w:rsid w:val="00DB112A"/>
    <w:rsid w:val="00DB6E2E"/>
    <w:rsid w:val="00DC0CA6"/>
    <w:rsid w:val="00DC56FC"/>
    <w:rsid w:val="00DD0E44"/>
    <w:rsid w:val="00DE13E5"/>
    <w:rsid w:val="00DE6280"/>
    <w:rsid w:val="00DF0D05"/>
    <w:rsid w:val="00DF13D5"/>
    <w:rsid w:val="00DF2233"/>
    <w:rsid w:val="00DF3145"/>
    <w:rsid w:val="00E04ACD"/>
    <w:rsid w:val="00E11DF9"/>
    <w:rsid w:val="00E17303"/>
    <w:rsid w:val="00E250B4"/>
    <w:rsid w:val="00E31095"/>
    <w:rsid w:val="00E336C3"/>
    <w:rsid w:val="00E34001"/>
    <w:rsid w:val="00E40A06"/>
    <w:rsid w:val="00E40B2F"/>
    <w:rsid w:val="00E53D85"/>
    <w:rsid w:val="00E56A91"/>
    <w:rsid w:val="00E628FE"/>
    <w:rsid w:val="00E722FF"/>
    <w:rsid w:val="00E83A95"/>
    <w:rsid w:val="00E97CB5"/>
    <w:rsid w:val="00EA583D"/>
    <w:rsid w:val="00EC0C34"/>
    <w:rsid w:val="00EC0E32"/>
    <w:rsid w:val="00EC1342"/>
    <w:rsid w:val="00EC2C00"/>
    <w:rsid w:val="00EC59C3"/>
    <w:rsid w:val="00EC6D75"/>
    <w:rsid w:val="00EC76DE"/>
    <w:rsid w:val="00ED1BDC"/>
    <w:rsid w:val="00ED35CD"/>
    <w:rsid w:val="00ED3822"/>
    <w:rsid w:val="00EE208D"/>
    <w:rsid w:val="00EE211B"/>
    <w:rsid w:val="00EE5744"/>
    <w:rsid w:val="00EF0381"/>
    <w:rsid w:val="00EF0B70"/>
    <w:rsid w:val="00EF0D24"/>
    <w:rsid w:val="00EF1DF2"/>
    <w:rsid w:val="00EF41B8"/>
    <w:rsid w:val="00EF4AB5"/>
    <w:rsid w:val="00EF506B"/>
    <w:rsid w:val="00F075C9"/>
    <w:rsid w:val="00F1177D"/>
    <w:rsid w:val="00F17424"/>
    <w:rsid w:val="00F2572A"/>
    <w:rsid w:val="00F3468E"/>
    <w:rsid w:val="00F34DBE"/>
    <w:rsid w:val="00F45892"/>
    <w:rsid w:val="00F45D6A"/>
    <w:rsid w:val="00F4657A"/>
    <w:rsid w:val="00F53A03"/>
    <w:rsid w:val="00F62E94"/>
    <w:rsid w:val="00F70355"/>
    <w:rsid w:val="00F738CC"/>
    <w:rsid w:val="00F7569D"/>
    <w:rsid w:val="00F76A3C"/>
    <w:rsid w:val="00F80B08"/>
    <w:rsid w:val="00F84375"/>
    <w:rsid w:val="00F878CF"/>
    <w:rsid w:val="00F96D4E"/>
    <w:rsid w:val="00FA3E14"/>
    <w:rsid w:val="00FA5A77"/>
    <w:rsid w:val="00FA793D"/>
    <w:rsid w:val="00FB7A93"/>
    <w:rsid w:val="00FC209E"/>
    <w:rsid w:val="00FC7B1E"/>
    <w:rsid w:val="00FD4884"/>
    <w:rsid w:val="00FD51F0"/>
    <w:rsid w:val="00FD6F14"/>
    <w:rsid w:val="00FE0572"/>
    <w:rsid w:val="00FE5A16"/>
    <w:rsid w:val="00FE62F7"/>
    <w:rsid w:val="00FE78F9"/>
    <w:rsid w:val="00FF0323"/>
    <w:rsid w:val="00FF45F6"/>
    <w:rsid w:val="00FF53B4"/>
  </w:rsids>
  <m:mathPr>
    <m:mathFont m:val="Cambria Math"/>
    <m:brkBin m:val="before"/>
    <m:brkBinSub m:val="--"/>
    <m:smallFrac m:val="0"/>
    <m:dispDef/>
    <m:lMargin m:val="0"/>
    <m:rMargin m:val="0"/>
    <m:defJc m:val="centerGroup"/>
    <m:wrapIndent m:val="1440"/>
    <m:intLim m:val="subSup"/>
    <m:naryLim m:val="undOvr"/>
  </m:mathPr>
  <w:themeFontLang w:val="fr-CA" w:eastAsia="fr-CA"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1DAF5C"/>
  <w15:docId w15:val="{05AA6C93-E2EE-48BF-8490-91061C7C5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F80B08"/>
    <w:pPr>
      <w:keepNext/>
      <w:keepLines/>
      <w:numPr>
        <w:numId w:val="1"/>
      </w:numPr>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F80B08"/>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F80B08"/>
    <w:pPr>
      <w:keepNext/>
      <w:keepLines/>
      <w:numPr>
        <w:ilvl w:val="2"/>
        <w:numId w:val="1"/>
      </w:numPr>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F80B08"/>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semiHidden/>
    <w:unhideWhenUsed/>
    <w:qFormat/>
    <w:rsid w:val="00F80B08"/>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Titre6">
    <w:name w:val="heading 6"/>
    <w:basedOn w:val="Normal"/>
    <w:next w:val="Normal"/>
    <w:link w:val="Titre6Car"/>
    <w:uiPriority w:val="9"/>
    <w:semiHidden/>
    <w:unhideWhenUsed/>
    <w:qFormat/>
    <w:rsid w:val="00F80B08"/>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Titre7">
    <w:name w:val="heading 7"/>
    <w:basedOn w:val="Normal"/>
    <w:next w:val="Normal"/>
    <w:link w:val="Titre7Car"/>
    <w:uiPriority w:val="9"/>
    <w:unhideWhenUsed/>
    <w:qFormat/>
    <w:rsid w:val="00F80B08"/>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Titre8">
    <w:name w:val="heading 8"/>
    <w:basedOn w:val="Normal"/>
    <w:next w:val="Normal"/>
    <w:link w:val="Titre8Car"/>
    <w:uiPriority w:val="9"/>
    <w:semiHidden/>
    <w:unhideWhenUsed/>
    <w:qFormat/>
    <w:rsid w:val="00F80B08"/>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F80B08"/>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List Bullet Mary,List Paragraph (numbered (a)),List Paragraph nowy,Bullets,Numbered List Paragraph,Liste 1,Medium Grid 1 - Accent 21,References,ReferencesCxSpLast,List Paragraph1,Bullet Paragraph,Liste couleur - Accent 11,Dot pt,RM1"/>
    <w:basedOn w:val="Normal"/>
    <w:link w:val="ParagraphedelisteCar"/>
    <w:uiPriority w:val="34"/>
    <w:qFormat/>
    <w:rsid w:val="00825055"/>
    <w:pPr>
      <w:ind w:left="720"/>
      <w:contextualSpacing/>
    </w:pPr>
  </w:style>
  <w:style w:type="character" w:customStyle="1" w:styleId="Titre1Car">
    <w:name w:val="Titre 1 Car"/>
    <w:basedOn w:val="Policepardfaut"/>
    <w:link w:val="Titre1"/>
    <w:uiPriority w:val="9"/>
    <w:rsid w:val="00F80B08"/>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rsid w:val="00F80B08"/>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rsid w:val="00F80B08"/>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rsid w:val="00F80B08"/>
    <w:rPr>
      <w:rFonts w:asciiTheme="majorHAnsi" w:eastAsiaTheme="majorEastAsia" w:hAnsiTheme="majorHAnsi" w:cstheme="majorBidi"/>
      <w:i/>
      <w:iCs/>
      <w:color w:val="2F5496" w:themeColor="accent1" w:themeShade="BF"/>
    </w:rPr>
  </w:style>
  <w:style w:type="character" w:customStyle="1" w:styleId="Titre5Car">
    <w:name w:val="Titre 5 Car"/>
    <w:basedOn w:val="Policepardfaut"/>
    <w:link w:val="Titre5"/>
    <w:uiPriority w:val="9"/>
    <w:semiHidden/>
    <w:rsid w:val="00F80B08"/>
    <w:rPr>
      <w:rFonts w:asciiTheme="majorHAnsi" w:eastAsiaTheme="majorEastAsia" w:hAnsiTheme="majorHAnsi" w:cstheme="majorBidi"/>
      <w:color w:val="2F5496" w:themeColor="accent1" w:themeShade="BF"/>
    </w:rPr>
  </w:style>
  <w:style w:type="character" w:customStyle="1" w:styleId="Titre6Car">
    <w:name w:val="Titre 6 Car"/>
    <w:basedOn w:val="Policepardfaut"/>
    <w:link w:val="Titre6"/>
    <w:uiPriority w:val="9"/>
    <w:semiHidden/>
    <w:rsid w:val="00F80B08"/>
    <w:rPr>
      <w:rFonts w:asciiTheme="majorHAnsi" w:eastAsiaTheme="majorEastAsia" w:hAnsiTheme="majorHAnsi" w:cstheme="majorBidi"/>
      <w:color w:val="1F3763" w:themeColor="accent1" w:themeShade="7F"/>
    </w:rPr>
  </w:style>
  <w:style w:type="character" w:customStyle="1" w:styleId="Titre7Car">
    <w:name w:val="Titre 7 Car"/>
    <w:basedOn w:val="Policepardfaut"/>
    <w:link w:val="Titre7"/>
    <w:uiPriority w:val="9"/>
    <w:rsid w:val="00F80B08"/>
    <w:rPr>
      <w:rFonts w:asciiTheme="majorHAnsi" w:eastAsiaTheme="majorEastAsia" w:hAnsiTheme="majorHAnsi" w:cstheme="majorBidi"/>
      <w:i/>
      <w:iCs/>
      <w:color w:val="1F3763" w:themeColor="accent1" w:themeShade="7F"/>
    </w:rPr>
  </w:style>
  <w:style w:type="character" w:customStyle="1" w:styleId="Titre8Car">
    <w:name w:val="Titre 8 Car"/>
    <w:basedOn w:val="Policepardfaut"/>
    <w:link w:val="Titre8"/>
    <w:uiPriority w:val="9"/>
    <w:semiHidden/>
    <w:rsid w:val="00F80B08"/>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F80B08"/>
    <w:rPr>
      <w:rFonts w:asciiTheme="majorHAnsi" w:eastAsiaTheme="majorEastAsia" w:hAnsiTheme="majorHAnsi" w:cstheme="majorBidi"/>
      <w:i/>
      <w:iCs/>
      <w:color w:val="272727" w:themeColor="text1" w:themeTint="D8"/>
      <w:sz w:val="21"/>
      <w:szCs w:val="21"/>
    </w:rPr>
  </w:style>
  <w:style w:type="character" w:styleId="Marquedecommentaire">
    <w:name w:val="annotation reference"/>
    <w:basedOn w:val="Policepardfaut"/>
    <w:uiPriority w:val="99"/>
    <w:semiHidden/>
    <w:unhideWhenUsed/>
    <w:rsid w:val="009C0A62"/>
    <w:rPr>
      <w:sz w:val="16"/>
      <w:szCs w:val="16"/>
    </w:rPr>
  </w:style>
  <w:style w:type="paragraph" w:styleId="Commentaire">
    <w:name w:val="annotation text"/>
    <w:basedOn w:val="Normal"/>
    <w:link w:val="CommentaireCar"/>
    <w:uiPriority w:val="99"/>
    <w:unhideWhenUsed/>
    <w:rsid w:val="009C0A62"/>
    <w:pPr>
      <w:spacing w:line="240" w:lineRule="auto"/>
    </w:pPr>
    <w:rPr>
      <w:sz w:val="20"/>
      <w:szCs w:val="20"/>
    </w:rPr>
  </w:style>
  <w:style w:type="character" w:customStyle="1" w:styleId="CommentaireCar">
    <w:name w:val="Commentaire Car"/>
    <w:basedOn w:val="Policepardfaut"/>
    <w:link w:val="Commentaire"/>
    <w:uiPriority w:val="99"/>
    <w:rsid w:val="009C0A62"/>
    <w:rPr>
      <w:sz w:val="20"/>
      <w:szCs w:val="20"/>
    </w:rPr>
  </w:style>
  <w:style w:type="paragraph" w:styleId="Objetducommentaire">
    <w:name w:val="annotation subject"/>
    <w:basedOn w:val="Commentaire"/>
    <w:next w:val="Commentaire"/>
    <w:link w:val="ObjetducommentaireCar"/>
    <w:uiPriority w:val="99"/>
    <w:semiHidden/>
    <w:unhideWhenUsed/>
    <w:rsid w:val="009C0A62"/>
    <w:rPr>
      <w:b/>
      <w:bCs/>
    </w:rPr>
  </w:style>
  <w:style w:type="character" w:customStyle="1" w:styleId="ObjetducommentaireCar">
    <w:name w:val="Objet du commentaire Car"/>
    <w:basedOn w:val="CommentaireCar"/>
    <w:link w:val="Objetducommentaire"/>
    <w:uiPriority w:val="99"/>
    <w:semiHidden/>
    <w:rsid w:val="009C0A62"/>
    <w:rPr>
      <w:b/>
      <w:bCs/>
      <w:sz w:val="20"/>
      <w:szCs w:val="20"/>
    </w:rPr>
  </w:style>
  <w:style w:type="paragraph" w:styleId="Textedebulles">
    <w:name w:val="Balloon Text"/>
    <w:basedOn w:val="Normal"/>
    <w:link w:val="TextedebullesCar"/>
    <w:uiPriority w:val="99"/>
    <w:semiHidden/>
    <w:unhideWhenUsed/>
    <w:rsid w:val="009C0A6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9C0A62"/>
    <w:rPr>
      <w:rFonts w:ascii="Segoe UI" w:hAnsi="Segoe UI" w:cs="Segoe UI"/>
      <w:sz w:val="18"/>
      <w:szCs w:val="18"/>
    </w:rPr>
  </w:style>
  <w:style w:type="character" w:customStyle="1" w:styleId="ParagraphedelisteCar">
    <w:name w:val="Paragraphe de liste Car"/>
    <w:aliases w:val="List Bullet Mary Car,List Paragraph (numbered (a)) Car,List Paragraph nowy Car,Bullets Car,Numbered List Paragraph Car,Liste 1 Car,Medium Grid 1 - Accent 21 Car,References Car,ReferencesCxSpLast Car,List Paragraph1 Car,Dot pt Car"/>
    <w:link w:val="Paragraphedeliste"/>
    <w:uiPriority w:val="34"/>
    <w:qFormat/>
    <w:locked/>
    <w:rsid w:val="000D0291"/>
  </w:style>
  <w:style w:type="character" w:customStyle="1" w:styleId="MediumGrid1-Accent2Char">
    <w:name w:val="Medium Grid 1 - Accent 2 Char"/>
    <w:link w:val="Grillemoyenne1-Accent21"/>
    <w:uiPriority w:val="34"/>
    <w:locked/>
    <w:rsid w:val="000D0291"/>
  </w:style>
  <w:style w:type="paragraph" w:customStyle="1" w:styleId="Grillemoyenne1-Accent21">
    <w:name w:val="Grille moyenne 1 - Accent 21"/>
    <w:basedOn w:val="Normal"/>
    <w:link w:val="MediumGrid1-Accent2Char"/>
    <w:uiPriority w:val="34"/>
    <w:qFormat/>
    <w:rsid w:val="000D0291"/>
    <w:pPr>
      <w:spacing w:after="200" w:line="276" w:lineRule="auto"/>
      <w:ind w:left="720"/>
      <w:contextualSpacing/>
    </w:pPr>
  </w:style>
  <w:style w:type="paragraph" w:styleId="NormalWeb">
    <w:name w:val="Normal (Web)"/>
    <w:basedOn w:val="Normal"/>
    <w:uiPriority w:val="99"/>
    <w:unhideWhenUsed/>
    <w:rsid w:val="000D0291"/>
    <w:pPr>
      <w:spacing w:before="100" w:beforeAutospacing="1" w:after="100" w:afterAutospacing="1" w:line="240" w:lineRule="auto"/>
    </w:pPr>
    <w:rPr>
      <w:rFonts w:ascii="Times New Roman" w:eastAsiaTheme="minorEastAsia" w:hAnsi="Times New Roman" w:cs="Times New Roman"/>
      <w:sz w:val="24"/>
      <w:szCs w:val="24"/>
      <w:lang w:eastAsia="fr-CA"/>
    </w:rPr>
  </w:style>
  <w:style w:type="paragraph" w:styleId="Notedebasdepage">
    <w:name w:val="footnote text"/>
    <w:aliases w:val="Footnote Text1,single space,Fodnotetekst Tegn,footnote text Char,Fodnotetekst Tegn Char,single space Char,footnote text Char Char Char,Fodnotetekst Tegn Char1,single space Char1,footnote text Char Char1,FOOTNOTES,fn,footnote text,f"/>
    <w:basedOn w:val="Normal"/>
    <w:link w:val="NotedebasdepageCar"/>
    <w:uiPriority w:val="99"/>
    <w:unhideWhenUsed/>
    <w:qFormat/>
    <w:rsid w:val="000D0291"/>
    <w:pPr>
      <w:spacing w:after="0" w:line="240" w:lineRule="auto"/>
    </w:pPr>
    <w:rPr>
      <w:rFonts w:eastAsiaTheme="minorEastAsia"/>
      <w:sz w:val="24"/>
      <w:szCs w:val="24"/>
      <w:lang w:val="en-GB" w:eastAsia="fr-FR"/>
    </w:rPr>
  </w:style>
  <w:style w:type="character" w:customStyle="1" w:styleId="NotedebasdepageCar">
    <w:name w:val="Note de bas de page Car"/>
    <w:aliases w:val="Footnote Text1 Car,single space Car,Fodnotetekst Tegn Car,footnote text Char Car,Fodnotetekst Tegn Char Car,single space Char Car,footnote text Char Char Char Car,Fodnotetekst Tegn Char1 Car,single space Char1 Car,FOOTNOTES Car"/>
    <w:basedOn w:val="Policepardfaut"/>
    <w:link w:val="Notedebasdepage"/>
    <w:uiPriority w:val="99"/>
    <w:rsid w:val="000D0291"/>
    <w:rPr>
      <w:rFonts w:eastAsiaTheme="minorEastAsia"/>
      <w:sz w:val="24"/>
      <w:szCs w:val="24"/>
      <w:lang w:val="en-GB" w:eastAsia="fr-FR"/>
    </w:rPr>
  </w:style>
  <w:style w:type="character" w:styleId="Appelnotedebasdep">
    <w:name w:val="footnote reference"/>
    <w:aliases w:val="note bp,ftref,16 Point,Superscript 6 Point,Car Car Char Car Char Car Car Char Car Char Char,Car Car Car Car Car Car Car Car Char Car Car Char Car Car Car Char Car Char Char Char,BVI fnr,Ref,de nota al pie,note de bas de page,fr"/>
    <w:basedOn w:val="Policepardfaut"/>
    <w:link w:val="BVIfnrCharChar"/>
    <w:uiPriority w:val="99"/>
    <w:unhideWhenUsed/>
    <w:qFormat/>
    <w:rsid w:val="000D0291"/>
    <w:rPr>
      <w:vertAlign w:val="superscript"/>
    </w:rPr>
  </w:style>
  <w:style w:type="paragraph" w:styleId="En-tte">
    <w:name w:val="header"/>
    <w:basedOn w:val="Normal"/>
    <w:link w:val="En-tteCar"/>
    <w:uiPriority w:val="99"/>
    <w:unhideWhenUsed/>
    <w:rsid w:val="00015A62"/>
    <w:pPr>
      <w:tabs>
        <w:tab w:val="center" w:pos="4536"/>
        <w:tab w:val="right" w:pos="9072"/>
      </w:tabs>
      <w:spacing w:after="0" w:line="240" w:lineRule="auto"/>
    </w:pPr>
  </w:style>
  <w:style w:type="character" w:customStyle="1" w:styleId="En-tteCar">
    <w:name w:val="En-tête Car"/>
    <w:basedOn w:val="Policepardfaut"/>
    <w:link w:val="En-tte"/>
    <w:uiPriority w:val="99"/>
    <w:rsid w:val="00015A62"/>
  </w:style>
  <w:style w:type="paragraph" w:styleId="Pieddepage">
    <w:name w:val="footer"/>
    <w:basedOn w:val="Normal"/>
    <w:link w:val="PieddepageCar"/>
    <w:uiPriority w:val="99"/>
    <w:unhideWhenUsed/>
    <w:rsid w:val="00015A6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15A62"/>
  </w:style>
  <w:style w:type="paragraph" w:customStyle="1" w:styleId="Default">
    <w:name w:val="Default"/>
    <w:rsid w:val="00280E7D"/>
    <w:pPr>
      <w:autoSpaceDE w:val="0"/>
      <w:autoSpaceDN w:val="0"/>
      <w:adjustRightInd w:val="0"/>
      <w:spacing w:after="0" w:line="240" w:lineRule="auto"/>
    </w:pPr>
    <w:rPr>
      <w:rFonts w:ascii="Times New Roman" w:hAnsi="Times New Roman" w:cs="Times New Roman"/>
      <w:color w:val="000000"/>
      <w:sz w:val="24"/>
      <w:szCs w:val="24"/>
      <w:lang w:val="fr-FR"/>
    </w:rPr>
  </w:style>
  <w:style w:type="paragraph" w:customStyle="1" w:styleId="Style">
    <w:name w:val="Style"/>
    <w:rsid w:val="00E628FE"/>
    <w:pPr>
      <w:widowControl w:val="0"/>
      <w:autoSpaceDE w:val="0"/>
      <w:autoSpaceDN w:val="0"/>
      <w:adjustRightInd w:val="0"/>
      <w:spacing w:after="0" w:line="240" w:lineRule="auto"/>
    </w:pPr>
    <w:rPr>
      <w:rFonts w:ascii="Arial" w:eastAsia="Times New Roman" w:hAnsi="Arial" w:cs="Arial"/>
      <w:sz w:val="24"/>
      <w:szCs w:val="24"/>
      <w:lang w:val="fr-FR" w:eastAsia="fr-FR"/>
    </w:rPr>
  </w:style>
  <w:style w:type="paragraph" w:customStyle="1" w:styleId="BVIfnrCharChar">
    <w:name w:val="BVI fnr Char Char"/>
    <w:aliases w:val="BVI fnr Car Car Char Char,BVI fnr Car Char Char,BVI fnr Car Car Car Car Char Char,BVI fnr Car Car Car Car Char Char Char1"/>
    <w:basedOn w:val="Normal"/>
    <w:link w:val="Appelnotedebasdep"/>
    <w:rsid w:val="00E628FE"/>
    <w:pPr>
      <w:spacing w:after="120" w:line="240" w:lineRule="exact"/>
      <w:ind w:left="567" w:hanging="567"/>
      <w:jc w:val="both"/>
    </w:pPr>
    <w:rPr>
      <w:vertAlign w:val="superscript"/>
    </w:rPr>
  </w:style>
  <w:style w:type="paragraph" w:styleId="Lgende">
    <w:name w:val="caption"/>
    <w:aliases w:val="Légende Car"/>
    <w:basedOn w:val="Normal"/>
    <w:next w:val="Normal"/>
    <w:link w:val="LgendeCar1"/>
    <w:unhideWhenUsed/>
    <w:qFormat/>
    <w:rsid w:val="00E628FE"/>
    <w:pPr>
      <w:spacing w:after="0" w:line="240" w:lineRule="auto"/>
    </w:pPr>
    <w:rPr>
      <w:rFonts w:ascii="Times New Roman" w:eastAsia="Times New Roman" w:hAnsi="Times New Roman" w:cs="Times New Roman"/>
      <w:b/>
      <w:bCs/>
      <w:sz w:val="20"/>
      <w:szCs w:val="20"/>
      <w:lang w:val="fr-FR" w:eastAsia="en-GB"/>
    </w:rPr>
  </w:style>
  <w:style w:type="character" w:customStyle="1" w:styleId="s2">
    <w:name w:val="s2"/>
    <w:basedOn w:val="Policepardfaut"/>
    <w:rsid w:val="00E628FE"/>
  </w:style>
  <w:style w:type="paragraph" w:customStyle="1" w:styleId="Corps">
    <w:name w:val="Corps"/>
    <w:rsid w:val="00E628FE"/>
    <w:pPr>
      <w:pBdr>
        <w:top w:val="nil"/>
        <w:left w:val="nil"/>
        <w:bottom w:val="nil"/>
        <w:right w:val="nil"/>
        <w:between w:val="nil"/>
        <w:bar w:val="nil"/>
      </w:pBdr>
      <w:spacing w:after="200" w:line="276" w:lineRule="auto"/>
    </w:pPr>
    <w:rPr>
      <w:rFonts w:ascii="Calibri" w:eastAsia="Calibri" w:hAnsi="Calibri" w:cs="Calibri"/>
      <w:color w:val="000000"/>
      <w:u w:color="000000"/>
      <w:bdr w:val="nil"/>
      <w:lang w:val="fr-CI"/>
    </w:rPr>
  </w:style>
  <w:style w:type="character" w:customStyle="1" w:styleId="normal0">
    <w:name w:val="normal.0"/>
    <w:rsid w:val="00E628FE"/>
  </w:style>
  <w:style w:type="paragraph" w:customStyle="1" w:styleId="BodyText">
    <w:name w:val="Body_Text"/>
    <w:rsid w:val="00E628FE"/>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lang w:val="fr-FR"/>
    </w:rPr>
  </w:style>
  <w:style w:type="character" w:customStyle="1" w:styleId="LgendeCar1">
    <w:name w:val="Légende Car1"/>
    <w:aliases w:val="Légende Car Car"/>
    <w:link w:val="Lgende"/>
    <w:rsid w:val="00E628FE"/>
    <w:rPr>
      <w:rFonts w:ascii="Times New Roman" w:eastAsia="Times New Roman" w:hAnsi="Times New Roman" w:cs="Times New Roman"/>
      <w:b/>
      <w:bCs/>
      <w:sz w:val="20"/>
      <w:szCs w:val="20"/>
      <w:lang w:val="fr-FR" w:eastAsia="en-GB"/>
    </w:rPr>
  </w:style>
  <w:style w:type="table" w:customStyle="1" w:styleId="TableauGrille4-Accentuation11">
    <w:name w:val="Tableau Grille 4 - Accentuation 11"/>
    <w:basedOn w:val="TableauNormal"/>
    <w:uiPriority w:val="49"/>
    <w:rsid w:val="00E628FE"/>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lledutableau">
    <w:name w:val="Table Grid"/>
    <w:basedOn w:val="TableauNormal"/>
    <w:uiPriority w:val="39"/>
    <w:rsid w:val="00EC134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fin">
    <w:name w:val="endnote text"/>
    <w:basedOn w:val="Normal"/>
    <w:link w:val="NotedefinCar"/>
    <w:uiPriority w:val="99"/>
    <w:semiHidden/>
    <w:unhideWhenUsed/>
    <w:rsid w:val="00E83A95"/>
    <w:pPr>
      <w:spacing w:after="0" w:line="240" w:lineRule="auto"/>
    </w:pPr>
    <w:rPr>
      <w:sz w:val="20"/>
      <w:szCs w:val="20"/>
    </w:rPr>
  </w:style>
  <w:style w:type="character" w:customStyle="1" w:styleId="NotedefinCar">
    <w:name w:val="Note de fin Car"/>
    <w:basedOn w:val="Policepardfaut"/>
    <w:link w:val="Notedefin"/>
    <w:uiPriority w:val="99"/>
    <w:semiHidden/>
    <w:rsid w:val="00E83A95"/>
    <w:rPr>
      <w:sz w:val="20"/>
      <w:szCs w:val="20"/>
    </w:rPr>
  </w:style>
  <w:style w:type="character" w:styleId="Appeldenotedefin">
    <w:name w:val="endnote reference"/>
    <w:basedOn w:val="Policepardfaut"/>
    <w:uiPriority w:val="99"/>
    <w:semiHidden/>
    <w:unhideWhenUsed/>
    <w:rsid w:val="00E83A95"/>
    <w:rPr>
      <w:vertAlign w:val="superscript"/>
    </w:rPr>
  </w:style>
  <w:style w:type="paragraph" w:styleId="TM1">
    <w:name w:val="toc 1"/>
    <w:basedOn w:val="Normal"/>
    <w:next w:val="Normal"/>
    <w:autoRedefine/>
    <w:uiPriority w:val="39"/>
    <w:unhideWhenUsed/>
    <w:rsid w:val="00C742EB"/>
    <w:pPr>
      <w:tabs>
        <w:tab w:val="right" w:leader="dot" w:pos="9678"/>
      </w:tabs>
      <w:spacing w:after="100"/>
    </w:pPr>
    <w:rPr>
      <w:rFonts w:ascii="Times New Roman" w:hAnsi="Times New Roman" w:cs="Times New Roman"/>
      <w:noProof/>
      <w:sz w:val="24"/>
      <w:lang w:val="fr-FR"/>
    </w:rPr>
  </w:style>
  <w:style w:type="paragraph" w:styleId="TM2">
    <w:name w:val="toc 2"/>
    <w:basedOn w:val="Normal"/>
    <w:next w:val="Normal"/>
    <w:autoRedefine/>
    <w:uiPriority w:val="39"/>
    <w:unhideWhenUsed/>
    <w:rsid w:val="006C0B89"/>
    <w:pPr>
      <w:spacing w:after="100"/>
      <w:ind w:left="220"/>
    </w:pPr>
  </w:style>
  <w:style w:type="paragraph" w:styleId="TM3">
    <w:name w:val="toc 3"/>
    <w:basedOn w:val="Normal"/>
    <w:next w:val="Normal"/>
    <w:autoRedefine/>
    <w:uiPriority w:val="39"/>
    <w:unhideWhenUsed/>
    <w:rsid w:val="006C0B89"/>
    <w:pPr>
      <w:spacing w:after="100"/>
      <w:ind w:left="440"/>
    </w:pPr>
  </w:style>
  <w:style w:type="character" w:styleId="Lienhypertexte">
    <w:name w:val="Hyperlink"/>
    <w:basedOn w:val="Policepardfaut"/>
    <w:uiPriority w:val="99"/>
    <w:unhideWhenUsed/>
    <w:rsid w:val="006C0B89"/>
    <w:rPr>
      <w:color w:val="0563C1" w:themeColor="hyperlink"/>
      <w:u w:val="single"/>
    </w:rPr>
  </w:style>
  <w:style w:type="paragraph" w:styleId="Tabledesillustrations">
    <w:name w:val="table of figures"/>
    <w:basedOn w:val="Normal"/>
    <w:next w:val="Normal"/>
    <w:uiPriority w:val="99"/>
    <w:unhideWhenUsed/>
    <w:rsid w:val="00A70C8A"/>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6092">
      <w:bodyDiv w:val="1"/>
      <w:marLeft w:val="0"/>
      <w:marRight w:val="0"/>
      <w:marTop w:val="0"/>
      <w:marBottom w:val="0"/>
      <w:divBdr>
        <w:top w:val="none" w:sz="0" w:space="0" w:color="auto"/>
        <w:left w:val="none" w:sz="0" w:space="0" w:color="auto"/>
        <w:bottom w:val="none" w:sz="0" w:space="0" w:color="auto"/>
        <w:right w:val="none" w:sz="0" w:space="0" w:color="auto"/>
      </w:divBdr>
    </w:div>
    <w:div w:id="52118530">
      <w:bodyDiv w:val="1"/>
      <w:marLeft w:val="0"/>
      <w:marRight w:val="0"/>
      <w:marTop w:val="0"/>
      <w:marBottom w:val="0"/>
      <w:divBdr>
        <w:top w:val="none" w:sz="0" w:space="0" w:color="auto"/>
        <w:left w:val="none" w:sz="0" w:space="0" w:color="auto"/>
        <w:bottom w:val="none" w:sz="0" w:space="0" w:color="auto"/>
        <w:right w:val="none" w:sz="0" w:space="0" w:color="auto"/>
      </w:divBdr>
    </w:div>
    <w:div w:id="57361532">
      <w:bodyDiv w:val="1"/>
      <w:marLeft w:val="0"/>
      <w:marRight w:val="0"/>
      <w:marTop w:val="0"/>
      <w:marBottom w:val="0"/>
      <w:divBdr>
        <w:top w:val="none" w:sz="0" w:space="0" w:color="auto"/>
        <w:left w:val="none" w:sz="0" w:space="0" w:color="auto"/>
        <w:bottom w:val="none" w:sz="0" w:space="0" w:color="auto"/>
        <w:right w:val="none" w:sz="0" w:space="0" w:color="auto"/>
      </w:divBdr>
    </w:div>
    <w:div w:id="87119869">
      <w:bodyDiv w:val="1"/>
      <w:marLeft w:val="0"/>
      <w:marRight w:val="0"/>
      <w:marTop w:val="0"/>
      <w:marBottom w:val="0"/>
      <w:divBdr>
        <w:top w:val="none" w:sz="0" w:space="0" w:color="auto"/>
        <w:left w:val="none" w:sz="0" w:space="0" w:color="auto"/>
        <w:bottom w:val="none" w:sz="0" w:space="0" w:color="auto"/>
        <w:right w:val="none" w:sz="0" w:space="0" w:color="auto"/>
      </w:divBdr>
    </w:div>
    <w:div w:id="111871246">
      <w:bodyDiv w:val="1"/>
      <w:marLeft w:val="0"/>
      <w:marRight w:val="0"/>
      <w:marTop w:val="0"/>
      <w:marBottom w:val="0"/>
      <w:divBdr>
        <w:top w:val="none" w:sz="0" w:space="0" w:color="auto"/>
        <w:left w:val="none" w:sz="0" w:space="0" w:color="auto"/>
        <w:bottom w:val="none" w:sz="0" w:space="0" w:color="auto"/>
        <w:right w:val="none" w:sz="0" w:space="0" w:color="auto"/>
      </w:divBdr>
    </w:div>
    <w:div w:id="151218530">
      <w:bodyDiv w:val="1"/>
      <w:marLeft w:val="0"/>
      <w:marRight w:val="0"/>
      <w:marTop w:val="0"/>
      <w:marBottom w:val="0"/>
      <w:divBdr>
        <w:top w:val="none" w:sz="0" w:space="0" w:color="auto"/>
        <w:left w:val="none" w:sz="0" w:space="0" w:color="auto"/>
        <w:bottom w:val="none" w:sz="0" w:space="0" w:color="auto"/>
        <w:right w:val="none" w:sz="0" w:space="0" w:color="auto"/>
      </w:divBdr>
    </w:div>
    <w:div w:id="173767301">
      <w:bodyDiv w:val="1"/>
      <w:marLeft w:val="0"/>
      <w:marRight w:val="0"/>
      <w:marTop w:val="0"/>
      <w:marBottom w:val="0"/>
      <w:divBdr>
        <w:top w:val="none" w:sz="0" w:space="0" w:color="auto"/>
        <w:left w:val="none" w:sz="0" w:space="0" w:color="auto"/>
        <w:bottom w:val="none" w:sz="0" w:space="0" w:color="auto"/>
        <w:right w:val="none" w:sz="0" w:space="0" w:color="auto"/>
      </w:divBdr>
    </w:div>
    <w:div w:id="197007260">
      <w:bodyDiv w:val="1"/>
      <w:marLeft w:val="0"/>
      <w:marRight w:val="0"/>
      <w:marTop w:val="0"/>
      <w:marBottom w:val="0"/>
      <w:divBdr>
        <w:top w:val="none" w:sz="0" w:space="0" w:color="auto"/>
        <w:left w:val="none" w:sz="0" w:space="0" w:color="auto"/>
        <w:bottom w:val="none" w:sz="0" w:space="0" w:color="auto"/>
        <w:right w:val="none" w:sz="0" w:space="0" w:color="auto"/>
      </w:divBdr>
    </w:div>
    <w:div w:id="306276702">
      <w:bodyDiv w:val="1"/>
      <w:marLeft w:val="0"/>
      <w:marRight w:val="0"/>
      <w:marTop w:val="0"/>
      <w:marBottom w:val="0"/>
      <w:divBdr>
        <w:top w:val="none" w:sz="0" w:space="0" w:color="auto"/>
        <w:left w:val="none" w:sz="0" w:space="0" w:color="auto"/>
        <w:bottom w:val="none" w:sz="0" w:space="0" w:color="auto"/>
        <w:right w:val="none" w:sz="0" w:space="0" w:color="auto"/>
      </w:divBdr>
    </w:div>
    <w:div w:id="428043481">
      <w:bodyDiv w:val="1"/>
      <w:marLeft w:val="0"/>
      <w:marRight w:val="0"/>
      <w:marTop w:val="0"/>
      <w:marBottom w:val="0"/>
      <w:divBdr>
        <w:top w:val="none" w:sz="0" w:space="0" w:color="auto"/>
        <w:left w:val="none" w:sz="0" w:space="0" w:color="auto"/>
        <w:bottom w:val="none" w:sz="0" w:space="0" w:color="auto"/>
        <w:right w:val="none" w:sz="0" w:space="0" w:color="auto"/>
      </w:divBdr>
    </w:div>
    <w:div w:id="439375253">
      <w:bodyDiv w:val="1"/>
      <w:marLeft w:val="0"/>
      <w:marRight w:val="0"/>
      <w:marTop w:val="0"/>
      <w:marBottom w:val="0"/>
      <w:divBdr>
        <w:top w:val="none" w:sz="0" w:space="0" w:color="auto"/>
        <w:left w:val="none" w:sz="0" w:space="0" w:color="auto"/>
        <w:bottom w:val="none" w:sz="0" w:space="0" w:color="auto"/>
        <w:right w:val="none" w:sz="0" w:space="0" w:color="auto"/>
      </w:divBdr>
    </w:div>
    <w:div w:id="453327874">
      <w:bodyDiv w:val="1"/>
      <w:marLeft w:val="0"/>
      <w:marRight w:val="0"/>
      <w:marTop w:val="0"/>
      <w:marBottom w:val="0"/>
      <w:divBdr>
        <w:top w:val="none" w:sz="0" w:space="0" w:color="auto"/>
        <w:left w:val="none" w:sz="0" w:space="0" w:color="auto"/>
        <w:bottom w:val="none" w:sz="0" w:space="0" w:color="auto"/>
        <w:right w:val="none" w:sz="0" w:space="0" w:color="auto"/>
      </w:divBdr>
    </w:div>
    <w:div w:id="457576179">
      <w:bodyDiv w:val="1"/>
      <w:marLeft w:val="0"/>
      <w:marRight w:val="0"/>
      <w:marTop w:val="0"/>
      <w:marBottom w:val="0"/>
      <w:divBdr>
        <w:top w:val="none" w:sz="0" w:space="0" w:color="auto"/>
        <w:left w:val="none" w:sz="0" w:space="0" w:color="auto"/>
        <w:bottom w:val="none" w:sz="0" w:space="0" w:color="auto"/>
        <w:right w:val="none" w:sz="0" w:space="0" w:color="auto"/>
      </w:divBdr>
    </w:div>
    <w:div w:id="494995233">
      <w:bodyDiv w:val="1"/>
      <w:marLeft w:val="0"/>
      <w:marRight w:val="0"/>
      <w:marTop w:val="0"/>
      <w:marBottom w:val="0"/>
      <w:divBdr>
        <w:top w:val="none" w:sz="0" w:space="0" w:color="auto"/>
        <w:left w:val="none" w:sz="0" w:space="0" w:color="auto"/>
        <w:bottom w:val="none" w:sz="0" w:space="0" w:color="auto"/>
        <w:right w:val="none" w:sz="0" w:space="0" w:color="auto"/>
      </w:divBdr>
    </w:div>
    <w:div w:id="590359511">
      <w:bodyDiv w:val="1"/>
      <w:marLeft w:val="0"/>
      <w:marRight w:val="0"/>
      <w:marTop w:val="0"/>
      <w:marBottom w:val="0"/>
      <w:divBdr>
        <w:top w:val="none" w:sz="0" w:space="0" w:color="auto"/>
        <w:left w:val="none" w:sz="0" w:space="0" w:color="auto"/>
        <w:bottom w:val="none" w:sz="0" w:space="0" w:color="auto"/>
        <w:right w:val="none" w:sz="0" w:space="0" w:color="auto"/>
      </w:divBdr>
    </w:div>
    <w:div w:id="821388858">
      <w:bodyDiv w:val="1"/>
      <w:marLeft w:val="0"/>
      <w:marRight w:val="0"/>
      <w:marTop w:val="0"/>
      <w:marBottom w:val="0"/>
      <w:divBdr>
        <w:top w:val="none" w:sz="0" w:space="0" w:color="auto"/>
        <w:left w:val="none" w:sz="0" w:space="0" w:color="auto"/>
        <w:bottom w:val="none" w:sz="0" w:space="0" w:color="auto"/>
        <w:right w:val="none" w:sz="0" w:space="0" w:color="auto"/>
      </w:divBdr>
    </w:div>
    <w:div w:id="825819795">
      <w:bodyDiv w:val="1"/>
      <w:marLeft w:val="0"/>
      <w:marRight w:val="0"/>
      <w:marTop w:val="0"/>
      <w:marBottom w:val="0"/>
      <w:divBdr>
        <w:top w:val="none" w:sz="0" w:space="0" w:color="auto"/>
        <w:left w:val="none" w:sz="0" w:space="0" w:color="auto"/>
        <w:bottom w:val="none" w:sz="0" w:space="0" w:color="auto"/>
        <w:right w:val="none" w:sz="0" w:space="0" w:color="auto"/>
      </w:divBdr>
    </w:div>
    <w:div w:id="989599283">
      <w:bodyDiv w:val="1"/>
      <w:marLeft w:val="0"/>
      <w:marRight w:val="0"/>
      <w:marTop w:val="0"/>
      <w:marBottom w:val="0"/>
      <w:divBdr>
        <w:top w:val="none" w:sz="0" w:space="0" w:color="auto"/>
        <w:left w:val="none" w:sz="0" w:space="0" w:color="auto"/>
        <w:bottom w:val="none" w:sz="0" w:space="0" w:color="auto"/>
        <w:right w:val="none" w:sz="0" w:space="0" w:color="auto"/>
      </w:divBdr>
    </w:div>
    <w:div w:id="1017922143">
      <w:bodyDiv w:val="1"/>
      <w:marLeft w:val="0"/>
      <w:marRight w:val="0"/>
      <w:marTop w:val="0"/>
      <w:marBottom w:val="0"/>
      <w:divBdr>
        <w:top w:val="none" w:sz="0" w:space="0" w:color="auto"/>
        <w:left w:val="none" w:sz="0" w:space="0" w:color="auto"/>
        <w:bottom w:val="none" w:sz="0" w:space="0" w:color="auto"/>
        <w:right w:val="none" w:sz="0" w:space="0" w:color="auto"/>
      </w:divBdr>
    </w:div>
    <w:div w:id="1026753769">
      <w:bodyDiv w:val="1"/>
      <w:marLeft w:val="0"/>
      <w:marRight w:val="0"/>
      <w:marTop w:val="0"/>
      <w:marBottom w:val="0"/>
      <w:divBdr>
        <w:top w:val="none" w:sz="0" w:space="0" w:color="auto"/>
        <w:left w:val="none" w:sz="0" w:space="0" w:color="auto"/>
        <w:bottom w:val="none" w:sz="0" w:space="0" w:color="auto"/>
        <w:right w:val="none" w:sz="0" w:space="0" w:color="auto"/>
      </w:divBdr>
    </w:div>
    <w:div w:id="1118260980">
      <w:bodyDiv w:val="1"/>
      <w:marLeft w:val="0"/>
      <w:marRight w:val="0"/>
      <w:marTop w:val="0"/>
      <w:marBottom w:val="0"/>
      <w:divBdr>
        <w:top w:val="none" w:sz="0" w:space="0" w:color="auto"/>
        <w:left w:val="none" w:sz="0" w:space="0" w:color="auto"/>
        <w:bottom w:val="none" w:sz="0" w:space="0" w:color="auto"/>
        <w:right w:val="none" w:sz="0" w:space="0" w:color="auto"/>
      </w:divBdr>
    </w:div>
    <w:div w:id="1143885241">
      <w:bodyDiv w:val="1"/>
      <w:marLeft w:val="0"/>
      <w:marRight w:val="0"/>
      <w:marTop w:val="0"/>
      <w:marBottom w:val="0"/>
      <w:divBdr>
        <w:top w:val="none" w:sz="0" w:space="0" w:color="auto"/>
        <w:left w:val="none" w:sz="0" w:space="0" w:color="auto"/>
        <w:bottom w:val="none" w:sz="0" w:space="0" w:color="auto"/>
        <w:right w:val="none" w:sz="0" w:space="0" w:color="auto"/>
      </w:divBdr>
    </w:div>
    <w:div w:id="1261379436">
      <w:bodyDiv w:val="1"/>
      <w:marLeft w:val="0"/>
      <w:marRight w:val="0"/>
      <w:marTop w:val="0"/>
      <w:marBottom w:val="0"/>
      <w:divBdr>
        <w:top w:val="none" w:sz="0" w:space="0" w:color="auto"/>
        <w:left w:val="none" w:sz="0" w:space="0" w:color="auto"/>
        <w:bottom w:val="none" w:sz="0" w:space="0" w:color="auto"/>
        <w:right w:val="none" w:sz="0" w:space="0" w:color="auto"/>
      </w:divBdr>
    </w:div>
    <w:div w:id="1294360709">
      <w:bodyDiv w:val="1"/>
      <w:marLeft w:val="0"/>
      <w:marRight w:val="0"/>
      <w:marTop w:val="0"/>
      <w:marBottom w:val="0"/>
      <w:divBdr>
        <w:top w:val="none" w:sz="0" w:space="0" w:color="auto"/>
        <w:left w:val="none" w:sz="0" w:space="0" w:color="auto"/>
        <w:bottom w:val="none" w:sz="0" w:space="0" w:color="auto"/>
        <w:right w:val="none" w:sz="0" w:space="0" w:color="auto"/>
      </w:divBdr>
    </w:div>
    <w:div w:id="1346900480">
      <w:bodyDiv w:val="1"/>
      <w:marLeft w:val="0"/>
      <w:marRight w:val="0"/>
      <w:marTop w:val="0"/>
      <w:marBottom w:val="0"/>
      <w:divBdr>
        <w:top w:val="none" w:sz="0" w:space="0" w:color="auto"/>
        <w:left w:val="none" w:sz="0" w:space="0" w:color="auto"/>
        <w:bottom w:val="none" w:sz="0" w:space="0" w:color="auto"/>
        <w:right w:val="none" w:sz="0" w:space="0" w:color="auto"/>
      </w:divBdr>
    </w:div>
    <w:div w:id="1373385076">
      <w:bodyDiv w:val="1"/>
      <w:marLeft w:val="0"/>
      <w:marRight w:val="0"/>
      <w:marTop w:val="0"/>
      <w:marBottom w:val="0"/>
      <w:divBdr>
        <w:top w:val="none" w:sz="0" w:space="0" w:color="auto"/>
        <w:left w:val="none" w:sz="0" w:space="0" w:color="auto"/>
        <w:bottom w:val="none" w:sz="0" w:space="0" w:color="auto"/>
        <w:right w:val="none" w:sz="0" w:space="0" w:color="auto"/>
      </w:divBdr>
    </w:div>
    <w:div w:id="1429426496">
      <w:bodyDiv w:val="1"/>
      <w:marLeft w:val="0"/>
      <w:marRight w:val="0"/>
      <w:marTop w:val="0"/>
      <w:marBottom w:val="0"/>
      <w:divBdr>
        <w:top w:val="none" w:sz="0" w:space="0" w:color="auto"/>
        <w:left w:val="none" w:sz="0" w:space="0" w:color="auto"/>
        <w:bottom w:val="none" w:sz="0" w:space="0" w:color="auto"/>
        <w:right w:val="none" w:sz="0" w:space="0" w:color="auto"/>
      </w:divBdr>
    </w:div>
    <w:div w:id="1458446887">
      <w:bodyDiv w:val="1"/>
      <w:marLeft w:val="0"/>
      <w:marRight w:val="0"/>
      <w:marTop w:val="0"/>
      <w:marBottom w:val="0"/>
      <w:divBdr>
        <w:top w:val="none" w:sz="0" w:space="0" w:color="auto"/>
        <w:left w:val="none" w:sz="0" w:space="0" w:color="auto"/>
        <w:bottom w:val="none" w:sz="0" w:space="0" w:color="auto"/>
        <w:right w:val="none" w:sz="0" w:space="0" w:color="auto"/>
      </w:divBdr>
    </w:div>
    <w:div w:id="1491287489">
      <w:bodyDiv w:val="1"/>
      <w:marLeft w:val="0"/>
      <w:marRight w:val="0"/>
      <w:marTop w:val="0"/>
      <w:marBottom w:val="0"/>
      <w:divBdr>
        <w:top w:val="none" w:sz="0" w:space="0" w:color="auto"/>
        <w:left w:val="none" w:sz="0" w:space="0" w:color="auto"/>
        <w:bottom w:val="none" w:sz="0" w:space="0" w:color="auto"/>
        <w:right w:val="none" w:sz="0" w:space="0" w:color="auto"/>
      </w:divBdr>
    </w:div>
    <w:div w:id="1524440998">
      <w:bodyDiv w:val="1"/>
      <w:marLeft w:val="0"/>
      <w:marRight w:val="0"/>
      <w:marTop w:val="0"/>
      <w:marBottom w:val="0"/>
      <w:divBdr>
        <w:top w:val="none" w:sz="0" w:space="0" w:color="auto"/>
        <w:left w:val="none" w:sz="0" w:space="0" w:color="auto"/>
        <w:bottom w:val="none" w:sz="0" w:space="0" w:color="auto"/>
        <w:right w:val="none" w:sz="0" w:space="0" w:color="auto"/>
      </w:divBdr>
    </w:div>
    <w:div w:id="1580673251">
      <w:bodyDiv w:val="1"/>
      <w:marLeft w:val="0"/>
      <w:marRight w:val="0"/>
      <w:marTop w:val="0"/>
      <w:marBottom w:val="0"/>
      <w:divBdr>
        <w:top w:val="none" w:sz="0" w:space="0" w:color="auto"/>
        <w:left w:val="none" w:sz="0" w:space="0" w:color="auto"/>
        <w:bottom w:val="none" w:sz="0" w:space="0" w:color="auto"/>
        <w:right w:val="none" w:sz="0" w:space="0" w:color="auto"/>
      </w:divBdr>
    </w:div>
    <w:div w:id="1808090499">
      <w:bodyDiv w:val="1"/>
      <w:marLeft w:val="0"/>
      <w:marRight w:val="0"/>
      <w:marTop w:val="0"/>
      <w:marBottom w:val="0"/>
      <w:divBdr>
        <w:top w:val="none" w:sz="0" w:space="0" w:color="auto"/>
        <w:left w:val="none" w:sz="0" w:space="0" w:color="auto"/>
        <w:bottom w:val="none" w:sz="0" w:space="0" w:color="auto"/>
        <w:right w:val="none" w:sz="0" w:space="0" w:color="auto"/>
      </w:divBdr>
    </w:div>
    <w:div w:id="1811559011">
      <w:bodyDiv w:val="1"/>
      <w:marLeft w:val="0"/>
      <w:marRight w:val="0"/>
      <w:marTop w:val="0"/>
      <w:marBottom w:val="0"/>
      <w:divBdr>
        <w:top w:val="none" w:sz="0" w:space="0" w:color="auto"/>
        <w:left w:val="none" w:sz="0" w:space="0" w:color="auto"/>
        <w:bottom w:val="none" w:sz="0" w:space="0" w:color="auto"/>
        <w:right w:val="none" w:sz="0" w:space="0" w:color="auto"/>
      </w:divBdr>
    </w:div>
    <w:div w:id="1899903467">
      <w:bodyDiv w:val="1"/>
      <w:marLeft w:val="0"/>
      <w:marRight w:val="0"/>
      <w:marTop w:val="0"/>
      <w:marBottom w:val="0"/>
      <w:divBdr>
        <w:top w:val="none" w:sz="0" w:space="0" w:color="auto"/>
        <w:left w:val="none" w:sz="0" w:space="0" w:color="auto"/>
        <w:bottom w:val="none" w:sz="0" w:space="0" w:color="auto"/>
        <w:right w:val="none" w:sz="0" w:space="0" w:color="auto"/>
      </w:divBdr>
    </w:div>
    <w:div w:id="1904876463">
      <w:bodyDiv w:val="1"/>
      <w:marLeft w:val="0"/>
      <w:marRight w:val="0"/>
      <w:marTop w:val="0"/>
      <w:marBottom w:val="0"/>
      <w:divBdr>
        <w:top w:val="none" w:sz="0" w:space="0" w:color="auto"/>
        <w:left w:val="none" w:sz="0" w:space="0" w:color="auto"/>
        <w:bottom w:val="none" w:sz="0" w:space="0" w:color="auto"/>
        <w:right w:val="none" w:sz="0" w:space="0" w:color="auto"/>
      </w:divBdr>
    </w:div>
    <w:div w:id="1992058794">
      <w:bodyDiv w:val="1"/>
      <w:marLeft w:val="0"/>
      <w:marRight w:val="0"/>
      <w:marTop w:val="0"/>
      <w:marBottom w:val="0"/>
      <w:divBdr>
        <w:top w:val="none" w:sz="0" w:space="0" w:color="auto"/>
        <w:left w:val="none" w:sz="0" w:space="0" w:color="auto"/>
        <w:bottom w:val="none" w:sz="0" w:space="0" w:color="auto"/>
        <w:right w:val="none" w:sz="0" w:space="0" w:color="auto"/>
      </w:divBdr>
    </w:div>
    <w:div w:id="2007590097">
      <w:bodyDiv w:val="1"/>
      <w:marLeft w:val="0"/>
      <w:marRight w:val="0"/>
      <w:marTop w:val="0"/>
      <w:marBottom w:val="0"/>
      <w:divBdr>
        <w:top w:val="none" w:sz="0" w:space="0" w:color="auto"/>
        <w:left w:val="none" w:sz="0" w:space="0" w:color="auto"/>
        <w:bottom w:val="none" w:sz="0" w:space="0" w:color="auto"/>
        <w:right w:val="none" w:sz="0" w:space="0" w:color="auto"/>
      </w:divBdr>
    </w:div>
    <w:div w:id="2042775699">
      <w:bodyDiv w:val="1"/>
      <w:marLeft w:val="0"/>
      <w:marRight w:val="0"/>
      <w:marTop w:val="0"/>
      <w:marBottom w:val="0"/>
      <w:divBdr>
        <w:top w:val="none" w:sz="0" w:space="0" w:color="auto"/>
        <w:left w:val="none" w:sz="0" w:space="0" w:color="auto"/>
        <w:bottom w:val="none" w:sz="0" w:space="0" w:color="auto"/>
        <w:right w:val="none" w:sz="0" w:space="0" w:color="auto"/>
      </w:divBdr>
    </w:div>
    <w:div w:id="2063747884">
      <w:bodyDiv w:val="1"/>
      <w:marLeft w:val="0"/>
      <w:marRight w:val="0"/>
      <w:marTop w:val="0"/>
      <w:marBottom w:val="0"/>
      <w:divBdr>
        <w:top w:val="none" w:sz="0" w:space="0" w:color="auto"/>
        <w:left w:val="none" w:sz="0" w:space="0" w:color="auto"/>
        <w:bottom w:val="none" w:sz="0" w:space="0" w:color="auto"/>
        <w:right w:val="none" w:sz="0" w:space="0" w:color="auto"/>
      </w:divBdr>
    </w:div>
    <w:div w:id="2081438152">
      <w:bodyDiv w:val="1"/>
      <w:marLeft w:val="0"/>
      <w:marRight w:val="0"/>
      <w:marTop w:val="0"/>
      <w:marBottom w:val="0"/>
      <w:divBdr>
        <w:top w:val="none" w:sz="0" w:space="0" w:color="auto"/>
        <w:left w:val="none" w:sz="0" w:space="0" w:color="auto"/>
        <w:bottom w:val="none" w:sz="0" w:space="0" w:color="auto"/>
        <w:right w:val="none" w:sz="0" w:space="0" w:color="auto"/>
      </w:divBdr>
    </w:div>
    <w:div w:id="2082756461">
      <w:bodyDiv w:val="1"/>
      <w:marLeft w:val="0"/>
      <w:marRight w:val="0"/>
      <w:marTop w:val="0"/>
      <w:marBottom w:val="0"/>
      <w:divBdr>
        <w:top w:val="none" w:sz="0" w:space="0" w:color="auto"/>
        <w:left w:val="none" w:sz="0" w:space="0" w:color="auto"/>
        <w:bottom w:val="none" w:sz="0" w:space="0" w:color="auto"/>
        <w:right w:val="none" w:sz="0" w:space="0" w:color="auto"/>
      </w:divBdr>
    </w:div>
    <w:div w:id="2101874559">
      <w:bodyDiv w:val="1"/>
      <w:marLeft w:val="0"/>
      <w:marRight w:val="0"/>
      <w:marTop w:val="0"/>
      <w:marBottom w:val="0"/>
      <w:divBdr>
        <w:top w:val="none" w:sz="0" w:space="0" w:color="auto"/>
        <w:left w:val="none" w:sz="0" w:space="0" w:color="auto"/>
        <w:bottom w:val="none" w:sz="0" w:space="0" w:color="auto"/>
        <w:right w:val="none" w:sz="0" w:space="0" w:color="auto"/>
      </w:divBdr>
    </w:div>
    <w:div w:id="2112510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chart" Target="charts/chart8.xml"/><Relationship Id="rId26" Type="http://schemas.openxmlformats.org/officeDocument/2006/relationships/chart" Target="charts/chart16.xml"/><Relationship Id="rId39" Type="http://schemas.openxmlformats.org/officeDocument/2006/relationships/image" Target="media/image70.png"/><Relationship Id="rId21" Type="http://schemas.openxmlformats.org/officeDocument/2006/relationships/chart" Target="charts/chart11.xml"/><Relationship Id="rId34" Type="http://schemas.openxmlformats.org/officeDocument/2006/relationships/image" Target="media/image5.emf"/><Relationship Id="rId42" Type="http://schemas.openxmlformats.org/officeDocument/2006/relationships/footer" Target="footer5.xml"/><Relationship Id="rId47" Type="http://schemas.openxmlformats.org/officeDocument/2006/relationships/chart" Target="charts/chart25.xml"/><Relationship Id="rId50" Type="http://schemas.openxmlformats.org/officeDocument/2006/relationships/footer" Target="footer6.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hart" Target="charts/chart7.xml"/><Relationship Id="rId25" Type="http://schemas.openxmlformats.org/officeDocument/2006/relationships/chart" Target="charts/chart15.xml"/><Relationship Id="rId33" Type="http://schemas.openxmlformats.org/officeDocument/2006/relationships/image" Target="media/image4.emf"/><Relationship Id="rId38" Type="http://schemas.openxmlformats.org/officeDocument/2006/relationships/image" Target="media/image8.png"/><Relationship Id="rId46" Type="http://schemas.openxmlformats.org/officeDocument/2006/relationships/chart" Target="charts/chart24.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10.xml"/><Relationship Id="rId29" Type="http://schemas.openxmlformats.org/officeDocument/2006/relationships/chart" Target="charts/chart19.xml"/><Relationship Id="rId41" Type="http://schemas.openxmlformats.org/officeDocument/2006/relationships/footer" Target="footer4.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chart" Target="charts/chart14.xml"/><Relationship Id="rId32" Type="http://schemas.openxmlformats.org/officeDocument/2006/relationships/footer" Target="footer2.xml"/><Relationship Id="rId37" Type="http://schemas.openxmlformats.org/officeDocument/2006/relationships/image" Target="media/image7.png"/><Relationship Id="rId40" Type="http://schemas.openxmlformats.org/officeDocument/2006/relationships/image" Target="media/image80.png"/><Relationship Id="rId45" Type="http://schemas.openxmlformats.org/officeDocument/2006/relationships/chart" Target="charts/chart23.xml"/><Relationship Id="rId53"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chart" Target="charts/chart13.xml"/><Relationship Id="rId28" Type="http://schemas.openxmlformats.org/officeDocument/2006/relationships/chart" Target="charts/chart18.xml"/><Relationship Id="rId36" Type="http://schemas.openxmlformats.org/officeDocument/2006/relationships/footer" Target="footer3.xml"/><Relationship Id="rId49" Type="http://schemas.openxmlformats.org/officeDocument/2006/relationships/chart" Target="charts/chart27.xml"/><Relationship Id="rId10" Type="http://schemas.openxmlformats.org/officeDocument/2006/relationships/chart" Target="charts/chart1.xml"/><Relationship Id="rId19" Type="http://schemas.openxmlformats.org/officeDocument/2006/relationships/chart" Target="charts/chart9.xml"/><Relationship Id="rId31" Type="http://schemas.openxmlformats.org/officeDocument/2006/relationships/image" Target="media/image3.emf"/><Relationship Id="rId44" Type="http://schemas.openxmlformats.org/officeDocument/2006/relationships/chart" Target="charts/chart22.xml"/><Relationship Id="rId52" Type="http://schemas.openxmlformats.org/officeDocument/2006/relationships/chart" Target="charts/chart28.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4.xml"/><Relationship Id="rId22" Type="http://schemas.openxmlformats.org/officeDocument/2006/relationships/chart" Target="charts/chart12.xml"/><Relationship Id="rId27" Type="http://schemas.openxmlformats.org/officeDocument/2006/relationships/chart" Target="charts/chart17.xml"/><Relationship Id="rId30" Type="http://schemas.openxmlformats.org/officeDocument/2006/relationships/chart" Target="charts/chart20.xml"/><Relationship Id="rId35" Type="http://schemas.openxmlformats.org/officeDocument/2006/relationships/image" Target="media/image6.emf"/><Relationship Id="rId43" Type="http://schemas.openxmlformats.org/officeDocument/2006/relationships/chart" Target="charts/chart21.xml"/><Relationship Id="rId48" Type="http://schemas.openxmlformats.org/officeDocument/2006/relationships/chart" Target="charts/chart26.xml"/><Relationship Id="rId8" Type="http://schemas.openxmlformats.org/officeDocument/2006/relationships/image" Target="media/image1.png"/><Relationship Id="rId51" Type="http://schemas.openxmlformats.org/officeDocument/2006/relationships/footer" Target="footer7.xm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doi.org/10.1016/S0140-6736(18)31668-4"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Feuille_de_calcul_Microsoft_Excel1.xlsx"/></Relationships>
</file>

<file path=word/charts/_rels/chart2.xml.rels><?xml version="1.0" encoding="UTF-8" standalone="yes"?>
<Relationships xmlns="http://schemas.openxmlformats.org/package/2006/relationships"><Relationship Id="rId3" Type="http://schemas.openxmlformats.org/officeDocument/2006/relationships/oleObject" Target="file:///C:\Users\Dr%20KOBENAN\Desktop\Atelier%20GFF%20du%2017%20au%2021%20d&#233;c%2018%20&#224;%20Bassam\Produits%20de%20l'atelier\Graphique%20IDH.xlsx" TargetMode="External"/><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2" Type="http://schemas.openxmlformats.org/officeDocument/2006/relationships/oleObject" Target="Chart%20in%20Microsoft%20Office%20Word" TargetMode="External"/><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1" Type="http://schemas.openxmlformats.org/officeDocument/2006/relationships/oleObject" Target="file:///C:\Users\Fanta\AppData\Local\Temp\EQUIST_C&#244;te_d&#8217;Ivoire_154_Province_District_Maternal_mortality_by_cause.xlsm"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F:\BASE%20DM.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Fanta\Desktop\Nouveau%20Feuille%20de%20calcul%20Microsoft%20Excel.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Fanta\Desktop\Nouveau%20Feuille%20de%20calcul%20Microsoft%20Excel.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Classeur1"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10.xml.rels><?xml version="1.0" encoding="UTF-8" standalone="yes"?>
<Relationships xmlns="http://schemas.openxmlformats.org/package/2006/relationships"><Relationship Id="rId1" Type="http://schemas.openxmlformats.org/officeDocument/2006/relationships/package" Target="../embeddings/Feuille_de_calcul_Microsoft_Excel2.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Feuille_de_calcul_Microsoft_Excel3.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Feuille_de_calcul_Microsoft_Excel4.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Feuille_de_calcul_Microsoft_Excel5.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Feuille_de_calcul_Microsoft_Excel6.xlsx"/></Relationships>
</file>

<file path=word/charts/_rels/chart15.xml.rels><?xml version="1.0" encoding="UTF-8" standalone="yes"?>
<Relationships xmlns="http://schemas.openxmlformats.org/package/2006/relationships"><Relationship Id="rId2" Type="http://schemas.openxmlformats.org/officeDocument/2006/relationships/package" Target="../embeddings/Feuille_de_calcul_Microsoft_Excel7.xlsx"/><Relationship Id="rId1" Type="http://schemas.openxmlformats.org/officeDocument/2006/relationships/themeOverride" Target="../theme/themeOverride2.xml"/></Relationships>
</file>

<file path=word/charts/_rels/chart16.xml.rels><?xml version="1.0" encoding="UTF-8" standalone="yes"?>
<Relationships xmlns="http://schemas.openxmlformats.org/package/2006/relationships"><Relationship Id="rId1" Type="http://schemas.openxmlformats.org/officeDocument/2006/relationships/package" Target="../embeddings/Feuille_de_calcul_Microsoft_Excel8.xlsx"/></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Fanta\Desktop\Copie%20de%20Tableau%20de%20priorisation%20des%20r&#233;gions+AK.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Classeur1"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Classeur1" TargetMode="External"/></Relationships>
</file>

<file path=word/charts/_rels/chart20.xml.rels><?xml version="1.0" encoding="UTF-8" standalone="yes"?>
<Relationships xmlns="http://schemas.openxmlformats.org/package/2006/relationships"><Relationship Id="rId1" Type="http://schemas.openxmlformats.org/officeDocument/2006/relationships/package" Target="../embeddings/Feuille_de_calcul_Microsoft_Excel9.xlsx"/></Relationships>
</file>

<file path=word/charts/_rels/chart21.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themeOverride" Target="../theme/themeOverride3.xml"/></Relationships>
</file>

<file path=word/charts/_rels/chart22.xml.rels><?xml version="1.0" encoding="UTF-8" standalone="yes"?>
<Relationships xmlns="http://schemas.openxmlformats.org/package/2006/relationships"><Relationship Id="rId1" Type="http://schemas.openxmlformats.org/officeDocument/2006/relationships/package" Target="../embeddings/Feuille_de_calcul_Microsoft_Excel10.xlsx"/></Relationships>
</file>

<file path=word/charts/_rels/chart23.xml.rels><?xml version="1.0" encoding="UTF-8" standalone="yes"?>
<Relationships xmlns="http://schemas.openxmlformats.org/package/2006/relationships"><Relationship Id="rId1" Type="http://schemas.openxmlformats.org/officeDocument/2006/relationships/oleObject" Target="file:///C:\Users\AK-MSHP\Desktop\GFF_BM\Dossier%20d'investissement%20GFF\GTR%20Bassam%2017-21%201218\Scenarii%20GFF_Bassam\EQUIST_C&#244;te_d&#8217;Ivoire_CIV_2016_Data_DI_GFF_CI_8_regions.xlsx" TargetMode="External"/></Relationships>
</file>

<file path=word/charts/_rels/chart24.xml.rels><?xml version="1.0" encoding="UTF-8" standalone="yes"?>
<Relationships xmlns="http://schemas.openxmlformats.org/package/2006/relationships"><Relationship Id="rId1" Type="http://schemas.openxmlformats.org/officeDocument/2006/relationships/package" Target="../embeddings/Feuille_de_calcul_Microsoft_Excel11.xlsx"/></Relationships>
</file>

<file path=word/charts/_rels/chart25.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26.xml.rels><?xml version="1.0" encoding="UTF-8" standalone="yes"?>
<Relationships xmlns="http://schemas.openxmlformats.org/package/2006/relationships"><Relationship Id="rId1" Type="http://schemas.openxmlformats.org/officeDocument/2006/relationships/package" Target="../embeddings/Feuille_de_calcul_Microsoft_Excel12.xlsx"/></Relationships>
</file>

<file path=word/charts/_rels/chart27.xml.rels><?xml version="1.0" encoding="UTF-8" standalone="yes"?>
<Relationships xmlns="http://schemas.openxmlformats.org/package/2006/relationships"><Relationship Id="rId3" Type="http://schemas.openxmlformats.org/officeDocument/2006/relationships/oleObject" Target="file:///C:\Users\Dr%20KOBENAN\Desktop\Atelier%20GFF%20du%2017%20au%2021%20d&#233;c%2018%20&#224;%20Bassam\Produits%20de%20l'atelier\Copie%20de%20Extrait%20costing%20RCI%20DI%20GFF%202019-2022%20%20verion%2020.02.2019%20VR.xlsx" TargetMode="External"/><Relationship Id="rId2" Type="http://schemas.microsoft.com/office/2011/relationships/chartColorStyle" Target="colors2.xml"/><Relationship Id="rId1" Type="http://schemas.microsoft.com/office/2011/relationships/chartStyle" Target="style2.xml"/></Relationships>
</file>

<file path=word/charts/_rels/chart28.xml.rels><?xml version="1.0" encoding="UTF-8" standalone="yes"?>
<Relationships xmlns="http://schemas.openxmlformats.org/package/2006/relationships"><Relationship Id="rId3" Type="http://schemas.openxmlformats.org/officeDocument/2006/relationships/oleObject" Target="file:///\\Users\denizhan\Google%20Drive\World%20Bank\GFF\Resource%20Mapping\Submissions\Consolidated%20versions%2020012019\Consolidated\CIV%20cartographie%20des%20ressources_14022019.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5718700000000003E-2"/>
          <c:y val="0.15678400000000001"/>
          <c:w val="0.93928100000000003"/>
          <c:h val="0.75122199999999995"/>
        </c:manualLayout>
      </c:layout>
      <c:lineChart>
        <c:grouping val="standard"/>
        <c:varyColors val="0"/>
        <c:ser>
          <c:idx val="0"/>
          <c:order val="0"/>
          <c:tx>
            <c:strRef>
              <c:f>Sheet1!$A$2</c:f>
              <c:strCache>
                <c:ptCount val="1"/>
                <c:pt idx="0">
                  <c:v>Croissance du PIB (% annuel)</c:v>
                </c:pt>
              </c:strCache>
            </c:strRef>
          </c:tx>
          <c:spPr>
            <a:ln w="31750" cap="rnd" cmpd="sng" algn="ctr">
              <a:solidFill>
                <a:schemeClr val="accent1"/>
              </a:solidFill>
              <a:prstDash val="solid"/>
              <a:round/>
            </a:ln>
            <a:effectLst/>
          </c:spPr>
          <c:marker>
            <c:symbol val="none"/>
          </c:marker>
          <c:cat>
            <c:strRef>
              <c:f>Sheet1!$B$1:$R$1</c:f>
              <c:strCache>
                <c:ptCount val="17"/>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pt idx="13">
                  <c:v>2013</c:v>
                </c:pt>
                <c:pt idx="14">
                  <c:v>2014</c:v>
                </c:pt>
                <c:pt idx="15">
                  <c:v>2015</c:v>
                </c:pt>
                <c:pt idx="16">
                  <c:v>2016</c:v>
                </c:pt>
              </c:strCache>
            </c:strRef>
          </c:cat>
          <c:val>
            <c:numRef>
              <c:f>Sheet1!$B$2:$R$2</c:f>
              <c:numCache>
                <c:formatCode>General</c:formatCode>
                <c:ptCount val="17"/>
                <c:pt idx="0">
                  <c:v>-2.0684000574248111</c:v>
                </c:pt>
                <c:pt idx="1">
                  <c:v>0.121371915474214</c:v>
                </c:pt>
                <c:pt idx="2">
                  <c:v>-1.6676421383280911</c:v>
                </c:pt>
                <c:pt idx="3">
                  <c:v>-1.3595359424621021</c:v>
                </c:pt>
                <c:pt idx="4">
                  <c:v>1.231772839689981</c:v>
                </c:pt>
                <c:pt idx="5">
                  <c:v>1.72124736720609</c:v>
                </c:pt>
                <c:pt idx="6">
                  <c:v>1.515842363668312</c:v>
                </c:pt>
                <c:pt idx="7">
                  <c:v>1.7650367837754151</c:v>
                </c:pt>
                <c:pt idx="8">
                  <c:v>2.5428414762319842</c:v>
                </c:pt>
                <c:pt idx="9">
                  <c:v>3.2514537188285288</c:v>
                </c:pt>
                <c:pt idx="10">
                  <c:v>2.0176385920530322</c:v>
                </c:pt>
                <c:pt idx="11">
                  <c:v>-4.3872598420664266</c:v>
                </c:pt>
                <c:pt idx="12">
                  <c:v>10.706507830813729</c:v>
                </c:pt>
                <c:pt idx="13">
                  <c:v>8.8889999999999993</c:v>
                </c:pt>
                <c:pt idx="14">
                  <c:v>8.7940000000000005</c:v>
                </c:pt>
                <c:pt idx="15">
                  <c:v>8.843</c:v>
                </c:pt>
                <c:pt idx="16">
                  <c:v>8.3360000000000003</c:v>
                </c:pt>
              </c:numCache>
            </c:numRef>
          </c:val>
          <c:smooth val="0"/>
          <c:extLst xmlns:c16r2="http://schemas.microsoft.com/office/drawing/2015/06/chart">
            <c:ext xmlns:c16="http://schemas.microsoft.com/office/drawing/2014/chart" uri="{C3380CC4-5D6E-409C-BE32-E72D297353CC}">
              <c16:uniqueId val="{00000000-3EB0-474E-AFDA-615D77EE6774}"/>
            </c:ext>
          </c:extLst>
        </c:ser>
        <c:dLbls>
          <c:showLegendKey val="0"/>
          <c:showVal val="0"/>
          <c:showCatName val="0"/>
          <c:showSerName val="0"/>
          <c:showPercent val="0"/>
          <c:showBubbleSize val="0"/>
        </c:dLbls>
        <c:smooth val="0"/>
        <c:axId val="431083136"/>
        <c:axId val="433700112"/>
      </c:lineChart>
      <c:catAx>
        <c:axId val="431083136"/>
        <c:scaling>
          <c:orientation val="minMax"/>
        </c:scaling>
        <c:delete val="0"/>
        <c:axPos val="b"/>
        <c:numFmt formatCode="General" sourceLinked="0"/>
        <c:majorTickMark val="out"/>
        <c:minorTickMark val="none"/>
        <c:tickLblPos val="low"/>
        <c:spPr>
          <a:noFill/>
          <a:ln w="12700" cap="flat" cmpd="sng" algn="ctr">
            <a:solidFill>
              <a:srgbClr val="D9D9D9"/>
            </a:solidFill>
            <a:prstDash val="solid"/>
            <a:round/>
          </a:ln>
          <a:effectLst/>
        </c:spPr>
        <c:txPr>
          <a:bodyPr rot="0" spcFirstLastPara="1" vertOverflow="ellipsis" wrap="square" anchor="ctr" anchorCtr="1"/>
          <a:lstStyle/>
          <a:p>
            <a:pPr>
              <a:defRPr sz="1000" b="0" i="0" u="none" strike="noStrike" kern="1200" baseline="0">
                <a:solidFill>
                  <a:sysClr val="windowText" lastClr="000000"/>
                </a:solidFill>
                <a:latin typeface="Times New Roman"/>
                <a:ea typeface="+mn-ea"/>
                <a:cs typeface="+mn-cs"/>
              </a:defRPr>
            </a:pPr>
            <a:endParaRPr lang="fr-FR"/>
          </a:p>
        </c:txPr>
        <c:crossAx val="433700112"/>
        <c:crosses val="autoZero"/>
        <c:auto val="1"/>
        <c:lblAlgn val="ctr"/>
        <c:lblOffset val="100"/>
        <c:noMultiLvlLbl val="1"/>
      </c:catAx>
      <c:valAx>
        <c:axId val="433700112"/>
        <c:scaling>
          <c:orientation val="minMax"/>
        </c:scaling>
        <c:delete val="0"/>
        <c:axPos val="l"/>
        <c:majorGridlines>
          <c:spPr>
            <a:ln w="12700" cap="flat" cmpd="sng" algn="ctr">
              <a:solidFill>
                <a:srgbClr val="D9D9D9"/>
              </a:solidFill>
              <a:prstDash val="solid"/>
              <a:round/>
            </a:ln>
            <a:effectLst/>
          </c:spPr>
        </c:majorGridlines>
        <c:numFmt formatCode="#,##0.0" sourceLinked="0"/>
        <c:majorTickMark val="none"/>
        <c:minorTickMark val="none"/>
        <c:tickLblPos val="nextTo"/>
        <c:spPr>
          <a:noFill/>
          <a:ln w="12700" cap="flat" cmpd="sng" algn="ctr">
            <a:noFill/>
            <a:prstDash val="solid"/>
            <a:round/>
          </a:ln>
          <a:effectLst/>
        </c:spPr>
        <c:txPr>
          <a:bodyPr rot="0" spcFirstLastPara="1" vertOverflow="ellipsis" wrap="square" anchor="ctr" anchorCtr="1"/>
          <a:lstStyle/>
          <a:p>
            <a:pPr>
              <a:defRPr sz="1000" b="1" i="0" u="none" strike="noStrike" kern="1200" baseline="0">
                <a:solidFill>
                  <a:sysClr val="windowText" lastClr="000000"/>
                </a:solidFill>
                <a:latin typeface="Times New Roman" panose="02020603050405020304" pitchFamily="18" charset="0"/>
                <a:ea typeface="Times" charset="0"/>
                <a:cs typeface="Times New Roman" panose="02020603050405020304" pitchFamily="18" charset="0"/>
              </a:defRPr>
            </a:pPr>
            <a:endParaRPr lang="fr-FR"/>
          </a:p>
        </c:txPr>
        <c:crossAx val="431083136"/>
        <c:crosses val="autoZero"/>
        <c:crossBetween val="between"/>
        <c:majorUnit val="4.5"/>
        <c:minorUnit val="2.25"/>
      </c:valAx>
      <c:spPr>
        <a:solidFill>
          <a:schemeClr val="bg1"/>
        </a:solidFill>
        <a:ln>
          <a:noFill/>
        </a:ln>
        <a:effectLst/>
      </c:spPr>
    </c:plotArea>
    <c:plotVisOnly val="1"/>
    <c:dispBlanksAs val="gap"/>
    <c:showDLblsOverMax val="1"/>
  </c:chart>
  <c:spPr>
    <a:solidFill>
      <a:srgbClr val="FFFFFF"/>
    </a:solidFill>
    <a:ln w="15875" cap="flat" cmpd="sng" algn="ctr">
      <a:solidFill>
        <a:srgbClr val="0070C0"/>
      </a:solidFill>
      <a:prstDash val="solid"/>
      <a:round/>
    </a:ln>
    <a:effectLst/>
  </c:spPr>
  <c:txPr>
    <a:bodyPr/>
    <a:lstStyle/>
    <a:p>
      <a:pPr>
        <a:defRPr/>
      </a:pPr>
      <a:endParaRPr lang="fr-F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'[Graphique IDH.xlsx]Feuil1'!$B$6</c:f>
              <c:strCache>
                <c:ptCount val="1"/>
                <c:pt idx="0">
                  <c:v>IDH Côte d'Ivoire</c:v>
                </c:pt>
              </c:strCache>
            </c:strRef>
          </c:tx>
          <c:spPr>
            <a:ln w="28575" cap="rnd">
              <a:solidFill>
                <a:schemeClr val="accent1"/>
              </a:solidFill>
              <a:round/>
            </a:ln>
            <a:effectLst/>
          </c:spPr>
          <c:marker>
            <c:symbol val="none"/>
          </c:marker>
          <c:cat>
            <c:strRef>
              <c:f>'[Graphique IDH.xlsx]Feuil1'!$C$4:$I$5</c:f>
              <c:strCache>
                <c:ptCount val="6"/>
                <c:pt idx="0">
                  <c:v>2000</c:v>
                </c:pt>
                <c:pt idx="1">
                  <c:v>2005</c:v>
                </c:pt>
                <c:pt idx="2">
                  <c:v>2010</c:v>
                </c:pt>
                <c:pt idx="3">
                  <c:v>2015</c:v>
                </c:pt>
                <c:pt idx="4">
                  <c:v>2016</c:v>
                </c:pt>
                <c:pt idx="5">
                  <c:v>2017</c:v>
                </c:pt>
              </c:strCache>
              <c:extLst xmlns:c16r2="http://schemas.microsoft.com/office/drawing/2015/06/chart"/>
            </c:strRef>
          </c:cat>
          <c:val>
            <c:numRef>
              <c:f>'[Graphique IDH.xlsx]Feuil1'!$C$6:$I$6</c:f>
              <c:numCache>
                <c:formatCode>General</c:formatCode>
                <c:ptCount val="6"/>
                <c:pt idx="0">
                  <c:v>0.42</c:v>
                </c:pt>
                <c:pt idx="1">
                  <c:v>0.42</c:v>
                </c:pt>
                <c:pt idx="2">
                  <c:v>0.4</c:v>
                </c:pt>
                <c:pt idx="3">
                  <c:v>0.46200000000000002</c:v>
                </c:pt>
                <c:pt idx="4">
                  <c:v>0.47399999999999998</c:v>
                </c:pt>
                <c:pt idx="5">
                  <c:v>0.49199999999999999</c:v>
                </c:pt>
              </c:numCache>
              <c:extLst xmlns:c16r2="http://schemas.microsoft.com/office/drawing/2015/06/chart"/>
            </c:numRef>
          </c:val>
          <c:smooth val="0"/>
          <c:extLst xmlns:c16r2="http://schemas.microsoft.com/office/drawing/2015/06/chart">
            <c:ext xmlns:c16="http://schemas.microsoft.com/office/drawing/2014/chart" uri="{C3380CC4-5D6E-409C-BE32-E72D297353CC}">
              <c16:uniqueId val="{00000000-5A18-44A8-B18F-B7502C7A7657}"/>
            </c:ext>
          </c:extLst>
        </c:ser>
        <c:ser>
          <c:idx val="1"/>
          <c:order val="1"/>
          <c:tx>
            <c:strRef>
              <c:f>'[Graphique IDH.xlsx]Feuil1'!$B$7</c:f>
              <c:strCache>
                <c:ptCount val="1"/>
                <c:pt idx="0">
                  <c:v>IDH moyen</c:v>
                </c:pt>
              </c:strCache>
            </c:strRef>
          </c:tx>
          <c:spPr>
            <a:ln w="28575" cap="rnd">
              <a:solidFill>
                <a:schemeClr val="accent2"/>
              </a:solidFill>
              <a:round/>
            </a:ln>
            <a:effectLst/>
          </c:spPr>
          <c:marker>
            <c:symbol val="none"/>
          </c:marker>
          <c:cat>
            <c:strRef>
              <c:f>'[Graphique IDH.xlsx]Feuil1'!$C$4:$I$5</c:f>
              <c:strCache>
                <c:ptCount val="6"/>
                <c:pt idx="0">
                  <c:v>2000</c:v>
                </c:pt>
                <c:pt idx="1">
                  <c:v>2005</c:v>
                </c:pt>
                <c:pt idx="2">
                  <c:v>2010</c:v>
                </c:pt>
                <c:pt idx="3">
                  <c:v>2015</c:v>
                </c:pt>
                <c:pt idx="4">
                  <c:v>2016</c:v>
                </c:pt>
                <c:pt idx="5">
                  <c:v>2017</c:v>
                </c:pt>
              </c:strCache>
              <c:extLst xmlns:c16r2="http://schemas.microsoft.com/office/drawing/2015/06/chart"/>
            </c:strRef>
          </c:cat>
          <c:val>
            <c:numRef>
              <c:f>'[Graphique IDH.xlsx]Feuil1'!$C$7:$I$7</c:f>
              <c:numCache>
                <c:formatCode>General</c:formatCode>
                <c:ptCount val="6"/>
                <c:pt idx="1">
                  <c:v>0.71799999999999997</c:v>
                </c:pt>
                <c:pt idx="2">
                  <c:v>0.63</c:v>
                </c:pt>
                <c:pt idx="3">
                  <c:v>0.63</c:v>
                </c:pt>
                <c:pt idx="4">
                  <c:v>0.63100000000000001</c:v>
                </c:pt>
                <c:pt idx="5">
                  <c:v>0.64500000000000002</c:v>
                </c:pt>
              </c:numCache>
              <c:extLst xmlns:c16r2="http://schemas.microsoft.com/office/drawing/2015/06/chart"/>
            </c:numRef>
          </c:val>
          <c:smooth val="0"/>
          <c:extLst xmlns:c16r2="http://schemas.microsoft.com/office/drawing/2015/06/chart">
            <c:ext xmlns:c16="http://schemas.microsoft.com/office/drawing/2014/chart" uri="{C3380CC4-5D6E-409C-BE32-E72D297353CC}">
              <c16:uniqueId val="{00000001-5A18-44A8-B18F-B7502C7A7657}"/>
            </c:ext>
          </c:extLst>
        </c:ser>
        <c:ser>
          <c:idx val="2"/>
          <c:order val="2"/>
          <c:tx>
            <c:strRef>
              <c:f>'[Graphique IDH.xlsx]Feuil1'!$B$8</c:f>
              <c:strCache>
                <c:ptCount val="1"/>
                <c:pt idx="0">
                  <c:v>IDH élevé</c:v>
                </c:pt>
              </c:strCache>
            </c:strRef>
          </c:tx>
          <c:spPr>
            <a:ln w="28575" cap="rnd">
              <a:solidFill>
                <a:schemeClr val="accent3"/>
              </a:solidFill>
              <a:round/>
            </a:ln>
            <a:effectLst/>
          </c:spPr>
          <c:marker>
            <c:symbol val="none"/>
          </c:marker>
          <c:cat>
            <c:strRef>
              <c:f>'[Graphique IDH.xlsx]Feuil1'!$C$4:$I$5</c:f>
              <c:strCache>
                <c:ptCount val="6"/>
                <c:pt idx="0">
                  <c:v>2000</c:v>
                </c:pt>
                <c:pt idx="1">
                  <c:v>2005</c:v>
                </c:pt>
                <c:pt idx="2">
                  <c:v>2010</c:v>
                </c:pt>
                <c:pt idx="3">
                  <c:v>2015</c:v>
                </c:pt>
                <c:pt idx="4">
                  <c:v>2016</c:v>
                </c:pt>
                <c:pt idx="5">
                  <c:v>2017</c:v>
                </c:pt>
              </c:strCache>
              <c:extLst xmlns:c16r2="http://schemas.microsoft.com/office/drawing/2015/06/chart"/>
            </c:strRef>
          </c:cat>
          <c:val>
            <c:numRef>
              <c:f>'[Graphique IDH.xlsx]Feuil1'!$C$8:$I$8</c:f>
              <c:numCache>
                <c:formatCode>General</c:formatCode>
                <c:ptCount val="6"/>
                <c:pt idx="1">
                  <c:v>0.89500000000000002</c:v>
                </c:pt>
                <c:pt idx="2">
                  <c:v>0.74099999999999999</c:v>
                </c:pt>
                <c:pt idx="3">
                  <c:v>0.74399999999999999</c:v>
                </c:pt>
                <c:pt idx="4">
                  <c:v>0.746</c:v>
                </c:pt>
                <c:pt idx="5">
                  <c:v>0.75700000000000001</c:v>
                </c:pt>
              </c:numCache>
              <c:extLst xmlns:c16r2="http://schemas.microsoft.com/office/drawing/2015/06/chart"/>
            </c:numRef>
          </c:val>
          <c:smooth val="0"/>
          <c:extLst xmlns:c16r2="http://schemas.microsoft.com/office/drawing/2015/06/chart">
            <c:ext xmlns:c16="http://schemas.microsoft.com/office/drawing/2014/chart" uri="{C3380CC4-5D6E-409C-BE32-E72D297353CC}">
              <c16:uniqueId val="{00000002-5A18-44A8-B18F-B7502C7A7657}"/>
            </c:ext>
          </c:extLst>
        </c:ser>
        <c:dLbls>
          <c:showLegendKey val="0"/>
          <c:showVal val="0"/>
          <c:showCatName val="0"/>
          <c:showSerName val="0"/>
          <c:showPercent val="0"/>
          <c:showBubbleSize val="0"/>
        </c:dLbls>
        <c:smooth val="0"/>
        <c:axId val="433696976"/>
        <c:axId val="433695408"/>
      </c:lineChart>
      <c:catAx>
        <c:axId val="4336969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33695408"/>
        <c:crosses val="autoZero"/>
        <c:auto val="1"/>
        <c:lblAlgn val="ctr"/>
        <c:lblOffset val="100"/>
        <c:noMultiLvlLbl val="0"/>
      </c:catAx>
      <c:valAx>
        <c:axId val="4336954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336969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rgbClr val="0070C0"/>
      </a:solidFill>
      <a:round/>
    </a:ln>
    <a:effectLst/>
  </c:spPr>
  <c:txPr>
    <a:bodyPr/>
    <a:lstStyle/>
    <a:p>
      <a:pPr>
        <a:defRPr/>
      </a:pPr>
      <a:endParaRPr lang="fr-F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rgbClr val="FF6600"/>
            </a:solidFill>
          </c:spPr>
          <c:invertIfNegative val="0"/>
          <c:cat>
            <c:strRef>
              <c:f>'[Chart in Microsoft Office Word]Sheet1'!$B$1:$G$1</c:f>
              <c:strCache>
                <c:ptCount val="6"/>
                <c:pt idx="0">
                  <c:v>1985</c:v>
                </c:pt>
                <c:pt idx="1">
                  <c:v>1993</c:v>
                </c:pt>
                <c:pt idx="2">
                  <c:v>1998</c:v>
                </c:pt>
                <c:pt idx="3">
                  <c:v>2002</c:v>
                </c:pt>
                <c:pt idx="4">
                  <c:v>2008</c:v>
                </c:pt>
                <c:pt idx="5">
                  <c:v>2015</c:v>
                </c:pt>
              </c:strCache>
            </c:strRef>
          </c:cat>
          <c:val>
            <c:numRef>
              <c:f>'[Chart in Microsoft Office Word]Sheet1'!$B$2:$G$2</c:f>
              <c:numCache>
                <c:formatCode>General</c:formatCode>
                <c:ptCount val="6"/>
                <c:pt idx="0">
                  <c:v>10.1</c:v>
                </c:pt>
                <c:pt idx="1">
                  <c:v>34.6</c:v>
                </c:pt>
                <c:pt idx="2">
                  <c:v>36.4</c:v>
                </c:pt>
                <c:pt idx="3">
                  <c:v>40.200000000000003</c:v>
                </c:pt>
                <c:pt idx="4">
                  <c:v>42.7</c:v>
                </c:pt>
                <c:pt idx="5">
                  <c:v>46.7</c:v>
                </c:pt>
              </c:numCache>
            </c:numRef>
          </c:val>
          <c:extLst xmlns:c16r2="http://schemas.microsoft.com/office/drawing/2015/06/chart">
            <c:ext xmlns:c16="http://schemas.microsoft.com/office/drawing/2014/chart" uri="{C3380CC4-5D6E-409C-BE32-E72D297353CC}">
              <c16:uniqueId val="{00000000-307E-423F-B6E0-AADC94A2C027}"/>
            </c:ext>
          </c:extLst>
        </c:ser>
        <c:dLbls>
          <c:showLegendKey val="0"/>
          <c:showVal val="0"/>
          <c:showCatName val="0"/>
          <c:showSerName val="0"/>
          <c:showPercent val="0"/>
          <c:showBubbleSize val="0"/>
        </c:dLbls>
        <c:gapWidth val="150"/>
        <c:axId val="433693448"/>
        <c:axId val="433697760"/>
      </c:barChart>
      <c:catAx>
        <c:axId val="433693448"/>
        <c:scaling>
          <c:orientation val="minMax"/>
        </c:scaling>
        <c:delete val="0"/>
        <c:axPos val="b"/>
        <c:numFmt formatCode="General" sourceLinked="0"/>
        <c:majorTickMark val="none"/>
        <c:minorTickMark val="none"/>
        <c:tickLblPos val="nextTo"/>
        <c:txPr>
          <a:bodyPr/>
          <a:lstStyle/>
          <a:p>
            <a:pPr>
              <a:defRPr sz="900" b="1">
                <a:solidFill>
                  <a:sysClr val="windowText" lastClr="000000"/>
                </a:solidFill>
                <a:latin typeface="Times New Roman"/>
              </a:defRPr>
            </a:pPr>
            <a:endParaRPr lang="fr-FR"/>
          </a:p>
        </c:txPr>
        <c:crossAx val="433697760"/>
        <c:crosses val="autoZero"/>
        <c:auto val="1"/>
        <c:lblAlgn val="ctr"/>
        <c:lblOffset val="100"/>
        <c:noMultiLvlLbl val="0"/>
      </c:catAx>
      <c:valAx>
        <c:axId val="433697760"/>
        <c:scaling>
          <c:orientation val="minMax"/>
        </c:scaling>
        <c:delete val="0"/>
        <c:axPos val="l"/>
        <c:majorGridlines/>
        <c:title>
          <c:tx>
            <c:rich>
              <a:bodyPr/>
              <a:lstStyle/>
              <a:p>
                <a:pPr>
                  <a:defRPr/>
                </a:pPr>
                <a:r>
                  <a:rPr lang="en-US" sz="800">
                    <a:latin typeface="Times New Roman"/>
                    <a:cs typeface="Times New Roman"/>
                  </a:rPr>
                  <a:t>%</a:t>
                </a:r>
              </a:p>
            </c:rich>
          </c:tx>
          <c:layout>
            <c:manualLayout>
              <c:xMode val="edge"/>
              <c:yMode val="edge"/>
              <c:x val="2.3875423160682401E-2"/>
              <c:y val="2.6468714832896999E-2"/>
            </c:manualLayout>
          </c:layout>
          <c:overlay val="0"/>
        </c:title>
        <c:numFmt formatCode="General" sourceLinked="1"/>
        <c:majorTickMark val="none"/>
        <c:minorTickMark val="none"/>
        <c:tickLblPos val="nextTo"/>
        <c:txPr>
          <a:bodyPr/>
          <a:lstStyle/>
          <a:p>
            <a:pPr>
              <a:defRPr sz="1000" b="1">
                <a:solidFill>
                  <a:sysClr val="windowText" lastClr="000000"/>
                </a:solidFill>
                <a:latin typeface="Times New Roman"/>
              </a:defRPr>
            </a:pPr>
            <a:endParaRPr lang="fr-FR"/>
          </a:p>
        </c:txPr>
        <c:crossAx val="433693448"/>
        <c:crosses val="autoZero"/>
        <c:crossBetween val="between"/>
      </c:valAx>
    </c:plotArea>
    <c:plotVisOnly val="1"/>
    <c:dispBlanksAs val="gap"/>
    <c:showDLblsOverMax val="0"/>
  </c:chart>
  <c:spPr>
    <a:ln w="15875" cmpd="sng">
      <a:solidFill>
        <a:srgbClr val="0070C0"/>
      </a:solidFill>
    </a:ln>
  </c:sp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[EQUIST_Côte_d’Ivoire_154_Province_District_Maternal_mortality_by_cause.xlsm]Sheet2!$B$2</c:f>
              <c:strCache>
                <c:ptCount val="1"/>
                <c:pt idx="0">
                  <c:v>Total</c:v>
                </c:pt>
              </c:strCache>
            </c:strRef>
          </c:tx>
          <c:dLbls>
            <c:dLbl>
              <c:idx val="1"/>
              <c:layout>
                <c:manualLayout>
                  <c:x val="5.9288981092932243E-2"/>
                  <c:y val="1.8524769605593024E-2"/>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0-ADD9-4D2F-9AB2-DFE915166EB3}"/>
                </c:ext>
                <c:ext xmlns:c15="http://schemas.microsoft.com/office/drawing/2012/chart" uri="{CE6537A1-D6FC-4f65-9D91-7224C49458BB}"/>
              </c:extLst>
            </c:dLbl>
            <c:dLbl>
              <c:idx val="2"/>
              <c:layout>
                <c:manualLayout>
                  <c:x val="8.4571539336026111E-2"/>
                  <c:y val="5.5539470122288525E-3"/>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1-ADD9-4D2F-9AB2-DFE915166EB3}"/>
                </c:ext>
                <c:ext xmlns:c15="http://schemas.microsoft.com/office/drawing/2012/chart" uri="{CE6537A1-D6FC-4f65-9D91-7224C49458BB}"/>
              </c:extLst>
            </c:dLbl>
            <c:dLbl>
              <c:idx val="3"/>
              <c:layout>
                <c:manualLayout>
                  <c:x val="2.5756361293161709E-2"/>
                  <c:y val="-7.2601014559278742E-3"/>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2-ADD9-4D2F-9AB2-DFE915166EB3}"/>
                </c:ext>
                <c:ext xmlns:c15="http://schemas.microsoft.com/office/drawing/2012/chart" uri="{CE6537A1-D6FC-4f65-9D91-7224C49458BB}"/>
              </c:extLst>
            </c:dLbl>
            <c:dLbl>
              <c:idx val="4"/>
              <c:layout>
                <c:manualLayout>
                  <c:x val="-0.1177786053770306"/>
                  <c:y val="-5.3981106612685558E-3"/>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3-ADD9-4D2F-9AB2-DFE915166EB3}"/>
                </c:ext>
                <c:ext xmlns:c15="http://schemas.microsoft.com/office/drawing/2012/chart" uri="{CE6537A1-D6FC-4f65-9D91-7224C49458BB}"/>
              </c:extLst>
            </c:dLbl>
            <c:dLbl>
              <c:idx val="5"/>
              <c:layout>
                <c:manualLayout>
                  <c:x val="-5.959199710814591E-2"/>
                  <c:y val="-2.1513364641079058E-2"/>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4-ADD9-4D2F-9AB2-DFE915166EB3}"/>
                </c:ext>
                <c:ext xmlns:c15="http://schemas.microsoft.com/office/drawing/2012/chart" uri="{CE6537A1-D6FC-4f65-9D91-7224C49458BB}"/>
              </c:extLst>
            </c:dLbl>
            <c:dLbl>
              <c:idx val="6"/>
              <c:layout>
                <c:manualLayout>
                  <c:x val="-0.11158615308221609"/>
                  <c:y val="0.11223097112860893"/>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5-ADD9-4D2F-9AB2-DFE915166EB3}"/>
                </c:ext>
                <c:ext xmlns:c15="http://schemas.microsoft.com/office/drawing/2012/chart" uri="{CE6537A1-D6FC-4f65-9D91-7224C49458BB}"/>
              </c:extLst>
            </c:dLbl>
            <c:spPr>
              <a:noFill/>
              <a:ln>
                <a:noFill/>
              </a:ln>
              <a:effectLst/>
            </c:spPr>
            <c:txPr>
              <a:bodyPr wrap="square" lIns="38100" tIns="19050" rIns="38100" bIns="19050" anchor="ctr">
                <a:spAutoFit/>
              </a:bodyPr>
              <a:lstStyle/>
              <a:p>
                <a:pPr>
                  <a:defRPr sz="1100">
                    <a:latin typeface="Times New Roman" panose="02020603050405020304" pitchFamily="18" charset="0"/>
                    <a:cs typeface="Times New Roman" panose="02020603050405020304" pitchFamily="18" charset="0"/>
                  </a:defRPr>
                </a:pPr>
                <a:endParaRPr lang="fr-FR"/>
              </a:p>
            </c:txPr>
            <c:showLegendKey val="0"/>
            <c:showVal val="0"/>
            <c:showCatName val="1"/>
            <c:showSerName val="0"/>
            <c:showPercent val="1"/>
            <c:showBubbleSize val="0"/>
            <c:showLeaderLines val="1"/>
            <c:extLst xmlns:c16r2="http://schemas.microsoft.com/office/drawing/2015/06/chart">
              <c:ext xmlns:c15="http://schemas.microsoft.com/office/drawing/2012/chart" uri="{CE6537A1-D6FC-4f65-9D91-7224C49458BB}"/>
            </c:extLst>
          </c:dLbls>
          <c:cat>
            <c:strRef>
              <c:f>[EQUIST_Côte_d’Ivoire_154_Province_District_Maternal_mortality_by_cause.xlsm]Sheet2!$C$1:$J$1</c:f>
              <c:strCache>
                <c:ptCount val="8"/>
                <c:pt idx="0">
                  <c:v>Hemorragies ante partum</c:v>
                </c:pt>
                <c:pt idx="1">
                  <c:v>Hemorragies post partum</c:v>
                </c:pt>
                <c:pt idx="2">
                  <c:v>Hemorragies intra partum</c:v>
                </c:pt>
                <c:pt idx="3">
                  <c:v>Infections</c:v>
                </c:pt>
                <c:pt idx="4">
                  <c:v>Complications liées aux avortements</c:v>
                </c:pt>
                <c:pt idx="5">
                  <c:v>Desordres hypertension</c:v>
                </c:pt>
                <c:pt idx="6">
                  <c:v>Embolies</c:v>
                </c:pt>
                <c:pt idx="7">
                  <c:v>Autres causes Directs</c:v>
                </c:pt>
              </c:strCache>
            </c:strRef>
          </c:cat>
          <c:val>
            <c:numRef>
              <c:f>[EQUIST_Côte_d’Ivoire_154_Province_District_Maternal_mortality_by_cause.xlsm]Sheet2!$C$2:$J$2</c:f>
              <c:numCache>
                <c:formatCode>General</c:formatCode>
                <c:ptCount val="8"/>
                <c:pt idx="0">
                  <c:v>567.33600000000013</c:v>
                </c:pt>
                <c:pt idx="1">
                  <c:v>1026.6079999999999</c:v>
                </c:pt>
                <c:pt idx="2">
                  <c:v>60.785999999999987</c:v>
                </c:pt>
                <c:pt idx="3">
                  <c:v>695.66199999999992</c:v>
                </c:pt>
                <c:pt idx="4">
                  <c:v>648.38400000000001</c:v>
                </c:pt>
                <c:pt idx="5">
                  <c:v>1080.6399999999999</c:v>
                </c:pt>
                <c:pt idx="6">
                  <c:v>141.83400000000003</c:v>
                </c:pt>
                <c:pt idx="7">
                  <c:v>607.86</c:v>
                </c:pt>
              </c:numCache>
            </c:numRef>
          </c:val>
          <c:extLst xmlns:c16r2="http://schemas.microsoft.com/office/drawing/2015/06/chart">
            <c:ext xmlns:c16="http://schemas.microsoft.com/office/drawing/2014/chart" uri="{C3380CC4-5D6E-409C-BE32-E72D297353CC}">
              <c16:uniqueId val="{00000006-ADD9-4D2F-9AB2-DFE915166EB3}"/>
            </c:ext>
          </c:extLst>
        </c:ser>
        <c:dLbls>
          <c:showLegendKey val="0"/>
          <c:showVal val="0"/>
          <c:showCatName val="1"/>
          <c:showSerName val="0"/>
          <c:showPercent val="1"/>
          <c:showBubbleSize val="0"/>
          <c:showLeaderLines val="1"/>
        </c:dLbls>
        <c:firstSliceAng val="0"/>
      </c:pieChart>
    </c:plotArea>
    <c:plotVisOnly val="1"/>
    <c:dispBlanksAs val="gap"/>
    <c:showDLblsOverMax val="0"/>
  </c:chart>
  <c:spPr>
    <a:ln w="15875" cmpd="sng">
      <a:solidFill>
        <a:srgbClr val="0070C0"/>
      </a:solid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0475654828860682E-2"/>
          <c:y val="5.3013420492249788E-2"/>
          <c:w val="0.88948247828468441"/>
          <c:h val="0.80538255831228656"/>
        </c:manualLayout>
      </c:layout>
      <c:bar3DChart>
        <c:barDir val="col"/>
        <c:grouping val="clustered"/>
        <c:varyColors val="0"/>
        <c:ser>
          <c:idx val="0"/>
          <c:order val="0"/>
          <c:spPr>
            <a:solidFill>
              <a:schemeClr val="accent1"/>
            </a:solidFill>
            <a:ln>
              <a:noFill/>
            </a:ln>
            <a:effectLst/>
            <a:sp3d/>
          </c:spPr>
          <c:invertIfNegative val="0"/>
          <c:dPt>
            <c:idx val="1"/>
            <c:invertIfNegative val="0"/>
            <c:bubble3D val="0"/>
            <c:spPr>
              <a:solidFill>
                <a:schemeClr val="accent2"/>
              </a:solidFill>
              <a:ln>
                <a:noFill/>
              </a:ln>
              <a:effectLst/>
              <a:sp3d/>
            </c:spPr>
            <c:extLst xmlns:c16r2="http://schemas.microsoft.com/office/drawing/2015/06/chart">
              <c:ext xmlns:c16="http://schemas.microsoft.com/office/drawing/2014/chart" uri="{C3380CC4-5D6E-409C-BE32-E72D297353CC}">
                <c16:uniqueId val="{00000001-D3AE-430F-84C4-877A8E625780}"/>
              </c:ext>
            </c:extLst>
          </c:dPt>
          <c:dPt>
            <c:idx val="2"/>
            <c:invertIfNegative val="0"/>
            <c:bubble3D val="0"/>
            <c:spPr>
              <a:solidFill>
                <a:schemeClr val="accent2"/>
              </a:solidFill>
              <a:ln>
                <a:noFill/>
              </a:ln>
              <a:effectLst/>
              <a:sp3d/>
            </c:spPr>
            <c:extLst xmlns:c16r2="http://schemas.microsoft.com/office/drawing/2015/06/chart">
              <c:ext xmlns:c16="http://schemas.microsoft.com/office/drawing/2014/chart" uri="{C3380CC4-5D6E-409C-BE32-E72D297353CC}">
                <c16:uniqueId val="{00000003-D3AE-430F-84C4-877A8E625780}"/>
              </c:ext>
            </c:extLst>
          </c:dPt>
          <c:dPt>
            <c:idx val="3"/>
            <c:invertIfNegative val="0"/>
            <c:bubble3D val="0"/>
            <c:extLst xmlns:c16r2="http://schemas.microsoft.com/office/drawing/2015/06/chart">
              <c:ext xmlns:c16="http://schemas.microsoft.com/office/drawing/2014/chart" uri="{C3380CC4-5D6E-409C-BE32-E72D297353CC}">
                <c16:uniqueId val="{00000001-7AD4-4780-8A8E-F1BB98504D37}"/>
              </c:ext>
            </c:extLst>
          </c:dPt>
          <c:dPt>
            <c:idx val="4"/>
            <c:invertIfNegative val="0"/>
            <c:bubble3D val="0"/>
            <c:extLst xmlns:c16r2="http://schemas.microsoft.com/office/drawing/2015/06/chart">
              <c:ext xmlns:c16="http://schemas.microsoft.com/office/drawing/2014/chart" uri="{C3380CC4-5D6E-409C-BE32-E72D297353CC}">
                <c16:uniqueId val="{00000003-7AD4-4780-8A8E-F1BB98504D37}"/>
              </c:ext>
            </c:extLst>
          </c:dPt>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Feuil3!$I$8:$I$15</c:f>
              <c:strCache>
                <c:ptCount val="8"/>
                <c:pt idx="0">
                  <c:v>&lt;=14</c:v>
                </c:pt>
                <c:pt idx="1">
                  <c:v>15-19</c:v>
                </c:pt>
                <c:pt idx="2">
                  <c:v>20-24</c:v>
                </c:pt>
                <c:pt idx="3">
                  <c:v>25-29</c:v>
                </c:pt>
                <c:pt idx="4">
                  <c:v>30-34</c:v>
                </c:pt>
                <c:pt idx="5">
                  <c:v>35-39</c:v>
                </c:pt>
                <c:pt idx="6">
                  <c:v>40-44</c:v>
                </c:pt>
                <c:pt idx="7">
                  <c:v>45-49</c:v>
                </c:pt>
              </c:strCache>
            </c:strRef>
          </c:cat>
          <c:val>
            <c:numRef>
              <c:f>Feuil3!$J$8:$J$15</c:f>
              <c:numCache>
                <c:formatCode>0.00%</c:formatCode>
                <c:ptCount val="8"/>
                <c:pt idx="0">
                  <c:v>5.0000000000000001E-3</c:v>
                </c:pt>
                <c:pt idx="1">
                  <c:v>0.114</c:v>
                </c:pt>
                <c:pt idx="2">
                  <c:v>0.16200000000000001</c:v>
                </c:pt>
                <c:pt idx="3">
                  <c:v>0.19600000000000001</c:v>
                </c:pt>
                <c:pt idx="4">
                  <c:v>0.21099999999999999</c:v>
                </c:pt>
                <c:pt idx="5">
                  <c:v>0.17299999999999999</c:v>
                </c:pt>
                <c:pt idx="6">
                  <c:v>6.2E-2</c:v>
                </c:pt>
                <c:pt idx="7">
                  <c:v>8.0000000000000002E-3</c:v>
                </c:pt>
              </c:numCache>
            </c:numRef>
          </c:val>
          <c:extLst xmlns:c16r2="http://schemas.microsoft.com/office/drawing/2015/06/chart">
            <c:ext xmlns:c16="http://schemas.microsoft.com/office/drawing/2014/chart" uri="{C3380CC4-5D6E-409C-BE32-E72D297353CC}">
              <c16:uniqueId val="{00000004-7AD4-4780-8A8E-F1BB98504D37}"/>
            </c:ext>
          </c:extLst>
        </c:ser>
        <c:dLbls>
          <c:showLegendKey val="0"/>
          <c:showVal val="0"/>
          <c:showCatName val="0"/>
          <c:showSerName val="0"/>
          <c:showPercent val="0"/>
          <c:showBubbleSize val="0"/>
        </c:dLbls>
        <c:gapWidth val="150"/>
        <c:shape val="box"/>
        <c:axId val="433695800"/>
        <c:axId val="433698152"/>
        <c:axId val="0"/>
      </c:bar3DChart>
      <c:catAx>
        <c:axId val="43369580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crossAx val="433698152"/>
        <c:crosses val="autoZero"/>
        <c:auto val="1"/>
        <c:lblAlgn val="ctr"/>
        <c:lblOffset val="100"/>
        <c:noMultiLvlLbl val="0"/>
      </c:catAx>
      <c:valAx>
        <c:axId val="433698152"/>
        <c:scaling>
          <c:orientation val="minMax"/>
        </c:scaling>
        <c:delete val="0"/>
        <c:axPos val="l"/>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crossAx val="433695800"/>
        <c:crosses val="autoZero"/>
        <c:crossBetween val="between"/>
      </c:valAx>
      <c:spPr>
        <a:noFill/>
        <a:ln w="15875" cmpd="sng">
          <a:solidFill>
            <a:schemeClr val="accent1"/>
          </a:solidFill>
        </a:ln>
        <a:effectLst/>
      </c:spPr>
    </c:plotArea>
    <c:plotVisOnly val="1"/>
    <c:dispBlanksAs val="gap"/>
    <c:showDLblsOverMax val="0"/>
  </c:chart>
  <c:spPr>
    <a:noFill/>
    <a:ln>
      <a:noFill/>
    </a:ln>
    <a:effectLst/>
  </c:spPr>
  <c:txPr>
    <a:bodyPr/>
    <a:lstStyle/>
    <a:p>
      <a:pPr>
        <a:defRPr/>
      </a:pPr>
      <a:endParaRPr lang="fr-F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Feuil1!$B$52</c:f>
              <c:strCache>
                <c:ptCount val="1"/>
                <c:pt idx="0">
                  <c:v>Effectif</c:v>
                </c:pt>
              </c:strCache>
            </c:strRef>
          </c:tx>
          <c:invertIfNegative val="0"/>
          <c:dPt>
            <c:idx val="2"/>
            <c:invertIfNegative val="0"/>
            <c:bubble3D val="0"/>
            <c:spPr>
              <a:solidFill>
                <a:srgbClr val="FF0000"/>
              </a:solidFill>
            </c:spPr>
            <c:extLst xmlns:c16r2="http://schemas.microsoft.com/office/drawing/2015/06/chart">
              <c:ext xmlns:c16="http://schemas.microsoft.com/office/drawing/2014/chart" uri="{C3380CC4-5D6E-409C-BE32-E72D297353CC}">
                <c16:uniqueId val="{00000001-FCDA-448C-922D-296DDB716C8C}"/>
              </c:ext>
            </c:extLst>
          </c:dPt>
          <c:dPt>
            <c:idx val="5"/>
            <c:invertIfNegative val="0"/>
            <c:bubble3D val="0"/>
            <c:spPr>
              <a:solidFill>
                <a:srgbClr val="FF0000"/>
              </a:solidFill>
            </c:spPr>
            <c:extLst xmlns:c16r2="http://schemas.microsoft.com/office/drawing/2015/06/chart">
              <c:ext xmlns:c16="http://schemas.microsoft.com/office/drawing/2014/chart" uri="{C3380CC4-5D6E-409C-BE32-E72D297353CC}">
                <c16:uniqueId val="{00000003-FCDA-448C-922D-296DDB716C8C}"/>
              </c:ext>
            </c:extLst>
          </c:dPt>
          <c:dLbls>
            <c:spPr>
              <a:noFill/>
              <a:ln>
                <a:noFill/>
              </a:ln>
              <a:effectLst/>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Feuil1!$A$53:$A$57</c:f>
              <c:strCache>
                <c:ptCount val="5"/>
                <c:pt idx="0">
                  <c:v>Pendant la grossesse</c:v>
                </c:pt>
                <c:pt idx="1">
                  <c:v>Pendant l'accouchement</c:v>
                </c:pt>
                <c:pt idx="2">
                  <c:v>Post Partum immédiat</c:v>
                </c:pt>
                <c:pt idx="3">
                  <c:v>Post Partum tardif</c:v>
                </c:pt>
                <c:pt idx="4">
                  <c:v>Non précisé</c:v>
                </c:pt>
              </c:strCache>
            </c:strRef>
          </c:cat>
          <c:val>
            <c:numRef>
              <c:f>Feuil1!$B$53:$B$57</c:f>
              <c:numCache>
                <c:formatCode>General</c:formatCode>
                <c:ptCount val="5"/>
                <c:pt idx="0">
                  <c:v>584</c:v>
                </c:pt>
                <c:pt idx="1">
                  <c:v>313</c:v>
                </c:pt>
                <c:pt idx="2">
                  <c:v>1197</c:v>
                </c:pt>
                <c:pt idx="3">
                  <c:v>234</c:v>
                </c:pt>
                <c:pt idx="4">
                  <c:v>59</c:v>
                </c:pt>
              </c:numCache>
            </c:numRef>
          </c:val>
          <c:extLst xmlns:c16r2="http://schemas.microsoft.com/office/drawing/2015/06/chart">
            <c:ext xmlns:c16="http://schemas.microsoft.com/office/drawing/2014/chart" uri="{C3380CC4-5D6E-409C-BE32-E72D297353CC}">
              <c16:uniqueId val="{00000004-FCDA-448C-922D-296DDB716C8C}"/>
            </c:ext>
          </c:extLst>
        </c:ser>
        <c:dLbls>
          <c:showLegendKey val="0"/>
          <c:showVal val="0"/>
          <c:showCatName val="0"/>
          <c:showSerName val="0"/>
          <c:showPercent val="0"/>
          <c:showBubbleSize val="0"/>
        </c:dLbls>
        <c:gapWidth val="150"/>
        <c:axId val="433700504"/>
        <c:axId val="433696584"/>
      </c:barChart>
      <c:catAx>
        <c:axId val="433700504"/>
        <c:scaling>
          <c:orientation val="minMax"/>
        </c:scaling>
        <c:delete val="0"/>
        <c:axPos val="b"/>
        <c:numFmt formatCode="General" sourceLinked="0"/>
        <c:majorTickMark val="out"/>
        <c:minorTickMark val="none"/>
        <c:tickLblPos val="nextTo"/>
        <c:txPr>
          <a:bodyPr/>
          <a:lstStyle/>
          <a:p>
            <a:pPr>
              <a:defRPr sz="1000">
                <a:latin typeface="Times New Roman" panose="02020603050405020304" pitchFamily="18" charset="0"/>
                <a:cs typeface="Times New Roman" panose="02020603050405020304" pitchFamily="18" charset="0"/>
              </a:defRPr>
            </a:pPr>
            <a:endParaRPr lang="fr-FR"/>
          </a:p>
        </c:txPr>
        <c:crossAx val="433696584"/>
        <c:crosses val="autoZero"/>
        <c:auto val="1"/>
        <c:lblAlgn val="ctr"/>
        <c:lblOffset val="100"/>
        <c:noMultiLvlLbl val="0"/>
      </c:catAx>
      <c:valAx>
        <c:axId val="433696584"/>
        <c:scaling>
          <c:orientation val="minMax"/>
        </c:scaling>
        <c:delete val="0"/>
        <c:axPos val="l"/>
        <c:numFmt formatCode="General" sourceLinked="1"/>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fr-FR"/>
          </a:p>
        </c:txPr>
        <c:crossAx val="433700504"/>
        <c:crosses val="autoZero"/>
        <c:crossBetween val="between"/>
      </c:valAx>
    </c:plotArea>
    <c:plotVisOnly val="1"/>
    <c:dispBlanksAs val="gap"/>
    <c:showDLblsOverMax val="0"/>
  </c:chart>
  <c:spPr>
    <a:ln w="15875" cmpd="sng">
      <a:solidFill>
        <a:srgbClr val="0070C0"/>
      </a:solid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col"/>
        <c:grouping val="clustered"/>
        <c:varyColors val="0"/>
        <c:ser>
          <c:idx val="0"/>
          <c:order val="0"/>
          <c:spPr>
            <a:solidFill>
              <a:schemeClr val="accent1"/>
            </a:solidFill>
          </c:spPr>
          <c:invertIfNegative val="0"/>
          <c:dPt>
            <c:idx val="1"/>
            <c:invertIfNegative val="0"/>
            <c:bubble3D val="0"/>
            <c:spPr>
              <a:solidFill>
                <a:srgbClr val="FF0000"/>
              </a:solidFill>
            </c:spPr>
            <c:extLst xmlns:c16r2="http://schemas.microsoft.com/office/drawing/2015/06/chart">
              <c:ext xmlns:c16="http://schemas.microsoft.com/office/drawing/2014/chart" uri="{C3380CC4-5D6E-409C-BE32-E72D297353CC}">
                <c16:uniqueId val="{00000001-F328-4D3A-BA70-ABF1CACA2126}"/>
              </c:ext>
            </c:extLst>
          </c:dPt>
          <c:dPt>
            <c:idx val="3"/>
            <c:invertIfNegative val="0"/>
            <c:bubble3D val="0"/>
            <c:spPr>
              <a:solidFill>
                <a:srgbClr val="FF0000"/>
              </a:solidFill>
            </c:spPr>
            <c:extLst xmlns:c16r2="http://schemas.microsoft.com/office/drawing/2015/06/chart">
              <c:ext xmlns:c16="http://schemas.microsoft.com/office/drawing/2014/chart" uri="{C3380CC4-5D6E-409C-BE32-E72D297353CC}">
                <c16:uniqueId val="{00000003-F328-4D3A-BA70-ABF1CACA2126}"/>
              </c:ext>
            </c:extLst>
          </c:dPt>
          <c:dPt>
            <c:idx val="5"/>
            <c:invertIfNegative val="0"/>
            <c:bubble3D val="0"/>
            <c:spPr>
              <a:solidFill>
                <a:srgbClr val="FFC000"/>
              </a:solidFill>
            </c:spPr>
            <c:extLst xmlns:c16r2="http://schemas.microsoft.com/office/drawing/2015/06/chart">
              <c:ext xmlns:c16="http://schemas.microsoft.com/office/drawing/2014/chart" uri="{C3380CC4-5D6E-409C-BE32-E72D297353CC}">
                <c16:uniqueId val="{00000005-F328-4D3A-BA70-ABF1CACA2126}"/>
              </c:ext>
            </c:extLst>
          </c:dPt>
          <c:dPt>
            <c:idx val="6"/>
            <c:invertIfNegative val="0"/>
            <c:bubble3D val="0"/>
            <c:spPr>
              <a:solidFill>
                <a:srgbClr val="FF0000"/>
              </a:solidFill>
            </c:spPr>
            <c:extLst xmlns:c16r2="http://schemas.microsoft.com/office/drawing/2015/06/chart">
              <c:ext xmlns:c16="http://schemas.microsoft.com/office/drawing/2014/chart" uri="{C3380CC4-5D6E-409C-BE32-E72D297353CC}">
                <c16:uniqueId val="{00000007-F328-4D3A-BA70-ABF1CACA2126}"/>
              </c:ext>
            </c:extLst>
          </c:dPt>
          <c:dPt>
            <c:idx val="7"/>
            <c:invertIfNegative val="0"/>
            <c:bubble3D val="0"/>
            <c:spPr>
              <a:solidFill>
                <a:srgbClr val="FF0000"/>
              </a:solidFill>
            </c:spPr>
            <c:extLst xmlns:c16r2="http://schemas.microsoft.com/office/drawing/2015/06/chart">
              <c:ext xmlns:c16="http://schemas.microsoft.com/office/drawing/2014/chart" uri="{C3380CC4-5D6E-409C-BE32-E72D297353CC}">
                <c16:uniqueId val="{00000009-F328-4D3A-BA70-ABF1CACA2126}"/>
              </c:ext>
            </c:extLst>
          </c:dPt>
          <c:dPt>
            <c:idx val="10"/>
            <c:invertIfNegative val="0"/>
            <c:bubble3D val="0"/>
            <c:spPr>
              <a:solidFill>
                <a:srgbClr val="FFC000"/>
              </a:solidFill>
            </c:spPr>
            <c:extLst xmlns:c16r2="http://schemas.microsoft.com/office/drawing/2015/06/chart">
              <c:ext xmlns:c16="http://schemas.microsoft.com/office/drawing/2014/chart" uri="{C3380CC4-5D6E-409C-BE32-E72D297353CC}">
                <c16:uniqueId val="{0000000B-F328-4D3A-BA70-ABF1CACA2126}"/>
              </c:ext>
            </c:extLst>
          </c:dPt>
          <c:dPt>
            <c:idx val="13"/>
            <c:invertIfNegative val="0"/>
            <c:bubble3D val="0"/>
            <c:spPr>
              <a:solidFill>
                <a:srgbClr val="FFC000"/>
              </a:solidFill>
            </c:spPr>
            <c:extLst xmlns:c16r2="http://schemas.microsoft.com/office/drawing/2015/06/chart">
              <c:ext xmlns:c16="http://schemas.microsoft.com/office/drawing/2014/chart" uri="{C3380CC4-5D6E-409C-BE32-E72D297353CC}">
                <c16:uniqueId val="{0000000D-F328-4D3A-BA70-ABF1CACA2126}"/>
              </c:ext>
            </c:extLst>
          </c:dPt>
          <c:dPt>
            <c:idx val="14"/>
            <c:invertIfNegative val="0"/>
            <c:bubble3D val="0"/>
            <c:spPr>
              <a:solidFill>
                <a:srgbClr val="FFC000"/>
              </a:solidFill>
            </c:spPr>
            <c:extLst xmlns:c16r2="http://schemas.microsoft.com/office/drawing/2015/06/chart">
              <c:ext xmlns:c16="http://schemas.microsoft.com/office/drawing/2014/chart" uri="{C3380CC4-5D6E-409C-BE32-E72D297353CC}">
                <c16:uniqueId val="{0000000F-F328-4D3A-BA70-ABF1CACA2126}"/>
              </c:ext>
            </c:extLst>
          </c:dPt>
          <c:dPt>
            <c:idx val="16"/>
            <c:invertIfNegative val="0"/>
            <c:bubble3D val="0"/>
            <c:spPr>
              <a:solidFill>
                <a:srgbClr val="FFC000"/>
              </a:solidFill>
            </c:spPr>
            <c:extLst xmlns:c16r2="http://schemas.microsoft.com/office/drawing/2015/06/chart">
              <c:ext xmlns:c16="http://schemas.microsoft.com/office/drawing/2014/chart" uri="{C3380CC4-5D6E-409C-BE32-E72D297353CC}">
                <c16:uniqueId val="{00000011-F328-4D3A-BA70-ABF1CACA2126}"/>
              </c:ext>
            </c:extLst>
          </c:dPt>
          <c:dPt>
            <c:idx val="19"/>
            <c:invertIfNegative val="0"/>
            <c:bubble3D val="0"/>
            <c:spPr>
              <a:solidFill>
                <a:srgbClr val="FFC000"/>
              </a:solidFill>
            </c:spPr>
            <c:extLst xmlns:c16r2="http://schemas.microsoft.com/office/drawing/2015/06/chart">
              <c:ext xmlns:c16="http://schemas.microsoft.com/office/drawing/2014/chart" uri="{C3380CC4-5D6E-409C-BE32-E72D297353CC}">
                <c16:uniqueId val="{00000013-F328-4D3A-BA70-ABF1CACA2126}"/>
              </c:ext>
            </c:extLst>
          </c:dPt>
          <c:cat>
            <c:strRef>
              <c:f>Feuil1!$A$28:$A$47</c:f>
              <c:strCache>
                <c:ptCount val="20"/>
                <c:pt idx="0">
                  <c:v>AGNEBY-TIASSA-ME</c:v>
                </c:pt>
                <c:pt idx="1">
                  <c:v>GBOKLE-NAWA-SAN-PEDRO</c:v>
                </c:pt>
                <c:pt idx="2">
                  <c:v>KABADOUGOU-BAFING-FOLON </c:v>
                </c:pt>
                <c:pt idx="3">
                  <c:v>HAUT SASSANDRA</c:v>
                </c:pt>
                <c:pt idx="4">
                  <c:v>BELIER</c:v>
                </c:pt>
                <c:pt idx="5">
                  <c:v>GÔH</c:v>
                </c:pt>
                <c:pt idx="6">
                  <c:v>ABIDJAN 1- GRANDS PONTS</c:v>
                </c:pt>
                <c:pt idx="7">
                  <c:v>ABIDJAN 2</c:v>
                </c:pt>
                <c:pt idx="8">
                  <c:v>LA MARAHOUE</c:v>
                </c:pt>
                <c:pt idx="9">
                  <c:v>TONKPI</c:v>
                </c:pt>
                <c:pt idx="10">
                  <c:v>CAVALLY-GUEMON</c:v>
                </c:pt>
                <c:pt idx="11">
                  <c:v>NZI-IFOU</c:v>
                </c:pt>
                <c:pt idx="12">
                  <c:v>INDENIE DJUABLIN</c:v>
                </c:pt>
                <c:pt idx="13">
                  <c:v>PORO-TCHOLOGO-BAGOUE</c:v>
                </c:pt>
                <c:pt idx="14">
                  <c:v>LÔH-DJIBOUA</c:v>
                </c:pt>
                <c:pt idx="15">
                  <c:v>SUD-COMOE</c:v>
                </c:pt>
                <c:pt idx="16">
                  <c:v>GBEKE</c:v>
                </c:pt>
                <c:pt idx="17">
                  <c:v>HAMBOL</c:v>
                </c:pt>
                <c:pt idx="18">
                  <c:v>WORODOUGOU-BERE</c:v>
                </c:pt>
                <c:pt idx="19">
                  <c:v>BOUNKANI-GONTOUGO</c:v>
                </c:pt>
              </c:strCache>
            </c:strRef>
          </c:cat>
          <c:val>
            <c:numRef>
              <c:f>Feuil1!$B$28:$B$47</c:f>
              <c:numCache>
                <c:formatCode>General</c:formatCode>
                <c:ptCount val="20"/>
                <c:pt idx="0">
                  <c:v>95</c:v>
                </c:pt>
                <c:pt idx="1">
                  <c:v>183</c:v>
                </c:pt>
                <c:pt idx="2">
                  <c:v>76</c:v>
                </c:pt>
                <c:pt idx="3">
                  <c:v>179</c:v>
                </c:pt>
                <c:pt idx="4">
                  <c:v>99</c:v>
                </c:pt>
                <c:pt idx="5">
                  <c:v>122</c:v>
                </c:pt>
                <c:pt idx="6">
                  <c:v>207</c:v>
                </c:pt>
                <c:pt idx="7">
                  <c:v>300</c:v>
                </c:pt>
                <c:pt idx="8">
                  <c:v>76</c:v>
                </c:pt>
                <c:pt idx="9">
                  <c:v>82</c:v>
                </c:pt>
                <c:pt idx="10">
                  <c:v>104</c:v>
                </c:pt>
                <c:pt idx="11">
                  <c:v>96</c:v>
                </c:pt>
                <c:pt idx="12">
                  <c:v>88</c:v>
                </c:pt>
                <c:pt idx="13">
                  <c:v>152</c:v>
                </c:pt>
                <c:pt idx="14">
                  <c:v>113</c:v>
                </c:pt>
                <c:pt idx="15">
                  <c:v>38</c:v>
                </c:pt>
                <c:pt idx="16">
                  <c:v>163</c:v>
                </c:pt>
                <c:pt idx="17">
                  <c:v>32</c:v>
                </c:pt>
                <c:pt idx="18">
                  <c:v>63</c:v>
                </c:pt>
                <c:pt idx="19">
                  <c:v>119</c:v>
                </c:pt>
              </c:numCache>
            </c:numRef>
          </c:val>
          <c:extLst xmlns:c16r2="http://schemas.microsoft.com/office/drawing/2015/06/chart">
            <c:ext xmlns:c16="http://schemas.microsoft.com/office/drawing/2014/chart" uri="{C3380CC4-5D6E-409C-BE32-E72D297353CC}">
              <c16:uniqueId val="{00000014-F328-4D3A-BA70-ABF1CACA2126}"/>
            </c:ext>
          </c:extLst>
        </c:ser>
        <c:dLbls>
          <c:showLegendKey val="0"/>
          <c:showVal val="0"/>
          <c:showCatName val="0"/>
          <c:showSerName val="0"/>
          <c:showPercent val="0"/>
          <c:showBubbleSize val="0"/>
        </c:dLbls>
        <c:gapWidth val="150"/>
        <c:axId val="433696192"/>
        <c:axId val="433697368"/>
      </c:barChart>
      <c:catAx>
        <c:axId val="433696192"/>
        <c:scaling>
          <c:orientation val="minMax"/>
        </c:scaling>
        <c:delete val="0"/>
        <c:axPos val="b"/>
        <c:numFmt formatCode="General" sourceLinked="0"/>
        <c:majorTickMark val="none"/>
        <c:minorTickMark val="none"/>
        <c:tickLblPos val="nextTo"/>
        <c:txPr>
          <a:bodyPr/>
          <a:lstStyle/>
          <a:p>
            <a:pPr>
              <a:defRPr sz="700" b="1">
                <a:solidFill>
                  <a:sysClr val="windowText" lastClr="000000"/>
                </a:solidFill>
                <a:latin typeface="Times New Roman" panose="02020603050405020304" pitchFamily="18" charset="0"/>
                <a:cs typeface="Times New Roman" panose="02020603050405020304" pitchFamily="18" charset="0"/>
              </a:defRPr>
            </a:pPr>
            <a:endParaRPr lang="fr-FR"/>
          </a:p>
        </c:txPr>
        <c:crossAx val="433697368"/>
        <c:crosses val="autoZero"/>
        <c:auto val="1"/>
        <c:lblAlgn val="ctr"/>
        <c:lblOffset val="100"/>
        <c:noMultiLvlLbl val="0"/>
      </c:catAx>
      <c:valAx>
        <c:axId val="433697368"/>
        <c:scaling>
          <c:orientation val="minMax"/>
        </c:scaling>
        <c:delete val="0"/>
        <c:axPos val="l"/>
        <c:majorGridlines/>
        <c:title>
          <c:tx>
            <c:rich>
              <a:bodyPr/>
              <a:lstStyle/>
              <a:p>
                <a:pPr>
                  <a:defRPr>
                    <a:latin typeface="Times New Roman" panose="02020603050405020304" pitchFamily="18" charset="0"/>
                    <a:cs typeface="Times New Roman" panose="02020603050405020304" pitchFamily="18" charset="0"/>
                  </a:defRPr>
                </a:pPr>
                <a:r>
                  <a:rPr lang="fr-CI">
                    <a:latin typeface="Times New Roman" panose="02020603050405020304" pitchFamily="18" charset="0"/>
                    <a:cs typeface="Times New Roman" panose="02020603050405020304" pitchFamily="18" charset="0"/>
                  </a:rPr>
                  <a:t>Ratio</a:t>
                </a:r>
                <a:r>
                  <a:rPr lang="fr-CI" baseline="0">
                    <a:latin typeface="Times New Roman" panose="02020603050405020304" pitchFamily="18" charset="0"/>
                    <a:cs typeface="Times New Roman" panose="02020603050405020304" pitchFamily="18" charset="0"/>
                  </a:rPr>
                  <a:t> de décès maternels</a:t>
                </a:r>
                <a:endParaRPr lang="fr-CI">
                  <a:latin typeface="Times New Roman" panose="02020603050405020304" pitchFamily="18" charset="0"/>
                  <a:cs typeface="Times New Roman" panose="02020603050405020304" pitchFamily="18" charset="0"/>
                </a:endParaRPr>
              </a:p>
            </c:rich>
          </c:tx>
          <c:overlay val="0"/>
        </c:title>
        <c:numFmt formatCode="General" sourceLinked="1"/>
        <c:majorTickMark val="out"/>
        <c:minorTickMark val="none"/>
        <c:tickLblPos val="nextTo"/>
        <c:txPr>
          <a:bodyPr/>
          <a:lstStyle/>
          <a:p>
            <a:pPr>
              <a:defRPr b="1">
                <a:latin typeface="Times New Roman" panose="02020603050405020304" pitchFamily="18" charset="0"/>
                <a:cs typeface="Times New Roman" panose="02020603050405020304" pitchFamily="18" charset="0"/>
              </a:defRPr>
            </a:pPr>
            <a:endParaRPr lang="fr-FR"/>
          </a:p>
        </c:txPr>
        <c:crossAx val="433696192"/>
        <c:crosses val="autoZero"/>
        <c:crossBetween val="between"/>
      </c:valAx>
      <c:spPr>
        <a:noFill/>
      </c:spPr>
    </c:plotArea>
    <c:plotVisOnly val="1"/>
    <c:dispBlanksAs val="gap"/>
    <c:showDLblsOverMax val="0"/>
  </c:chart>
  <c:spPr>
    <a:ln w="15875" cmpd="sng">
      <a:solidFill>
        <a:srgbClr val="0070C0"/>
      </a:solid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fr-CA" sz="1100">
                <a:solidFill>
                  <a:sysClr val="windowText" lastClr="000000"/>
                </a:solidFill>
                <a:latin typeface="Times New Roman" panose="02020603050405020304" pitchFamily="18" charset="0"/>
                <a:cs typeface="Times New Roman" panose="02020603050405020304" pitchFamily="18" charset="0"/>
              </a:rPr>
              <a:t>Evolution de la mortalité néonatale</a:t>
            </a:r>
          </a:p>
        </c:rich>
      </c:tx>
      <c:layout>
        <c:manualLayout>
          <c:xMode val="edge"/>
          <c:yMode val="edge"/>
          <c:x val="0.3141718438635564"/>
          <c:y val="2.9895366218236172E-2"/>
        </c:manualLayout>
      </c:layout>
      <c:overlay val="0"/>
      <c:spPr>
        <a:noFill/>
        <a:ln>
          <a:noFill/>
        </a:ln>
        <a:effectLst/>
      </c:spPr>
    </c:title>
    <c:autoTitleDeleted val="0"/>
    <c:plotArea>
      <c:layout>
        <c:manualLayout>
          <c:layoutTarget val="inner"/>
          <c:xMode val="edge"/>
          <c:yMode val="edge"/>
          <c:x val="0.13218175122319065"/>
          <c:y val="0.14287631086472935"/>
          <c:w val="0.83726266859760679"/>
          <c:h val="0.46567767570720325"/>
        </c:manualLayout>
      </c:layout>
      <c:lineChart>
        <c:grouping val="standard"/>
        <c:varyColors val="0"/>
        <c:ser>
          <c:idx val="0"/>
          <c:order val="0"/>
          <c:tx>
            <c:strRef>
              <c:f>Feuil1!$M$19</c:f>
              <c:strCache>
                <c:ptCount val="1"/>
                <c:pt idx="0">
                  <c:v>Tendance historique Mortalit NN</c:v>
                </c:pt>
              </c:strCache>
            </c:strRef>
          </c:tx>
          <c:spPr>
            <a:ln w="28575" cap="rnd">
              <a:solidFill>
                <a:schemeClr val="accent1"/>
              </a:solidFill>
              <a:round/>
            </a:ln>
            <a:effectLst/>
          </c:spPr>
          <c:marker>
            <c:symbol val="none"/>
          </c:marker>
          <c:dLbls>
            <c:dLbl>
              <c:idx val="0"/>
              <c:layout>
                <c:manualLayout>
                  <c:x val="-6.1114574441897586E-2"/>
                  <c:y val="-6.4677714102305259E-2"/>
                </c:manualLayout>
              </c:layout>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D41A-4D6E-BC9D-DABE4D659214}"/>
                </c:ext>
                <c:ext xmlns:c15="http://schemas.microsoft.com/office/drawing/2012/chart" uri="{CE6537A1-D6FC-4f65-9D91-7224C49458BB}">
                  <c15:layout>
                    <c:manualLayout>
                      <c:w val="0.10696129488077084"/>
                      <c:h val="9.520777358451496E-2"/>
                    </c:manualLayout>
                  </c15:layout>
                </c:ext>
              </c:extLst>
            </c:dLbl>
            <c:dLbl>
              <c:idx val="1"/>
              <c:delete val="1"/>
              <c:extLst xmlns:c16r2="http://schemas.microsoft.com/office/drawing/2015/06/chart">
                <c:ext xmlns:c16="http://schemas.microsoft.com/office/drawing/2014/chart" uri="{C3380CC4-5D6E-409C-BE32-E72D297353CC}">
                  <c16:uniqueId val="{00000001-D41A-4D6E-BC9D-DABE4D65921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D41A-4D6E-BC9D-DABE4D65921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D41A-4D6E-BC9D-DABE4D65921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D41A-4D6E-BC9D-DABE4D659214}"/>
                </c:ext>
                <c:ext xmlns:c15="http://schemas.microsoft.com/office/drawing/2012/chart" uri="{CE6537A1-D6FC-4f65-9D91-7224C49458BB}"/>
              </c:extLst>
            </c:dLbl>
            <c:dLbl>
              <c:idx val="5"/>
              <c:layout>
                <c:manualLayout>
                  <c:x val="-2.7777777777777779E-3"/>
                  <c:y val="-4.166666666666668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D41A-4D6E-BC9D-DABE4D65921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D41A-4D6E-BC9D-DABE4D65921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D41A-4D6E-BC9D-DABE4D65921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D41A-4D6E-BC9D-DABE4D65921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D41A-4D6E-BC9D-DABE4D659214}"/>
                </c:ext>
                <c:ext xmlns:c15="http://schemas.microsoft.com/office/drawing/2012/chart" uri="{CE6537A1-D6FC-4f65-9D91-7224C49458BB}"/>
              </c:extLst>
            </c:dLbl>
            <c:dLbl>
              <c:idx val="10"/>
              <c:layout>
                <c:manualLayout>
                  <c:x val="-3.3333333333333333E-2"/>
                  <c:y val="-4.166666666666670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D41A-4D6E-BC9D-DABE4D659214}"/>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trendline>
            <c:spPr>
              <a:ln w="38100" cap="rnd">
                <a:solidFill>
                  <a:srgbClr val="FF0000"/>
                </a:solidFill>
                <a:prstDash val="sysDot"/>
              </a:ln>
              <a:effectLst/>
            </c:spPr>
            <c:trendlineType val="linear"/>
            <c:dispRSqr val="0"/>
            <c:dispEq val="0"/>
          </c:trendline>
          <c:cat>
            <c:numRef>
              <c:f>Feuil1!$N$18:$AB$18</c:f>
              <c:numCache>
                <c:formatCode>General</c:formatCode>
                <c:ptCount val="15"/>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numCache>
            </c:numRef>
          </c:cat>
          <c:val>
            <c:numRef>
              <c:f>Feuil1!$N$19:$AB$19</c:f>
              <c:numCache>
                <c:formatCode>General</c:formatCode>
                <c:ptCount val="15"/>
                <c:pt idx="0">
                  <c:v>45</c:v>
                </c:pt>
                <c:pt idx="1">
                  <c:v>44</c:v>
                </c:pt>
                <c:pt idx="2">
                  <c:v>43</c:v>
                </c:pt>
                <c:pt idx="3">
                  <c:v>41</c:v>
                </c:pt>
                <c:pt idx="4">
                  <c:v>39</c:v>
                </c:pt>
                <c:pt idx="5">
                  <c:v>38</c:v>
                </c:pt>
                <c:pt idx="6">
                  <c:v>38</c:v>
                </c:pt>
                <c:pt idx="7">
                  <c:v>38</c:v>
                </c:pt>
                <c:pt idx="8">
                  <c:v>36</c:v>
                </c:pt>
                <c:pt idx="9">
                  <c:v>35</c:v>
                </c:pt>
                <c:pt idx="10">
                  <c:v>33</c:v>
                </c:pt>
              </c:numCache>
            </c:numRef>
          </c:val>
          <c:smooth val="0"/>
          <c:extLst xmlns:c16r2="http://schemas.microsoft.com/office/drawing/2015/06/chart">
            <c:ext xmlns:c16="http://schemas.microsoft.com/office/drawing/2014/chart" uri="{C3380CC4-5D6E-409C-BE32-E72D297353CC}">
              <c16:uniqueId val="{0000000C-D41A-4D6E-BC9D-DABE4D659214}"/>
            </c:ext>
          </c:extLst>
        </c:ser>
        <c:ser>
          <c:idx val="1"/>
          <c:order val="1"/>
          <c:tx>
            <c:strRef>
              <c:f>Feuil1!$M$20</c:f>
              <c:strCache>
                <c:ptCount val="1"/>
                <c:pt idx="0">
                  <c:v>Cible du PNSME</c:v>
                </c:pt>
              </c:strCache>
            </c:strRef>
          </c:tx>
          <c:spPr>
            <a:ln w="28575" cap="rnd">
              <a:solidFill>
                <a:srgbClr val="00B050"/>
              </a:solidFill>
              <a:round/>
            </a:ln>
            <a:effectLst/>
          </c:spPr>
          <c:marker>
            <c:symbol val="none"/>
          </c:marker>
          <c:dLbls>
            <c:dLbl>
              <c:idx val="11"/>
              <c:delete val="1"/>
              <c:extLst xmlns:c16r2="http://schemas.microsoft.com/office/drawing/2015/06/chart">
                <c:ext xmlns:c16="http://schemas.microsoft.com/office/drawing/2014/chart" uri="{C3380CC4-5D6E-409C-BE32-E72D297353CC}">
                  <c16:uniqueId val="{0000000D-D41A-4D6E-BC9D-DABE4D65921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E-D41A-4D6E-BC9D-DABE4D65921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F-D41A-4D6E-BC9D-DABE4D659214}"/>
                </c:ext>
                <c:ext xmlns:c15="http://schemas.microsoft.com/office/drawing/2012/chart" uri="{CE6537A1-D6FC-4f65-9D91-7224C49458BB}"/>
              </c:extLst>
            </c:dLbl>
            <c:dLbl>
              <c:idx val="14"/>
              <c:layout>
                <c:manualLayout>
                  <c:x val="-3.6111111111111108E-2"/>
                  <c:y val="3.703703703703703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0-D41A-4D6E-BC9D-DABE4D659214}"/>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Feuil1!$N$18:$AB$18</c:f>
              <c:numCache>
                <c:formatCode>General</c:formatCode>
                <c:ptCount val="15"/>
                <c:pt idx="0">
                  <c:v>2006</c:v>
                </c:pt>
                <c:pt idx="1">
                  <c:v>2007</c:v>
                </c:pt>
                <c:pt idx="2">
                  <c:v>2008</c:v>
                </c:pt>
                <c:pt idx="3">
                  <c:v>2009</c:v>
                </c:pt>
                <c:pt idx="4">
                  <c:v>2010</c:v>
                </c:pt>
                <c:pt idx="5">
                  <c:v>2011</c:v>
                </c:pt>
                <c:pt idx="6">
                  <c:v>2012</c:v>
                </c:pt>
                <c:pt idx="7">
                  <c:v>2013</c:v>
                </c:pt>
                <c:pt idx="8">
                  <c:v>2014</c:v>
                </c:pt>
                <c:pt idx="9">
                  <c:v>2015</c:v>
                </c:pt>
                <c:pt idx="10">
                  <c:v>2016</c:v>
                </c:pt>
                <c:pt idx="11">
                  <c:v>2017</c:v>
                </c:pt>
                <c:pt idx="12">
                  <c:v>2018</c:v>
                </c:pt>
                <c:pt idx="13">
                  <c:v>2019</c:v>
                </c:pt>
                <c:pt idx="14">
                  <c:v>2020</c:v>
                </c:pt>
              </c:numCache>
            </c:numRef>
          </c:cat>
          <c:val>
            <c:numRef>
              <c:f>Feuil1!$N$20:$AB$20</c:f>
              <c:numCache>
                <c:formatCode>General</c:formatCode>
                <c:ptCount val="15"/>
                <c:pt idx="11">
                  <c:v>33</c:v>
                </c:pt>
                <c:pt idx="12">
                  <c:v>24</c:v>
                </c:pt>
                <c:pt idx="13">
                  <c:v>18</c:v>
                </c:pt>
                <c:pt idx="14">
                  <c:v>14</c:v>
                </c:pt>
              </c:numCache>
            </c:numRef>
          </c:val>
          <c:smooth val="0"/>
          <c:extLst xmlns:c16r2="http://schemas.microsoft.com/office/drawing/2015/06/chart">
            <c:ext xmlns:c16="http://schemas.microsoft.com/office/drawing/2014/chart" uri="{C3380CC4-5D6E-409C-BE32-E72D297353CC}">
              <c16:uniqueId val="{00000011-D41A-4D6E-BC9D-DABE4D659214}"/>
            </c:ext>
          </c:extLst>
        </c:ser>
        <c:dLbls>
          <c:showLegendKey val="0"/>
          <c:showVal val="0"/>
          <c:showCatName val="0"/>
          <c:showSerName val="0"/>
          <c:showPercent val="0"/>
          <c:showBubbleSize val="0"/>
        </c:dLbls>
        <c:smooth val="0"/>
        <c:axId val="433698936"/>
        <c:axId val="433700896"/>
      </c:lineChart>
      <c:catAx>
        <c:axId val="433698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crossAx val="433700896"/>
        <c:crosses val="autoZero"/>
        <c:auto val="1"/>
        <c:lblAlgn val="ctr"/>
        <c:lblOffset val="100"/>
        <c:noMultiLvlLbl val="0"/>
      </c:catAx>
      <c:valAx>
        <c:axId val="4337008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solidFill>
                      <a:sysClr val="windowText" lastClr="000000"/>
                    </a:solidFill>
                    <a:latin typeface="Times New Roman" panose="02020603050405020304" pitchFamily="18" charset="0"/>
                    <a:cs typeface="Times New Roman" panose="02020603050405020304" pitchFamily="18" charset="0"/>
                  </a:rPr>
                  <a:t>Décès / 1000 NV</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crossAx val="433698936"/>
        <c:crosses val="autoZero"/>
        <c:crossBetween val="between"/>
      </c:valAx>
      <c:spPr>
        <a:noFill/>
        <a:ln>
          <a:noFill/>
        </a:ln>
        <a:effectLst/>
      </c:spPr>
    </c:plotArea>
    <c:legend>
      <c:legendPos val="b"/>
      <c:legendEntry>
        <c:idx val="0"/>
        <c:txPr>
          <a:bodyPr rot="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legendEntry>
      <c:legendEntry>
        <c:idx val="1"/>
        <c:txPr>
          <a:bodyPr rot="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legendEntry>
      <c:legendEntry>
        <c:idx val="2"/>
        <c:txPr>
          <a:bodyPr rot="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legendEntry>
      <c:layout>
        <c:manualLayout>
          <c:xMode val="edge"/>
          <c:yMode val="edge"/>
          <c:x val="0.13096633322783494"/>
          <c:y val="0.72884608594329292"/>
          <c:w val="0.68122608303681897"/>
          <c:h val="0.27115391405670702"/>
        </c:manualLayout>
      </c:layout>
      <c:overlay val="0"/>
      <c:spPr>
        <a:noFill/>
        <a:ln>
          <a:noFill/>
        </a:ln>
        <a:effectLst/>
      </c:spPr>
      <c:txPr>
        <a:bodyPr rot="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fr-FR"/>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rgbClr val="0070C0"/>
      </a:solidFill>
      <a:round/>
    </a:ln>
    <a:effectLst/>
  </c:spPr>
  <c:txPr>
    <a:bodyPr/>
    <a:lstStyle/>
    <a:p>
      <a:pPr>
        <a:defRPr/>
      </a:pPr>
      <a:endParaRPr lang="fr-F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1"/>
        <c:ser>
          <c:idx val="1"/>
          <c:order val="0"/>
          <c:tx>
            <c:strRef>
              <c:f>[EQUIST_Côte_d’Ivoire_154_152_153_Province_District_Mortalité_néonatale.xlsm]Chart!$D$36</c:f>
              <c:strCache>
                <c:ptCount val="1"/>
                <c:pt idx="0">
                  <c:v>CIV 2006 Data</c:v>
                </c:pt>
              </c:strCache>
            </c:strRef>
          </c:tx>
          <c:spPr>
            <a:solidFill>
              <a:srgbClr val="FF0000"/>
            </a:solidFill>
            <a:ln>
              <a:solidFill>
                <a:srgbClr val="ED7D31"/>
              </a:solidFill>
              <a:prstDash val="solid"/>
            </a:ln>
          </c:spPr>
          <c:invertIfNegative val="0"/>
          <c:val>
            <c:numRef>
              <c:f>[EQUIST_Côte_d’Ivoire_154_152_153_Province_District_Mortalité_néonatale.xlsm]Chart!$D$37:$D$47</c:f>
              <c:numCache>
                <c:formatCode>General</c:formatCode>
                <c:ptCount val="11"/>
                <c:pt idx="0">
                  <c:v>49</c:v>
                </c:pt>
                <c:pt idx="1">
                  <c:v>55</c:v>
                </c:pt>
                <c:pt idx="2">
                  <c:v>47</c:v>
                </c:pt>
                <c:pt idx="3">
                  <c:v>25</c:v>
                </c:pt>
                <c:pt idx="4">
                  <c:v>28</c:v>
                </c:pt>
                <c:pt idx="5">
                  <c:v>92</c:v>
                </c:pt>
                <c:pt idx="6">
                  <c:v>51</c:v>
                </c:pt>
                <c:pt idx="7">
                  <c:v>73</c:v>
                </c:pt>
                <c:pt idx="8">
                  <c:v>49</c:v>
                </c:pt>
                <c:pt idx="9">
                  <c:v>43</c:v>
                </c:pt>
                <c:pt idx="10">
                  <c:v>19</c:v>
                </c:pt>
              </c:numCache>
            </c:numRef>
          </c:val>
          <c:extLst xmlns:c16r2="http://schemas.microsoft.com/office/drawing/2015/06/chart">
            <c:ext xmlns:c16="http://schemas.microsoft.com/office/drawing/2014/chart" uri="{C3380CC4-5D6E-409C-BE32-E72D297353CC}">
              <c16:uniqueId val="{00000000-10A9-418D-8162-CBB3E305AA2B}"/>
            </c:ext>
          </c:extLst>
        </c:ser>
        <c:ser>
          <c:idx val="2"/>
          <c:order val="1"/>
          <c:tx>
            <c:strRef>
              <c:f>[EQUIST_Côte_d’Ivoire_154_152_153_Province_District_Mortalité_néonatale.xlsm]Chart!$E$36</c:f>
              <c:strCache>
                <c:ptCount val="1"/>
                <c:pt idx="0">
                  <c:v>CIV 2011 Data</c:v>
                </c:pt>
              </c:strCache>
            </c:strRef>
          </c:tx>
          <c:spPr>
            <a:solidFill>
              <a:srgbClr val="00B050"/>
            </a:solidFill>
            <a:ln>
              <a:solidFill>
                <a:srgbClr val="A5A5A5"/>
              </a:solidFill>
              <a:prstDash val="solid"/>
            </a:ln>
          </c:spPr>
          <c:invertIfNegative val="0"/>
          <c:val>
            <c:numRef>
              <c:f>[EQUIST_Côte_d’Ivoire_154_152_153_Province_District_Mortalité_néonatale.xlsm]Chart!$E$37:$E$47</c:f>
              <c:numCache>
                <c:formatCode>General</c:formatCode>
                <c:ptCount val="11"/>
                <c:pt idx="0">
                  <c:v>44.76</c:v>
                </c:pt>
                <c:pt idx="1">
                  <c:v>50.32</c:v>
                </c:pt>
                <c:pt idx="2">
                  <c:v>42.93</c:v>
                </c:pt>
                <c:pt idx="3">
                  <c:v>22.34</c:v>
                </c:pt>
                <c:pt idx="4">
                  <c:v>25.1</c:v>
                </c:pt>
                <c:pt idx="5">
                  <c:v>83.58</c:v>
                </c:pt>
                <c:pt idx="6">
                  <c:v>46.48</c:v>
                </c:pt>
                <c:pt idx="7">
                  <c:v>66.05</c:v>
                </c:pt>
                <c:pt idx="8">
                  <c:v>44.18</c:v>
                </c:pt>
                <c:pt idx="9">
                  <c:v>39.020000000000003</c:v>
                </c:pt>
                <c:pt idx="10">
                  <c:v>17.18</c:v>
                </c:pt>
              </c:numCache>
            </c:numRef>
          </c:val>
          <c:extLst xmlns:c16r2="http://schemas.microsoft.com/office/drawing/2015/06/chart">
            <c:ext xmlns:c16="http://schemas.microsoft.com/office/drawing/2014/chart" uri="{C3380CC4-5D6E-409C-BE32-E72D297353CC}">
              <c16:uniqueId val="{00000001-10A9-418D-8162-CBB3E305AA2B}"/>
            </c:ext>
          </c:extLst>
        </c:ser>
        <c:ser>
          <c:idx val="0"/>
          <c:order val="2"/>
          <c:tx>
            <c:strRef>
              <c:f>[EQUIST_Côte_d’Ivoire_154_152_153_Province_District_Mortalité_néonatale.xlsm]Chart!$C$36</c:f>
              <c:strCache>
                <c:ptCount val="1"/>
                <c:pt idx="0">
                  <c:v>CIV 2016 Data</c:v>
                </c:pt>
              </c:strCache>
            </c:strRef>
          </c:tx>
          <c:spPr>
            <a:solidFill>
              <a:srgbClr val="0070C0"/>
            </a:solidFill>
            <a:ln>
              <a:solidFill>
                <a:srgbClr val="5B9BD5"/>
              </a:solidFill>
              <a:prstDash val="solid"/>
            </a:ln>
          </c:spPr>
          <c:invertIfNegative val="0"/>
          <c:cat>
            <c:strRef>
              <c:f>[EQUIST_Côte_d’Ivoire_154_152_153_Province_District_Mortalité_néonatale.xlsm]Chart!$B$37:$B$47</c:f>
              <c:strCache>
                <c:ptCount val="11"/>
                <c:pt idx="0">
                  <c:v>Abidjan</c:v>
                </c:pt>
                <c:pt idx="1">
                  <c:v>Centre</c:v>
                </c:pt>
                <c:pt idx="2">
                  <c:v>Centre Est</c:v>
                </c:pt>
                <c:pt idx="3">
                  <c:v>Centre Nord</c:v>
                </c:pt>
                <c:pt idx="4">
                  <c:v>Centre Ouest</c:v>
                </c:pt>
                <c:pt idx="5">
                  <c:v>Nord</c:v>
                </c:pt>
                <c:pt idx="6">
                  <c:v>Nord-Est</c:v>
                </c:pt>
                <c:pt idx="7">
                  <c:v>Nord-Ouest</c:v>
                </c:pt>
                <c:pt idx="8">
                  <c:v>Ouest</c:v>
                </c:pt>
                <c:pt idx="9">
                  <c:v>Sud sans Abidjan</c:v>
                </c:pt>
                <c:pt idx="10">
                  <c:v>Sud-Ouest</c:v>
                </c:pt>
              </c:strCache>
            </c:strRef>
          </c:cat>
          <c:val>
            <c:numRef>
              <c:f>[EQUIST_Côte_d’Ivoire_154_152_153_Province_District_Mortalité_néonatale.xlsm]Chart!$C$37:$C$47</c:f>
              <c:numCache>
                <c:formatCode>General</c:formatCode>
                <c:ptCount val="11"/>
                <c:pt idx="0">
                  <c:v>34</c:v>
                </c:pt>
                <c:pt idx="1">
                  <c:v>20</c:v>
                </c:pt>
                <c:pt idx="2">
                  <c:v>46</c:v>
                </c:pt>
                <c:pt idx="3">
                  <c:v>30</c:v>
                </c:pt>
                <c:pt idx="4">
                  <c:v>47</c:v>
                </c:pt>
                <c:pt idx="5">
                  <c:v>61</c:v>
                </c:pt>
                <c:pt idx="6">
                  <c:v>34</c:v>
                </c:pt>
                <c:pt idx="7">
                  <c:v>47</c:v>
                </c:pt>
                <c:pt idx="8">
                  <c:v>38</c:v>
                </c:pt>
                <c:pt idx="9">
                  <c:v>34</c:v>
                </c:pt>
                <c:pt idx="10">
                  <c:v>28</c:v>
                </c:pt>
              </c:numCache>
            </c:numRef>
          </c:val>
          <c:extLst xmlns:c16r2="http://schemas.microsoft.com/office/drawing/2015/06/chart">
            <c:ext xmlns:c16="http://schemas.microsoft.com/office/drawing/2014/chart" uri="{C3380CC4-5D6E-409C-BE32-E72D297353CC}">
              <c16:uniqueId val="{00000002-10A9-418D-8162-CBB3E305AA2B}"/>
            </c:ext>
          </c:extLst>
        </c:ser>
        <c:dLbls>
          <c:showLegendKey val="0"/>
          <c:showVal val="0"/>
          <c:showCatName val="0"/>
          <c:showSerName val="0"/>
          <c:showPercent val="0"/>
          <c:showBubbleSize val="0"/>
        </c:dLbls>
        <c:gapWidth val="150"/>
        <c:axId val="348855224"/>
        <c:axId val="348855616"/>
      </c:barChart>
      <c:catAx>
        <c:axId val="348855224"/>
        <c:scaling>
          <c:orientation val="minMax"/>
        </c:scaling>
        <c:delete val="0"/>
        <c:axPos val="b"/>
        <c:numFmt formatCode="General" sourceLinked="1"/>
        <c:majorTickMark val="none"/>
        <c:minorTickMark val="none"/>
        <c:tickLblPos val="nextTo"/>
        <c:txPr>
          <a:bodyPr/>
          <a:lstStyle/>
          <a:p>
            <a:pPr>
              <a:defRPr sz="900" b="1">
                <a:latin typeface="Times New Roman" panose="02020603050405020304" pitchFamily="18" charset="0"/>
                <a:cs typeface="Times New Roman" panose="02020603050405020304" pitchFamily="18" charset="0"/>
              </a:defRPr>
            </a:pPr>
            <a:endParaRPr lang="fr-FR"/>
          </a:p>
        </c:txPr>
        <c:crossAx val="348855616"/>
        <c:crosses val="autoZero"/>
        <c:auto val="1"/>
        <c:lblAlgn val="ctr"/>
        <c:lblOffset val="100"/>
        <c:noMultiLvlLbl val="0"/>
      </c:catAx>
      <c:valAx>
        <c:axId val="348855616"/>
        <c:scaling>
          <c:orientation val="minMax"/>
        </c:scaling>
        <c:delete val="0"/>
        <c:axPos val="l"/>
        <c:majorGridlines/>
        <c:title>
          <c:tx>
            <c:rich>
              <a:bodyPr/>
              <a:lstStyle/>
              <a:p>
                <a:pPr>
                  <a:defRPr/>
                </a:pPr>
                <a:r>
                  <a:rPr lang="fr-CI"/>
                  <a:t>Taux</a:t>
                </a:r>
                <a:r>
                  <a:rPr lang="fr-CI" baseline="0"/>
                  <a:t> de mortalité néonatale</a:t>
                </a:r>
                <a:endParaRPr lang="fr-CI"/>
              </a:p>
            </c:rich>
          </c:tx>
          <c:overlay val="0"/>
        </c:title>
        <c:numFmt formatCode="General" sourceLinked="1"/>
        <c:majorTickMark val="out"/>
        <c:minorTickMark val="none"/>
        <c:tickLblPos val="nextTo"/>
        <c:spPr>
          <a:ln w="9525" cap="flat" cmpd="sng">
            <a:prstDash val="solid"/>
            <a:bevel/>
          </a:ln>
          <a:effectLst/>
        </c:spPr>
        <c:txPr>
          <a:bodyPr/>
          <a:lstStyle/>
          <a:p>
            <a:pPr>
              <a:defRPr sz="1000">
                <a:latin typeface="Times New Roman" panose="02020603050405020304" pitchFamily="18" charset="0"/>
                <a:cs typeface="Times New Roman" panose="02020603050405020304" pitchFamily="18" charset="0"/>
              </a:defRPr>
            </a:pPr>
            <a:endParaRPr lang="fr-FR"/>
          </a:p>
        </c:txPr>
        <c:crossAx val="348855616"/>
        <c:crosses val="autoZero"/>
        <c:crossBetween val="midCat"/>
      </c:valAx>
    </c:plotArea>
    <c:legend>
      <c:legendPos val="r"/>
      <c:overlay val="0"/>
    </c:legend>
    <c:plotVisOnly val="1"/>
    <c:dispBlanksAs val="gap"/>
    <c:showDLblsOverMax val="0"/>
  </c:chart>
  <c:spPr>
    <a:ln w="15875" cmpd="sng">
      <a:solidFill>
        <a:srgbClr val="0070C0"/>
      </a:solidFill>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1"/>
        <c:ser>
          <c:idx val="2"/>
          <c:order val="0"/>
          <c:tx>
            <c:strRef>
              <c:f>Chart!$E$36</c:f>
              <c:strCache>
                <c:ptCount val="1"/>
                <c:pt idx="0">
                  <c:v>CIV 2006 Data</c:v>
                </c:pt>
              </c:strCache>
            </c:strRef>
          </c:tx>
          <c:spPr>
            <a:solidFill>
              <a:srgbClr val="FF0000"/>
            </a:solidFill>
            <a:ln>
              <a:solidFill>
                <a:srgbClr val="FF0000"/>
              </a:solidFill>
              <a:prstDash val="solid"/>
            </a:ln>
          </c:spPr>
          <c:invertIfNegative val="0"/>
          <c:val>
            <c:numRef>
              <c:f>Chart!$E$37:$E$41</c:f>
              <c:numCache>
                <c:formatCode>General</c:formatCode>
                <c:ptCount val="5"/>
                <c:pt idx="0">
                  <c:v>45</c:v>
                </c:pt>
                <c:pt idx="1">
                  <c:v>46</c:v>
                </c:pt>
                <c:pt idx="2">
                  <c:v>50</c:v>
                </c:pt>
                <c:pt idx="3">
                  <c:v>42</c:v>
                </c:pt>
                <c:pt idx="4">
                  <c:v>42</c:v>
                </c:pt>
              </c:numCache>
            </c:numRef>
          </c:val>
          <c:extLst xmlns:c16r2="http://schemas.microsoft.com/office/drawing/2015/06/chart">
            <c:ext xmlns:c16="http://schemas.microsoft.com/office/drawing/2014/chart" uri="{C3380CC4-5D6E-409C-BE32-E72D297353CC}">
              <c16:uniqueId val="{00000000-0FD7-49EB-9B7E-934E87286556}"/>
            </c:ext>
          </c:extLst>
        </c:ser>
        <c:ser>
          <c:idx val="1"/>
          <c:order val="1"/>
          <c:tx>
            <c:strRef>
              <c:f>Chart!$D$36</c:f>
              <c:strCache>
                <c:ptCount val="1"/>
                <c:pt idx="0">
                  <c:v>CIV 2011 Data</c:v>
                </c:pt>
              </c:strCache>
            </c:strRef>
          </c:tx>
          <c:spPr>
            <a:solidFill>
              <a:srgbClr val="00B050"/>
            </a:solidFill>
            <a:ln>
              <a:solidFill>
                <a:srgbClr val="00B050"/>
              </a:solidFill>
              <a:prstDash val="solid"/>
            </a:ln>
          </c:spPr>
          <c:invertIfNegative val="0"/>
          <c:val>
            <c:numRef>
              <c:f>Chart!$D$37:$D$41</c:f>
              <c:numCache>
                <c:formatCode>General</c:formatCode>
                <c:ptCount val="5"/>
                <c:pt idx="0">
                  <c:v>41.03</c:v>
                </c:pt>
                <c:pt idx="1">
                  <c:v>41.92</c:v>
                </c:pt>
                <c:pt idx="2">
                  <c:v>44.97</c:v>
                </c:pt>
                <c:pt idx="3">
                  <c:v>37.99</c:v>
                </c:pt>
                <c:pt idx="4">
                  <c:v>37.79</c:v>
                </c:pt>
              </c:numCache>
            </c:numRef>
          </c:val>
          <c:extLst xmlns:c16r2="http://schemas.microsoft.com/office/drawing/2015/06/chart">
            <c:ext xmlns:c16="http://schemas.microsoft.com/office/drawing/2014/chart" uri="{C3380CC4-5D6E-409C-BE32-E72D297353CC}">
              <c16:uniqueId val="{00000001-0FD7-49EB-9B7E-934E87286556}"/>
            </c:ext>
          </c:extLst>
        </c:ser>
        <c:ser>
          <c:idx val="0"/>
          <c:order val="2"/>
          <c:tx>
            <c:strRef>
              <c:f>Chart!$C$36</c:f>
              <c:strCache>
                <c:ptCount val="1"/>
                <c:pt idx="0">
                  <c:v>CIV 2016 Data</c:v>
                </c:pt>
              </c:strCache>
            </c:strRef>
          </c:tx>
          <c:spPr>
            <a:solidFill>
              <a:srgbClr val="5B9BD5"/>
            </a:solidFill>
            <a:ln>
              <a:solidFill>
                <a:srgbClr val="5B9BD5"/>
              </a:solidFill>
              <a:prstDash val="solid"/>
            </a:ln>
          </c:spPr>
          <c:invertIfNegative val="0"/>
          <c:cat>
            <c:strRef>
              <c:f>Chart!$B$37:$B$41</c:f>
              <c:strCache>
                <c:ptCount val="5"/>
                <c:pt idx="0">
                  <c:v>Poorest</c:v>
                </c:pt>
                <c:pt idx="1">
                  <c:v>Quintile 2</c:v>
                </c:pt>
                <c:pt idx="2">
                  <c:v>Quintile 3</c:v>
                </c:pt>
                <c:pt idx="3">
                  <c:v>Quintile 4</c:v>
                </c:pt>
                <c:pt idx="4">
                  <c:v>Richest</c:v>
                </c:pt>
              </c:strCache>
            </c:strRef>
          </c:cat>
          <c:val>
            <c:numRef>
              <c:f>Chart!$C$37:$C$41</c:f>
              <c:numCache>
                <c:formatCode>General</c:formatCode>
                <c:ptCount val="5"/>
                <c:pt idx="0">
                  <c:v>46</c:v>
                </c:pt>
                <c:pt idx="1">
                  <c:v>33</c:v>
                </c:pt>
                <c:pt idx="2">
                  <c:v>37</c:v>
                </c:pt>
                <c:pt idx="3">
                  <c:v>36</c:v>
                </c:pt>
                <c:pt idx="4">
                  <c:v>38</c:v>
                </c:pt>
              </c:numCache>
            </c:numRef>
          </c:val>
          <c:extLst xmlns:c16r2="http://schemas.microsoft.com/office/drawing/2015/06/chart">
            <c:ext xmlns:c16="http://schemas.microsoft.com/office/drawing/2014/chart" uri="{C3380CC4-5D6E-409C-BE32-E72D297353CC}">
              <c16:uniqueId val="{00000002-0FD7-49EB-9B7E-934E87286556}"/>
            </c:ext>
          </c:extLst>
        </c:ser>
        <c:dLbls>
          <c:showLegendKey val="0"/>
          <c:showVal val="0"/>
          <c:showCatName val="0"/>
          <c:showSerName val="0"/>
          <c:showPercent val="0"/>
          <c:showBubbleSize val="0"/>
        </c:dLbls>
        <c:gapWidth val="150"/>
        <c:axId val="348854440"/>
        <c:axId val="348854832"/>
      </c:barChart>
      <c:catAx>
        <c:axId val="348854440"/>
        <c:scaling>
          <c:orientation val="minMax"/>
        </c:scaling>
        <c:delete val="0"/>
        <c:axPos val="b"/>
        <c:numFmt formatCode="General" sourceLinked="1"/>
        <c:majorTickMark val="none"/>
        <c:minorTickMark val="none"/>
        <c:tickLblPos val="nextTo"/>
        <c:txPr>
          <a:bodyPr/>
          <a:lstStyle/>
          <a:p>
            <a:pPr>
              <a:defRPr sz="1050">
                <a:latin typeface="Times New Roman" panose="02020603050405020304" pitchFamily="18" charset="0"/>
                <a:cs typeface="Times New Roman" panose="02020603050405020304" pitchFamily="18" charset="0"/>
              </a:defRPr>
            </a:pPr>
            <a:endParaRPr lang="fr-FR"/>
          </a:p>
        </c:txPr>
        <c:crossAx val="348854832"/>
        <c:crosses val="autoZero"/>
        <c:auto val="1"/>
        <c:lblAlgn val="ctr"/>
        <c:lblOffset val="100"/>
        <c:noMultiLvlLbl val="0"/>
      </c:catAx>
      <c:valAx>
        <c:axId val="348854832"/>
        <c:scaling>
          <c:orientation val="minMax"/>
        </c:scaling>
        <c:delete val="0"/>
        <c:axPos val="l"/>
        <c:majorGridlines>
          <c:spPr>
            <a:effectLst/>
          </c:spPr>
        </c:majorGridlines>
        <c:title>
          <c:tx>
            <c:rich>
              <a:bodyPr/>
              <a:lstStyle/>
              <a:p>
                <a:pPr>
                  <a:defRPr/>
                </a:pPr>
                <a:r>
                  <a:rPr lang="fr-CI" sz="1050">
                    <a:latin typeface="Times New Roman" panose="02020603050405020304" pitchFamily="18" charset="0"/>
                    <a:cs typeface="Times New Roman" panose="02020603050405020304" pitchFamily="18" charset="0"/>
                  </a:rPr>
                  <a:t>Taux</a:t>
                </a:r>
                <a:r>
                  <a:rPr lang="fr-CI" sz="1050" baseline="0">
                    <a:latin typeface="Times New Roman" panose="02020603050405020304" pitchFamily="18" charset="0"/>
                    <a:cs typeface="Times New Roman" panose="02020603050405020304" pitchFamily="18" charset="0"/>
                  </a:rPr>
                  <a:t> de mortalité néonatale</a:t>
                </a:r>
                <a:endParaRPr lang="fr-CI" sz="1050">
                  <a:latin typeface="Times New Roman" panose="02020603050405020304" pitchFamily="18" charset="0"/>
                  <a:cs typeface="Times New Roman" panose="02020603050405020304" pitchFamily="18" charset="0"/>
                </a:endParaRPr>
              </a:p>
            </c:rich>
          </c:tx>
          <c:overlay val="0"/>
        </c:title>
        <c:numFmt formatCode="General" sourceLinked="1"/>
        <c:majorTickMark val="out"/>
        <c:minorTickMark val="none"/>
        <c:tickLblPos val="nextTo"/>
        <c:spPr>
          <a:ln w="9525" cap="flat" cmpd="sng">
            <a:prstDash val="solid"/>
            <a:bevel/>
          </a:ln>
          <a:effectLst/>
        </c:spPr>
        <c:crossAx val="348854832"/>
        <c:crosses val="autoZero"/>
        <c:crossBetween val="midCat"/>
      </c:valAx>
    </c:plotArea>
    <c:legend>
      <c:legendPos val="r"/>
      <c:overlay val="0"/>
      <c:txPr>
        <a:bodyPr/>
        <a:lstStyle/>
        <a:p>
          <a:pPr>
            <a:defRPr sz="1000">
              <a:latin typeface="Times New Roman" panose="02020603050405020304" pitchFamily="18" charset="0"/>
              <a:cs typeface="Times New Roman" panose="02020603050405020304" pitchFamily="18" charset="0"/>
            </a:defRPr>
          </a:pPr>
          <a:endParaRPr lang="fr-FR"/>
        </a:p>
      </c:txPr>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940604171235983E-2"/>
          <c:y val="0.15367410093364944"/>
          <c:w val="0.61877391043746577"/>
          <c:h val="0.51059995552255344"/>
        </c:manualLayout>
      </c:layout>
      <c:barChart>
        <c:barDir val="col"/>
        <c:grouping val="stacked"/>
        <c:varyColors val="1"/>
        <c:ser>
          <c:idx val="0"/>
          <c:order val="0"/>
          <c:tx>
            <c:strRef>
              <c:f>Chart!$D$36</c:f>
              <c:strCache>
                <c:ptCount val="1"/>
                <c:pt idx="0">
                  <c:v>Diarrhoea (NNMR)##</c:v>
                </c:pt>
              </c:strCache>
            </c:strRef>
          </c:tx>
          <c:spPr>
            <a:solidFill>
              <a:srgbClr val="AA5209"/>
            </a:solidFill>
            <a:ln>
              <a:solidFill>
                <a:srgbClr val="AA5209"/>
              </a:solidFill>
              <a:prstDash val="solid"/>
            </a:ln>
          </c:spPr>
          <c:invertIfNegative val="0"/>
          <c:cat>
            <c:strRef>
              <c:f>Chart!$B$37:$B$47</c:f>
              <c:strCache>
                <c:ptCount val="11"/>
                <c:pt idx="0">
                  <c:v>Abidjan</c:v>
                </c:pt>
                <c:pt idx="1">
                  <c:v>Centre</c:v>
                </c:pt>
                <c:pt idx="2">
                  <c:v>Centre Est</c:v>
                </c:pt>
                <c:pt idx="3">
                  <c:v>Centre Nord</c:v>
                </c:pt>
                <c:pt idx="4">
                  <c:v>Centre Ouest</c:v>
                </c:pt>
                <c:pt idx="5">
                  <c:v>Nord</c:v>
                </c:pt>
                <c:pt idx="6">
                  <c:v>Nord-Est</c:v>
                </c:pt>
                <c:pt idx="7">
                  <c:v>Nord-Ouest</c:v>
                </c:pt>
                <c:pt idx="8">
                  <c:v>Ouest</c:v>
                </c:pt>
                <c:pt idx="9">
                  <c:v>Sud sans Abidjan</c:v>
                </c:pt>
                <c:pt idx="10">
                  <c:v>Sud-Ouest</c:v>
                </c:pt>
              </c:strCache>
            </c:strRef>
          </c:cat>
          <c:val>
            <c:numRef>
              <c:f>Chart!$D$37:$D$47</c:f>
              <c:numCache>
                <c:formatCode>General</c:formatCode>
                <c:ptCount val="11"/>
                <c:pt idx="0">
                  <c:v>0</c:v>
                </c:pt>
                <c:pt idx="1">
                  <c:v>0</c:v>
                </c:pt>
                <c:pt idx="2">
                  <c:v>0</c:v>
                </c:pt>
                <c:pt idx="3">
                  <c:v>0</c:v>
                </c:pt>
                <c:pt idx="4">
                  <c:v>0</c:v>
                </c:pt>
                <c:pt idx="5">
                  <c:v>0</c:v>
                </c:pt>
                <c:pt idx="6">
                  <c:v>0</c:v>
                </c:pt>
                <c:pt idx="7">
                  <c:v>0</c:v>
                </c:pt>
                <c:pt idx="8">
                  <c:v>0</c:v>
                </c:pt>
                <c:pt idx="9">
                  <c:v>0</c:v>
                </c:pt>
                <c:pt idx="10">
                  <c:v>0</c:v>
                </c:pt>
              </c:numCache>
            </c:numRef>
          </c:val>
          <c:extLst xmlns:c16r2="http://schemas.microsoft.com/office/drawing/2015/06/chart">
            <c:ext xmlns:c16="http://schemas.microsoft.com/office/drawing/2014/chart" uri="{C3380CC4-5D6E-409C-BE32-E72D297353CC}">
              <c16:uniqueId val="{00000000-50BD-4904-989C-561C343CD8A9}"/>
            </c:ext>
          </c:extLst>
        </c:ser>
        <c:ser>
          <c:idx val="1"/>
          <c:order val="1"/>
          <c:tx>
            <c:strRef>
              <c:f>Chart!$E$36</c:f>
              <c:strCache>
                <c:ptCount val="1"/>
                <c:pt idx="0">
                  <c:v>Sepsis##</c:v>
                </c:pt>
              </c:strCache>
            </c:strRef>
          </c:tx>
          <c:spPr>
            <a:solidFill>
              <a:srgbClr val="0070C0"/>
            </a:solidFill>
            <a:ln>
              <a:solidFill>
                <a:srgbClr val="0070C0"/>
              </a:solidFill>
              <a:prstDash val="solid"/>
            </a:ln>
          </c:spPr>
          <c:invertIfNegative val="0"/>
          <c:val>
            <c:numRef>
              <c:f>Chart!$E$37:$E$47</c:f>
              <c:numCache>
                <c:formatCode>General</c:formatCode>
                <c:ptCount val="11"/>
                <c:pt idx="0">
                  <c:v>12</c:v>
                </c:pt>
                <c:pt idx="1">
                  <c:v>5</c:v>
                </c:pt>
                <c:pt idx="2">
                  <c:v>12</c:v>
                </c:pt>
                <c:pt idx="3">
                  <c:v>7</c:v>
                </c:pt>
                <c:pt idx="4">
                  <c:v>19</c:v>
                </c:pt>
                <c:pt idx="5">
                  <c:v>14</c:v>
                </c:pt>
                <c:pt idx="6">
                  <c:v>7</c:v>
                </c:pt>
                <c:pt idx="7">
                  <c:v>16</c:v>
                </c:pt>
                <c:pt idx="8">
                  <c:v>8</c:v>
                </c:pt>
                <c:pt idx="9">
                  <c:v>15</c:v>
                </c:pt>
                <c:pt idx="10">
                  <c:v>7</c:v>
                </c:pt>
              </c:numCache>
            </c:numRef>
          </c:val>
          <c:extLst xmlns:c16r2="http://schemas.microsoft.com/office/drawing/2015/06/chart">
            <c:ext xmlns:c16="http://schemas.microsoft.com/office/drawing/2014/chart" uri="{C3380CC4-5D6E-409C-BE32-E72D297353CC}">
              <c16:uniqueId val="{00000001-50BD-4904-989C-561C343CD8A9}"/>
            </c:ext>
          </c:extLst>
        </c:ser>
        <c:ser>
          <c:idx val="2"/>
          <c:order val="2"/>
          <c:tx>
            <c:strRef>
              <c:f>Chart!$F$36</c:f>
              <c:strCache>
                <c:ptCount val="1"/>
                <c:pt idx="0">
                  <c:v>Pneumonia (NNMR)##</c:v>
                </c:pt>
              </c:strCache>
            </c:strRef>
          </c:tx>
          <c:spPr>
            <a:solidFill>
              <a:srgbClr val="F28300"/>
            </a:solidFill>
            <a:ln>
              <a:solidFill>
                <a:srgbClr val="F28300"/>
              </a:solidFill>
              <a:prstDash val="solid"/>
            </a:ln>
          </c:spPr>
          <c:invertIfNegative val="0"/>
          <c:val>
            <c:numRef>
              <c:f>Chart!$F$37:$F$47</c:f>
              <c:numCache>
                <c:formatCode>General</c:formatCode>
                <c:ptCount val="11"/>
                <c:pt idx="0">
                  <c:v>4</c:v>
                </c:pt>
                <c:pt idx="1">
                  <c:v>2</c:v>
                </c:pt>
                <c:pt idx="2">
                  <c:v>4</c:v>
                </c:pt>
                <c:pt idx="3">
                  <c:v>2</c:v>
                </c:pt>
                <c:pt idx="4">
                  <c:v>6</c:v>
                </c:pt>
                <c:pt idx="5">
                  <c:v>5</c:v>
                </c:pt>
                <c:pt idx="6">
                  <c:v>3</c:v>
                </c:pt>
                <c:pt idx="7">
                  <c:v>5</c:v>
                </c:pt>
                <c:pt idx="8">
                  <c:v>3</c:v>
                </c:pt>
                <c:pt idx="9">
                  <c:v>5</c:v>
                </c:pt>
                <c:pt idx="10">
                  <c:v>2</c:v>
                </c:pt>
              </c:numCache>
            </c:numRef>
          </c:val>
          <c:extLst xmlns:c16r2="http://schemas.microsoft.com/office/drawing/2015/06/chart">
            <c:ext xmlns:c16="http://schemas.microsoft.com/office/drawing/2014/chart" uri="{C3380CC4-5D6E-409C-BE32-E72D297353CC}">
              <c16:uniqueId val="{00000002-50BD-4904-989C-561C343CD8A9}"/>
            </c:ext>
          </c:extLst>
        </c:ser>
        <c:ser>
          <c:idx val="3"/>
          <c:order val="3"/>
          <c:tx>
            <c:strRef>
              <c:f>Chart!$G$36</c:f>
              <c:strCache>
                <c:ptCount val="1"/>
                <c:pt idx="0">
                  <c:v>Asphyxia##</c:v>
                </c:pt>
              </c:strCache>
            </c:strRef>
          </c:tx>
          <c:spPr>
            <a:solidFill>
              <a:srgbClr val="00B050"/>
            </a:solidFill>
            <a:ln>
              <a:solidFill>
                <a:srgbClr val="00B050"/>
              </a:solidFill>
              <a:prstDash val="solid"/>
            </a:ln>
          </c:spPr>
          <c:invertIfNegative val="0"/>
          <c:val>
            <c:numRef>
              <c:f>Chart!$G$37:$G$47</c:f>
              <c:numCache>
                <c:formatCode>General</c:formatCode>
                <c:ptCount val="11"/>
                <c:pt idx="0">
                  <c:v>5</c:v>
                </c:pt>
                <c:pt idx="1">
                  <c:v>4</c:v>
                </c:pt>
                <c:pt idx="2">
                  <c:v>10</c:v>
                </c:pt>
                <c:pt idx="3">
                  <c:v>8</c:v>
                </c:pt>
                <c:pt idx="4">
                  <c:v>9</c:v>
                </c:pt>
                <c:pt idx="5">
                  <c:v>16</c:v>
                </c:pt>
                <c:pt idx="6">
                  <c:v>10</c:v>
                </c:pt>
                <c:pt idx="7">
                  <c:v>10</c:v>
                </c:pt>
                <c:pt idx="8">
                  <c:v>11</c:v>
                </c:pt>
                <c:pt idx="9">
                  <c:v>5</c:v>
                </c:pt>
                <c:pt idx="10">
                  <c:v>8</c:v>
                </c:pt>
              </c:numCache>
            </c:numRef>
          </c:val>
          <c:extLst xmlns:c16r2="http://schemas.microsoft.com/office/drawing/2015/06/chart">
            <c:ext xmlns:c16="http://schemas.microsoft.com/office/drawing/2014/chart" uri="{C3380CC4-5D6E-409C-BE32-E72D297353CC}">
              <c16:uniqueId val="{00000003-50BD-4904-989C-561C343CD8A9}"/>
            </c:ext>
          </c:extLst>
        </c:ser>
        <c:ser>
          <c:idx val="4"/>
          <c:order val="4"/>
          <c:tx>
            <c:strRef>
              <c:f>Chart!$H$36</c:f>
              <c:strCache>
                <c:ptCount val="1"/>
                <c:pt idx="0">
                  <c:v>Prematurity##</c:v>
                </c:pt>
              </c:strCache>
            </c:strRef>
          </c:tx>
          <c:spPr>
            <a:solidFill>
              <a:srgbClr val="FF0000"/>
            </a:solidFill>
            <a:ln>
              <a:solidFill>
                <a:srgbClr val="FF0000"/>
              </a:solidFill>
              <a:prstDash val="solid"/>
            </a:ln>
          </c:spPr>
          <c:invertIfNegative val="0"/>
          <c:val>
            <c:numRef>
              <c:f>Chart!$H$37:$H$47</c:f>
              <c:numCache>
                <c:formatCode>General</c:formatCode>
                <c:ptCount val="11"/>
                <c:pt idx="0">
                  <c:v>8</c:v>
                </c:pt>
                <c:pt idx="1">
                  <c:v>6</c:v>
                </c:pt>
                <c:pt idx="2">
                  <c:v>13</c:v>
                </c:pt>
                <c:pt idx="3">
                  <c:v>9</c:v>
                </c:pt>
                <c:pt idx="4">
                  <c:v>9</c:v>
                </c:pt>
                <c:pt idx="5">
                  <c:v>18</c:v>
                </c:pt>
                <c:pt idx="6">
                  <c:v>11</c:v>
                </c:pt>
                <c:pt idx="7">
                  <c:v>11</c:v>
                </c:pt>
                <c:pt idx="8">
                  <c:v>11</c:v>
                </c:pt>
                <c:pt idx="9">
                  <c:v>7</c:v>
                </c:pt>
                <c:pt idx="10">
                  <c:v>8</c:v>
                </c:pt>
              </c:numCache>
            </c:numRef>
          </c:val>
          <c:extLst xmlns:c16r2="http://schemas.microsoft.com/office/drawing/2015/06/chart">
            <c:ext xmlns:c16="http://schemas.microsoft.com/office/drawing/2014/chart" uri="{C3380CC4-5D6E-409C-BE32-E72D297353CC}">
              <c16:uniqueId val="{00000004-50BD-4904-989C-561C343CD8A9}"/>
            </c:ext>
          </c:extLst>
        </c:ser>
        <c:ser>
          <c:idx val="6"/>
          <c:order val="5"/>
          <c:tx>
            <c:strRef>
              <c:f>Chart!$J$36</c:f>
              <c:strCache>
                <c:ptCount val="1"/>
                <c:pt idx="0">
                  <c:v>Congenital##</c:v>
                </c:pt>
              </c:strCache>
            </c:strRef>
          </c:tx>
          <c:spPr>
            <a:solidFill>
              <a:schemeClr val="tx1"/>
            </a:solidFill>
            <a:ln>
              <a:solidFill>
                <a:schemeClr val="tx1"/>
              </a:solidFill>
              <a:prstDash val="solid"/>
            </a:ln>
          </c:spPr>
          <c:invertIfNegative val="0"/>
          <c:val>
            <c:numRef>
              <c:f>Chart!$J$37:$J$47</c:f>
              <c:numCache>
                <c:formatCode>General</c:formatCode>
                <c:ptCount val="11"/>
                <c:pt idx="0">
                  <c:v>2</c:v>
                </c:pt>
                <c:pt idx="1">
                  <c:v>1</c:v>
                </c:pt>
                <c:pt idx="2">
                  <c:v>3</c:v>
                </c:pt>
                <c:pt idx="3">
                  <c:v>2</c:v>
                </c:pt>
                <c:pt idx="4">
                  <c:v>2</c:v>
                </c:pt>
                <c:pt idx="5">
                  <c:v>3</c:v>
                </c:pt>
                <c:pt idx="6">
                  <c:v>2</c:v>
                </c:pt>
                <c:pt idx="7">
                  <c:v>2</c:v>
                </c:pt>
                <c:pt idx="8">
                  <c:v>2</c:v>
                </c:pt>
                <c:pt idx="9">
                  <c:v>1</c:v>
                </c:pt>
                <c:pt idx="10">
                  <c:v>1</c:v>
                </c:pt>
              </c:numCache>
            </c:numRef>
          </c:val>
          <c:extLst xmlns:c16r2="http://schemas.microsoft.com/office/drawing/2015/06/chart">
            <c:ext xmlns:c16="http://schemas.microsoft.com/office/drawing/2014/chart" uri="{C3380CC4-5D6E-409C-BE32-E72D297353CC}">
              <c16:uniqueId val="{00000005-50BD-4904-989C-561C343CD8A9}"/>
            </c:ext>
          </c:extLst>
        </c:ser>
        <c:ser>
          <c:idx val="7"/>
          <c:order val="6"/>
          <c:tx>
            <c:strRef>
              <c:f>Chart!$K$36</c:f>
              <c:strCache>
                <c:ptCount val="1"/>
                <c:pt idx="0">
                  <c:v>Other causes (NNMR)##</c:v>
                </c:pt>
              </c:strCache>
            </c:strRef>
          </c:tx>
          <c:spPr>
            <a:solidFill>
              <a:srgbClr val="7030A0"/>
            </a:solidFill>
            <a:ln>
              <a:solidFill>
                <a:srgbClr val="7030A0"/>
              </a:solidFill>
              <a:prstDash val="solid"/>
            </a:ln>
          </c:spPr>
          <c:invertIfNegative val="0"/>
          <c:val>
            <c:numRef>
              <c:f>Chart!$K$37:$K$47</c:f>
              <c:numCache>
                <c:formatCode>General</c:formatCode>
                <c:ptCount val="11"/>
                <c:pt idx="0">
                  <c:v>2</c:v>
                </c:pt>
                <c:pt idx="1">
                  <c:v>1</c:v>
                </c:pt>
                <c:pt idx="2">
                  <c:v>3</c:v>
                </c:pt>
                <c:pt idx="3">
                  <c:v>2</c:v>
                </c:pt>
                <c:pt idx="4">
                  <c:v>2</c:v>
                </c:pt>
                <c:pt idx="5">
                  <c:v>3</c:v>
                </c:pt>
                <c:pt idx="6">
                  <c:v>2</c:v>
                </c:pt>
                <c:pt idx="7">
                  <c:v>2</c:v>
                </c:pt>
                <c:pt idx="8">
                  <c:v>2</c:v>
                </c:pt>
                <c:pt idx="9">
                  <c:v>1</c:v>
                </c:pt>
                <c:pt idx="10">
                  <c:v>1</c:v>
                </c:pt>
              </c:numCache>
            </c:numRef>
          </c:val>
          <c:extLst xmlns:c16r2="http://schemas.microsoft.com/office/drawing/2015/06/chart">
            <c:ext xmlns:c16="http://schemas.microsoft.com/office/drawing/2014/chart" uri="{C3380CC4-5D6E-409C-BE32-E72D297353CC}">
              <c16:uniqueId val="{00000006-50BD-4904-989C-561C343CD8A9}"/>
            </c:ext>
          </c:extLst>
        </c:ser>
        <c:dLbls>
          <c:showLegendKey val="0"/>
          <c:showVal val="0"/>
          <c:showCatName val="0"/>
          <c:showSerName val="0"/>
          <c:showPercent val="0"/>
          <c:showBubbleSize val="0"/>
        </c:dLbls>
        <c:gapWidth val="75"/>
        <c:overlap val="100"/>
        <c:axId val="348860320"/>
        <c:axId val="348856008"/>
      </c:barChart>
      <c:catAx>
        <c:axId val="348860320"/>
        <c:scaling>
          <c:orientation val="minMax"/>
        </c:scaling>
        <c:delete val="0"/>
        <c:axPos val="b"/>
        <c:numFmt formatCode="General" sourceLinked="1"/>
        <c:majorTickMark val="none"/>
        <c:minorTickMark val="none"/>
        <c:tickLblPos val="nextTo"/>
        <c:txPr>
          <a:bodyPr/>
          <a:lstStyle/>
          <a:p>
            <a:pPr>
              <a:defRPr b="0">
                <a:latin typeface="Times New Roman" panose="02020603050405020304" pitchFamily="18" charset="0"/>
                <a:cs typeface="Times New Roman" panose="02020603050405020304" pitchFamily="18" charset="0"/>
              </a:defRPr>
            </a:pPr>
            <a:endParaRPr lang="fr-FR"/>
          </a:p>
        </c:txPr>
        <c:crossAx val="348856008"/>
        <c:crosses val="autoZero"/>
        <c:auto val="1"/>
        <c:lblAlgn val="ctr"/>
        <c:lblOffset val="100"/>
        <c:noMultiLvlLbl val="0"/>
      </c:catAx>
      <c:valAx>
        <c:axId val="348856008"/>
        <c:scaling>
          <c:orientation val="minMax"/>
        </c:scaling>
        <c:delete val="0"/>
        <c:axPos val="l"/>
        <c:majorGridlines>
          <c:spPr>
            <a:effectLst/>
          </c:spPr>
        </c:majorGridlines>
        <c:title>
          <c:tx>
            <c:rich>
              <a:bodyPr/>
              <a:lstStyle/>
              <a:p>
                <a:pPr>
                  <a:defRPr sz="1050">
                    <a:latin typeface="Times New Roman" panose="02020603050405020304" pitchFamily="18" charset="0"/>
                    <a:cs typeface="Times New Roman" panose="02020603050405020304" pitchFamily="18" charset="0"/>
                  </a:defRPr>
                </a:pPr>
                <a:r>
                  <a:rPr lang="fr-CI" sz="1050">
                    <a:latin typeface="Times New Roman" panose="02020603050405020304" pitchFamily="18" charset="0"/>
                    <a:cs typeface="Times New Roman" panose="02020603050405020304" pitchFamily="18" charset="0"/>
                  </a:rPr>
                  <a:t>Taux</a:t>
                </a:r>
                <a:r>
                  <a:rPr lang="fr-CI" sz="1050" baseline="0">
                    <a:latin typeface="Times New Roman" panose="02020603050405020304" pitchFamily="18" charset="0"/>
                    <a:cs typeface="Times New Roman" panose="02020603050405020304" pitchFamily="18" charset="0"/>
                  </a:rPr>
                  <a:t> de mortalité</a:t>
                </a:r>
                <a:endParaRPr lang="fr-CI" sz="1050">
                  <a:latin typeface="Times New Roman" panose="02020603050405020304" pitchFamily="18" charset="0"/>
                  <a:cs typeface="Times New Roman" panose="02020603050405020304" pitchFamily="18" charset="0"/>
                </a:endParaRPr>
              </a:p>
            </c:rich>
          </c:tx>
          <c:overlay val="0"/>
        </c:title>
        <c:numFmt formatCode="General" sourceLinked="1"/>
        <c:majorTickMark val="out"/>
        <c:minorTickMark val="none"/>
        <c:tickLblPos val="nextTo"/>
        <c:spPr>
          <a:effectLst/>
        </c:spPr>
        <c:crossAx val="348856008"/>
        <c:crosses val="autoZero"/>
        <c:crossBetween val="midCat"/>
      </c:valAx>
    </c:plotArea>
    <c:legend>
      <c:legendPos val="r"/>
      <c:overlay val="0"/>
    </c:legend>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501119216285256"/>
          <c:y val="6.9976815398075237E-2"/>
          <c:w val="0.74603924213573236"/>
          <c:h val="0.6666344347947436"/>
        </c:manualLayout>
      </c:layout>
      <c:barChart>
        <c:barDir val="col"/>
        <c:grouping val="clustered"/>
        <c:varyColors val="0"/>
        <c:ser>
          <c:idx val="0"/>
          <c:order val="0"/>
          <c:tx>
            <c:strRef>
              <c:f>Chart!$C$35</c:f>
              <c:strCache>
                <c:ptCount val="1"/>
                <c:pt idx="0">
                  <c:v>Décès pour 1 000 naissances vivantes</c:v>
                </c:pt>
              </c:strCache>
            </c:strRef>
          </c:tx>
          <c:spPr>
            <a:solidFill>
              <a:schemeClr val="accent1"/>
            </a:solidFill>
            <a:ln>
              <a:noFill/>
            </a:ln>
            <a:effectLst/>
          </c:spPr>
          <c:invertIfNegative val="0"/>
          <c:dPt>
            <c:idx val="4"/>
            <c:invertIfNegative val="0"/>
            <c:bubble3D val="0"/>
            <c:spPr>
              <a:solidFill>
                <a:srgbClr val="FF0000"/>
              </a:solidFill>
              <a:ln>
                <a:noFill/>
              </a:ln>
              <a:effectLst/>
            </c:spPr>
            <c:extLst xmlns:c16r2="http://schemas.microsoft.com/office/drawing/2015/06/chart">
              <c:ext xmlns:c16="http://schemas.microsoft.com/office/drawing/2014/chart" uri="{C3380CC4-5D6E-409C-BE32-E72D297353CC}">
                <c16:uniqueId val="{00000001-D924-45D8-AA13-1F4416EBCD5D}"/>
              </c:ext>
            </c:extLst>
          </c:dPt>
          <c:dPt>
            <c:idx val="5"/>
            <c:invertIfNegative val="0"/>
            <c:bubble3D val="0"/>
            <c:spPr>
              <a:solidFill>
                <a:srgbClr val="FF0000"/>
              </a:solidFill>
              <a:ln>
                <a:noFill/>
              </a:ln>
              <a:effectLst/>
            </c:spPr>
            <c:extLst xmlns:c16r2="http://schemas.microsoft.com/office/drawing/2015/06/chart">
              <c:ext xmlns:c16="http://schemas.microsoft.com/office/drawing/2014/chart" uri="{C3380CC4-5D6E-409C-BE32-E72D297353CC}">
                <c16:uniqueId val="{00000003-D924-45D8-AA13-1F4416EBCD5D}"/>
              </c:ext>
            </c:extLst>
          </c:dPt>
          <c:dPt>
            <c:idx val="6"/>
            <c:invertIfNegative val="0"/>
            <c:bubble3D val="0"/>
            <c:spPr>
              <a:solidFill>
                <a:srgbClr val="FF0000"/>
              </a:solidFill>
              <a:ln>
                <a:noFill/>
              </a:ln>
              <a:effectLst/>
            </c:spPr>
            <c:extLst xmlns:c16r2="http://schemas.microsoft.com/office/drawing/2015/06/chart">
              <c:ext xmlns:c16="http://schemas.microsoft.com/office/drawing/2014/chart" uri="{C3380CC4-5D6E-409C-BE32-E72D297353CC}">
                <c16:uniqueId val="{00000005-D924-45D8-AA13-1F4416EBCD5D}"/>
              </c:ext>
            </c:extLst>
          </c:dPt>
          <c:dPt>
            <c:idx val="7"/>
            <c:invertIfNegative val="0"/>
            <c:bubble3D val="0"/>
            <c:spPr>
              <a:solidFill>
                <a:srgbClr val="FF0000"/>
              </a:solidFill>
              <a:ln>
                <a:noFill/>
              </a:ln>
              <a:effectLst/>
            </c:spPr>
            <c:extLst xmlns:c16r2="http://schemas.microsoft.com/office/drawing/2015/06/chart">
              <c:ext xmlns:c16="http://schemas.microsoft.com/office/drawing/2014/chart" uri="{C3380CC4-5D6E-409C-BE32-E72D297353CC}">
                <c16:uniqueId val="{00000007-D924-45D8-AA13-1F4416EBCD5D}"/>
              </c:ext>
            </c:extLst>
          </c:dPt>
          <c:dPt>
            <c:idx val="8"/>
            <c:invertIfNegative val="0"/>
            <c:bubble3D val="0"/>
            <c:spPr>
              <a:solidFill>
                <a:srgbClr val="FF0000"/>
              </a:solidFill>
              <a:ln>
                <a:noFill/>
              </a:ln>
              <a:effectLst/>
            </c:spPr>
            <c:extLst xmlns:c16r2="http://schemas.microsoft.com/office/drawing/2015/06/chart">
              <c:ext xmlns:c16="http://schemas.microsoft.com/office/drawing/2014/chart" uri="{C3380CC4-5D6E-409C-BE32-E72D297353CC}">
                <c16:uniqueId val="{00000009-D924-45D8-AA13-1F4416EBCD5D}"/>
              </c:ext>
            </c:extLst>
          </c:dPt>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Chart!$B$36:$B$46</c:f>
              <c:strCache>
                <c:ptCount val="11"/>
                <c:pt idx="0">
                  <c:v>Abidjan</c:v>
                </c:pt>
                <c:pt idx="1">
                  <c:v>Centre</c:v>
                </c:pt>
                <c:pt idx="2">
                  <c:v>Centre Est</c:v>
                </c:pt>
                <c:pt idx="3">
                  <c:v>Centre Nord</c:v>
                </c:pt>
                <c:pt idx="4">
                  <c:v>Centre Ouest</c:v>
                </c:pt>
                <c:pt idx="5">
                  <c:v>Nord</c:v>
                </c:pt>
                <c:pt idx="6">
                  <c:v>Nord-Est</c:v>
                </c:pt>
                <c:pt idx="7">
                  <c:v>Nord-Ouest</c:v>
                </c:pt>
                <c:pt idx="8">
                  <c:v>Ouest</c:v>
                </c:pt>
                <c:pt idx="9">
                  <c:v>Sud sans Abidjan</c:v>
                </c:pt>
                <c:pt idx="10">
                  <c:v>Sud-Ouest</c:v>
                </c:pt>
              </c:strCache>
            </c:strRef>
          </c:cat>
          <c:val>
            <c:numRef>
              <c:f>Chart!$C$36:$C$46</c:f>
              <c:numCache>
                <c:formatCode>General</c:formatCode>
                <c:ptCount val="11"/>
                <c:pt idx="0">
                  <c:v>62</c:v>
                </c:pt>
                <c:pt idx="1">
                  <c:v>70</c:v>
                </c:pt>
                <c:pt idx="2">
                  <c:v>88</c:v>
                </c:pt>
                <c:pt idx="3">
                  <c:v>84</c:v>
                </c:pt>
                <c:pt idx="4">
                  <c:v>113</c:v>
                </c:pt>
                <c:pt idx="5">
                  <c:v>121</c:v>
                </c:pt>
                <c:pt idx="6">
                  <c:v>110</c:v>
                </c:pt>
                <c:pt idx="7">
                  <c:v>114</c:v>
                </c:pt>
                <c:pt idx="8">
                  <c:v>104</c:v>
                </c:pt>
                <c:pt idx="9">
                  <c:v>77</c:v>
                </c:pt>
                <c:pt idx="10">
                  <c:v>62</c:v>
                </c:pt>
              </c:numCache>
            </c:numRef>
          </c:val>
          <c:extLst xmlns:c16r2="http://schemas.microsoft.com/office/drawing/2015/06/chart">
            <c:ext xmlns:c16="http://schemas.microsoft.com/office/drawing/2014/chart" uri="{C3380CC4-5D6E-409C-BE32-E72D297353CC}">
              <c16:uniqueId val="{00000000-DDBE-42F3-B67C-2BD3BA503FFF}"/>
            </c:ext>
          </c:extLst>
        </c:ser>
        <c:dLbls>
          <c:showLegendKey val="0"/>
          <c:showVal val="0"/>
          <c:showCatName val="0"/>
          <c:showSerName val="0"/>
          <c:showPercent val="0"/>
          <c:showBubbleSize val="0"/>
        </c:dLbls>
        <c:gapWidth val="150"/>
        <c:axId val="348856792"/>
        <c:axId val="348857184"/>
      </c:barChart>
      <c:lineChart>
        <c:grouping val="stacked"/>
        <c:varyColors val="0"/>
        <c:ser>
          <c:idx val="2"/>
          <c:order val="1"/>
          <c:tx>
            <c:strRef>
              <c:f>Chart!$E$35</c:f>
              <c:strCache>
                <c:ptCount val="1"/>
                <c:pt idx="0">
                  <c:v>Moyenne nationale</c:v>
                </c:pt>
              </c:strCache>
            </c:strRef>
          </c:tx>
          <c:spPr>
            <a:ln w="28575" cap="rnd">
              <a:solidFill>
                <a:srgbClr val="00B050"/>
              </a:solidFill>
              <a:round/>
            </a:ln>
            <a:effectLst/>
          </c:spPr>
          <c:marker>
            <c:symbol val="none"/>
          </c:marker>
          <c:cat>
            <c:strRef>
              <c:f>Chart!$B$36:$B$46</c:f>
              <c:strCache>
                <c:ptCount val="11"/>
                <c:pt idx="0">
                  <c:v>Abidjan</c:v>
                </c:pt>
                <c:pt idx="1">
                  <c:v>Centre</c:v>
                </c:pt>
                <c:pt idx="2">
                  <c:v>Centre Est</c:v>
                </c:pt>
                <c:pt idx="3">
                  <c:v>Centre Nord</c:v>
                </c:pt>
                <c:pt idx="4">
                  <c:v>Centre Ouest</c:v>
                </c:pt>
                <c:pt idx="5">
                  <c:v>Nord</c:v>
                </c:pt>
                <c:pt idx="6">
                  <c:v>Nord-Est</c:v>
                </c:pt>
                <c:pt idx="7">
                  <c:v>Nord-Ouest</c:v>
                </c:pt>
                <c:pt idx="8">
                  <c:v>Ouest</c:v>
                </c:pt>
                <c:pt idx="9">
                  <c:v>Sud sans Abidjan</c:v>
                </c:pt>
                <c:pt idx="10">
                  <c:v>Sud-Ouest</c:v>
                </c:pt>
              </c:strCache>
            </c:strRef>
          </c:cat>
          <c:val>
            <c:numRef>
              <c:f>Chart!$E$36:$E$46</c:f>
              <c:numCache>
                <c:formatCode>General</c:formatCode>
                <c:ptCount val="11"/>
                <c:pt idx="0">
                  <c:v>92.6</c:v>
                </c:pt>
                <c:pt idx="1">
                  <c:v>92.6</c:v>
                </c:pt>
                <c:pt idx="2">
                  <c:v>92.6</c:v>
                </c:pt>
                <c:pt idx="3">
                  <c:v>92.6</c:v>
                </c:pt>
                <c:pt idx="4">
                  <c:v>92.6</c:v>
                </c:pt>
                <c:pt idx="5">
                  <c:v>92.6</c:v>
                </c:pt>
                <c:pt idx="6">
                  <c:v>92.6</c:v>
                </c:pt>
                <c:pt idx="7">
                  <c:v>92.6</c:v>
                </c:pt>
                <c:pt idx="8">
                  <c:v>92.6</c:v>
                </c:pt>
                <c:pt idx="9">
                  <c:v>92.6</c:v>
                </c:pt>
                <c:pt idx="10">
                  <c:v>92.6</c:v>
                </c:pt>
              </c:numCache>
            </c:numRef>
          </c:val>
          <c:smooth val="0"/>
          <c:extLst xmlns:c16r2="http://schemas.microsoft.com/office/drawing/2015/06/chart">
            <c:ext xmlns:c16="http://schemas.microsoft.com/office/drawing/2014/chart" uri="{C3380CC4-5D6E-409C-BE32-E72D297353CC}">
              <c16:uniqueId val="{00000001-DDBE-42F3-B67C-2BD3BA503FFF}"/>
            </c:ext>
          </c:extLst>
        </c:ser>
        <c:dLbls>
          <c:showLegendKey val="0"/>
          <c:showVal val="0"/>
          <c:showCatName val="0"/>
          <c:showSerName val="0"/>
          <c:showPercent val="0"/>
          <c:showBubbleSize val="0"/>
        </c:dLbls>
        <c:marker val="1"/>
        <c:smooth val="0"/>
        <c:axId val="348856792"/>
        <c:axId val="348857184"/>
      </c:lineChart>
      <c:catAx>
        <c:axId val="3488567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sz="900" b="0"/>
            </a:pPr>
            <a:endParaRPr lang="fr-FR"/>
          </a:p>
        </c:txPr>
        <c:crossAx val="348857184"/>
        <c:crosses val="autoZero"/>
        <c:auto val="1"/>
        <c:lblAlgn val="ctr"/>
        <c:lblOffset val="100"/>
        <c:noMultiLvlLbl val="0"/>
      </c:catAx>
      <c:valAx>
        <c:axId val="348857184"/>
        <c:scaling>
          <c:orientation val="minMax"/>
        </c:scaling>
        <c:delete val="0"/>
        <c:axPos val="l"/>
        <c:title>
          <c:tx>
            <c:rich>
              <a:bodyPr rot="-5400000" vert="horz"/>
              <a:lstStyle/>
              <a:p>
                <a:pPr>
                  <a:defRPr/>
                </a:pPr>
                <a:r>
                  <a:rPr lang="fr-CI"/>
                  <a:t>Taux de mortalité</a:t>
                </a:r>
              </a:p>
            </c:rich>
          </c:tx>
          <c:overlay val="0"/>
          <c:spPr>
            <a:noFill/>
            <a:ln>
              <a:noFill/>
            </a:ln>
            <a:effectLst/>
          </c:spPr>
        </c:title>
        <c:numFmt formatCode="General" sourceLinked="1"/>
        <c:majorTickMark val="out"/>
        <c:minorTickMark val="none"/>
        <c:tickLblPos val="nextTo"/>
        <c:spPr>
          <a:noFill/>
          <a:ln>
            <a:noFill/>
          </a:ln>
          <a:effectLst/>
        </c:spPr>
        <c:txPr>
          <a:bodyPr rot="-60000000" vert="horz"/>
          <a:lstStyle/>
          <a:p>
            <a:pPr>
              <a:defRPr/>
            </a:pPr>
            <a:endParaRPr lang="fr-FR"/>
          </a:p>
        </c:txPr>
        <c:crossAx val="348856792"/>
        <c:crosses val="autoZero"/>
        <c:crossBetween val="between"/>
      </c:valAx>
      <c:spPr>
        <a:noFill/>
        <a:ln w="25400">
          <a:noFill/>
        </a:ln>
        <a:effectLst/>
      </c:spPr>
    </c:plotArea>
    <c:plotVisOnly val="1"/>
    <c:dispBlanksAs val="gap"/>
    <c:showDLblsOverMax val="0"/>
  </c:chart>
  <c:spPr>
    <a:solidFill>
      <a:schemeClr val="bg1"/>
    </a:solidFill>
    <a:ln w="15875" cap="flat" cmpd="sng" algn="ctr">
      <a:solidFill>
        <a:srgbClr val="0070C0"/>
      </a:solidFill>
      <a:round/>
    </a:ln>
    <a:effectLst/>
  </c:spPr>
  <c:txPr>
    <a:bodyPr/>
    <a:lstStyle/>
    <a:p>
      <a:pPr>
        <a:defRPr>
          <a:latin typeface="Times New Roman" panose="02020603050405020304" pitchFamily="18" charset="0"/>
          <a:cs typeface="Times New Roman" panose="02020603050405020304" pitchFamily="18" charset="0"/>
        </a:defRPr>
      </a:pPr>
      <a:endParaRPr lang="fr-F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1"/>
        <c:ser>
          <c:idx val="2"/>
          <c:order val="0"/>
          <c:tx>
            <c:strRef>
              <c:f>Chart!$E$36</c:f>
              <c:strCache>
                <c:ptCount val="1"/>
                <c:pt idx="0">
                  <c:v>CIV 2006 Data</c:v>
                </c:pt>
              </c:strCache>
            </c:strRef>
          </c:tx>
          <c:spPr>
            <a:solidFill>
              <a:srgbClr val="FF0000"/>
            </a:solidFill>
            <a:ln>
              <a:solidFill>
                <a:srgbClr val="A5A5A5"/>
              </a:solidFill>
              <a:prstDash val="solid"/>
            </a:ln>
          </c:spPr>
          <c:invertIfNegative val="0"/>
          <c:val>
            <c:numRef>
              <c:f>Chart!$E$37:$E$47</c:f>
              <c:numCache>
                <c:formatCode>General</c:formatCode>
                <c:ptCount val="11"/>
                <c:pt idx="0">
                  <c:v>105</c:v>
                </c:pt>
                <c:pt idx="1">
                  <c:v>147</c:v>
                </c:pt>
                <c:pt idx="2">
                  <c:v>143</c:v>
                </c:pt>
                <c:pt idx="3">
                  <c:v>82</c:v>
                </c:pt>
                <c:pt idx="4">
                  <c:v>87</c:v>
                </c:pt>
                <c:pt idx="5">
                  <c:v>227</c:v>
                </c:pt>
                <c:pt idx="6">
                  <c:v>142</c:v>
                </c:pt>
                <c:pt idx="7">
                  <c:v>200</c:v>
                </c:pt>
                <c:pt idx="8">
                  <c:v>156</c:v>
                </c:pt>
                <c:pt idx="9">
                  <c:v>109</c:v>
                </c:pt>
                <c:pt idx="10">
                  <c:v>82</c:v>
                </c:pt>
              </c:numCache>
            </c:numRef>
          </c:val>
          <c:extLst xmlns:c16r2="http://schemas.microsoft.com/office/drawing/2015/06/chart">
            <c:ext xmlns:c16="http://schemas.microsoft.com/office/drawing/2014/chart" uri="{C3380CC4-5D6E-409C-BE32-E72D297353CC}">
              <c16:uniqueId val="{00000000-B616-4529-BC98-F67F36930845}"/>
            </c:ext>
          </c:extLst>
        </c:ser>
        <c:ser>
          <c:idx val="1"/>
          <c:order val="1"/>
          <c:tx>
            <c:strRef>
              <c:f>Chart!$D$36</c:f>
              <c:strCache>
                <c:ptCount val="1"/>
                <c:pt idx="0">
                  <c:v>CIV 2011 Data</c:v>
                </c:pt>
              </c:strCache>
            </c:strRef>
          </c:tx>
          <c:spPr>
            <a:solidFill>
              <a:srgbClr val="00B050"/>
            </a:solidFill>
            <a:ln>
              <a:solidFill>
                <a:srgbClr val="ED7D31"/>
              </a:solidFill>
              <a:prstDash val="solid"/>
            </a:ln>
          </c:spPr>
          <c:invertIfNegative val="0"/>
          <c:val>
            <c:numRef>
              <c:f>Chart!$D$37:$D$47</c:f>
              <c:numCache>
                <c:formatCode>General</c:formatCode>
                <c:ptCount val="11"/>
                <c:pt idx="0">
                  <c:v>88.86</c:v>
                </c:pt>
                <c:pt idx="1">
                  <c:v>124.39</c:v>
                </c:pt>
                <c:pt idx="2">
                  <c:v>120.99</c:v>
                </c:pt>
                <c:pt idx="3">
                  <c:v>69.17</c:v>
                </c:pt>
                <c:pt idx="4">
                  <c:v>73.91</c:v>
                </c:pt>
                <c:pt idx="5">
                  <c:v>191.9</c:v>
                </c:pt>
                <c:pt idx="6">
                  <c:v>120.44</c:v>
                </c:pt>
                <c:pt idx="7">
                  <c:v>169.4</c:v>
                </c:pt>
                <c:pt idx="8">
                  <c:v>132.1</c:v>
                </c:pt>
                <c:pt idx="9">
                  <c:v>92</c:v>
                </c:pt>
                <c:pt idx="10">
                  <c:v>69.81</c:v>
                </c:pt>
              </c:numCache>
            </c:numRef>
          </c:val>
          <c:extLst xmlns:c16r2="http://schemas.microsoft.com/office/drawing/2015/06/chart">
            <c:ext xmlns:c16="http://schemas.microsoft.com/office/drawing/2014/chart" uri="{C3380CC4-5D6E-409C-BE32-E72D297353CC}">
              <c16:uniqueId val="{00000001-B616-4529-BC98-F67F36930845}"/>
            </c:ext>
          </c:extLst>
        </c:ser>
        <c:ser>
          <c:idx val="0"/>
          <c:order val="2"/>
          <c:tx>
            <c:strRef>
              <c:f>Chart!$C$36</c:f>
              <c:strCache>
                <c:ptCount val="1"/>
                <c:pt idx="0">
                  <c:v>CIV 2016 Data</c:v>
                </c:pt>
              </c:strCache>
            </c:strRef>
          </c:tx>
          <c:spPr>
            <a:solidFill>
              <a:srgbClr val="0070C0"/>
            </a:solidFill>
            <a:ln>
              <a:solidFill>
                <a:srgbClr val="5B9BD5"/>
              </a:solidFill>
              <a:prstDash val="solid"/>
            </a:ln>
          </c:spPr>
          <c:invertIfNegative val="0"/>
          <c:cat>
            <c:strRef>
              <c:f>Chart!$B$37:$B$47</c:f>
              <c:strCache>
                <c:ptCount val="11"/>
                <c:pt idx="0">
                  <c:v>Abidjan</c:v>
                </c:pt>
                <c:pt idx="1">
                  <c:v>Centre</c:v>
                </c:pt>
                <c:pt idx="2">
                  <c:v>Centre Est</c:v>
                </c:pt>
                <c:pt idx="3">
                  <c:v>Centre Nord</c:v>
                </c:pt>
                <c:pt idx="4">
                  <c:v>Centre Ouest</c:v>
                </c:pt>
                <c:pt idx="5">
                  <c:v>Nord</c:v>
                </c:pt>
                <c:pt idx="6">
                  <c:v>Nord-Est</c:v>
                </c:pt>
                <c:pt idx="7">
                  <c:v>Nord-Ouest</c:v>
                </c:pt>
                <c:pt idx="8">
                  <c:v>Ouest</c:v>
                </c:pt>
                <c:pt idx="9">
                  <c:v>Sud sans Abidjan</c:v>
                </c:pt>
                <c:pt idx="10">
                  <c:v>Sud-Ouest</c:v>
                </c:pt>
              </c:strCache>
            </c:strRef>
          </c:cat>
          <c:val>
            <c:numRef>
              <c:f>Chart!$C$37:$C$47</c:f>
              <c:numCache>
                <c:formatCode>General</c:formatCode>
                <c:ptCount val="11"/>
                <c:pt idx="0">
                  <c:v>62</c:v>
                </c:pt>
                <c:pt idx="1">
                  <c:v>70</c:v>
                </c:pt>
                <c:pt idx="2">
                  <c:v>88</c:v>
                </c:pt>
                <c:pt idx="3">
                  <c:v>84</c:v>
                </c:pt>
                <c:pt idx="4">
                  <c:v>113</c:v>
                </c:pt>
                <c:pt idx="5">
                  <c:v>121</c:v>
                </c:pt>
                <c:pt idx="6">
                  <c:v>110</c:v>
                </c:pt>
                <c:pt idx="7">
                  <c:v>114</c:v>
                </c:pt>
                <c:pt idx="8">
                  <c:v>104</c:v>
                </c:pt>
                <c:pt idx="9">
                  <c:v>77</c:v>
                </c:pt>
                <c:pt idx="10">
                  <c:v>62</c:v>
                </c:pt>
              </c:numCache>
            </c:numRef>
          </c:val>
          <c:extLst xmlns:c16r2="http://schemas.microsoft.com/office/drawing/2015/06/chart">
            <c:ext xmlns:c16="http://schemas.microsoft.com/office/drawing/2014/chart" uri="{C3380CC4-5D6E-409C-BE32-E72D297353CC}">
              <c16:uniqueId val="{00000002-B616-4529-BC98-F67F36930845}"/>
            </c:ext>
          </c:extLst>
        </c:ser>
        <c:dLbls>
          <c:showLegendKey val="0"/>
          <c:showVal val="0"/>
          <c:showCatName val="0"/>
          <c:showSerName val="0"/>
          <c:showPercent val="0"/>
          <c:showBubbleSize val="0"/>
        </c:dLbls>
        <c:gapWidth val="150"/>
        <c:axId val="348857968"/>
        <c:axId val="348858360"/>
      </c:barChart>
      <c:catAx>
        <c:axId val="348857968"/>
        <c:scaling>
          <c:orientation val="minMax"/>
        </c:scaling>
        <c:delete val="0"/>
        <c:axPos val="b"/>
        <c:numFmt formatCode="General" sourceLinked="1"/>
        <c:majorTickMark val="none"/>
        <c:minorTickMark val="none"/>
        <c:tickLblPos val="nextTo"/>
        <c:txPr>
          <a:bodyPr/>
          <a:lstStyle/>
          <a:p>
            <a:pPr>
              <a:defRPr sz="1000" b="0">
                <a:latin typeface="Times New Roman" panose="02020603050405020304" pitchFamily="18" charset="0"/>
                <a:cs typeface="Times New Roman" panose="02020603050405020304" pitchFamily="18" charset="0"/>
              </a:defRPr>
            </a:pPr>
            <a:endParaRPr lang="fr-FR"/>
          </a:p>
        </c:txPr>
        <c:crossAx val="348858360"/>
        <c:crosses val="autoZero"/>
        <c:auto val="1"/>
        <c:lblAlgn val="ctr"/>
        <c:lblOffset val="100"/>
        <c:noMultiLvlLbl val="0"/>
      </c:catAx>
      <c:valAx>
        <c:axId val="348858360"/>
        <c:scaling>
          <c:orientation val="minMax"/>
        </c:scaling>
        <c:delete val="0"/>
        <c:axPos val="l"/>
        <c:majorGridlines/>
        <c:title>
          <c:tx>
            <c:rich>
              <a:bodyPr/>
              <a:lstStyle/>
              <a:p>
                <a:pPr>
                  <a:defRPr/>
                </a:pPr>
                <a:r>
                  <a:rPr lang="fr-CI"/>
                  <a:t>Taux</a:t>
                </a:r>
                <a:r>
                  <a:rPr lang="fr-CI" baseline="0"/>
                  <a:t> de mortalité</a:t>
                </a:r>
                <a:endParaRPr lang="fr-CI"/>
              </a:p>
            </c:rich>
          </c:tx>
          <c:overlay val="0"/>
        </c:title>
        <c:numFmt formatCode="General" sourceLinked="1"/>
        <c:majorTickMark val="out"/>
        <c:minorTickMark val="none"/>
        <c:tickLblPos val="nextTo"/>
        <c:spPr>
          <a:ln w="9525" cap="flat" cmpd="sng">
            <a:prstDash val="solid"/>
            <a:bevel/>
          </a:ln>
          <a:effectLst/>
        </c:spPr>
        <c:txPr>
          <a:bodyPr/>
          <a:lstStyle/>
          <a:p>
            <a:pPr>
              <a:defRPr sz="900" b="1">
                <a:solidFill>
                  <a:sysClr val="windowText" lastClr="000000"/>
                </a:solidFill>
                <a:latin typeface="Times New Roman" panose="02020603050405020304" pitchFamily="18" charset="0"/>
                <a:cs typeface="Times New Roman" panose="02020603050405020304" pitchFamily="18" charset="0"/>
              </a:defRPr>
            </a:pPr>
            <a:endParaRPr lang="fr-FR"/>
          </a:p>
        </c:txPr>
        <c:crossAx val="348858360"/>
        <c:crosses val="autoZero"/>
        <c:crossBetween val="midCat"/>
      </c:valAx>
    </c:plotArea>
    <c:legend>
      <c:legendPos val="r"/>
      <c:legendEntry>
        <c:idx val="0"/>
        <c:txPr>
          <a:bodyPr/>
          <a:lstStyle/>
          <a:p>
            <a:pPr rtl="0">
              <a:defRPr sz="900">
                <a:solidFill>
                  <a:sysClr val="windowText" lastClr="000000"/>
                </a:solidFill>
                <a:latin typeface="Times New Roman" panose="02020603050405020304" pitchFamily="18" charset="0"/>
                <a:cs typeface="Times New Roman" panose="02020603050405020304" pitchFamily="18" charset="0"/>
              </a:defRPr>
            </a:pPr>
            <a:endParaRPr lang="fr-FR"/>
          </a:p>
        </c:txPr>
      </c:legendEntry>
      <c:legendEntry>
        <c:idx val="1"/>
        <c:txPr>
          <a:bodyPr/>
          <a:lstStyle/>
          <a:p>
            <a:pPr rtl="0">
              <a:defRPr sz="900">
                <a:solidFill>
                  <a:sysClr val="windowText" lastClr="000000"/>
                </a:solidFill>
                <a:latin typeface="Times New Roman" panose="02020603050405020304" pitchFamily="18" charset="0"/>
                <a:cs typeface="Times New Roman" panose="02020603050405020304" pitchFamily="18" charset="0"/>
              </a:defRPr>
            </a:pPr>
            <a:endParaRPr lang="fr-FR"/>
          </a:p>
        </c:txPr>
      </c:legendEntry>
      <c:legendEntry>
        <c:idx val="2"/>
        <c:txPr>
          <a:bodyPr/>
          <a:lstStyle/>
          <a:p>
            <a:pPr rtl="0">
              <a:defRPr sz="900">
                <a:solidFill>
                  <a:sysClr val="windowText" lastClr="000000"/>
                </a:solidFill>
                <a:latin typeface="Times New Roman" panose="02020603050405020304" pitchFamily="18" charset="0"/>
                <a:cs typeface="Times New Roman" panose="02020603050405020304" pitchFamily="18" charset="0"/>
              </a:defRPr>
            </a:pPr>
            <a:endParaRPr lang="fr-FR"/>
          </a:p>
        </c:txPr>
      </c:legendEntry>
      <c:overlay val="0"/>
      <c:txPr>
        <a:bodyPr/>
        <a:lstStyle/>
        <a:p>
          <a:pPr rtl="0">
            <a:defRPr sz="900">
              <a:solidFill>
                <a:sysClr val="windowText" lastClr="000000"/>
              </a:solidFill>
              <a:latin typeface="Times New Roman" panose="02020603050405020304" pitchFamily="18" charset="0"/>
              <a:cs typeface="Times New Roman" panose="02020603050405020304" pitchFamily="18" charset="0"/>
            </a:defRPr>
          </a:pPr>
          <a:endParaRPr lang="fr-FR"/>
        </a:p>
      </c:txPr>
    </c:legend>
    <c:plotVisOnly val="1"/>
    <c:dispBlanksAs val="gap"/>
    <c:showDLblsOverMax val="0"/>
  </c:chart>
  <c:spPr>
    <a:ln w="15875" cmpd="sng">
      <a:solidFill>
        <a:srgbClr val="0070C0"/>
      </a:solidFill>
    </a:ln>
  </c:sp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1"/>
        <c:ser>
          <c:idx val="0"/>
          <c:order val="0"/>
          <c:tx>
            <c:strRef>
              <c:f>Data!$D$34</c:f>
              <c:strCache>
                <c:ptCount val="1"/>
                <c:pt idx="0">
                  <c:v>Diarrhoea (U5MR)##</c:v>
                </c:pt>
              </c:strCache>
            </c:strRef>
          </c:tx>
          <c:spPr>
            <a:solidFill>
              <a:schemeClr val="tx1"/>
            </a:solidFill>
            <a:ln>
              <a:solidFill>
                <a:srgbClr val="135C70"/>
              </a:solidFill>
              <a:prstDash val="solid"/>
            </a:ln>
          </c:spPr>
          <c:invertIfNegative val="0"/>
          <c:cat>
            <c:strRef>
              <c:f>Data!$B$35:$C$45</c:f>
              <c:strCache>
                <c:ptCount val="11"/>
                <c:pt idx="0">
                  <c:v>Abidjan</c:v>
                </c:pt>
                <c:pt idx="1">
                  <c:v>Centre</c:v>
                </c:pt>
                <c:pt idx="2">
                  <c:v>Centre Est</c:v>
                </c:pt>
                <c:pt idx="3">
                  <c:v>Centre Nord</c:v>
                </c:pt>
                <c:pt idx="4">
                  <c:v>Centre Ouest</c:v>
                </c:pt>
                <c:pt idx="5">
                  <c:v>Nord</c:v>
                </c:pt>
                <c:pt idx="6">
                  <c:v>Nord-Est</c:v>
                </c:pt>
                <c:pt idx="7">
                  <c:v>Nord-Ouest</c:v>
                </c:pt>
                <c:pt idx="8">
                  <c:v>Ouest</c:v>
                </c:pt>
                <c:pt idx="9">
                  <c:v>Sud sans Abidjan</c:v>
                </c:pt>
                <c:pt idx="10">
                  <c:v>Sud-Ouest</c:v>
                </c:pt>
              </c:strCache>
            </c:strRef>
          </c:cat>
          <c:val>
            <c:numRef>
              <c:f>Data!$D$35:$D$45</c:f>
              <c:numCache>
                <c:formatCode>General</c:formatCode>
                <c:ptCount val="11"/>
                <c:pt idx="0">
                  <c:v>2</c:v>
                </c:pt>
                <c:pt idx="1">
                  <c:v>7</c:v>
                </c:pt>
                <c:pt idx="2">
                  <c:v>5</c:v>
                </c:pt>
                <c:pt idx="3">
                  <c:v>7</c:v>
                </c:pt>
                <c:pt idx="4">
                  <c:v>11</c:v>
                </c:pt>
                <c:pt idx="5">
                  <c:v>9</c:v>
                </c:pt>
                <c:pt idx="6">
                  <c:v>11</c:v>
                </c:pt>
                <c:pt idx="7">
                  <c:v>11</c:v>
                </c:pt>
                <c:pt idx="8">
                  <c:v>9</c:v>
                </c:pt>
                <c:pt idx="9">
                  <c:v>6</c:v>
                </c:pt>
                <c:pt idx="10">
                  <c:v>5</c:v>
                </c:pt>
              </c:numCache>
            </c:numRef>
          </c:val>
          <c:extLst xmlns:c16r2="http://schemas.microsoft.com/office/drawing/2015/06/chart">
            <c:ext xmlns:c16="http://schemas.microsoft.com/office/drawing/2014/chart" uri="{C3380CC4-5D6E-409C-BE32-E72D297353CC}">
              <c16:uniqueId val="{00000000-CD7F-4FD6-A124-2E0C9048EBDE}"/>
            </c:ext>
          </c:extLst>
        </c:ser>
        <c:ser>
          <c:idx val="1"/>
          <c:order val="1"/>
          <c:tx>
            <c:strRef>
              <c:f>Data!$E$34</c:f>
              <c:strCache>
                <c:ptCount val="1"/>
                <c:pt idx="0">
                  <c:v>Pneumonia (U5MR)##</c:v>
                </c:pt>
              </c:strCache>
            </c:strRef>
          </c:tx>
          <c:spPr>
            <a:solidFill>
              <a:srgbClr val="0070C0"/>
            </a:solidFill>
            <a:ln>
              <a:solidFill>
                <a:srgbClr val="0070C0"/>
              </a:solidFill>
              <a:prstDash val="solid"/>
            </a:ln>
          </c:spPr>
          <c:invertIfNegative val="0"/>
          <c:val>
            <c:numRef>
              <c:f>Data!$E$35:$E$45</c:f>
              <c:numCache>
                <c:formatCode>General</c:formatCode>
                <c:ptCount val="11"/>
                <c:pt idx="0">
                  <c:v>7</c:v>
                </c:pt>
                <c:pt idx="1">
                  <c:v>11</c:v>
                </c:pt>
                <c:pt idx="2">
                  <c:v>7</c:v>
                </c:pt>
                <c:pt idx="3">
                  <c:v>10</c:v>
                </c:pt>
                <c:pt idx="4">
                  <c:v>15</c:v>
                </c:pt>
                <c:pt idx="5">
                  <c:v>13</c:v>
                </c:pt>
                <c:pt idx="6">
                  <c:v>15</c:v>
                </c:pt>
                <c:pt idx="7">
                  <c:v>17</c:v>
                </c:pt>
                <c:pt idx="8">
                  <c:v>14</c:v>
                </c:pt>
                <c:pt idx="9">
                  <c:v>12</c:v>
                </c:pt>
                <c:pt idx="10">
                  <c:v>7</c:v>
                </c:pt>
              </c:numCache>
            </c:numRef>
          </c:val>
          <c:extLst xmlns:c16r2="http://schemas.microsoft.com/office/drawing/2015/06/chart">
            <c:ext xmlns:c16="http://schemas.microsoft.com/office/drawing/2014/chart" uri="{C3380CC4-5D6E-409C-BE32-E72D297353CC}">
              <c16:uniqueId val="{00000001-CD7F-4FD6-A124-2E0C9048EBDE}"/>
            </c:ext>
          </c:extLst>
        </c:ser>
        <c:ser>
          <c:idx val="2"/>
          <c:order val="2"/>
          <c:tx>
            <c:strRef>
              <c:f>Data!$F$34</c:f>
              <c:strCache>
                <c:ptCount val="1"/>
                <c:pt idx="0">
                  <c:v>Meningitis##</c:v>
                </c:pt>
              </c:strCache>
            </c:strRef>
          </c:tx>
          <c:spPr>
            <a:solidFill>
              <a:srgbClr val="FFC000"/>
            </a:solidFill>
            <a:ln>
              <a:solidFill>
                <a:srgbClr val="FFC000"/>
              </a:solidFill>
              <a:prstDash val="solid"/>
            </a:ln>
          </c:spPr>
          <c:invertIfNegative val="0"/>
          <c:val>
            <c:numRef>
              <c:f>Data!$F$35:$F$45</c:f>
              <c:numCache>
                <c:formatCode>General</c:formatCode>
                <c:ptCount val="11"/>
                <c:pt idx="0">
                  <c:v>1</c:v>
                </c:pt>
                <c:pt idx="1">
                  <c:v>2</c:v>
                </c:pt>
                <c:pt idx="2">
                  <c:v>2</c:v>
                </c:pt>
                <c:pt idx="3">
                  <c:v>2</c:v>
                </c:pt>
                <c:pt idx="4">
                  <c:v>2</c:v>
                </c:pt>
                <c:pt idx="5">
                  <c:v>2</c:v>
                </c:pt>
                <c:pt idx="6">
                  <c:v>3</c:v>
                </c:pt>
                <c:pt idx="7">
                  <c:v>2</c:v>
                </c:pt>
                <c:pt idx="8">
                  <c:v>3</c:v>
                </c:pt>
                <c:pt idx="9">
                  <c:v>1</c:v>
                </c:pt>
                <c:pt idx="10">
                  <c:v>1</c:v>
                </c:pt>
              </c:numCache>
            </c:numRef>
          </c:val>
          <c:extLst xmlns:c16r2="http://schemas.microsoft.com/office/drawing/2015/06/chart">
            <c:ext xmlns:c16="http://schemas.microsoft.com/office/drawing/2014/chart" uri="{C3380CC4-5D6E-409C-BE32-E72D297353CC}">
              <c16:uniqueId val="{00000002-CD7F-4FD6-A124-2E0C9048EBDE}"/>
            </c:ext>
          </c:extLst>
        </c:ser>
        <c:ser>
          <c:idx val="4"/>
          <c:order val="3"/>
          <c:tx>
            <c:strRef>
              <c:f>Data!$H$34</c:f>
              <c:strCache>
                <c:ptCount val="1"/>
                <c:pt idx="0">
                  <c:v>Malaria##</c:v>
                </c:pt>
              </c:strCache>
            </c:strRef>
          </c:tx>
          <c:spPr>
            <a:solidFill>
              <a:srgbClr val="00B050"/>
            </a:solidFill>
            <a:ln>
              <a:solidFill>
                <a:srgbClr val="00B050"/>
              </a:solidFill>
              <a:prstDash val="solid"/>
            </a:ln>
          </c:spPr>
          <c:invertIfNegative val="0"/>
          <c:val>
            <c:numRef>
              <c:f>Data!$H$35:$H$45</c:f>
              <c:numCache>
                <c:formatCode>General</c:formatCode>
                <c:ptCount val="11"/>
                <c:pt idx="0">
                  <c:v>9</c:v>
                </c:pt>
                <c:pt idx="1">
                  <c:v>14</c:v>
                </c:pt>
                <c:pt idx="2">
                  <c:v>12</c:v>
                </c:pt>
                <c:pt idx="3">
                  <c:v>16</c:v>
                </c:pt>
                <c:pt idx="4">
                  <c:v>16</c:v>
                </c:pt>
                <c:pt idx="5">
                  <c:v>17</c:v>
                </c:pt>
                <c:pt idx="6">
                  <c:v>23</c:v>
                </c:pt>
                <c:pt idx="7">
                  <c:v>17</c:v>
                </c:pt>
                <c:pt idx="8">
                  <c:v>18</c:v>
                </c:pt>
                <c:pt idx="9">
                  <c:v>11</c:v>
                </c:pt>
                <c:pt idx="10">
                  <c:v>9</c:v>
                </c:pt>
              </c:numCache>
            </c:numRef>
          </c:val>
          <c:extLst xmlns:c16r2="http://schemas.microsoft.com/office/drawing/2015/06/chart">
            <c:ext xmlns:c16="http://schemas.microsoft.com/office/drawing/2014/chart" uri="{C3380CC4-5D6E-409C-BE32-E72D297353CC}">
              <c16:uniqueId val="{00000003-CD7F-4FD6-A124-2E0C9048EBDE}"/>
            </c:ext>
          </c:extLst>
        </c:ser>
        <c:ser>
          <c:idx val="6"/>
          <c:order val="4"/>
          <c:tx>
            <c:strRef>
              <c:f>Data!$J$34</c:f>
              <c:strCache>
                <c:ptCount val="1"/>
                <c:pt idx="0">
                  <c:v>AIDS##</c:v>
                </c:pt>
              </c:strCache>
            </c:strRef>
          </c:tx>
          <c:spPr>
            <a:solidFill>
              <a:srgbClr val="E40ACA"/>
            </a:solidFill>
            <a:ln>
              <a:solidFill>
                <a:srgbClr val="7030A0"/>
              </a:solidFill>
              <a:prstDash val="solid"/>
            </a:ln>
          </c:spPr>
          <c:invertIfNegative val="0"/>
          <c:val>
            <c:numRef>
              <c:f>Data!$J$35:$J$45</c:f>
              <c:numCache>
                <c:formatCode>General</c:formatCode>
                <c:ptCount val="11"/>
                <c:pt idx="0">
                  <c:v>0</c:v>
                </c:pt>
                <c:pt idx="1">
                  <c:v>1</c:v>
                </c:pt>
                <c:pt idx="2">
                  <c:v>0</c:v>
                </c:pt>
                <c:pt idx="3">
                  <c:v>1</c:v>
                </c:pt>
                <c:pt idx="4">
                  <c:v>1</c:v>
                </c:pt>
                <c:pt idx="5">
                  <c:v>1</c:v>
                </c:pt>
                <c:pt idx="6">
                  <c:v>1</c:v>
                </c:pt>
                <c:pt idx="7">
                  <c:v>1</c:v>
                </c:pt>
                <c:pt idx="8">
                  <c:v>1</c:v>
                </c:pt>
                <c:pt idx="9">
                  <c:v>0</c:v>
                </c:pt>
                <c:pt idx="10">
                  <c:v>0</c:v>
                </c:pt>
              </c:numCache>
            </c:numRef>
          </c:val>
          <c:extLst xmlns:c16r2="http://schemas.microsoft.com/office/drawing/2015/06/chart">
            <c:ext xmlns:c16="http://schemas.microsoft.com/office/drawing/2014/chart" uri="{C3380CC4-5D6E-409C-BE32-E72D297353CC}">
              <c16:uniqueId val="{00000004-CD7F-4FD6-A124-2E0C9048EBDE}"/>
            </c:ext>
          </c:extLst>
        </c:ser>
        <c:ser>
          <c:idx val="7"/>
          <c:order val="5"/>
          <c:tx>
            <c:strRef>
              <c:f>Data!$K$34</c:f>
              <c:strCache>
                <c:ptCount val="1"/>
                <c:pt idx="0">
                  <c:v>Blessures</c:v>
                </c:pt>
              </c:strCache>
            </c:strRef>
          </c:tx>
          <c:spPr>
            <a:solidFill>
              <a:srgbClr val="7030A0"/>
            </a:solidFill>
            <a:ln>
              <a:solidFill>
                <a:srgbClr val="7030A0"/>
              </a:solidFill>
              <a:prstDash val="solid"/>
            </a:ln>
          </c:spPr>
          <c:invertIfNegative val="0"/>
          <c:val>
            <c:numRef>
              <c:f>Data!$K$35:$K$45</c:f>
              <c:numCache>
                <c:formatCode>General</c:formatCode>
                <c:ptCount val="11"/>
                <c:pt idx="0">
                  <c:v>2</c:v>
                </c:pt>
                <c:pt idx="1">
                  <c:v>3</c:v>
                </c:pt>
                <c:pt idx="2">
                  <c:v>3</c:v>
                </c:pt>
                <c:pt idx="3">
                  <c:v>4</c:v>
                </c:pt>
                <c:pt idx="4">
                  <c:v>4</c:v>
                </c:pt>
                <c:pt idx="5">
                  <c:v>4</c:v>
                </c:pt>
                <c:pt idx="6">
                  <c:v>5</c:v>
                </c:pt>
                <c:pt idx="7">
                  <c:v>4</c:v>
                </c:pt>
                <c:pt idx="8">
                  <c:v>5</c:v>
                </c:pt>
                <c:pt idx="9">
                  <c:v>3</c:v>
                </c:pt>
                <c:pt idx="10">
                  <c:v>2</c:v>
                </c:pt>
              </c:numCache>
            </c:numRef>
          </c:val>
          <c:extLst xmlns:c16r2="http://schemas.microsoft.com/office/drawing/2015/06/chart">
            <c:ext xmlns:c16="http://schemas.microsoft.com/office/drawing/2014/chart" uri="{C3380CC4-5D6E-409C-BE32-E72D297353CC}">
              <c16:uniqueId val="{00000005-CD7F-4FD6-A124-2E0C9048EBDE}"/>
            </c:ext>
          </c:extLst>
        </c:ser>
        <c:ser>
          <c:idx val="8"/>
          <c:order val="6"/>
          <c:tx>
            <c:strRef>
              <c:f>Data!$L$34</c:f>
              <c:strCache>
                <c:ptCount val="1"/>
                <c:pt idx="0">
                  <c:v>Other causes (U5MR)##</c:v>
                </c:pt>
              </c:strCache>
            </c:strRef>
          </c:tx>
          <c:spPr>
            <a:solidFill>
              <a:srgbClr val="FF0000"/>
            </a:solidFill>
            <a:ln>
              <a:solidFill>
                <a:srgbClr val="FF0000"/>
              </a:solidFill>
              <a:prstDash val="solid"/>
            </a:ln>
          </c:spPr>
          <c:invertIfNegative val="0"/>
          <c:val>
            <c:numRef>
              <c:f>Data!$L$35:$L$45</c:f>
              <c:numCache>
                <c:formatCode>General</c:formatCode>
                <c:ptCount val="11"/>
                <c:pt idx="0">
                  <c:v>6</c:v>
                </c:pt>
                <c:pt idx="1">
                  <c:v>12</c:v>
                </c:pt>
                <c:pt idx="2">
                  <c:v>11</c:v>
                </c:pt>
                <c:pt idx="3">
                  <c:v>14</c:v>
                </c:pt>
                <c:pt idx="4">
                  <c:v>15</c:v>
                </c:pt>
                <c:pt idx="5">
                  <c:v>13</c:v>
                </c:pt>
                <c:pt idx="6">
                  <c:v>17</c:v>
                </c:pt>
                <c:pt idx="7">
                  <c:v>14</c:v>
                </c:pt>
                <c:pt idx="8">
                  <c:v>16</c:v>
                </c:pt>
                <c:pt idx="9">
                  <c:v>9</c:v>
                </c:pt>
                <c:pt idx="10">
                  <c:v>8</c:v>
                </c:pt>
              </c:numCache>
            </c:numRef>
          </c:val>
          <c:extLst xmlns:c16r2="http://schemas.microsoft.com/office/drawing/2015/06/chart">
            <c:ext xmlns:c16="http://schemas.microsoft.com/office/drawing/2014/chart" uri="{C3380CC4-5D6E-409C-BE32-E72D297353CC}">
              <c16:uniqueId val="{00000006-CD7F-4FD6-A124-2E0C9048EBDE}"/>
            </c:ext>
          </c:extLst>
        </c:ser>
        <c:dLbls>
          <c:showLegendKey val="0"/>
          <c:showVal val="0"/>
          <c:showCatName val="0"/>
          <c:showSerName val="0"/>
          <c:showPercent val="0"/>
          <c:showBubbleSize val="0"/>
        </c:dLbls>
        <c:gapWidth val="75"/>
        <c:overlap val="100"/>
        <c:axId val="348859536"/>
        <c:axId val="348859928"/>
      </c:barChart>
      <c:catAx>
        <c:axId val="348859536"/>
        <c:scaling>
          <c:orientation val="minMax"/>
        </c:scaling>
        <c:delete val="0"/>
        <c:axPos val="b"/>
        <c:numFmt formatCode="General" sourceLinked="1"/>
        <c:majorTickMark val="none"/>
        <c:minorTickMark val="none"/>
        <c:tickLblPos val="nextTo"/>
        <c:txPr>
          <a:bodyPr/>
          <a:lstStyle/>
          <a:p>
            <a:pPr>
              <a:defRPr sz="900" b="1">
                <a:latin typeface="Times New Roman" panose="02020603050405020304" pitchFamily="18" charset="0"/>
                <a:cs typeface="Times New Roman" panose="02020603050405020304" pitchFamily="18" charset="0"/>
              </a:defRPr>
            </a:pPr>
            <a:endParaRPr lang="fr-FR"/>
          </a:p>
        </c:txPr>
        <c:crossAx val="348859928"/>
        <c:crosses val="autoZero"/>
        <c:auto val="1"/>
        <c:lblAlgn val="ctr"/>
        <c:lblOffset val="100"/>
        <c:noMultiLvlLbl val="0"/>
      </c:catAx>
      <c:valAx>
        <c:axId val="348859928"/>
        <c:scaling>
          <c:orientation val="minMax"/>
        </c:scaling>
        <c:delete val="0"/>
        <c:axPos val="l"/>
        <c:title>
          <c:tx>
            <c:rich>
              <a:bodyPr/>
              <a:lstStyle/>
              <a:p>
                <a:pPr>
                  <a:defRPr sz="1000">
                    <a:latin typeface="Times New Roman" panose="02020603050405020304" pitchFamily="18" charset="0"/>
                    <a:cs typeface="Times New Roman" panose="02020603050405020304" pitchFamily="18" charset="0"/>
                  </a:defRPr>
                </a:pPr>
                <a:r>
                  <a:rPr lang="fr-CI" sz="1000">
                    <a:latin typeface="Times New Roman" panose="02020603050405020304" pitchFamily="18" charset="0"/>
                    <a:cs typeface="Times New Roman" panose="02020603050405020304" pitchFamily="18" charset="0"/>
                  </a:rPr>
                  <a:t>Taux</a:t>
                </a:r>
                <a:r>
                  <a:rPr lang="fr-CI" sz="1000" baseline="0">
                    <a:latin typeface="Times New Roman" panose="02020603050405020304" pitchFamily="18" charset="0"/>
                    <a:cs typeface="Times New Roman" panose="02020603050405020304" pitchFamily="18" charset="0"/>
                  </a:rPr>
                  <a:t> de mortalité</a:t>
                </a:r>
                <a:endParaRPr lang="fr-CI" sz="1000">
                  <a:latin typeface="Times New Roman" panose="02020603050405020304" pitchFamily="18" charset="0"/>
                  <a:cs typeface="Times New Roman" panose="02020603050405020304" pitchFamily="18" charset="0"/>
                </a:endParaRPr>
              </a:p>
            </c:rich>
          </c:tx>
          <c:overlay val="0"/>
        </c:title>
        <c:numFmt formatCode="General" sourceLinked="1"/>
        <c:majorTickMark val="out"/>
        <c:minorTickMark val="none"/>
        <c:tickLblPos val="nextTo"/>
        <c:spPr>
          <a:ln w="9525" cap="flat" cmpd="sng">
            <a:prstDash val="solid"/>
            <a:bevel/>
          </a:ln>
          <a:effectLst/>
        </c:spPr>
        <c:txPr>
          <a:bodyPr/>
          <a:lstStyle/>
          <a:p>
            <a:pPr>
              <a:defRPr sz="900">
                <a:latin typeface="Times New Roman" panose="02020603050405020304" pitchFamily="18" charset="0"/>
                <a:cs typeface="Times New Roman" panose="02020603050405020304" pitchFamily="18" charset="0"/>
              </a:defRPr>
            </a:pPr>
            <a:endParaRPr lang="fr-FR"/>
          </a:p>
        </c:txPr>
        <c:crossAx val="348859928"/>
        <c:crosses val="autoZero"/>
        <c:crossBetween val="midCat"/>
      </c:valAx>
    </c:plotArea>
    <c:legend>
      <c:legendPos val="r"/>
      <c:layout>
        <c:manualLayout>
          <c:xMode val="edge"/>
          <c:yMode val="edge"/>
          <c:x val="0.77150234804123341"/>
          <c:y val="8.9336196611787169E-2"/>
          <c:w val="0.215006926832291"/>
          <c:h val="0.80678215223097116"/>
        </c:manualLayout>
      </c:layout>
      <c:overlay val="0"/>
      <c:txPr>
        <a:bodyPr/>
        <a:lstStyle/>
        <a:p>
          <a:pPr rtl="0">
            <a:defRPr sz="900">
              <a:latin typeface="Times New Roman" panose="02020603050405020304" pitchFamily="18" charset="0"/>
              <a:cs typeface="Times New Roman" panose="02020603050405020304" pitchFamily="18" charset="0"/>
            </a:defRPr>
          </a:pPr>
          <a:endParaRPr lang="fr-FR"/>
        </a:p>
      </c:txPr>
    </c:legend>
    <c:plotVisOnly val="1"/>
    <c:dispBlanksAs val="gap"/>
    <c:showDLblsOverMax val="0"/>
  </c:chart>
  <c:spPr>
    <a:ln w="15875" cmpd="sng">
      <a:solidFill>
        <a:srgbClr val="0070C0"/>
      </a:solidFill>
    </a:ln>
  </c:sp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1"/>
        <c:ser>
          <c:idx val="1"/>
          <c:order val="0"/>
          <c:tx>
            <c:strRef>
              <c:f>Chart!$D$36</c:f>
              <c:strCache>
                <c:ptCount val="1"/>
                <c:pt idx="0">
                  <c:v>MICS 2012</c:v>
                </c:pt>
              </c:strCache>
            </c:strRef>
          </c:tx>
          <c:spPr>
            <a:solidFill>
              <a:srgbClr val="ED7D31"/>
            </a:solidFill>
            <a:ln>
              <a:solidFill>
                <a:srgbClr val="ED7D31"/>
              </a:solidFill>
              <a:prstDash val="solid"/>
            </a:ln>
          </c:spPr>
          <c:invertIfNegative val="0"/>
          <c:val>
            <c:numRef>
              <c:f>Chart!$D$37:$D$47</c:f>
              <c:numCache>
                <c:formatCode>General</c:formatCode>
                <c:ptCount val="11"/>
                <c:pt idx="0">
                  <c:v>19.05</c:v>
                </c:pt>
                <c:pt idx="1">
                  <c:v>30.3</c:v>
                </c:pt>
                <c:pt idx="2">
                  <c:v>23.62</c:v>
                </c:pt>
                <c:pt idx="3">
                  <c:v>28.32</c:v>
                </c:pt>
                <c:pt idx="4">
                  <c:v>29.01</c:v>
                </c:pt>
                <c:pt idx="5">
                  <c:v>37.6</c:v>
                </c:pt>
                <c:pt idx="6">
                  <c:v>38.79</c:v>
                </c:pt>
                <c:pt idx="7">
                  <c:v>32.17</c:v>
                </c:pt>
                <c:pt idx="8">
                  <c:v>33.83</c:v>
                </c:pt>
                <c:pt idx="9">
                  <c:v>29.68</c:v>
                </c:pt>
                <c:pt idx="10">
                  <c:v>30.09</c:v>
                </c:pt>
              </c:numCache>
            </c:numRef>
          </c:val>
          <c:extLst xmlns:c16r2="http://schemas.microsoft.com/office/drawing/2015/06/chart">
            <c:ext xmlns:c16="http://schemas.microsoft.com/office/drawing/2014/chart" uri="{C3380CC4-5D6E-409C-BE32-E72D297353CC}">
              <c16:uniqueId val="{00000000-A66C-46FA-A728-F42C935BE97C}"/>
            </c:ext>
          </c:extLst>
        </c:ser>
        <c:ser>
          <c:idx val="0"/>
          <c:order val="1"/>
          <c:tx>
            <c:strRef>
              <c:f>Chart!$C$36</c:f>
              <c:strCache>
                <c:ptCount val="1"/>
                <c:pt idx="0">
                  <c:v>MICS 2016</c:v>
                </c:pt>
              </c:strCache>
            </c:strRef>
          </c:tx>
          <c:spPr>
            <a:solidFill>
              <a:srgbClr val="5B9BD5"/>
            </a:solidFill>
            <a:ln>
              <a:solidFill>
                <a:srgbClr val="5B9BD5"/>
              </a:solidFill>
              <a:prstDash val="solid"/>
            </a:ln>
          </c:spPr>
          <c:invertIfNegative val="0"/>
          <c:cat>
            <c:strRef>
              <c:f>Chart!$B$37:$B$47</c:f>
              <c:strCache>
                <c:ptCount val="11"/>
                <c:pt idx="0">
                  <c:v>Abidjan</c:v>
                </c:pt>
                <c:pt idx="1">
                  <c:v>Centre</c:v>
                </c:pt>
                <c:pt idx="2">
                  <c:v>Centre Est</c:v>
                </c:pt>
                <c:pt idx="3">
                  <c:v>Centre Nord</c:v>
                </c:pt>
                <c:pt idx="4">
                  <c:v>Centre Ouest</c:v>
                </c:pt>
                <c:pt idx="5">
                  <c:v>Nord</c:v>
                </c:pt>
                <c:pt idx="6">
                  <c:v>Nord-Est</c:v>
                </c:pt>
                <c:pt idx="7">
                  <c:v>Nord-Ouest</c:v>
                </c:pt>
                <c:pt idx="8">
                  <c:v>Ouest</c:v>
                </c:pt>
                <c:pt idx="9">
                  <c:v>Sud sans Abidjan</c:v>
                </c:pt>
                <c:pt idx="10">
                  <c:v>Sud-Ouest</c:v>
                </c:pt>
              </c:strCache>
            </c:strRef>
          </c:cat>
          <c:val>
            <c:numRef>
              <c:f>Chart!$C$37:$C$47</c:f>
              <c:numCache>
                <c:formatCode>General</c:formatCode>
                <c:ptCount val="11"/>
                <c:pt idx="0">
                  <c:v>10</c:v>
                </c:pt>
                <c:pt idx="1">
                  <c:v>22</c:v>
                </c:pt>
                <c:pt idx="2">
                  <c:v>22</c:v>
                </c:pt>
                <c:pt idx="3">
                  <c:v>17</c:v>
                </c:pt>
                <c:pt idx="4">
                  <c:v>29</c:v>
                </c:pt>
                <c:pt idx="5">
                  <c:v>30</c:v>
                </c:pt>
                <c:pt idx="6">
                  <c:v>26</c:v>
                </c:pt>
                <c:pt idx="7">
                  <c:v>28</c:v>
                </c:pt>
                <c:pt idx="8">
                  <c:v>26</c:v>
                </c:pt>
                <c:pt idx="9">
                  <c:v>18</c:v>
                </c:pt>
                <c:pt idx="10">
                  <c:v>22</c:v>
                </c:pt>
              </c:numCache>
            </c:numRef>
          </c:val>
          <c:extLst xmlns:c16r2="http://schemas.microsoft.com/office/drawing/2015/06/chart">
            <c:ext xmlns:c16="http://schemas.microsoft.com/office/drawing/2014/chart" uri="{C3380CC4-5D6E-409C-BE32-E72D297353CC}">
              <c16:uniqueId val="{00000001-A66C-46FA-A728-F42C935BE97C}"/>
            </c:ext>
          </c:extLst>
        </c:ser>
        <c:dLbls>
          <c:showLegendKey val="0"/>
          <c:showVal val="0"/>
          <c:showCatName val="0"/>
          <c:showSerName val="0"/>
          <c:showPercent val="0"/>
          <c:showBubbleSize val="0"/>
        </c:dLbls>
        <c:gapWidth val="150"/>
        <c:axId val="440757704"/>
        <c:axId val="440759664"/>
      </c:barChart>
      <c:catAx>
        <c:axId val="440757704"/>
        <c:scaling>
          <c:orientation val="minMax"/>
        </c:scaling>
        <c:delete val="0"/>
        <c:axPos val="b"/>
        <c:numFmt formatCode="General" sourceLinked="1"/>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fr-FR"/>
          </a:p>
        </c:txPr>
        <c:crossAx val="440759664"/>
        <c:crosses val="autoZero"/>
        <c:auto val="1"/>
        <c:lblAlgn val="ctr"/>
        <c:lblOffset val="100"/>
        <c:noMultiLvlLbl val="0"/>
      </c:catAx>
      <c:valAx>
        <c:axId val="440759664"/>
        <c:scaling>
          <c:orientation val="minMax"/>
        </c:scaling>
        <c:delete val="0"/>
        <c:axPos val="l"/>
        <c:majorGridlines/>
        <c:title>
          <c:tx>
            <c:rich>
              <a:bodyPr/>
              <a:lstStyle/>
              <a:p>
                <a:pPr>
                  <a:defRPr/>
                </a:pPr>
                <a:r>
                  <a:rPr lang="fr-CI"/>
                  <a:t>Taux</a:t>
                </a:r>
                <a:r>
                  <a:rPr lang="fr-CI" baseline="0"/>
                  <a:t> de mortalité</a:t>
                </a:r>
                <a:endParaRPr lang="fr-CI"/>
              </a:p>
            </c:rich>
          </c:tx>
          <c:overlay val="0"/>
        </c:title>
        <c:numFmt formatCode="General" sourceLinked="1"/>
        <c:majorTickMark val="out"/>
        <c:minorTickMark val="none"/>
        <c:tickLblPos val="nextTo"/>
        <c:spPr>
          <a:ln w="9525" cap="flat" cmpd="sng">
            <a:prstDash val="solid"/>
            <a:bevel/>
          </a:ln>
          <a:effectLst/>
        </c:spPr>
        <c:txPr>
          <a:bodyPr/>
          <a:lstStyle/>
          <a:p>
            <a:pPr>
              <a:defRPr sz="1100">
                <a:latin typeface="Times New Roman" panose="02020603050405020304" pitchFamily="18" charset="0"/>
                <a:cs typeface="Times New Roman" panose="02020603050405020304" pitchFamily="18" charset="0"/>
              </a:defRPr>
            </a:pPr>
            <a:endParaRPr lang="fr-FR"/>
          </a:p>
        </c:txPr>
        <c:crossAx val="440759664"/>
        <c:crosses val="autoZero"/>
        <c:crossBetween val="midCat"/>
      </c:valAx>
    </c:plotArea>
    <c:legend>
      <c:legendPos val="r"/>
      <c:overlay val="0"/>
      <c:txPr>
        <a:bodyPr/>
        <a:lstStyle/>
        <a:p>
          <a:pPr rtl="0">
            <a:defRPr>
              <a:latin typeface="Times New Roman" panose="02020603050405020304" pitchFamily="18" charset="0"/>
              <a:cs typeface="Times New Roman" panose="02020603050405020304" pitchFamily="18" charset="0"/>
            </a:defRPr>
          </a:pPr>
          <a:endParaRPr lang="fr-FR"/>
        </a:p>
      </c:txPr>
    </c:legend>
    <c:plotVisOnly val="1"/>
    <c:dispBlanksAs val="gap"/>
    <c:showDLblsOverMax val="0"/>
  </c:chart>
  <c:spPr>
    <a:ln w="15875" cmpd="sng">
      <a:solidFill>
        <a:srgbClr val="0070C0"/>
      </a:solidFill>
    </a:ln>
  </c:sp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1"/>
        <c:ser>
          <c:idx val="1"/>
          <c:order val="0"/>
          <c:tx>
            <c:strRef>
              <c:f>Chart!$D$36</c:f>
              <c:strCache>
                <c:ptCount val="1"/>
                <c:pt idx="0">
                  <c:v>MICS 2012</c:v>
                </c:pt>
              </c:strCache>
            </c:strRef>
          </c:tx>
          <c:spPr>
            <a:solidFill>
              <a:srgbClr val="ED7D31"/>
            </a:solidFill>
            <a:ln>
              <a:solidFill>
                <a:srgbClr val="ED7D31"/>
              </a:solidFill>
              <a:prstDash val="solid"/>
            </a:ln>
          </c:spPr>
          <c:invertIfNegative val="0"/>
          <c:val>
            <c:numRef>
              <c:f>Chart!$D$37:$D$47</c:f>
              <c:numCache>
                <c:formatCode>General</c:formatCode>
                <c:ptCount val="11"/>
                <c:pt idx="0">
                  <c:v>2</c:v>
                </c:pt>
                <c:pt idx="1">
                  <c:v>1.1000000000000001</c:v>
                </c:pt>
                <c:pt idx="2">
                  <c:v>0.7</c:v>
                </c:pt>
                <c:pt idx="3">
                  <c:v>0.6</c:v>
                </c:pt>
                <c:pt idx="4">
                  <c:v>3.3</c:v>
                </c:pt>
                <c:pt idx="5">
                  <c:v>0.7</c:v>
                </c:pt>
                <c:pt idx="6">
                  <c:v>3.3</c:v>
                </c:pt>
                <c:pt idx="7">
                  <c:v>1.7</c:v>
                </c:pt>
                <c:pt idx="8">
                  <c:v>0.7</c:v>
                </c:pt>
                <c:pt idx="9">
                  <c:v>1.3</c:v>
                </c:pt>
                <c:pt idx="10">
                  <c:v>2.4</c:v>
                </c:pt>
              </c:numCache>
            </c:numRef>
          </c:val>
          <c:extLst xmlns:c16r2="http://schemas.microsoft.com/office/drawing/2015/06/chart">
            <c:ext xmlns:c16="http://schemas.microsoft.com/office/drawing/2014/chart" uri="{C3380CC4-5D6E-409C-BE32-E72D297353CC}">
              <c16:uniqueId val="{00000000-9891-430D-A914-FE136171751B}"/>
            </c:ext>
          </c:extLst>
        </c:ser>
        <c:ser>
          <c:idx val="0"/>
          <c:order val="1"/>
          <c:tx>
            <c:strRef>
              <c:f>Chart!$C$36</c:f>
              <c:strCache>
                <c:ptCount val="1"/>
                <c:pt idx="0">
                  <c:v>MICS 2016</c:v>
                </c:pt>
              </c:strCache>
            </c:strRef>
          </c:tx>
          <c:spPr>
            <a:solidFill>
              <a:srgbClr val="5B9BD5"/>
            </a:solidFill>
            <a:ln>
              <a:solidFill>
                <a:srgbClr val="5B9BD5"/>
              </a:solidFill>
              <a:prstDash val="solid"/>
            </a:ln>
          </c:spPr>
          <c:invertIfNegative val="0"/>
          <c:cat>
            <c:strRef>
              <c:f>Chart!$B$37:$B$47</c:f>
              <c:strCache>
                <c:ptCount val="11"/>
                <c:pt idx="0">
                  <c:v>Abidjan</c:v>
                </c:pt>
                <c:pt idx="1">
                  <c:v>Centre</c:v>
                </c:pt>
                <c:pt idx="2">
                  <c:v>Centre Est</c:v>
                </c:pt>
                <c:pt idx="3">
                  <c:v>Centre Nord</c:v>
                </c:pt>
                <c:pt idx="4">
                  <c:v>Centre Ouest</c:v>
                </c:pt>
                <c:pt idx="5">
                  <c:v>Nord</c:v>
                </c:pt>
                <c:pt idx="6">
                  <c:v>Nord-Est</c:v>
                </c:pt>
                <c:pt idx="7">
                  <c:v>Nord-Ouest</c:v>
                </c:pt>
                <c:pt idx="8">
                  <c:v>Ouest</c:v>
                </c:pt>
                <c:pt idx="9">
                  <c:v>Sud sans Abidjan</c:v>
                </c:pt>
                <c:pt idx="10">
                  <c:v>Sud-Ouest</c:v>
                </c:pt>
              </c:strCache>
            </c:strRef>
          </c:cat>
          <c:val>
            <c:numRef>
              <c:f>Chart!$C$37:$C$47</c:f>
              <c:numCache>
                <c:formatCode>General</c:formatCode>
                <c:ptCount val="11"/>
                <c:pt idx="0">
                  <c:v>1</c:v>
                </c:pt>
                <c:pt idx="1">
                  <c:v>1</c:v>
                </c:pt>
                <c:pt idx="2">
                  <c:v>2</c:v>
                </c:pt>
                <c:pt idx="3">
                  <c:v>1</c:v>
                </c:pt>
                <c:pt idx="4">
                  <c:v>2</c:v>
                </c:pt>
                <c:pt idx="5">
                  <c:v>1</c:v>
                </c:pt>
                <c:pt idx="6">
                  <c:v>1</c:v>
                </c:pt>
                <c:pt idx="7">
                  <c:v>1</c:v>
                </c:pt>
                <c:pt idx="8">
                  <c:v>1</c:v>
                </c:pt>
                <c:pt idx="9">
                  <c:v>2</c:v>
                </c:pt>
                <c:pt idx="10">
                  <c:v>1</c:v>
                </c:pt>
              </c:numCache>
            </c:numRef>
          </c:val>
          <c:extLst xmlns:c16r2="http://schemas.microsoft.com/office/drawing/2015/06/chart">
            <c:ext xmlns:c16="http://schemas.microsoft.com/office/drawing/2014/chart" uri="{C3380CC4-5D6E-409C-BE32-E72D297353CC}">
              <c16:uniqueId val="{00000001-9891-430D-A914-FE136171751B}"/>
            </c:ext>
          </c:extLst>
        </c:ser>
        <c:dLbls>
          <c:showLegendKey val="0"/>
          <c:showVal val="0"/>
          <c:showCatName val="0"/>
          <c:showSerName val="0"/>
          <c:showPercent val="0"/>
          <c:showBubbleSize val="0"/>
        </c:dLbls>
        <c:gapWidth val="150"/>
        <c:axId val="440762016"/>
        <c:axId val="440760448"/>
      </c:barChart>
      <c:catAx>
        <c:axId val="440762016"/>
        <c:scaling>
          <c:orientation val="minMax"/>
        </c:scaling>
        <c:delete val="0"/>
        <c:axPos val="b"/>
        <c:numFmt formatCode="General" sourceLinked="1"/>
        <c:majorTickMark val="none"/>
        <c:minorTickMark val="none"/>
        <c:tickLblPos val="nextTo"/>
        <c:txPr>
          <a:bodyPr/>
          <a:lstStyle/>
          <a:p>
            <a:pPr>
              <a:defRPr>
                <a:latin typeface="Times New Roman" panose="02020603050405020304" pitchFamily="18" charset="0"/>
                <a:cs typeface="Times New Roman" panose="02020603050405020304" pitchFamily="18" charset="0"/>
              </a:defRPr>
            </a:pPr>
            <a:endParaRPr lang="fr-FR"/>
          </a:p>
        </c:txPr>
        <c:crossAx val="440760448"/>
        <c:crosses val="autoZero"/>
        <c:auto val="1"/>
        <c:lblAlgn val="ctr"/>
        <c:lblOffset val="100"/>
        <c:noMultiLvlLbl val="0"/>
      </c:catAx>
      <c:valAx>
        <c:axId val="440760448"/>
        <c:scaling>
          <c:orientation val="minMax"/>
        </c:scaling>
        <c:delete val="0"/>
        <c:axPos val="l"/>
        <c:majorGridlines/>
        <c:title>
          <c:tx>
            <c:rich>
              <a:bodyPr/>
              <a:lstStyle/>
              <a:p>
                <a:pPr>
                  <a:defRPr/>
                </a:pPr>
                <a:r>
                  <a:rPr lang="fr-CI"/>
                  <a:t>Taux</a:t>
                </a:r>
              </a:p>
            </c:rich>
          </c:tx>
          <c:overlay val="0"/>
        </c:title>
        <c:numFmt formatCode="General" sourceLinked="1"/>
        <c:majorTickMark val="out"/>
        <c:minorTickMark val="none"/>
        <c:tickLblPos val="nextTo"/>
        <c:spPr>
          <a:ln w="9525" cap="flat" cmpd="sng">
            <a:prstDash val="solid"/>
            <a:bevel/>
          </a:ln>
          <a:effectLst/>
        </c:spPr>
        <c:txPr>
          <a:bodyPr/>
          <a:lstStyle/>
          <a:p>
            <a:pPr>
              <a:defRPr sz="1050">
                <a:latin typeface="Times New Roman" panose="02020603050405020304" pitchFamily="18" charset="0"/>
                <a:cs typeface="Times New Roman" panose="02020603050405020304" pitchFamily="18" charset="0"/>
              </a:defRPr>
            </a:pPr>
            <a:endParaRPr lang="fr-FR"/>
          </a:p>
        </c:txPr>
        <c:crossAx val="440760448"/>
        <c:crosses val="autoZero"/>
        <c:crossBetween val="midCat"/>
      </c:valAx>
    </c:plotArea>
    <c:legend>
      <c:legendPos val="r"/>
      <c:overlay val="0"/>
      <c:txPr>
        <a:bodyPr/>
        <a:lstStyle/>
        <a:p>
          <a:pPr rtl="0">
            <a:defRPr>
              <a:latin typeface="Times New Roman" panose="02020603050405020304" pitchFamily="18" charset="0"/>
              <a:cs typeface="Times New Roman" panose="02020603050405020304" pitchFamily="18" charset="0"/>
            </a:defRPr>
          </a:pPr>
          <a:endParaRPr lang="fr-FR"/>
        </a:p>
      </c:txPr>
    </c:legend>
    <c:plotVisOnly val="1"/>
    <c:dispBlanksAs val="gap"/>
    <c:showDLblsOverMax val="0"/>
  </c:chart>
  <c:spPr>
    <a:ln w="15875" cmpd="sng">
      <a:solidFill>
        <a:srgbClr val="0070C0"/>
      </a:solid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FF0000"/>
            </a:solidFill>
            <a:ln>
              <a:solidFill>
                <a:srgbClr val="FF0000"/>
              </a:solidFill>
            </a:ln>
          </c:spPr>
          <c:invertIfNegative val="0"/>
          <c:dPt>
            <c:idx val="6"/>
            <c:invertIfNegative val="0"/>
            <c:bubble3D val="0"/>
            <c:spPr>
              <a:solidFill>
                <a:srgbClr val="0070C0"/>
              </a:solidFill>
              <a:ln>
                <a:solidFill>
                  <a:srgbClr val="0070C0"/>
                </a:solidFill>
              </a:ln>
            </c:spPr>
            <c:extLst xmlns:c16r2="http://schemas.microsoft.com/office/drawing/2015/06/chart">
              <c:ext xmlns:c16="http://schemas.microsoft.com/office/drawing/2014/chart" uri="{C3380CC4-5D6E-409C-BE32-E72D297353CC}">
                <c16:uniqueId val="{00000001-82AB-4D19-BDCB-0211B9D0488D}"/>
              </c:ext>
            </c:extLst>
          </c:dPt>
          <c:dPt>
            <c:idx val="7"/>
            <c:invertIfNegative val="0"/>
            <c:bubble3D val="0"/>
            <c:spPr>
              <a:solidFill>
                <a:srgbClr val="00B050"/>
              </a:solidFill>
              <a:ln>
                <a:solidFill>
                  <a:srgbClr val="00B050"/>
                </a:solidFill>
              </a:ln>
            </c:spPr>
            <c:extLst xmlns:c16r2="http://schemas.microsoft.com/office/drawing/2015/06/chart">
              <c:ext xmlns:c16="http://schemas.microsoft.com/office/drawing/2014/chart" uri="{C3380CC4-5D6E-409C-BE32-E72D297353CC}">
                <c16:uniqueId val="{00000007-82AB-4D19-BDCB-0211B9D0488D}"/>
              </c:ext>
            </c:extLst>
          </c:dPt>
          <c:dPt>
            <c:idx val="8"/>
            <c:invertIfNegative val="0"/>
            <c:bubble3D val="0"/>
            <c:spPr>
              <a:solidFill>
                <a:srgbClr val="00B050"/>
              </a:solidFill>
              <a:ln>
                <a:solidFill>
                  <a:srgbClr val="00B050"/>
                </a:solidFill>
              </a:ln>
            </c:spPr>
            <c:extLst xmlns:c16r2="http://schemas.microsoft.com/office/drawing/2015/06/chart">
              <c:ext xmlns:c16="http://schemas.microsoft.com/office/drawing/2014/chart" uri="{C3380CC4-5D6E-409C-BE32-E72D297353CC}">
                <c16:uniqueId val="{00000008-82AB-4D19-BDCB-0211B9D0488D}"/>
              </c:ext>
            </c:extLst>
          </c:dPt>
          <c:dPt>
            <c:idx val="9"/>
            <c:invertIfNegative val="0"/>
            <c:bubble3D val="0"/>
            <c:spPr>
              <a:solidFill>
                <a:srgbClr val="00B050"/>
              </a:solidFill>
              <a:ln>
                <a:solidFill>
                  <a:srgbClr val="00B050"/>
                </a:solidFill>
              </a:ln>
            </c:spPr>
            <c:extLst xmlns:c16r2="http://schemas.microsoft.com/office/drawing/2015/06/chart">
              <c:ext xmlns:c16="http://schemas.microsoft.com/office/drawing/2014/chart" uri="{C3380CC4-5D6E-409C-BE32-E72D297353CC}">
                <c16:uniqueId val="{00000009-82AB-4D19-BDCB-0211B9D0488D}"/>
              </c:ext>
            </c:extLst>
          </c:dPt>
          <c:dPt>
            <c:idx val="10"/>
            <c:invertIfNegative val="0"/>
            <c:bubble3D val="0"/>
            <c:spPr>
              <a:solidFill>
                <a:srgbClr val="00B050"/>
              </a:solidFill>
              <a:ln>
                <a:solidFill>
                  <a:srgbClr val="00B050"/>
                </a:solidFill>
              </a:ln>
            </c:spPr>
            <c:extLst xmlns:c16r2="http://schemas.microsoft.com/office/drawing/2015/06/chart">
              <c:ext xmlns:c16="http://schemas.microsoft.com/office/drawing/2014/chart" uri="{C3380CC4-5D6E-409C-BE32-E72D297353CC}">
                <c16:uniqueId val="{00000003-82AB-4D19-BDCB-0211B9D0488D}"/>
              </c:ext>
            </c:extLst>
          </c:dPt>
          <c:dPt>
            <c:idx val="11"/>
            <c:invertIfNegative val="0"/>
            <c:bubble3D val="0"/>
            <c:spPr>
              <a:solidFill>
                <a:srgbClr val="00B050"/>
              </a:solidFill>
              <a:ln>
                <a:solidFill>
                  <a:srgbClr val="00B050"/>
                </a:solidFill>
              </a:ln>
            </c:spPr>
            <c:extLst xmlns:c16r2="http://schemas.microsoft.com/office/drawing/2015/06/chart">
              <c:ext xmlns:c16="http://schemas.microsoft.com/office/drawing/2014/chart" uri="{C3380CC4-5D6E-409C-BE32-E72D297353CC}">
                <c16:uniqueId val="{00000005-82AB-4D19-BDCB-0211B9D0488D}"/>
              </c:ext>
            </c:extLst>
          </c:dPt>
          <c:cat>
            <c:strRef>
              <c:f>'Valeur des indicateurs'!$B$4:$B$15</c:f>
              <c:strCache>
                <c:ptCount val="12"/>
                <c:pt idx="0">
                  <c:v>Sud sans Ville d'Abidjan</c:v>
                </c:pt>
                <c:pt idx="1">
                  <c:v>Centre-Ouest</c:v>
                </c:pt>
                <c:pt idx="2">
                  <c:v>Abidjan</c:v>
                </c:pt>
                <c:pt idx="3">
                  <c:v>Sud-Ouest</c:v>
                </c:pt>
                <c:pt idx="4">
                  <c:v>Centre</c:v>
                </c:pt>
                <c:pt idx="5">
                  <c:v>Nord-Ouest</c:v>
                </c:pt>
                <c:pt idx="6">
                  <c:v>National</c:v>
                </c:pt>
                <c:pt idx="7">
                  <c:v>Nord</c:v>
                </c:pt>
                <c:pt idx="8">
                  <c:v>Centre-Nord</c:v>
                </c:pt>
                <c:pt idx="9">
                  <c:v>Centre-Est</c:v>
                </c:pt>
                <c:pt idx="10">
                  <c:v>Ouest</c:v>
                </c:pt>
                <c:pt idx="11">
                  <c:v>Nord-Est</c:v>
                </c:pt>
              </c:strCache>
            </c:strRef>
          </c:cat>
          <c:val>
            <c:numRef>
              <c:f>'Valeur des indicateurs'!$C$4:$C$15</c:f>
              <c:numCache>
                <c:formatCode>General</c:formatCode>
                <c:ptCount val="12"/>
                <c:pt idx="0">
                  <c:v>17.399999999999999</c:v>
                </c:pt>
                <c:pt idx="1">
                  <c:v>18.3</c:v>
                </c:pt>
                <c:pt idx="2">
                  <c:v>19.100000000000001</c:v>
                </c:pt>
                <c:pt idx="3">
                  <c:v>19.600000000000001</c:v>
                </c:pt>
                <c:pt idx="4">
                  <c:v>22.2</c:v>
                </c:pt>
                <c:pt idx="5">
                  <c:v>23.4</c:v>
                </c:pt>
                <c:pt idx="6">
                  <c:v>23.5</c:v>
                </c:pt>
                <c:pt idx="7">
                  <c:v>25.1</c:v>
                </c:pt>
                <c:pt idx="8">
                  <c:v>26.8</c:v>
                </c:pt>
                <c:pt idx="9">
                  <c:v>27.9</c:v>
                </c:pt>
                <c:pt idx="10">
                  <c:v>37.299999999999997</c:v>
                </c:pt>
                <c:pt idx="11">
                  <c:v>37.5</c:v>
                </c:pt>
              </c:numCache>
            </c:numRef>
          </c:val>
          <c:extLst xmlns:c16r2="http://schemas.microsoft.com/office/drawing/2015/06/chart">
            <c:ext xmlns:c16="http://schemas.microsoft.com/office/drawing/2014/chart" uri="{C3380CC4-5D6E-409C-BE32-E72D297353CC}">
              <c16:uniqueId val="{00000006-82AB-4D19-BDCB-0211B9D0488D}"/>
            </c:ext>
          </c:extLst>
        </c:ser>
        <c:dLbls>
          <c:showLegendKey val="0"/>
          <c:showVal val="0"/>
          <c:showCatName val="0"/>
          <c:showSerName val="0"/>
          <c:showPercent val="0"/>
          <c:showBubbleSize val="0"/>
        </c:dLbls>
        <c:gapWidth val="150"/>
        <c:axId val="440756136"/>
        <c:axId val="440760840"/>
      </c:barChart>
      <c:catAx>
        <c:axId val="440756136"/>
        <c:scaling>
          <c:orientation val="minMax"/>
        </c:scaling>
        <c:delete val="0"/>
        <c:axPos val="b"/>
        <c:numFmt formatCode="General" sourceLinked="0"/>
        <c:majorTickMark val="none"/>
        <c:minorTickMark val="none"/>
        <c:tickLblPos val="nextTo"/>
        <c:txPr>
          <a:bodyPr/>
          <a:lstStyle/>
          <a:p>
            <a:pPr>
              <a:defRPr sz="900">
                <a:latin typeface="Times New Roman" panose="02020603050405020304" pitchFamily="18" charset="0"/>
                <a:cs typeface="Times New Roman" panose="02020603050405020304" pitchFamily="18" charset="0"/>
              </a:defRPr>
            </a:pPr>
            <a:endParaRPr lang="fr-FR"/>
          </a:p>
        </c:txPr>
        <c:crossAx val="440760840"/>
        <c:crosses val="autoZero"/>
        <c:auto val="1"/>
        <c:lblAlgn val="ctr"/>
        <c:lblOffset val="100"/>
        <c:noMultiLvlLbl val="0"/>
      </c:catAx>
      <c:valAx>
        <c:axId val="440760840"/>
        <c:scaling>
          <c:orientation val="minMax"/>
        </c:scaling>
        <c:delete val="0"/>
        <c:axPos val="l"/>
        <c:majorGridlines/>
        <c:title>
          <c:tx>
            <c:rich>
              <a:bodyPr/>
              <a:lstStyle/>
              <a:p>
                <a:pPr>
                  <a:defRPr/>
                </a:pPr>
                <a:r>
                  <a:rPr lang="fr-CI"/>
                  <a:t>Taux</a:t>
                </a:r>
              </a:p>
            </c:rich>
          </c:tx>
          <c:overlay val="0"/>
        </c:title>
        <c:numFmt formatCode="General" sourceLinked="1"/>
        <c:majorTickMark val="out"/>
        <c:minorTickMark val="none"/>
        <c:tickLblPos val="nextTo"/>
        <c:crossAx val="440756136"/>
        <c:crosses val="autoZero"/>
        <c:crossBetween val="between"/>
      </c:valAx>
    </c:plotArea>
    <c:plotVisOnly val="1"/>
    <c:dispBlanksAs val="gap"/>
    <c:showDLblsOverMax val="0"/>
  </c:chart>
  <c:spPr>
    <a:ln w="15875" cmpd="sng">
      <a:solidFill>
        <a:srgbClr val="0070C0"/>
      </a:solid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8.4611885443253598E-2"/>
          <c:y val="5.79710788329829E-2"/>
          <c:w val="0.67659740501980403"/>
          <c:h val="0.85019343253139801"/>
        </c:manualLayout>
      </c:layout>
      <c:barChart>
        <c:barDir val="col"/>
        <c:grouping val="clustered"/>
        <c:varyColors val="0"/>
        <c:ser>
          <c:idx val="0"/>
          <c:order val="0"/>
          <c:tx>
            <c:strRef>
              <c:f>Feuil1!$C$52</c:f>
              <c:strCache>
                <c:ptCount val="1"/>
                <c:pt idx="0">
                  <c:v>Besoins non satisfaits (%)</c:v>
                </c:pt>
              </c:strCache>
            </c:strRef>
          </c:tx>
          <c:invertIfNegative val="0"/>
          <c:dLbls>
            <c:spPr>
              <a:noFill/>
              <a:ln>
                <a:noFill/>
              </a:ln>
              <a:effectLst/>
            </c:spPr>
            <c:txPr>
              <a:bodyPr/>
              <a:lstStyle/>
              <a:p>
                <a:pPr>
                  <a:defRPr sz="900" b="1">
                    <a:latin typeface="Times New Roman" panose="02020603050405020304" pitchFamily="18" charset="0"/>
                    <a:cs typeface="Times New Roman" panose="02020603050405020304" pitchFamily="18"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Feuil1!$D$51:$J$51</c:f>
              <c:numCache>
                <c:formatCode>General</c:formatCode>
                <c:ptCount val="7"/>
                <c:pt idx="0">
                  <c:v>2012</c:v>
                </c:pt>
                <c:pt idx="1">
                  <c:v>2013</c:v>
                </c:pt>
                <c:pt idx="2">
                  <c:v>2014</c:v>
                </c:pt>
                <c:pt idx="3">
                  <c:v>2015</c:v>
                </c:pt>
                <c:pt idx="4">
                  <c:v>2016</c:v>
                </c:pt>
                <c:pt idx="5">
                  <c:v>2017</c:v>
                </c:pt>
                <c:pt idx="6">
                  <c:v>2018</c:v>
                </c:pt>
              </c:numCache>
            </c:numRef>
          </c:cat>
          <c:val>
            <c:numRef>
              <c:f>Feuil1!$D$52:$J$52</c:f>
              <c:numCache>
                <c:formatCode>General</c:formatCode>
                <c:ptCount val="7"/>
                <c:pt idx="0">
                  <c:v>30.7</c:v>
                </c:pt>
                <c:pt idx="1">
                  <c:v>32.200000000000003</c:v>
                </c:pt>
                <c:pt idx="2">
                  <c:v>33.700000000000003</c:v>
                </c:pt>
                <c:pt idx="3">
                  <c:v>35.200000000000003</c:v>
                </c:pt>
                <c:pt idx="4">
                  <c:v>37</c:v>
                </c:pt>
                <c:pt idx="5">
                  <c:v>38.799999999999997</c:v>
                </c:pt>
                <c:pt idx="6">
                  <c:v>40.200000000000003</c:v>
                </c:pt>
              </c:numCache>
            </c:numRef>
          </c:val>
          <c:extLst xmlns:c16r2="http://schemas.microsoft.com/office/drawing/2015/06/chart">
            <c:ext xmlns:c16="http://schemas.microsoft.com/office/drawing/2014/chart" uri="{C3380CC4-5D6E-409C-BE32-E72D297353CC}">
              <c16:uniqueId val="{00000000-2028-4FDB-9820-C7149812B305}"/>
            </c:ext>
          </c:extLst>
        </c:ser>
        <c:ser>
          <c:idx val="1"/>
          <c:order val="1"/>
          <c:tx>
            <c:strRef>
              <c:f>Feuil1!$C$53</c:f>
              <c:strCache>
                <c:ptCount val="1"/>
                <c:pt idx="0">
                  <c:v>Prévalence contraceptive moderne (%)</c:v>
                </c:pt>
              </c:strCache>
            </c:strRef>
          </c:tx>
          <c:invertIfNegative val="0"/>
          <c:dLbls>
            <c:dLbl>
              <c:idx val="0"/>
              <c:layout>
                <c:manualLayout>
                  <c:x val="7.5901328273244783E-3"/>
                  <c:y val="-7.9364162543501253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2028-4FDB-9820-C7149812B305}"/>
                </c:ext>
                <c:ext xmlns:c15="http://schemas.microsoft.com/office/drawing/2012/chart" uri="{CE6537A1-D6FC-4f65-9D91-7224C49458BB}"/>
              </c:extLst>
            </c:dLbl>
            <c:dLbl>
              <c:idx val="1"/>
              <c:layout>
                <c:manualLayout>
                  <c:x val="1.0120177103099304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2028-4FDB-9820-C7149812B305}"/>
                </c:ext>
                <c:ext xmlns:c15="http://schemas.microsoft.com/office/drawing/2012/chart" uri="{CE6537A1-D6FC-4f65-9D91-7224C49458BB}"/>
              </c:extLst>
            </c:dLbl>
            <c:dLbl>
              <c:idx val="3"/>
              <c:layout>
                <c:manualLayout>
                  <c:x val="1.265022137887413E-2"/>
                  <c:y val="-7.9364162543501253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2028-4FDB-9820-C7149812B305}"/>
                </c:ext>
                <c:ext xmlns:c15="http://schemas.microsoft.com/office/drawing/2012/chart" uri="{CE6537A1-D6FC-4f65-9D91-7224C49458BB}"/>
              </c:extLst>
            </c:dLbl>
            <c:dLbl>
              <c:idx val="4"/>
              <c:layout>
                <c:manualLayout>
                  <c:x val="1.0120177103099304E-2"/>
                  <c:y val="-4.3290043290044088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2028-4FDB-9820-C7149812B305}"/>
                </c:ext>
                <c:ext xmlns:c15="http://schemas.microsoft.com/office/drawing/2012/chart" uri="{CE6537A1-D6FC-4f65-9D91-7224C49458BB}"/>
              </c:extLst>
            </c:dLbl>
            <c:dLbl>
              <c:idx val="5"/>
              <c:layout>
                <c:manualLayout>
                  <c:x val="1.265022137887413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2028-4FDB-9820-C7149812B305}"/>
                </c:ext>
                <c:ext xmlns:c15="http://schemas.microsoft.com/office/drawing/2012/chart" uri="{CE6537A1-D6FC-4f65-9D91-7224C49458BB}"/>
              </c:extLst>
            </c:dLbl>
            <c:dLbl>
              <c:idx val="6"/>
              <c:layout>
                <c:manualLayout>
                  <c:x val="1.5180265654648957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2028-4FDB-9820-C7149812B305}"/>
                </c:ext>
                <c:ext xmlns:c15="http://schemas.microsoft.com/office/drawing/2012/chart" uri="{CE6537A1-D6FC-4f65-9D91-7224C49458BB}"/>
              </c:extLst>
            </c:dLbl>
            <c:spPr>
              <a:noFill/>
              <a:ln>
                <a:noFill/>
              </a:ln>
              <a:effectLst/>
            </c:spPr>
            <c:txPr>
              <a:bodyPr/>
              <a:lstStyle/>
              <a:p>
                <a:pPr>
                  <a:defRPr sz="800" b="1">
                    <a:latin typeface="Times New Roman" panose="02020603050405020304" pitchFamily="18" charset="0"/>
                    <a:cs typeface="Times New Roman" panose="02020603050405020304" pitchFamily="18"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Feuil1!$D$51:$J$51</c:f>
              <c:numCache>
                <c:formatCode>General</c:formatCode>
                <c:ptCount val="7"/>
                <c:pt idx="0">
                  <c:v>2012</c:v>
                </c:pt>
                <c:pt idx="1">
                  <c:v>2013</c:v>
                </c:pt>
                <c:pt idx="2">
                  <c:v>2014</c:v>
                </c:pt>
                <c:pt idx="3">
                  <c:v>2015</c:v>
                </c:pt>
                <c:pt idx="4">
                  <c:v>2016</c:v>
                </c:pt>
                <c:pt idx="5">
                  <c:v>2017</c:v>
                </c:pt>
                <c:pt idx="6">
                  <c:v>2018</c:v>
                </c:pt>
              </c:numCache>
            </c:numRef>
          </c:cat>
          <c:val>
            <c:numRef>
              <c:f>Feuil1!$D$53:$J$53</c:f>
              <c:numCache>
                <c:formatCode>General</c:formatCode>
                <c:ptCount val="7"/>
                <c:pt idx="0">
                  <c:v>14.8</c:v>
                </c:pt>
                <c:pt idx="1">
                  <c:v>15.8</c:v>
                </c:pt>
                <c:pt idx="2">
                  <c:v>17</c:v>
                </c:pt>
                <c:pt idx="3">
                  <c:v>18.2</c:v>
                </c:pt>
                <c:pt idx="4">
                  <c:v>19.600000000000001</c:v>
                </c:pt>
                <c:pt idx="5">
                  <c:v>21.5</c:v>
                </c:pt>
                <c:pt idx="6">
                  <c:v>22.7</c:v>
                </c:pt>
              </c:numCache>
            </c:numRef>
          </c:val>
          <c:extLst xmlns:c16r2="http://schemas.microsoft.com/office/drawing/2015/06/chart">
            <c:ext xmlns:c16="http://schemas.microsoft.com/office/drawing/2014/chart" uri="{C3380CC4-5D6E-409C-BE32-E72D297353CC}">
              <c16:uniqueId val="{00000007-2028-4FDB-9820-C7149812B305}"/>
            </c:ext>
          </c:extLst>
        </c:ser>
        <c:dLbls>
          <c:showLegendKey val="0"/>
          <c:showVal val="0"/>
          <c:showCatName val="0"/>
          <c:showSerName val="0"/>
          <c:showPercent val="0"/>
          <c:showBubbleSize val="0"/>
        </c:dLbls>
        <c:gapWidth val="150"/>
        <c:axId val="440763192"/>
        <c:axId val="440765152"/>
      </c:barChart>
      <c:catAx>
        <c:axId val="440763192"/>
        <c:scaling>
          <c:orientation val="minMax"/>
        </c:scaling>
        <c:delete val="0"/>
        <c:axPos val="b"/>
        <c:numFmt formatCode="General" sourceLinked="1"/>
        <c:majorTickMark val="out"/>
        <c:minorTickMark val="none"/>
        <c:tickLblPos val="nextTo"/>
        <c:txPr>
          <a:bodyPr/>
          <a:lstStyle/>
          <a:p>
            <a:pPr>
              <a:defRPr b="1">
                <a:latin typeface="Times New Roman" panose="02020603050405020304" pitchFamily="18" charset="0"/>
                <a:cs typeface="Times New Roman" panose="02020603050405020304" pitchFamily="18" charset="0"/>
              </a:defRPr>
            </a:pPr>
            <a:endParaRPr lang="fr-FR"/>
          </a:p>
        </c:txPr>
        <c:crossAx val="440765152"/>
        <c:crosses val="autoZero"/>
        <c:auto val="1"/>
        <c:lblAlgn val="ctr"/>
        <c:lblOffset val="100"/>
        <c:noMultiLvlLbl val="0"/>
      </c:catAx>
      <c:valAx>
        <c:axId val="440765152"/>
        <c:scaling>
          <c:orientation val="minMax"/>
        </c:scaling>
        <c:delete val="0"/>
        <c:axPos val="l"/>
        <c:numFmt formatCode="General" sourceLinked="1"/>
        <c:majorTickMark val="out"/>
        <c:minorTickMark val="none"/>
        <c:tickLblPos val="nextTo"/>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fr-FR"/>
          </a:p>
        </c:txPr>
        <c:crossAx val="440763192"/>
        <c:crosses val="autoZero"/>
        <c:crossBetween val="between"/>
      </c:valAx>
    </c:plotArea>
    <c:legend>
      <c:legendPos val="r"/>
      <c:layout>
        <c:manualLayout>
          <c:xMode val="edge"/>
          <c:yMode val="edge"/>
          <c:x val="0.80637719320454715"/>
          <c:y val="0.25087261819545287"/>
          <c:w val="0.18290467012306577"/>
          <c:h val="0.45838633807137746"/>
        </c:manualLayout>
      </c:layout>
      <c:overlay val="0"/>
      <c:txPr>
        <a:bodyPr/>
        <a:lstStyle/>
        <a:p>
          <a:pPr>
            <a:defRPr sz="1050">
              <a:latin typeface="Times New Roman" panose="02020603050405020304" pitchFamily="18" charset="0"/>
              <a:cs typeface="Times New Roman" panose="02020603050405020304" pitchFamily="18" charset="0"/>
            </a:defRPr>
          </a:pPr>
          <a:endParaRPr lang="fr-FR"/>
        </a:p>
      </c:txPr>
    </c:legend>
    <c:plotVisOnly val="1"/>
    <c:dispBlanksAs val="gap"/>
    <c:showDLblsOverMax val="0"/>
  </c:chart>
  <c:spPr>
    <a:ln w="15875" cmpd="sng">
      <a:solidFill>
        <a:srgbClr val="0070C0"/>
      </a:solidFill>
    </a:ln>
  </c:spPr>
  <c:txPr>
    <a:bodyPr/>
    <a:lstStyle/>
    <a:p>
      <a:pPr>
        <a:defRPr b="0" i="0">
          <a:latin typeface="Calibri"/>
          <a:cs typeface="Calibri"/>
        </a:defRPr>
      </a:pPr>
      <a:endParaRPr lang="fr-F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3.9129658792650901E-2"/>
          <c:y val="3.1161473087818699E-2"/>
          <c:w val="0.77389383053212335"/>
          <c:h val="0.74982244429078104"/>
        </c:manualLayout>
      </c:layout>
      <c:barChart>
        <c:barDir val="col"/>
        <c:grouping val="clustered"/>
        <c:varyColors val="0"/>
        <c:ser>
          <c:idx val="0"/>
          <c:order val="0"/>
          <c:tx>
            <c:strRef>
              <c:f>Feuil1!$E$4:$E$5</c:f>
              <c:strCache>
                <c:ptCount val="1"/>
                <c:pt idx="0">
                  <c:v>Pas de viste prénatale</c:v>
                </c:pt>
              </c:strCache>
            </c:strRef>
          </c:tx>
          <c:spPr>
            <a:solidFill>
              <a:srgbClr val="FFC000"/>
            </a:solidFill>
            <a:ln>
              <a:solidFill>
                <a:srgbClr val="FFC000"/>
              </a:solidFill>
            </a:ln>
          </c:spPr>
          <c:invertIfNegative val="0"/>
          <c:cat>
            <c:strRef>
              <c:f>Feuil1!$D$6:$D$17</c:f>
              <c:strCache>
                <c:ptCount val="12"/>
                <c:pt idx="0">
                  <c:v>CENTRE</c:v>
                </c:pt>
                <c:pt idx="1">
                  <c:v>CENTRE EST</c:v>
                </c:pt>
                <c:pt idx="2">
                  <c:v>CENTRE NORD</c:v>
                </c:pt>
                <c:pt idx="3">
                  <c:v>CENTRE OUEST</c:v>
                </c:pt>
                <c:pt idx="4">
                  <c:v>NORD</c:v>
                </c:pt>
                <c:pt idx="5">
                  <c:v>NORD EST</c:v>
                </c:pt>
                <c:pt idx="6">
                  <c:v>NORD OUEST</c:v>
                </c:pt>
                <c:pt idx="7">
                  <c:v>OUEST</c:v>
                </c:pt>
                <c:pt idx="8">
                  <c:v>SUD OUEST</c:v>
                </c:pt>
                <c:pt idx="9">
                  <c:v>SUD SANS ABIDJAN</c:v>
                </c:pt>
                <c:pt idx="10">
                  <c:v>ABIDJAN</c:v>
                </c:pt>
                <c:pt idx="11">
                  <c:v>NATIONAL</c:v>
                </c:pt>
              </c:strCache>
            </c:strRef>
          </c:cat>
          <c:val>
            <c:numRef>
              <c:f>Feuil1!$E$6:$E$17</c:f>
              <c:numCache>
                <c:formatCode>General</c:formatCode>
                <c:ptCount val="12"/>
                <c:pt idx="0">
                  <c:v>2.6</c:v>
                </c:pt>
                <c:pt idx="1">
                  <c:v>2.6</c:v>
                </c:pt>
                <c:pt idx="2">
                  <c:v>3.7</c:v>
                </c:pt>
                <c:pt idx="3">
                  <c:v>5.8</c:v>
                </c:pt>
                <c:pt idx="4">
                  <c:v>18.100000000000001</c:v>
                </c:pt>
                <c:pt idx="5">
                  <c:v>15.9</c:v>
                </c:pt>
                <c:pt idx="6">
                  <c:v>12.5</c:v>
                </c:pt>
                <c:pt idx="7">
                  <c:v>6.5</c:v>
                </c:pt>
                <c:pt idx="8">
                  <c:v>3.4</c:v>
                </c:pt>
                <c:pt idx="9">
                  <c:v>2.2000000000000002</c:v>
                </c:pt>
                <c:pt idx="10">
                  <c:v>1.7</c:v>
                </c:pt>
                <c:pt idx="11">
                  <c:v>6</c:v>
                </c:pt>
              </c:numCache>
            </c:numRef>
          </c:val>
          <c:extLst xmlns:c16r2="http://schemas.microsoft.com/office/drawing/2015/06/chart">
            <c:ext xmlns:c16="http://schemas.microsoft.com/office/drawing/2014/chart" uri="{C3380CC4-5D6E-409C-BE32-E72D297353CC}">
              <c16:uniqueId val="{00000000-6565-43DF-B68D-799CE00933B3}"/>
            </c:ext>
          </c:extLst>
        </c:ser>
        <c:ser>
          <c:idx val="1"/>
          <c:order val="1"/>
          <c:tx>
            <c:strRef>
              <c:f>Feuil1!$F$4:$F$5</c:f>
              <c:strCache>
                <c:ptCount val="1"/>
                <c:pt idx="0">
                  <c:v>Premier trimestre</c:v>
                </c:pt>
              </c:strCache>
            </c:strRef>
          </c:tx>
          <c:spPr>
            <a:solidFill>
              <a:srgbClr val="0070C0"/>
            </a:solidFill>
            <a:ln>
              <a:solidFill>
                <a:srgbClr val="0070C0"/>
              </a:solidFill>
            </a:ln>
          </c:spPr>
          <c:invertIfNegative val="0"/>
          <c:cat>
            <c:strRef>
              <c:f>Feuil1!$D$6:$D$17</c:f>
              <c:strCache>
                <c:ptCount val="12"/>
                <c:pt idx="0">
                  <c:v>CENTRE</c:v>
                </c:pt>
                <c:pt idx="1">
                  <c:v>CENTRE EST</c:v>
                </c:pt>
                <c:pt idx="2">
                  <c:v>CENTRE NORD</c:v>
                </c:pt>
                <c:pt idx="3">
                  <c:v>CENTRE OUEST</c:v>
                </c:pt>
                <c:pt idx="4">
                  <c:v>NORD</c:v>
                </c:pt>
                <c:pt idx="5">
                  <c:v>NORD EST</c:v>
                </c:pt>
                <c:pt idx="6">
                  <c:v>NORD OUEST</c:v>
                </c:pt>
                <c:pt idx="7">
                  <c:v>OUEST</c:v>
                </c:pt>
                <c:pt idx="8">
                  <c:v>SUD OUEST</c:v>
                </c:pt>
                <c:pt idx="9">
                  <c:v>SUD SANS ABIDJAN</c:v>
                </c:pt>
                <c:pt idx="10">
                  <c:v>ABIDJAN</c:v>
                </c:pt>
                <c:pt idx="11">
                  <c:v>NATIONAL</c:v>
                </c:pt>
              </c:strCache>
            </c:strRef>
          </c:cat>
          <c:val>
            <c:numRef>
              <c:f>Feuil1!$F$6:$F$17</c:f>
              <c:numCache>
                <c:formatCode>General</c:formatCode>
                <c:ptCount val="12"/>
                <c:pt idx="0">
                  <c:v>25.2</c:v>
                </c:pt>
                <c:pt idx="1">
                  <c:v>19.399999999999999</c:v>
                </c:pt>
                <c:pt idx="2">
                  <c:v>40.6</c:v>
                </c:pt>
                <c:pt idx="3">
                  <c:v>23.4</c:v>
                </c:pt>
                <c:pt idx="4">
                  <c:v>26.4</c:v>
                </c:pt>
                <c:pt idx="5">
                  <c:v>27.2</c:v>
                </c:pt>
                <c:pt idx="6">
                  <c:v>29.9</c:v>
                </c:pt>
                <c:pt idx="7">
                  <c:v>35.5</c:v>
                </c:pt>
                <c:pt idx="8">
                  <c:v>26.2</c:v>
                </c:pt>
                <c:pt idx="9">
                  <c:v>31.7</c:v>
                </c:pt>
                <c:pt idx="10">
                  <c:v>55.5</c:v>
                </c:pt>
                <c:pt idx="11">
                  <c:v>33.9</c:v>
                </c:pt>
              </c:numCache>
            </c:numRef>
          </c:val>
          <c:extLst xmlns:c16r2="http://schemas.microsoft.com/office/drawing/2015/06/chart">
            <c:ext xmlns:c16="http://schemas.microsoft.com/office/drawing/2014/chart" uri="{C3380CC4-5D6E-409C-BE32-E72D297353CC}">
              <c16:uniqueId val="{00000001-6565-43DF-B68D-799CE00933B3}"/>
            </c:ext>
          </c:extLst>
        </c:ser>
        <c:ser>
          <c:idx val="2"/>
          <c:order val="2"/>
          <c:tx>
            <c:strRef>
              <c:f>Feuil1!$G$4:$G$5</c:f>
              <c:strCache>
                <c:ptCount val="1"/>
                <c:pt idx="0">
                  <c:v>4-5 mois</c:v>
                </c:pt>
              </c:strCache>
            </c:strRef>
          </c:tx>
          <c:spPr>
            <a:solidFill>
              <a:srgbClr val="FF0000"/>
            </a:solidFill>
            <a:ln>
              <a:solidFill>
                <a:srgbClr val="FF0000"/>
              </a:solidFill>
            </a:ln>
          </c:spPr>
          <c:invertIfNegative val="0"/>
          <c:cat>
            <c:strRef>
              <c:f>Feuil1!$D$6:$D$17</c:f>
              <c:strCache>
                <c:ptCount val="12"/>
                <c:pt idx="0">
                  <c:v>CENTRE</c:v>
                </c:pt>
                <c:pt idx="1">
                  <c:v>CENTRE EST</c:v>
                </c:pt>
                <c:pt idx="2">
                  <c:v>CENTRE NORD</c:v>
                </c:pt>
                <c:pt idx="3">
                  <c:v>CENTRE OUEST</c:v>
                </c:pt>
                <c:pt idx="4">
                  <c:v>NORD</c:v>
                </c:pt>
                <c:pt idx="5">
                  <c:v>NORD EST</c:v>
                </c:pt>
                <c:pt idx="6">
                  <c:v>NORD OUEST</c:v>
                </c:pt>
                <c:pt idx="7">
                  <c:v>OUEST</c:v>
                </c:pt>
                <c:pt idx="8">
                  <c:v>SUD OUEST</c:v>
                </c:pt>
                <c:pt idx="9">
                  <c:v>SUD SANS ABIDJAN</c:v>
                </c:pt>
                <c:pt idx="10">
                  <c:v>ABIDJAN</c:v>
                </c:pt>
                <c:pt idx="11">
                  <c:v>NATIONAL</c:v>
                </c:pt>
              </c:strCache>
            </c:strRef>
          </c:cat>
          <c:val>
            <c:numRef>
              <c:f>Feuil1!$G$6:$G$17</c:f>
              <c:numCache>
                <c:formatCode>General</c:formatCode>
                <c:ptCount val="12"/>
                <c:pt idx="0">
                  <c:v>44.2</c:v>
                </c:pt>
                <c:pt idx="1">
                  <c:v>50.5</c:v>
                </c:pt>
                <c:pt idx="2">
                  <c:v>36.5</c:v>
                </c:pt>
                <c:pt idx="3">
                  <c:v>41.6</c:v>
                </c:pt>
                <c:pt idx="4">
                  <c:v>31.8</c:v>
                </c:pt>
                <c:pt idx="5">
                  <c:v>37.700000000000003</c:v>
                </c:pt>
                <c:pt idx="6">
                  <c:v>33.799999999999997</c:v>
                </c:pt>
                <c:pt idx="7">
                  <c:v>41</c:v>
                </c:pt>
                <c:pt idx="8">
                  <c:v>47.1</c:v>
                </c:pt>
                <c:pt idx="9">
                  <c:v>39.9</c:v>
                </c:pt>
                <c:pt idx="10">
                  <c:v>32.1</c:v>
                </c:pt>
                <c:pt idx="11">
                  <c:v>38.6</c:v>
                </c:pt>
              </c:numCache>
            </c:numRef>
          </c:val>
          <c:extLst xmlns:c16r2="http://schemas.microsoft.com/office/drawing/2015/06/chart">
            <c:ext xmlns:c16="http://schemas.microsoft.com/office/drawing/2014/chart" uri="{C3380CC4-5D6E-409C-BE32-E72D297353CC}">
              <c16:uniqueId val="{00000002-6565-43DF-B68D-799CE00933B3}"/>
            </c:ext>
          </c:extLst>
        </c:ser>
        <c:ser>
          <c:idx val="3"/>
          <c:order val="3"/>
          <c:tx>
            <c:strRef>
              <c:f>Feuil1!$H$4:$H$5</c:f>
              <c:strCache>
                <c:ptCount val="1"/>
                <c:pt idx="0">
                  <c:v>6-7 mois</c:v>
                </c:pt>
              </c:strCache>
            </c:strRef>
          </c:tx>
          <c:spPr>
            <a:solidFill>
              <a:srgbClr val="00B050"/>
            </a:solidFill>
            <a:ln>
              <a:solidFill>
                <a:srgbClr val="00B050"/>
              </a:solidFill>
            </a:ln>
          </c:spPr>
          <c:invertIfNegative val="0"/>
          <c:cat>
            <c:strRef>
              <c:f>Feuil1!$D$6:$D$17</c:f>
              <c:strCache>
                <c:ptCount val="12"/>
                <c:pt idx="0">
                  <c:v>CENTRE</c:v>
                </c:pt>
                <c:pt idx="1">
                  <c:v>CENTRE EST</c:v>
                </c:pt>
                <c:pt idx="2">
                  <c:v>CENTRE NORD</c:v>
                </c:pt>
                <c:pt idx="3">
                  <c:v>CENTRE OUEST</c:v>
                </c:pt>
                <c:pt idx="4">
                  <c:v>NORD</c:v>
                </c:pt>
                <c:pt idx="5">
                  <c:v>NORD EST</c:v>
                </c:pt>
                <c:pt idx="6">
                  <c:v>NORD OUEST</c:v>
                </c:pt>
                <c:pt idx="7">
                  <c:v>OUEST</c:v>
                </c:pt>
                <c:pt idx="8">
                  <c:v>SUD OUEST</c:v>
                </c:pt>
                <c:pt idx="9">
                  <c:v>SUD SANS ABIDJAN</c:v>
                </c:pt>
                <c:pt idx="10">
                  <c:v>ABIDJAN</c:v>
                </c:pt>
                <c:pt idx="11">
                  <c:v>NATIONAL</c:v>
                </c:pt>
              </c:strCache>
            </c:strRef>
          </c:cat>
          <c:val>
            <c:numRef>
              <c:f>Feuil1!$H$6:$H$17</c:f>
              <c:numCache>
                <c:formatCode>General</c:formatCode>
                <c:ptCount val="12"/>
                <c:pt idx="0">
                  <c:v>25.8</c:v>
                </c:pt>
                <c:pt idx="1">
                  <c:v>26.4</c:v>
                </c:pt>
                <c:pt idx="2">
                  <c:v>18.2</c:v>
                </c:pt>
                <c:pt idx="3">
                  <c:v>26.7</c:v>
                </c:pt>
                <c:pt idx="4">
                  <c:v>20.2</c:v>
                </c:pt>
                <c:pt idx="5">
                  <c:v>17.600000000000001</c:v>
                </c:pt>
                <c:pt idx="6">
                  <c:v>20.3</c:v>
                </c:pt>
                <c:pt idx="7">
                  <c:v>15</c:v>
                </c:pt>
                <c:pt idx="8">
                  <c:v>20.7</c:v>
                </c:pt>
                <c:pt idx="9">
                  <c:v>24</c:v>
                </c:pt>
                <c:pt idx="10">
                  <c:v>9.4</c:v>
                </c:pt>
                <c:pt idx="11">
                  <c:v>19.3</c:v>
                </c:pt>
              </c:numCache>
            </c:numRef>
          </c:val>
          <c:extLst xmlns:c16r2="http://schemas.microsoft.com/office/drawing/2015/06/chart">
            <c:ext xmlns:c16="http://schemas.microsoft.com/office/drawing/2014/chart" uri="{C3380CC4-5D6E-409C-BE32-E72D297353CC}">
              <c16:uniqueId val="{00000003-6565-43DF-B68D-799CE00933B3}"/>
            </c:ext>
          </c:extLst>
        </c:ser>
        <c:ser>
          <c:idx val="4"/>
          <c:order val="4"/>
          <c:tx>
            <c:strRef>
              <c:f>Feuil1!$I$4:$I$5</c:f>
              <c:strCache>
                <c:ptCount val="1"/>
                <c:pt idx="0">
                  <c:v>8 mois et +</c:v>
                </c:pt>
              </c:strCache>
            </c:strRef>
          </c:tx>
          <c:spPr>
            <a:solidFill>
              <a:schemeClr val="accent5">
                <a:lumMod val="75000"/>
              </a:schemeClr>
            </a:solidFill>
          </c:spPr>
          <c:invertIfNegative val="0"/>
          <c:cat>
            <c:strRef>
              <c:f>Feuil1!$D$6:$D$17</c:f>
              <c:strCache>
                <c:ptCount val="12"/>
                <c:pt idx="0">
                  <c:v>CENTRE</c:v>
                </c:pt>
                <c:pt idx="1">
                  <c:v>CENTRE EST</c:v>
                </c:pt>
                <c:pt idx="2">
                  <c:v>CENTRE NORD</c:v>
                </c:pt>
                <c:pt idx="3">
                  <c:v>CENTRE OUEST</c:v>
                </c:pt>
                <c:pt idx="4">
                  <c:v>NORD</c:v>
                </c:pt>
                <c:pt idx="5">
                  <c:v>NORD EST</c:v>
                </c:pt>
                <c:pt idx="6">
                  <c:v>NORD OUEST</c:v>
                </c:pt>
                <c:pt idx="7">
                  <c:v>OUEST</c:v>
                </c:pt>
                <c:pt idx="8">
                  <c:v>SUD OUEST</c:v>
                </c:pt>
                <c:pt idx="9">
                  <c:v>SUD SANS ABIDJAN</c:v>
                </c:pt>
                <c:pt idx="10">
                  <c:v>ABIDJAN</c:v>
                </c:pt>
                <c:pt idx="11">
                  <c:v>NATIONAL</c:v>
                </c:pt>
              </c:strCache>
            </c:strRef>
          </c:cat>
          <c:val>
            <c:numRef>
              <c:f>Feuil1!$I$6:$I$17</c:f>
              <c:numCache>
                <c:formatCode>General</c:formatCode>
                <c:ptCount val="12"/>
                <c:pt idx="0">
                  <c:v>2.2000000000000002</c:v>
                </c:pt>
                <c:pt idx="1">
                  <c:v>1.2</c:v>
                </c:pt>
                <c:pt idx="2">
                  <c:v>1</c:v>
                </c:pt>
                <c:pt idx="3">
                  <c:v>2.6</c:v>
                </c:pt>
                <c:pt idx="4">
                  <c:v>3.5</c:v>
                </c:pt>
                <c:pt idx="5">
                  <c:v>1.2</c:v>
                </c:pt>
                <c:pt idx="6">
                  <c:v>3.1</c:v>
                </c:pt>
                <c:pt idx="7">
                  <c:v>2</c:v>
                </c:pt>
                <c:pt idx="8">
                  <c:v>2.4</c:v>
                </c:pt>
                <c:pt idx="9">
                  <c:v>2.2000000000000002</c:v>
                </c:pt>
                <c:pt idx="10">
                  <c:v>0.3</c:v>
                </c:pt>
                <c:pt idx="11">
                  <c:v>1.9</c:v>
                </c:pt>
              </c:numCache>
            </c:numRef>
          </c:val>
          <c:extLst xmlns:c16r2="http://schemas.microsoft.com/office/drawing/2015/06/chart">
            <c:ext xmlns:c16="http://schemas.microsoft.com/office/drawing/2014/chart" uri="{C3380CC4-5D6E-409C-BE32-E72D297353CC}">
              <c16:uniqueId val="{00000004-6565-43DF-B68D-799CE00933B3}"/>
            </c:ext>
          </c:extLst>
        </c:ser>
        <c:ser>
          <c:idx val="5"/>
          <c:order val="5"/>
          <c:tx>
            <c:strRef>
              <c:f>Feuil1!$J$4:$J$5</c:f>
              <c:strCache>
                <c:ptCount val="1"/>
                <c:pt idx="0">
                  <c:v>Pas de réponse</c:v>
                </c:pt>
              </c:strCache>
            </c:strRef>
          </c:tx>
          <c:spPr>
            <a:solidFill>
              <a:schemeClr val="tx1"/>
            </a:solidFill>
            <a:ln>
              <a:solidFill>
                <a:schemeClr val="tx1"/>
              </a:solidFill>
            </a:ln>
          </c:spPr>
          <c:invertIfNegative val="0"/>
          <c:cat>
            <c:strRef>
              <c:f>Feuil1!$D$6:$D$17</c:f>
              <c:strCache>
                <c:ptCount val="12"/>
                <c:pt idx="0">
                  <c:v>CENTRE</c:v>
                </c:pt>
                <c:pt idx="1">
                  <c:v>CENTRE EST</c:v>
                </c:pt>
                <c:pt idx="2">
                  <c:v>CENTRE NORD</c:v>
                </c:pt>
                <c:pt idx="3">
                  <c:v>CENTRE OUEST</c:v>
                </c:pt>
                <c:pt idx="4">
                  <c:v>NORD</c:v>
                </c:pt>
                <c:pt idx="5">
                  <c:v>NORD EST</c:v>
                </c:pt>
                <c:pt idx="6">
                  <c:v>NORD OUEST</c:v>
                </c:pt>
                <c:pt idx="7">
                  <c:v>OUEST</c:v>
                </c:pt>
                <c:pt idx="8">
                  <c:v>SUD OUEST</c:v>
                </c:pt>
                <c:pt idx="9">
                  <c:v>SUD SANS ABIDJAN</c:v>
                </c:pt>
                <c:pt idx="10">
                  <c:v>ABIDJAN</c:v>
                </c:pt>
                <c:pt idx="11">
                  <c:v>NATIONAL</c:v>
                </c:pt>
              </c:strCache>
            </c:strRef>
          </c:cat>
          <c:val>
            <c:numRef>
              <c:f>Feuil1!$J$6:$J$17</c:f>
              <c:numCache>
                <c:formatCode>General</c:formatCode>
                <c:ptCount val="12"/>
                <c:pt idx="0">
                  <c:v>0</c:v>
                </c:pt>
                <c:pt idx="1">
                  <c:v>0</c:v>
                </c:pt>
                <c:pt idx="2">
                  <c:v>0</c:v>
                </c:pt>
                <c:pt idx="3">
                  <c:v>0</c:v>
                </c:pt>
                <c:pt idx="4">
                  <c:v>0</c:v>
                </c:pt>
                <c:pt idx="5">
                  <c:v>0.4</c:v>
                </c:pt>
                <c:pt idx="6">
                  <c:v>0.3</c:v>
                </c:pt>
                <c:pt idx="7">
                  <c:v>0</c:v>
                </c:pt>
                <c:pt idx="8">
                  <c:v>0.3</c:v>
                </c:pt>
                <c:pt idx="9">
                  <c:v>0</c:v>
                </c:pt>
                <c:pt idx="10">
                  <c:v>1</c:v>
                </c:pt>
                <c:pt idx="11">
                  <c:v>0.2</c:v>
                </c:pt>
              </c:numCache>
            </c:numRef>
          </c:val>
          <c:extLst xmlns:c16r2="http://schemas.microsoft.com/office/drawing/2015/06/chart">
            <c:ext xmlns:c16="http://schemas.microsoft.com/office/drawing/2014/chart" uri="{C3380CC4-5D6E-409C-BE32-E72D297353CC}">
              <c16:uniqueId val="{00000005-6565-43DF-B68D-799CE00933B3}"/>
            </c:ext>
          </c:extLst>
        </c:ser>
        <c:dLbls>
          <c:showLegendKey val="0"/>
          <c:showVal val="0"/>
          <c:showCatName val="0"/>
          <c:showSerName val="0"/>
          <c:showPercent val="0"/>
          <c:showBubbleSize val="0"/>
        </c:dLbls>
        <c:gapWidth val="150"/>
        <c:axId val="440765936"/>
        <c:axId val="440754176"/>
      </c:barChart>
      <c:catAx>
        <c:axId val="440765936"/>
        <c:scaling>
          <c:orientation val="minMax"/>
        </c:scaling>
        <c:delete val="0"/>
        <c:axPos val="b"/>
        <c:numFmt formatCode="General" sourceLinked="0"/>
        <c:majorTickMark val="out"/>
        <c:minorTickMark val="none"/>
        <c:tickLblPos val="nextTo"/>
        <c:txPr>
          <a:bodyPr rot="-2700000" vert="horz"/>
          <a:lstStyle/>
          <a:p>
            <a:pPr>
              <a:defRPr sz="800" b="1" i="0">
                <a:latin typeface="Times New Roman" panose="02020603050405020304" pitchFamily="18" charset="0"/>
                <a:cs typeface="Times New Roman" panose="02020603050405020304" pitchFamily="18" charset="0"/>
              </a:defRPr>
            </a:pPr>
            <a:endParaRPr lang="fr-FR"/>
          </a:p>
        </c:txPr>
        <c:crossAx val="440754176"/>
        <c:crosses val="autoZero"/>
        <c:auto val="1"/>
        <c:lblAlgn val="ctr"/>
        <c:lblOffset val="100"/>
        <c:noMultiLvlLbl val="0"/>
      </c:catAx>
      <c:valAx>
        <c:axId val="440754176"/>
        <c:scaling>
          <c:orientation val="minMax"/>
        </c:scaling>
        <c:delete val="0"/>
        <c:axPos val="l"/>
        <c:numFmt formatCode="General" sourceLinked="1"/>
        <c:majorTickMark val="out"/>
        <c:minorTickMark val="none"/>
        <c:tickLblPos val="nextTo"/>
        <c:txPr>
          <a:bodyPr/>
          <a:lstStyle/>
          <a:p>
            <a:pPr>
              <a:defRPr b="1">
                <a:latin typeface="Times New Roman" panose="02020603050405020304" pitchFamily="18" charset="0"/>
                <a:cs typeface="Times New Roman" panose="02020603050405020304" pitchFamily="18" charset="0"/>
              </a:defRPr>
            </a:pPr>
            <a:endParaRPr lang="fr-FR"/>
          </a:p>
        </c:txPr>
        <c:crossAx val="440765936"/>
        <c:crosses val="autoZero"/>
        <c:crossBetween val="between"/>
      </c:valAx>
    </c:plotArea>
    <c:legend>
      <c:legendPos val="r"/>
      <c:layout>
        <c:manualLayout>
          <c:xMode val="edge"/>
          <c:yMode val="edge"/>
          <c:x val="0.80548216272965878"/>
          <c:y val="3.6288430751135366E-2"/>
          <c:w val="0.17971888713910761"/>
          <c:h val="0.89895078467888623"/>
        </c:manualLayout>
      </c:layout>
      <c:overlay val="0"/>
      <c:txPr>
        <a:bodyPr/>
        <a:lstStyle/>
        <a:p>
          <a:pPr>
            <a:defRPr sz="900" b="0" i="0">
              <a:solidFill>
                <a:sysClr val="windowText" lastClr="000000"/>
              </a:solidFill>
              <a:latin typeface="Times New Roman" panose="02020603050405020304" pitchFamily="18" charset="0"/>
              <a:cs typeface="Times New Roman" panose="02020603050405020304" pitchFamily="18" charset="0"/>
            </a:defRPr>
          </a:pPr>
          <a:endParaRPr lang="fr-FR"/>
        </a:p>
      </c:txPr>
    </c:legend>
    <c:plotVisOnly val="1"/>
    <c:dispBlanksAs val="gap"/>
    <c:showDLblsOverMax val="0"/>
  </c:chart>
  <c:spPr>
    <a:ln w="15875" cmpd="sng">
      <a:solidFill>
        <a:srgbClr val="0070C0"/>
      </a:solidFill>
    </a:ln>
  </c:sp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051662791743202"/>
          <c:y val="4.3650793650793648E-2"/>
          <c:w val="0.64837411636759112"/>
          <c:h val="0.86303555805524312"/>
        </c:manualLayout>
      </c:layout>
      <c:barChart>
        <c:barDir val="col"/>
        <c:grouping val="clustered"/>
        <c:varyColors val="0"/>
        <c:ser>
          <c:idx val="0"/>
          <c:order val="0"/>
          <c:tx>
            <c:strRef>
              <c:f>Sheet1!$B$1</c:f>
              <c:strCache>
                <c:ptCount val="1"/>
                <c:pt idx="0">
                  <c:v>Taux d'enregistrement des naissances dans les delais</c:v>
                </c:pt>
              </c:strCache>
            </c:strRef>
          </c:tx>
          <c:spPr>
            <a:solidFill>
              <a:schemeClr val="accent1"/>
            </a:solidFill>
            <a:ln>
              <a:noFill/>
            </a:ln>
            <a:effectLst/>
          </c:spPr>
          <c:invertIfNegative val="0"/>
          <c:cat>
            <c:numRef>
              <c:f>Sheet1!$A$2:$A$5</c:f>
              <c:numCache>
                <c:formatCode>General</c:formatCode>
                <c:ptCount val="4"/>
                <c:pt idx="0">
                  <c:v>2014</c:v>
                </c:pt>
                <c:pt idx="1">
                  <c:v>2015</c:v>
                </c:pt>
                <c:pt idx="2">
                  <c:v>2016</c:v>
                </c:pt>
                <c:pt idx="3">
                  <c:v>2017</c:v>
                </c:pt>
              </c:numCache>
            </c:numRef>
          </c:cat>
          <c:val>
            <c:numRef>
              <c:f>Sheet1!$B$2:$B$5</c:f>
              <c:numCache>
                <c:formatCode>General</c:formatCode>
                <c:ptCount val="4"/>
                <c:pt idx="0">
                  <c:v>70</c:v>
                </c:pt>
                <c:pt idx="1">
                  <c:v>61</c:v>
                </c:pt>
                <c:pt idx="2">
                  <c:v>59</c:v>
                </c:pt>
                <c:pt idx="3">
                  <c:v>54</c:v>
                </c:pt>
              </c:numCache>
            </c:numRef>
          </c:val>
          <c:extLst xmlns:c16r2="http://schemas.microsoft.com/office/drawing/2015/06/chart">
            <c:ext xmlns:c16="http://schemas.microsoft.com/office/drawing/2014/chart" uri="{C3380CC4-5D6E-409C-BE32-E72D297353CC}">
              <c16:uniqueId val="{00000000-7A15-4373-AB88-BA4063674B99}"/>
            </c:ext>
          </c:extLst>
        </c:ser>
        <c:ser>
          <c:idx val="1"/>
          <c:order val="1"/>
          <c:tx>
            <c:strRef>
              <c:f>Sheet1!$C$1</c:f>
              <c:strCache>
                <c:ptCount val="1"/>
                <c:pt idx="0">
                  <c:v>Ensemble (Delais + hors delais)</c:v>
                </c:pt>
              </c:strCache>
            </c:strRef>
          </c:tx>
          <c:spPr>
            <a:solidFill>
              <a:schemeClr val="accent2"/>
            </a:solidFill>
            <a:ln>
              <a:noFill/>
            </a:ln>
            <a:effectLst/>
          </c:spPr>
          <c:invertIfNegative val="0"/>
          <c:cat>
            <c:numRef>
              <c:f>Sheet1!$A$2:$A$5</c:f>
              <c:numCache>
                <c:formatCode>General</c:formatCode>
                <c:ptCount val="4"/>
                <c:pt idx="0">
                  <c:v>2014</c:v>
                </c:pt>
                <c:pt idx="1">
                  <c:v>2015</c:v>
                </c:pt>
                <c:pt idx="2">
                  <c:v>2016</c:v>
                </c:pt>
                <c:pt idx="3">
                  <c:v>2017</c:v>
                </c:pt>
              </c:numCache>
            </c:numRef>
          </c:cat>
          <c:val>
            <c:numRef>
              <c:f>Sheet1!$C$2:$C$5</c:f>
              <c:numCache>
                <c:formatCode>General</c:formatCode>
                <c:ptCount val="4"/>
                <c:pt idx="0">
                  <c:v>75</c:v>
                </c:pt>
                <c:pt idx="1">
                  <c:v>73</c:v>
                </c:pt>
                <c:pt idx="2">
                  <c:v>75</c:v>
                </c:pt>
                <c:pt idx="3">
                  <c:v>71</c:v>
                </c:pt>
              </c:numCache>
            </c:numRef>
          </c:val>
          <c:extLst xmlns:c16r2="http://schemas.microsoft.com/office/drawing/2015/06/chart">
            <c:ext xmlns:c16="http://schemas.microsoft.com/office/drawing/2014/chart" uri="{C3380CC4-5D6E-409C-BE32-E72D297353CC}">
              <c16:uniqueId val="{00000001-7A15-4373-AB88-BA4063674B99}"/>
            </c:ext>
          </c:extLst>
        </c:ser>
        <c:dLbls>
          <c:showLegendKey val="0"/>
          <c:showVal val="0"/>
          <c:showCatName val="0"/>
          <c:showSerName val="0"/>
          <c:showPercent val="0"/>
          <c:showBubbleSize val="0"/>
        </c:dLbls>
        <c:gapWidth val="150"/>
        <c:axId val="440764760"/>
        <c:axId val="440758488"/>
      </c:barChart>
      <c:catAx>
        <c:axId val="4407647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crossAx val="440758488"/>
        <c:crosses val="autoZero"/>
        <c:auto val="1"/>
        <c:lblAlgn val="ctr"/>
        <c:lblOffset val="100"/>
        <c:noMultiLvlLbl val="0"/>
      </c:catAx>
      <c:valAx>
        <c:axId val="440758488"/>
        <c:scaling>
          <c:orientation val="minMax"/>
        </c:scaling>
        <c:delete val="0"/>
        <c:axPos val="l"/>
        <c:majorGridlines>
          <c:spPr>
            <a:ln w="9525" cap="flat" cmpd="sng" algn="ctr">
              <a:solidFill>
                <a:schemeClr val="tx1">
                  <a:lumMod val="15000"/>
                  <a:lumOff val="85000"/>
                </a:schemeClr>
              </a:solidFill>
              <a:round/>
            </a:ln>
            <a:effectLst/>
          </c:spPr>
        </c:majorGridlines>
        <c:title>
          <c:tx>
            <c:rich>
              <a:bodyPr/>
              <a:lstStyle/>
              <a:p>
                <a:pPr>
                  <a:defRPr/>
                </a:pPr>
                <a:r>
                  <a:rPr lang="fr-CI"/>
                  <a:t>Pourcentage</a:t>
                </a:r>
              </a:p>
            </c:rich>
          </c:tx>
          <c:overlay val="0"/>
        </c:title>
        <c:numFmt formatCode="General" sourceLinked="1"/>
        <c:majorTickMark val="out"/>
        <c:minorTickMark val="none"/>
        <c:tickLblPos val="nextTo"/>
        <c:spPr>
          <a:noFill/>
          <a:effectLst/>
        </c:spPr>
        <c:txPr>
          <a:bodyPr rot="-60000000" spcFirstLastPara="1" vertOverflow="ellipsis" vert="horz" wrap="square" anchor="ctr" anchorCtr="1"/>
          <a:lstStyle/>
          <a:p>
            <a:pPr>
              <a:defRPr sz="10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crossAx val="440764760"/>
        <c:crosses val="autoZero"/>
        <c:crossBetween val="between"/>
      </c:valAx>
      <c:spPr>
        <a:noFill/>
        <a:ln>
          <a:noFill/>
        </a:ln>
        <a:effectLst/>
      </c:spPr>
    </c:plotArea>
    <c:legend>
      <c:legendPos val="r"/>
      <c:layout>
        <c:manualLayout>
          <c:xMode val="edge"/>
          <c:yMode val="edge"/>
          <c:x val="0.78369226685163551"/>
          <c:y val="8.5750837337707581E-2"/>
          <c:w val="0.20325716218588499"/>
          <c:h val="0.85937474860247498"/>
        </c:manualLayout>
      </c:layout>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legend>
    <c:plotVisOnly val="1"/>
    <c:dispBlanksAs val="gap"/>
    <c:showDLblsOverMax val="0"/>
  </c:chart>
  <c:spPr>
    <a:solidFill>
      <a:schemeClr val="bg1"/>
    </a:solidFill>
    <a:ln w="15875" cap="flat" cmpd="sng" algn="ctr">
      <a:solidFill>
        <a:srgbClr val="0070C0"/>
      </a:solidFill>
      <a:round/>
    </a:ln>
    <a:effectLst/>
  </c:spPr>
  <c:txPr>
    <a:bodyPr/>
    <a:lstStyle/>
    <a:p>
      <a:pPr>
        <a:defRPr/>
      </a:pPr>
      <a:endParaRPr lang="fr-F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r>
              <a:rPr lang="en-US" b="0" i="0" u="none" strike="noStrike">
                <a:latin typeface="Calibri"/>
              </a:rPr>
              <a:t> </a:t>
            </a:r>
          </a:p>
        </c:rich>
      </c:tx>
      <c:overlay val="0"/>
    </c:title>
    <c:autoTitleDeleted val="0"/>
    <c:plotArea>
      <c:layout/>
      <c:barChart>
        <c:barDir val="col"/>
        <c:grouping val="stacked"/>
        <c:varyColors val="1"/>
        <c:ser>
          <c:idx val="0"/>
          <c:order val="0"/>
          <c:tx>
            <c:strRef>
              <c:f>'[EQUIST_Côte_d’Ivoire_CIV_2016_Data_DI_GFFCôte_d''Ivoire_Scenario_5_Régions_(Partagé_par_-_Ambroise_KOBENAN).xlsx]Summary'!$N$322</c:f>
              <c:strCache>
                <c:ptCount val="1"/>
                <c:pt idx="0">
                  <c:v>SONU</c:v>
                </c:pt>
              </c:strCache>
            </c:strRef>
          </c:tx>
          <c:invertIfNegative val="0"/>
          <c:cat>
            <c:strRef>
              <c:f>'[EQUIST_Côte_d’Ivoire_CIV_2016_Data_DI_GFFCôte_d''Ivoire_Scenario_5_Régions_(Partagé_par_-_Ambroise_KOBENAN).xlsx]Summary'!$O$321:$Q$321</c:f>
              <c:strCache>
                <c:ptCount val="3"/>
                <c:pt idx="0">
                  <c:v>Limite opérationnelle</c:v>
                </c:pt>
                <c:pt idx="1">
                  <c:v>Limites à l’équité</c:v>
                </c:pt>
                <c:pt idx="2">
                  <c:v>Décès évités dans le scénario</c:v>
                </c:pt>
              </c:strCache>
            </c:strRef>
          </c:cat>
          <c:val>
            <c:numRef>
              <c:f>'[EQUIST_Côte_d’Ivoire_CIV_2016_Data_DI_GFFCôte_d''Ivoire_Scenario_5_Régions_(Partagé_par_-_Ambroise_KOBENAN).xlsx]Summary'!$O$322:$Q$322</c:f>
              <c:numCache>
                <c:formatCode>General</c:formatCode>
                <c:ptCount val="3"/>
                <c:pt idx="0">
                  <c:v>5434.58</c:v>
                </c:pt>
                <c:pt idx="1">
                  <c:v>2763.9250000000002</c:v>
                </c:pt>
                <c:pt idx="2">
                  <c:v>5625.9960000000001</c:v>
                </c:pt>
              </c:numCache>
            </c:numRef>
          </c:val>
          <c:extLst xmlns:c16r2="http://schemas.microsoft.com/office/drawing/2015/06/chart">
            <c:ext xmlns:c16="http://schemas.microsoft.com/office/drawing/2014/chart" uri="{C3380CC4-5D6E-409C-BE32-E72D297353CC}">
              <c16:uniqueId val="{00000000-77A4-45F5-831D-42A039B46010}"/>
            </c:ext>
          </c:extLst>
        </c:ser>
        <c:ser>
          <c:idx val="1"/>
          <c:order val="1"/>
          <c:tx>
            <c:strRef>
              <c:f>'[EQUIST_Côte_d’Ivoire_CIV_2016_Data_DI_GFFCôte_d''Ivoire_Scenario_5_Régions_(Partagé_par_-_Ambroise_KOBENAN).xlsx]Summary'!$N$323</c:f>
              <c:strCache>
                <c:ptCount val="1"/>
                <c:pt idx="0">
                  <c:v>PCIMIN</c:v>
                </c:pt>
              </c:strCache>
            </c:strRef>
          </c:tx>
          <c:invertIfNegative val="0"/>
          <c:val>
            <c:numRef>
              <c:f>'[EQUIST_Côte_d’Ivoire_CIV_2016_Data_DI_GFFCôte_d''Ivoire_Scenario_5_Régions_(Partagé_par_-_Ambroise_KOBENAN).xlsx]Summary'!$O$323:$Q$323</c:f>
              <c:numCache>
                <c:formatCode>General</c:formatCode>
                <c:ptCount val="3"/>
                <c:pt idx="0">
                  <c:v>4055.87</c:v>
                </c:pt>
                <c:pt idx="1">
                  <c:v>758.29200000000003</c:v>
                </c:pt>
                <c:pt idx="2">
                  <c:v>10398.888999999999</c:v>
                </c:pt>
              </c:numCache>
            </c:numRef>
          </c:val>
          <c:extLst xmlns:c16r2="http://schemas.microsoft.com/office/drawing/2015/06/chart">
            <c:ext xmlns:c16="http://schemas.microsoft.com/office/drawing/2014/chart" uri="{C3380CC4-5D6E-409C-BE32-E72D297353CC}">
              <c16:uniqueId val="{00000001-77A4-45F5-831D-42A039B46010}"/>
            </c:ext>
          </c:extLst>
        </c:ser>
        <c:ser>
          <c:idx val="2"/>
          <c:order val="2"/>
          <c:tx>
            <c:strRef>
              <c:f>'[EQUIST_Côte_d’Ivoire_CIV_2016_Data_DI_GFFCôte_d''Ivoire_Scenario_5_Régions_(Partagé_par_-_Ambroise_KOBENAN).xlsx]Summary'!$N$324</c:f>
              <c:strCache>
                <c:ptCount val="1"/>
                <c:pt idx="0">
                  <c:v>Accouchement assisté par un professionnel qualifié</c:v>
                </c:pt>
              </c:strCache>
            </c:strRef>
          </c:tx>
          <c:invertIfNegative val="0"/>
          <c:val>
            <c:numRef>
              <c:f>'[EQUIST_Côte_d’Ivoire_CIV_2016_Data_DI_GFFCôte_d''Ivoire_Scenario_5_Régions_(Partagé_par_-_Ambroise_KOBENAN).xlsx]Summary'!$O$324:$Q$324</c:f>
              <c:numCache>
                <c:formatCode>General</c:formatCode>
                <c:ptCount val="3"/>
                <c:pt idx="0">
                  <c:v>2401.0529999999999</c:v>
                </c:pt>
                <c:pt idx="1">
                  <c:v>1593.3140000000001</c:v>
                </c:pt>
                <c:pt idx="2">
                  <c:v>0</c:v>
                </c:pt>
              </c:numCache>
            </c:numRef>
          </c:val>
          <c:extLst xmlns:c16r2="http://schemas.microsoft.com/office/drawing/2015/06/chart">
            <c:ext xmlns:c16="http://schemas.microsoft.com/office/drawing/2014/chart" uri="{C3380CC4-5D6E-409C-BE32-E72D297353CC}">
              <c16:uniqueId val="{00000002-77A4-45F5-831D-42A039B46010}"/>
            </c:ext>
          </c:extLst>
        </c:ser>
        <c:ser>
          <c:idx val="3"/>
          <c:order val="3"/>
          <c:tx>
            <c:strRef>
              <c:f>'[EQUIST_Côte_d’Ivoire_CIV_2016_Data_DI_GFFCôte_d''Ivoire_Scenario_5_Régions_(Partagé_par_-_Ambroise_KOBENAN).xlsx]Summary'!$N$325</c:f>
              <c:strCache>
                <c:ptCount val="1"/>
                <c:pt idx="0">
                  <c:v>Vaccination plus</c:v>
                </c:pt>
              </c:strCache>
            </c:strRef>
          </c:tx>
          <c:invertIfNegative val="0"/>
          <c:val>
            <c:numRef>
              <c:f>'[EQUIST_Côte_d’Ivoire_CIV_2016_Data_DI_GFFCôte_d''Ivoire_Scenario_5_Régions_(Partagé_par_-_Ambroise_KOBENAN).xlsx]Summary'!$O$325:$Q$325</c:f>
              <c:numCache>
                <c:formatCode>General</c:formatCode>
                <c:ptCount val="3"/>
                <c:pt idx="0">
                  <c:v>0</c:v>
                </c:pt>
                <c:pt idx="1">
                  <c:v>0</c:v>
                </c:pt>
                <c:pt idx="2">
                  <c:v>0</c:v>
                </c:pt>
              </c:numCache>
            </c:numRef>
          </c:val>
          <c:extLst xmlns:c16r2="http://schemas.microsoft.com/office/drawing/2015/06/chart">
            <c:ext xmlns:c16="http://schemas.microsoft.com/office/drawing/2014/chart" uri="{C3380CC4-5D6E-409C-BE32-E72D297353CC}">
              <c16:uniqueId val="{00000003-77A4-45F5-831D-42A039B46010}"/>
            </c:ext>
          </c:extLst>
        </c:ser>
        <c:ser>
          <c:idx val="4"/>
          <c:order val="4"/>
          <c:tx>
            <c:strRef>
              <c:f>'[EQUIST_Côte_d’Ivoire_CIV_2016_Data_DI_GFFCôte_d''Ivoire_Scenario_5_Régions_(Partagé_par_-_Ambroise_KOBENAN).xlsx]Summary'!$N$326</c:f>
              <c:strCache>
                <c:ptCount val="1"/>
                <c:pt idx="0">
                  <c:v>Soins prénatals</c:v>
                </c:pt>
              </c:strCache>
            </c:strRef>
          </c:tx>
          <c:invertIfNegative val="0"/>
          <c:val>
            <c:numRef>
              <c:f>'[EQUIST_Côte_d’Ivoire_CIV_2016_Data_DI_GFFCôte_d''Ivoire_Scenario_5_Régions_(Partagé_par_-_Ambroise_KOBENAN).xlsx]Summary'!$O$326:$Q$326</c:f>
              <c:numCache>
                <c:formatCode>General</c:formatCode>
                <c:ptCount val="3"/>
                <c:pt idx="0">
                  <c:v>155.77799999999999</c:v>
                </c:pt>
                <c:pt idx="1">
                  <c:v>141.33000000000001</c:v>
                </c:pt>
                <c:pt idx="2">
                  <c:v>235.06399999999999</c:v>
                </c:pt>
              </c:numCache>
            </c:numRef>
          </c:val>
          <c:extLst xmlns:c16r2="http://schemas.microsoft.com/office/drawing/2015/06/chart">
            <c:ext xmlns:c16="http://schemas.microsoft.com/office/drawing/2014/chart" uri="{C3380CC4-5D6E-409C-BE32-E72D297353CC}">
              <c16:uniqueId val="{00000004-77A4-45F5-831D-42A039B46010}"/>
            </c:ext>
          </c:extLst>
        </c:ser>
        <c:ser>
          <c:idx val="5"/>
          <c:order val="5"/>
          <c:tx>
            <c:strRef>
              <c:f>'[EQUIST_Côte_d’Ivoire_CIV_2016_Data_DI_GFFCôte_d''Ivoire_Scenario_5_Régions_(Partagé_par_-_Ambroise_KOBENAN).xlsx]Summary'!$N$327</c:f>
              <c:strCache>
                <c:ptCount val="1"/>
                <c:pt idx="0">
                  <c:v>Planification familiale</c:v>
                </c:pt>
              </c:strCache>
            </c:strRef>
          </c:tx>
          <c:invertIfNegative val="0"/>
          <c:val>
            <c:numRef>
              <c:f>'[EQUIST_Côte_d’Ivoire_CIV_2016_Data_DI_GFFCôte_d''Ivoire_Scenario_5_Régions_(Partagé_par_-_Ambroise_KOBENAN).xlsx]Summary'!$O$327:$Q$327</c:f>
              <c:numCache>
                <c:formatCode>General</c:formatCode>
                <c:ptCount val="3"/>
                <c:pt idx="0">
                  <c:v>0</c:v>
                </c:pt>
                <c:pt idx="1">
                  <c:v>0</c:v>
                </c:pt>
                <c:pt idx="2">
                  <c:v>0</c:v>
                </c:pt>
              </c:numCache>
            </c:numRef>
          </c:val>
          <c:extLst xmlns:c16r2="http://schemas.microsoft.com/office/drawing/2015/06/chart">
            <c:ext xmlns:c16="http://schemas.microsoft.com/office/drawing/2014/chart" uri="{C3380CC4-5D6E-409C-BE32-E72D297353CC}">
              <c16:uniqueId val="{00000005-77A4-45F5-831D-42A039B46010}"/>
            </c:ext>
          </c:extLst>
        </c:ser>
        <c:ser>
          <c:idx val="6"/>
          <c:order val="6"/>
          <c:tx>
            <c:strRef>
              <c:f>'[EQUIST_Côte_d’Ivoire_CIV_2016_Data_DI_GFFCôte_d''Ivoire_Scenario_5_Régions_(Partagé_par_-_Ambroise_KOBENAN).xlsx]Summary'!$N$328</c:f>
              <c:strCache>
                <c:ptCount val="1"/>
                <c:pt idx="0">
                  <c:v>Soins des nouveau-nés et des nourrissons</c:v>
                </c:pt>
              </c:strCache>
            </c:strRef>
          </c:tx>
          <c:invertIfNegative val="0"/>
          <c:val>
            <c:numRef>
              <c:f>'[EQUIST_Côte_d’Ivoire_CIV_2016_Data_DI_GFFCôte_d''Ivoire_Scenario_5_Régions_(Partagé_par_-_Ambroise_KOBENAN).xlsx]Summary'!$O$328:$Q$328</c:f>
              <c:numCache>
                <c:formatCode>General</c:formatCode>
                <c:ptCount val="3"/>
                <c:pt idx="0">
                  <c:v>896.69899999999996</c:v>
                </c:pt>
                <c:pt idx="1">
                  <c:v>236.542</c:v>
                </c:pt>
                <c:pt idx="2">
                  <c:v>1391.3720000000001</c:v>
                </c:pt>
              </c:numCache>
            </c:numRef>
          </c:val>
          <c:extLst xmlns:c16r2="http://schemas.microsoft.com/office/drawing/2015/06/chart">
            <c:ext xmlns:c16="http://schemas.microsoft.com/office/drawing/2014/chart" uri="{C3380CC4-5D6E-409C-BE32-E72D297353CC}">
              <c16:uniqueId val="{00000006-77A4-45F5-831D-42A039B46010}"/>
            </c:ext>
          </c:extLst>
        </c:ser>
        <c:ser>
          <c:idx val="7"/>
          <c:order val="7"/>
          <c:tx>
            <c:strRef>
              <c:f>'[EQUIST_Côte_d’Ivoire_CIV_2016_Data_DI_GFFCôte_d''Ivoire_Scenario_5_Régions_(Partagé_par_-_Ambroise_KOBENAN).xlsx]Summary'!$N$329</c:f>
              <c:strCache>
                <c:ptCount val="1"/>
                <c:pt idx="0">
                  <c:v>MII /sûreté environnementale</c:v>
                </c:pt>
              </c:strCache>
            </c:strRef>
          </c:tx>
          <c:invertIfNegative val="0"/>
          <c:val>
            <c:numRef>
              <c:f>'[EQUIST_Côte_d’Ivoire_CIV_2016_Data_DI_GFFCôte_d''Ivoire_Scenario_5_Régions_(Partagé_par_-_Ambroise_KOBENAN).xlsx]Summary'!$O$329:$Q$329</c:f>
              <c:numCache>
                <c:formatCode>General</c:formatCode>
                <c:ptCount val="3"/>
                <c:pt idx="0">
                  <c:v>943.55</c:v>
                </c:pt>
                <c:pt idx="1">
                  <c:v>0</c:v>
                </c:pt>
                <c:pt idx="2">
                  <c:v>0</c:v>
                </c:pt>
              </c:numCache>
            </c:numRef>
          </c:val>
          <c:extLst xmlns:c16r2="http://schemas.microsoft.com/office/drawing/2015/06/chart">
            <c:ext xmlns:c16="http://schemas.microsoft.com/office/drawing/2014/chart" uri="{C3380CC4-5D6E-409C-BE32-E72D297353CC}">
              <c16:uniqueId val="{00000007-77A4-45F5-831D-42A039B46010}"/>
            </c:ext>
          </c:extLst>
        </c:ser>
        <c:ser>
          <c:idx val="8"/>
          <c:order val="8"/>
          <c:tx>
            <c:strRef>
              <c:f>'[EQUIST_Côte_d’Ivoire_CIV_2016_Data_DI_GFFCôte_d''Ivoire_Scenario_5_Régions_(Partagé_par_-_Ambroise_KOBENAN).xlsx]Summary'!$N$330</c:f>
              <c:strCache>
                <c:ptCount val="1"/>
                <c:pt idx="0">
                  <c:v>WASH</c:v>
                </c:pt>
              </c:strCache>
            </c:strRef>
          </c:tx>
          <c:invertIfNegative val="0"/>
          <c:val>
            <c:numRef>
              <c:f>'[EQUIST_Côte_d’Ivoire_CIV_2016_Data_DI_GFFCôte_d''Ivoire_Scenario_5_Régions_(Partagé_par_-_Ambroise_KOBENAN).xlsx]Summary'!$O$330:$Q$330</c:f>
              <c:numCache>
                <c:formatCode>General</c:formatCode>
                <c:ptCount val="3"/>
                <c:pt idx="0">
                  <c:v>0</c:v>
                </c:pt>
                <c:pt idx="1">
                  <c:v>336.02</c:v>
                </c:pt>
                <c:pt idx="2">
                  <c:v>458.99400000000003</c:v>
                </c:pt>
              </c:numCache>
            </c:numRef>
          </c:val>
          <c:extLst xmlns:c16r2="http://schemas.microsoft.com/office/drawing/2015/06/chart">
            <c:ext xmlns:c16="http://schemas.microsoft.com/office/drawing/2014/chart" uri="{C3380CC4-5D6E-409C-BE32-E72D297353CC}">
              <c16:uniqueId val="{00000008-77A4-45F5-831D-42A039B46010}"/>
            </c:ext>
          </c:extLst>
        </c:ser>
        <c:dLbls>
          <c:showLegendKey val="0"/>
          <c:showVal val="0"/>
          <c:showCatName val="0"/>
          <c:showSerName val="0"/>
          <c:showPercent val="0"/>
          <c:showBubbleSize val="0"/>
        </c:dLbls>
        <c:gapWidth val="55"/>
        <c:overlap val="100"/>
        <c:axId val="440756528"/>
        <c:axId val="440762408"/>
      </c:barChart>
      <c:catAx>
        <c:axId val="440756528"/>
        <c:scaling>
          <c:orientation val="minMax"/>
        </c:scaling>
        <c:delete val="0"/>
        <c:axPos val="b"/>
        <c:numFmt formatCode="General" sourceLinked="1"/>
        <c:majorTickMark val="none"/>
        <c:minorTickMark val="none"/>
        <c:tickLblPos val="nextTo"/>
        <c:crossAx val="440762408"/>
        <c:crosses val="autoZero"/>
        <c:auto val="1"/>
        <c:lblAlgn val="ctr"/>
        <c:lblOffset val="100"/>
        <c:noMultiLvlLbl val="0"/>
      </c:catAx>
      <c:valAx>
        <c:axId val="440762408"/>
        <c:scaling>
          <c:orientation val="minMax"/>
        </c:scaling>
        <c:delete val="0"/>
        <c:axPos val="l"/>
        <c:majorGridlines>
          <c:spPr>
            <a:effectLst/>
          </c:spPr>
        </c:majorGridlines>
        <c:numFmt formatCode="General" sourceLinked="1"/>
        <c:majorTickMark val="none"/>
        <c:minorTickMark val="none"/>
        <c:tickLblPos val="nextTo"/>
        <c:spPr>
          <a:ln w="9525" cap="flat" cmpd="sng">
            <a:prstDash val="solid"/>
            <a:bevel/>
          </a:ln>
          <a:effectLst/>
        </c:spPr>
        <c:crossAx val="440762408"/>
        <c:crosses val="autoZero"/>
        <c:crossBetween val="midCat"/>
      </c:valAx>
    </c:plotArea>
    <c:legend>
      <c:legendPos val="r"/>
      <c:layout>
        <c:manualLayout>
          <c:xMode val="edge"/>
          <c:yMode val="edge"/>
          <c:x val="0.65608055404270249"/>
          <c:y val="4.9555013457920571E-2"/>
          <c:w val="0.33073070035354607"/>
          <c:h val="0.85417758579959868"/>
        </c:manualLayout>
      </c:layout>
      <c:overlay val="0"/>
      <c:txPr>
        <a:bodyPr/>
        <a:lstStyle/>
        <a:p>
          <a:pPr rtl="0">
            <a:defRPr/>
          </a:pPr>
          <a:endParaRPr lang="fr-FR"/>
        </a:p>
      </c:txPr>
    </c:legend>
    <c:plotVisOnly val="1"/>
    <c:dispBlanksAs val="gap"/>
    <c:showDLblsOverMax val="0"/>
  </c:chart>
  <c:spPr>
    <a:ln w="15875">
      <a:solidFill>
        <a:srgbClr val="00B0F0"/>
      </a:solidFill>
    </a:ln>
  </c:spPr>
  <c:externalData r:id="rId2">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r>
              <a:rPr lang="fr-FR" b="0" i="0" u="none" strike="noStrike">
                <a:latin typeface="Calibri"/>
              </a:rPr>
              <a:t> </a:t>
            </a:r>
          </a:p>
        </c:rich>
      </c:tx>
      <c:overlay val="0"/>
    </c:title>
    <c:autoTitleDeleted val="0"/>
    <c:plotArea>
      <c:layout/>
      <c:barChart>
        <c:barDir val="col"/>
        <c:grouping val="stacked"/>
        <c:varyColors val="1"/>
        <c:ser>
          <c:idx val="0"/>
          <c:order val="0"/>
          <c:tx>
            <c:strRef>
              <c:f>Summary!$C$271</c:f>
              <c:strCache>
                <c:ptCount val="1"/>
                <c:pt idx="0">
                  <c:v>Hémorragie du troisième trimestre</c:v>
                </c:pt>
              </c:strCache>
            </c:strRef>
          </c:tx>
          <c:spPr>
            <a:solidFill>
              <a:srgbClr val="00B0F0"/>
            </a:solidFill>
            <a:ln>
              <a:solidFill>
                <a:srgbClr val="00B0F0"/>
              </a:solidFill>
            </a:ln>
          </c:spPr>
          <c:invertIfNegative val="0"/>
          <c:cat>
            <c:strRef>
              <c:f>Summary!$D$270:$F$270</c:f>
              <c:strCache>
                <c:ptCount val="3"/>
                <c:pt idx="0">
                  <c:v>Limite opérationnelle</c:v>
                </c:pt>
                <c:pt idx="1">
                  <c:v>Limites à l’équité</c:v>
                </c:pt>
                <c:pt idx="2">
                  <c:v>Décès évités dans le scénario</c:v>
                </c:pt>
              </c:strCache>
            </c:strRef>
          </c:cat>
          <c:val>
            <c:numRef>
              <c:f>Summary!$D$271:$F$271</c:f>
              <c:numCache>
                <c:formatCode>General</c:formatCode>
                <c:ptCount val="3"/>
                <c:pt idx="0">
                  <c:v>79.254000000000005</c:v>
                </c:pt>
                <c:pt idx="1">
                  <c:v>43.552</c:v>
                </c:pt>
                <c:pt idx="2">
                  <c:v>35.286999999999999</c:v>
                </c:pt>
              </c:numCache>
            </c:numRef>
          </c:val>
          <c:extLst xmlns:c16r2="http://schemas.microsoft.com/office/drawing/2015/06/chart">
            <c:ext xmlns:c16="http://schemas.microsoft.com/office/drawing/2014/chart" uri="{C3380CC4-5D6E-409C-BE32-E72D297353CC}">
              <c16:uniqueId val="{00000000-F2A1-45C9-B6B1-398CA4BB13F6}"/>
            </c:ext>
          </c:extLst>
        </c:ser>
        <c:ser>
          <c:idx val="1"/>
          <c:order val="1"/>
          <c:tx>
            <c:strRef>
              <c:f>Summary!$C$272</c:f>
              <c:strCache>
                <c:ptCount val="1"/>
                <c:pt idx="0">
                  <c:v>Éclampsie</c:v>
                </c:pt>
              </c:strCache>
            </c:strRef>
          </c:tx>
          <c:invertIfNegative val="0"/>
          <c:val>
            <c:numRef>
              <c:f>Summary!$D$272:$F$272</c:f>
              <c:numCache>
                <c:formatCode>General</c:formatCode>
                <c:ptCount val="3"/>
                <c:pt idx="0">
                  <c:v>8.4920000000000009</c:v>
                </c:pt>
                <c:pt idx="1">
                  <c:v>4.6680000000000001</c:v>
                </c:pt>
                <c:pt idx="2">
                  <c:v>3.786</c:v>
                </c:pt>
              </c:numCache>
            </c:numRef>
          </c:val>
          <c:extLst xmlns:c16r2="http://schemas.microsoft.com/office/drawing/2015/06/chart">
            <c:ext xmlns:c16="http://schemas.microsoft.com/office/drawing/2014/chart" uri="{C3380CC4-5D6E-409C-BE32-E72D297353CC}">
              <c16:uniqueId val="{00000001-F2A1-45C9-B6B1-398CA4BB13F6}"/>
            </c:ext>
          </c:extLst>
        </c:ser>
        <c:ser>
          <c:idx val="2"/>
          <c:order val="2"/>
          <c:tx>
            <c:strRef>
              <c:f>Summary!$C$273</c:f>
              <c:strCache>
                <c:ptCount val="1"/>
                <c:pt idx="0">
                  <c:v>Hémorragie du post-partum</c:v>
                </c:pt>
              </c:strCache>
            </c:strRef>
          </c:tx>
          <c:spPr>
            <a:solidFill>
              <a:srgbClr val="00B050"/>
            </a:solidFill>
            <a:ln>
              <a:solidFill>
                <a:srgbClr val="00B050"/>
              </a:solidFill>
            </a:ln>
          </c:spPr>
          <c:invertIfNegative val="0"/>
          <c:val>
            <c:numRef>
              <c:f>Summary!$D$273:$F$273</c:f>
              <c:numCache>
                <c:formatCode>General</c:formatCode>
                <c:ptCount val="3"/>
                <c:pt idx="0">
                  <c:v>189.16900000000001</c:v>
                </c:pt>
                <c:pt idx="1">
                  <c:v>110.124</c:v>
                </c:pt>
                <c:pt idx="2">
                  <c:v>63.841999999999999</c:v>
                </c:pt>
              </c:numCache>
            </c:numRef>
          </c:val>
          <c:extLst xmlns:c16r2="http://schemas.microsoft.com/office/drawing/2015/06/chart">
            <c:ext xmlns:c16="http://schemas.microsoft.com/office/drawing/2014/chart" uri="{C3380CC4-5D6E-409C-BE32-E72D297353CC}">
              <c16:uniqueId val="{00000002-F2A1-45C9-B6B1-398CA4BB13F6}"/>
            </c:ext>
          </c:extLst>
        </c:ser>
        <c:ser>
          <c:idx val="3"/>
          <c:order val="3"/>
          <c:tx>
            <c:strRef>
              <c:f>Summary!$C$274</c:f>
              <c:strCache>
                <c:ptCount val="1"/>
                <c:pt idx="0">
                  <c:v>Dystocie d’obstacle</c:v>
                </c:pt>
              </c:strCache>
            </c:strRef>
          </c:tx>
          <c:spPr>
            <a:solidFill>
              <a:srgbClr val="FF0000"/>
            </a:solidFill>
            <a:ln>
              <a:solidFill>
                <a:srgbClr val="FF0000"/>
              </a:solidFill>
            </a:ln>
          </c:spPr>
          <c:invertIfNegative val="0"/>
          <c:val>
            <c:numRef>
              <c:f>Summary!$D$274:$F$274</c:f>
              <c:numCache>
                <c:formatCode>General</c:formatCode>
                <c:ptCount val="3"/>
                <c:pt idx="0">
                  <c:v>170.084</c:v>
                </c:pt>
                <c:pt idx="1">
                  <c:v>193.25299999999999</c:v>
                </c:pt>
                <c:pt idx="2">
                  <c:v>154.84</c:v>
                </c:pt>
              </c:numCache>
            </c:numRef>
          </c:val>
          <c:extLst xmlns:c16r2="http://schemas.microsoft.com/office/drawing/2015/06/chart">
            <c:ext xmlns:c16="http://schemas.microsoft.com/office/drawing/2014/chart" uri="{C3380CC4-5D6E-409C-BE32-E72D297353CC}">
              <c16:uniqueId val="{00000003-F2A1-45C9-B6B1-398CA4BB13F6}"/>
            </c:ext>
          </c:extLst>
        </c:ser>
        <c:ser>
          <c:idx val="4"/>
          <c:order val="4"/>
          <c:tx>
            <c:strRef>
              <c:f>Summary!$C$275</c:f>
              <c:strCache>
                <c:ptCount val="1"/>
                <c:pt idx="0">
                  <c:v>Infection puerpérale</c:v>
                </c:pt>
              </c:strCache>
            </c:strRef>
          </c:tx>
          <c:spPr>
            <a:solidFill>
              <a:srgbClr val="FFC000"/>
            </a:solidFill>
            <a:ln>
              <a:solidFill>
                <a:srgbClr val="FFC000"/>
              </a:solidFill>
            </a:ln>
          </c:spPr>
          <c:invertIfNegative val="0"/>
          <c:val>
            <c:numRef>
              <c:f>Summary!$D$275:$F$275</c:f>
              <c:numCache>
                <c:formatCode>General</c:formatCode>
                <c:ptCount val="3"/>
                <c:pt idx="0">
                  <c:v>104.571</c:v>
                </c:pt>
                <c:pt idx="1">
                  <c:v>92.546000000000006</c:v>
                </c:pt>
                <c:pt idx="2">
                  <c:v>113.887</c:v>
                </c:pt>
              </c:numCache>
            </c:numRef>
          </c:val>
          <c:extLst xmlns:c16r2="http://schemas.microsoft.com/office/drawing/2015/06/chart">
            <c:ext xmlns:c16="http://schemas.microsoft.com/office/drawing/2014/chart" uri="{C3380CC4-5D6E-409C-BE32-E72D297353CC}">
              <c16:uniqueId val="{00000004-F2A1-45C9-B6B1-398CA4BB13F6}"/>
            </c:ext>
          </c:extLst>
        </c:ser>
        <c:ser>
          <c:idx val="5"/>
          <c:order val="5"/>
          <c:tx>
            <c:strRef>
              <c:f>Summary!$C$276</c:f>
              <c:strCache>
                <c:ptCount val="1"/>
                <c:pt idx="0">
                  <c:v>Complications consécutives à un avortement</c:v>
                </c:pt>
              </c:strCache>
            </c:strRef>
          </c:tx>
          <c:spPr>
            <a:solidFill>
              <a:srgbClr val="7030A0"/>
            </a:solidFill>
            <a:ln>
              <a:solidFill>
                <a:srgbClr val="7030A0"/>
              </a:solidFill>
            </a:ln>
          </c:spPr>
          <c:invertIfNegative val="0"/>
          <c:val>
            <c:numRef>
              <c:f>Summary!$D$276:$F$276</c:f>
              <c:numCache>
                <c:formatCode>General</c:formatCode>
                <c:ptCount val="3"/>
                <c:pt idx="0">
                  <c:v>91.622</c:v>
                </c:pt>
                <c:pt idx="1">
                  <c:v>26.382000000000001</c:v>
                </c:pt>
                <c:pt idx="2">
                  <c:v>0</c:v>
                </c:pt>
              </c:numCache>
            </c:numRef>
          </c:val>
          <c:extLst xmlns:c16r2="http://schemas.microsoft.com/office/drawing/2015/06/chart">
            <c:ext xmlns:c16="http://schemas.microsoft.com/office/drawing/2014/chart" uri="{C3380CC4-5D6E-409C-BE32-E72D297353CC}">
              <c16:uniqueId val="{00000005-F2A1-45C9-B6B1-398CA4BB13F6}"/>
            </c:ext>
          </c:extLst>
        </c:ser>
        <c:ser>
          <c:idx val="6"/>
          <c:order val="6"/>
          <c:tx>
            <c:strRef>
              <c:f>Summary!$C$277</c:f>
              <c:strCache>
                <c:ptCount val="1"/>
                <c:pt idx="0">
                  <c:v>Anémie</c:v>
                </c:pt>
              </c:strCache>
            </c:strRef>
          </c:tx>
          <c:invertIfNegative val="0"/>
          <c:val>
            <c:numRef>
              <c:f>Summary!$D$277:$F$277</c:f>
              <c:numCache>
                <c:formatCode>General</c:formatCode>
                <c:ptCount val="3"/>
                <c:pt idx="0">
                  <c:v>0</c:v>
                </c:pt>
                <c:pt idx="1">
                  <c:v>0</c:v>
                </c:pt>
                <c:pt idx="2">
                  <c:v>0</c:v>
                </c:pt>
              </c:numCache>
            </c:numRef>
          </c:val>
          <c:extLst xmlns:c16r2="http://schemas.microsoft.com/office/drawing/2015/06/chart">
            <c:ext xmlns:c16="http://schemas.microsoft.com/office/drawing/2014/chart" uri="{C3380CC4-5D6E-409C-BE32-E72D297353CC}">
              <c16:uniqueId val="{00000006-F2A1-45C9-B6B1-398CA4BB13F6}"/>
            </c:ext>
          </c:extLst>
        </c:ser>
        <c:ser>
          <c:idx val="7"/>
          <c:order val="7"/>
          <c:tx>
            <c:strRef>
              <c:f>Summary!$C$278</c:f>
              <c:strCache>
                <c:ptCount val="1"/>
                <c:pt idx="0">
                  <c:v>VIH/sida</c:v>
                </c:pt>
              </c:strCache>
            </c:strRef>
          </c:tx>
          <c:invertIfNegative val="0"/>
          <c:val>
            <c:numRef>
              <c:f>Summary!$D$278:$F$278</c:f>
              <c:numCache>
                <c:formatCode>General</c:formatCode>
                <c:ptCount val="3"/>
                <c:pt idx="0">
                  <c:v>25.997</c:v>
                </c:pt>
                <c:pt idx="1">
                  <c:v>11.581</c:v>
                </c:pt>
                <c:pt idx="2">
                  <c:v>0</c:v>
                </c:pt>
              </c:numCache>
            </c:numRef>
          </c:val>
          <c:extLst xmlns:c16r2="http://schemas.microsoft.com/office/drawing/2015/06/chart">
            <c:ext xmlns:c16="http://schemas.microsoft.com/office/drawing/2014/chart" uri="{C3380CC4-5D6E-409C-BE32-E72D297353CC}">
              <c16:uniqueId val="{00000007-F2A1-45C9-B6B1-398CA4BB13F6}"/>
            </c:ext>
          </c:extLst>
        </c:ser>
        <c:ser>
          <c:idx val="8"/>
          <c:order val="8"/>
          <c:tx>
            <c:strRef>
              <c:f>Summary!$C$279</c:f>
              <c:strCache>
                <c:ptCount val="1"/>
                <c:pt idx="0">
                  <c:v>Autres (MM)</c:v>
                </c:pt>
              </c:strCache>
            </c:strRef>
          </c:tx>
          <c:spPr>
            <a:solidFill>
              <a:schemeClr val="tx1"/>
            </a:solidFill>
            <a:ln>
              <a:solidFill>
                <a:schemeClr val="tx1"/>
              </a:solidFill>
            </a:ln>
          </c:spPr>
          <c:invertIfNegative val="0"/>
          <c:val>
            <c:numRef>
              <c:f>Summary!$D$279:$F$279</c:f>
              <c:numCache>
                <c:formatCode>General</c:formatCode>
                <c:ptCount val="3"/>
                <c:pt idx="0">
                  <c:v>9.2590000000000003</c:v>
                </c:pt>
                <c:pt idx="1">
                  <c:v>12.776</c:v>
                </c:pt>
                <c:pt idx="2">
                  <c:v>16.103999999999999</c:v>
                </c:pt>
              </c:numCache>
            </c:numRef>
          </c:val>
          <c:extLst xmlns:c16r2="http://schemas.microsoft.com/office/drawing/2015/06/chart">
            <c:ext xmlns:c16="http://schemas.microsoft.com/office/drawing/2014/chart" uri="{C3380CC4-5D6E-409C-BE32-E72D297353CC}">
              <c16:uniqueId val="{00000008-F2A1-45C9-B6B1-398CA4BB13F6}"/>
            </c:ext>
          </c:extLst>
        </c:ser>
        <c:dLbls>
          <c:showLegendKey val="0"/>
          <c:showVal val="0"/>
          <c:showCatName val="0"/>
          <c:showSerName val="0"/>
          <c:showPercent val="0"/>
          <c:showBubbleSize val="0"/>
        </c:dLbls>
        <c:gapWidth val="150"/>
        <c:overlap val="100"/>
        <c:axId val="440763584"/>
        <c:axId val="440758096"/>
      </c:barChart>
      <c:catAx>
        <c:axId val="440763584"/>
        <c:scaling>
          <c:orientation val="minMax"/>
        </c:scaling>
        <c:delete val="0"/>
        <c:axPos val="b"/>
        <c:numFmt formatCode="General" sourceLinked="1"/>
        <c:majorTickMark val="none"/>
        <c:minorTickMark val="none"/>
        <c:tickLblPos val="nextTo"/>
        <c:crossAx val="440758096"/>
        <c:crosses val="autoZero"/>
        <c:auto val="1"/>
        <c:lblAlgn val="ctr"/>
        <c:lblOffset val="100"/>
        <c:noMultiLvlLbl val="0"/>
      </c:catAx>
      <c:valAx>
        <c:axId val="440758096"/>
        <c:scaling>
          <c:orientation val="minMax"/>
        </c:scaling>
        <c:delete val="0"/>
        <c:axPos val="l"/>
        <c:majorGridlines>
          <c:spPr>
            <a:effectLst/>
          </c:spPr>
        </c:majorGridlines>
        <c:title>
          <c:tx>
            <c:rich>
              <a:bodyPr/>
              <a:lstStyle/>
              <a:p>
                <a:endParaRPr lang="fr-FR"/>
              </a:p>
            </c:rich>
          </c:tx>
          <c:overlay val="0"/>
        </c:title>
        <c:numFmt formatCode="General" sourceLinked="1"/>
        <c:majorTickMark val="none"/>
        <c:minorTickMark val="none"/>
        <c:tickLblPos val="nextTo"/>
        <c:spPr>
          <a:ln w="9525" cap="flat" cmpd="sng">
            <a:prstDash val="solid"/>
            <a:bevel/>
          </a:ln>
          <a:effectLst/>
        </c:spPr>
        <c:crossAx val="440758096"/>
        <c:crosses val="autoZero"/>
        <c:crossBetween val="midCat"/>
      </c:valAx>
    </c:plotArea>
    <c:legend>
      <c:legendPos val="r"/>
      <c:overlay val="0"/>
      <c:txPr>
        <a:bodyPr/>
        <a:lstStyle/>
        <a:p>
          <a:pPr rtl="0">
            <a:defRPr/>
          </a:pPr>
          <a:endParaRPr lang="fr-FR"/>
        </a:p>
      </c:txPr>
    </c:legend>
    <c:plotVisOnly val="1"/>
    <c:dispBlanksAs val="gap"/>
    <c:showDLblsOverMax val="0"/>
  </c:chart>
  <c:spPr>
    <a:ln w="15875">
      <a:solidFill>
        <a:srgbClr val="00B0F0"/>
      </a:solidFill>
    </a:ln>
  </c:sp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r>
              <a:rPr lang="en-US" b="0" i="0" u="none" strike="noStrike">
                <a:latin typeface="Calibri"/>
              </a:rPr>
              <a:t> </a:t>
            </a:r>
          </a:p>
        </c:rich>
      </c:tx>
      <c:overlay val="0"/>
    </c:title>
    <c:autoTitleDeleted val="0"/>
    <c:plotArea>
      <c:layout/>
      <c:barChart>
        <c:barDir val="col"/>
        <c:grouping val="stacked"/>
        <c:varyColors val="1"/>
        <c:ser>
          <c:idx val="0"/>
          <c:order val="0"/>
          <c:tx>
            <c:strRef>
              <c:f>Summary!$N$321</c:f>
              <c:strCache>
                <c:ptCount val="1"/>
                <c:pt idx="0">
                  <c:v>SONU</c:v>
                </c:pt>
              </c:strCache>
            </c:strRef>
          </c:tx>
          <c:invertIfNegative val="0"/>
          <c:cat>
            <c:strRef>
              <c:f>Summary!$O$320:$Q$320</c:f>
              <c:strCache>
                <c:ptCount val="3"/>
                <c:pt idx="0">
                  <c:v>Limite opérationnelle</c:v>
                </c:pt>
                <c:pt idx="1">
                  <c:v>Limites à l’équité</c:v>
                </c:pt>
                <c:pt idx="2">
                  <c:v>Décès évités dans le scénario</c:v>
                </c:pt>
              </c:strCache>
            </c:strRef>
          </c:cat>
          <c:val>
            <c:numRef>
              <c:f>Summary!$O$321:$Q$321</c:f>
              <c:numCache>
                <c:formatCode>General</c:formatCode>
                <c:ptCount val="3"/>
                <c:pt idx="0">
                  <c:v>10053.319</c:v>
                </c:pt>
                <c:pt idx="1">
                  <c:v>4852.08</c:v>
                </c:pt>
                <c:pt idx="2">
                  <c:v>10424.338</c:v>
                </c:pt>
              </c:numCache>
            </c:numRef>
          </c:val>
          <c:extLst xmlns:c16r2="http://schemas.microsoft.com/office/drawing/2015/06/chart">
            <c:ext xmlns:c16="http://schemas.microsoft.com/office/drawing/2014/chart" uri="{C3380CC4-5D6E-409C-BE32-E72D297353CC}">
              <c16:uniqueId val="{00000000-B5D2-4A91-B493-B5C5543C3D04}"/>
            </c:ext>
          </c:extLst>
        </c:ser>
        <c:ser>
          <c:idx val="1"/>
          <c:order val="1"/>
          <c:tx>
            <c:strRef>
              <c:f>Summary!$N$322</c:f>
              <c:strCache>
                <c:ptCount val="1"/>
                <c:pt idx="0">
                  <c:v>PCIMIN</c:v>
                </c:pt>
              </c:strCache>
            </c:strRef>
          </c:tx>
          <c:invertIfNegative val="0"/>
          <c:val>
            <c:numRef>
              <c:f>Summary!$O$322:$Q$322</c:f>
              <c:numCache>
                <c:formatCode>General</c:formatCode>
                <c:ptCount val="3"/>
                <c:pt idx="0">
                  <c:v>6725.9120000000003</c:v>
                </c:pt>
                <c:pt idx="1">
                  <c:v>1116.701</c:v>
                </c:pt>
                <c:pt idx="2">
                  <c:v>16953.728999999999</c:v>
                </c:pt>
              </c:numCache>
            </c:numRef>
          </c:val>
          <c:extLst xmlns:c16r2="http://schemas.microsoft.com/office/drawing/2015/06/chart">
            <c:ext xmlns:c16="http://schemas.microsoft.com/office/drawing/2014/chart" uri="{C3380CC4-5D6E-409C-BE32-E72D297353CC}">
              <c16:uniqueId val="{00000001-B5D2-4A91-B493-B5C5543C3D04}"/>
            </c:ext>
          </c:extLst>
        </c:ser>
        <c:ser>
          <c:idx val="2"/>
          <c:order val="2"/>
          <c:tx>
            <c:strRef>
              <c:f>Summary!$N$323</c:f>
              <c:strCache>
                <c:ptCount val="1"/>
                <c:pt idx="0">
                  <c:v>Accouchement assisté par un professionnel qualifié</c:v>
                </c:pt>
              </c:strCache>
            </c:strRef>
          </c:tx>
          <c:invertIfNegative val="0"/>
          <c:val>
            <c:numRef>
              <c:f>Summary!$O$323:$Q$323</c:f>
              <c:numCache>
                <c:formatCode>General</c:formatCode>
                <c:ptCount val="3"/>
                <c:pt idx="0">
                  <c:v>3787.998</c:v>
                </c:pt>
                <c:pt idx="1">
                  <c:v>2086.2510000000002</c:v>
                </c:pt>
                <c:pt idx="2">
                  <c:v>2687.7579999999998</c:v>
                </c:pt>
              </c:numCache>
            </c:numRef>
          </c:val>
          <c:extLst xmlns:c16r2="http://schemas.microsoft.com/office/drawing/2015/06/chart">
            <c:ext xmlns:c16="http://schemas.microsoft.com/office/drawing/2014/chart" uri="{C3380CC4-5D6E-409C-BE32-E72D297353CC}">
              <c16:uniqueId val="{00000002-B5D2-4A91-B493-B5C5543C3D04}"/>
            </c:ext>
          </c:extLst>
        </c:ser>
        <c:ser>
          <c:idx val="3"/>
          <c:order val="3"/>
          <c:tx>
            <c:strRef>
              <c:f>Summary!$N$324</c:f>
              <c:strCache>
                <c:ptCount val="1"/>
                <c:pt idx="0">
                  <c:v>Vaccination plus</c:v>
                </c:pt>
              </c:strCache>
            </c:strRef>
          </c:tx>
          <c:invertIfNegative val="0"/>
          <c:val>
            <c:numRef>
              <c:f>Summary!$O$324:$Q$324</c:f>
              <c:numCache>
                <c:formatCode>General</c:formatCode>
                <c:ptCount val="3"/>
                <c:pt idx="0">
                  <c:v>0</c:v>
                </c:pt>
                <c:pt idx="1">
                  <c:v>0</c:v>
                </c:pt>
                <c:pt idx="2">
                  <c:v>0</c:v>
                </c:pt>
              </c:numCache>
            </c:numRef>
          </c:val>
          <c:extLst xmlns:c16r2="http://schemas.microsoft.com/office/drawing/2015/06/chart">
            <c:ext xmlns:c16="http://schemas.microsoft.com/office/drawing/2014/chart" uri="{C3380CC4-5D6E-409C-BE32-E72D297353CC}">
              <c16:uniqueId val="{00000003-B5D2-4A91-B493-B5C5543C3D04}"/>
            </c:ext>
          </c:extLst>
        </c:ser>
        <c:ser>
          <c:idx val="4"/>
          <c:order val="4"/>
          <c:tx>
            <c:strRef>
              <c:f>Summary!$N$325</c:f>
              <c:strCache>
                <c:ptCount val="1"/>
                <c:pt idx="0">
                  <c:v>Soins prénatals</c:v>
                </c:pt>
              </c:strCache>
            </c:strRef>
          </c:tx>
          <c:invertIfNegative val="0"/>
          <c:val>
            <c:numRef>
              <c:f>Summary!$O$325:$Q$325</c:f>
              <c:numCache>
                <c:formatCode>General</c:formatCode>
                <c:ptCount val="3"/>
                <c:pt idx="0">
                  <c:v>250.39699999999999</c:v>
                </c:pt>
                <c:pt idx="1">
                  <c:v>186.583</c:v>
                </c:pt>
                <c:pt idx="2">
                  <c:v>410.92500000000001</c:v>
                </c:pt>
              </c:numCache>
            </c:numRef>
          </c:val>
          <c:extLst xmlns:c16r2="http://schemas.microsoft.com/office/drawing/2015/06/chart">
            <c:ext xmlns:c16="http://schemas.microsoft.com/office/drawing/2014/chart" uri="{C3380CC4-5D6E-409C-BE32-E72D297353CC}">
              <c16:uniqueId val="{00000004-B5D2-4A91-B493-B5C5543C3D04}"/>
            </c:ext>
          </c:extLst>
        </c:ser>
        <c:ser>
          <c:idx val="5"/>
          <c:order val="5"/>
          <c:tx>
            <c:strRef>
              <c:f>Summary!$N$326</c:f>
              <c:strCache>
                <c:ptCount val="1"/>
                <c:pt idx="0">
                  <c:v>Planification familiale</c:v>
                </c:pt>
              </c:strCache>
            </c:strRef>
          </c:tx>
          <c:invertIfNegative val="0"/>
          <c:val>
            <c:numRef>
              <c:f>Summary!$O$326:$Q$326</c:f>
              <c:numCache>
                <c:formatCode>General</c:formatCode>
                <c:ptCount val="3"/>
                <c:pt idx="0">
                  <c:v>0</c:v>
                </c:pt>
                <c:pt idx="1">
                  <c:v>0</c:v>
                </c:pt>
                <c:pt idx="2">
                  <c:v>0</c:v>
                </c:pt>
              </c:numCache>
            </c:numRef>
          </c:val>
          <c:extLst xmlns:c16r2="http://schemas.microsoft.com/office/drawing/2015/06/chart">
            <c:ext xmlns:c16="http://schemas.microsoft.com/office/drawing/2014/chart" uri="{C3380CC4-5D6E-409C-BE32-E72D297353CC}">
              <c16:uniqueId val="{00000005-B5D2-4A91-B493-B5C5543C3D04}"/>
            </c:ext>
          </c:extLst>
        </c:ser>
        <c:ser>
          <c:idx val="6"/>
          <c:order val="6"/>
          <c:tx>
            <c:strRef>
              <c:f>Summary!$N$327</c:f>
              <c:strCache>
                <c:ptCount val="1"/>
                <c:pt idx="0">
                  <c:v>Soins des nouveau-nés et des nourrissons</c:v>
                </c:pt>
              </c:strCache>
            </c:strRef>
          </c:tx>
          <c:invertIfNegative val="0"/>
          <c:val>
            <c:numRef>
              <c:f>Summary!$O$327:$Q$327</c:f>
              <c:numCache>
                <c:formatCode>General</c:formatCode>
                <c:ptCount val="3"/>
                <c:pt idx="0">
                  <c:v>2180.4270000000001</c:v>
                </c:pt>
                <c:pt idx="1">
                  <c:v>856.52099999999996</c:v>
                </c:pt>
                <c:pt idx="2">
                  <c:v>3035.01</c:v>
                </c:pt>
              </c:numCache>
            </c:numRef>
          </c:val>
          <c:extLst xmlns:c16r2="http://schemas.microsoft.com/office/drawing/2015/06/chart">
            <c:ext xmlns:c16="http://schemas.microsoft.com/office/drawing/2014/chart" uri="{C3380CC4-5D6E-409C-BE32-E72D297353CC}">
              <c16:uniqueId val="{00000006-B5D2-4A91-B493-B5C5543C3D04}"/>
            </c:ext>
          </c:extLst>
        </c:ser>
        <c:ser>
          <c:idx val="7"/>
          <c:order val="7"/>
          <c:tx>
            <c:strRef>
              <c:f>Summary!$N$328</c:f>
              <c:strCache>
                <c:ptCount val="1"/>
                <c:pt idx="0">
                  <c:v>MII /sûreté environnementale</c:v>
                </c:pt>
              </c:strCache>
            </c:strRef>
          </c:tx>
          <c:invertIfNegative val="0"/>
          <c:val>
            <c:numRef>
              <c:f>Summary!$O$328:$Q$328</c:f>
              <c:numCache>
                <c:formatCode>General</c:formatCode>
                <c:ptCount val="3"/>
                <c:pt idx="0">
                  <c:v>1494.5229999999999</c:v>
                </c:pt>
                <c:pt idx="1">
                  <c:v>0</c:v>
                </c:pt>
                <c:pt idx="2">
                  <c:v>0</c:v>
                </c:pt>
              </c:numCache>
            </c:numRef>
          </c:val>
          <c:extLst xmlns:c16r2="http://schemas.microsoft.com/office/drawing/2015/06/chart">
            <c:ext xmlns:c16="http://schemas.microsoft.com/office/drawing/2014/chart" uri="{C3380CC4-5D6E-409C-BE32-E72D297353CC}">
              <c16:uniqueId val="{00000007-B5D2-4A91-B493-B5C5543C3D04}"/>
            </c:ext>
          </c:extLst>
        </c:ser>
        <c:ser>
          <c:idx val="8"/>
          <c:order val="8"/>
          <c:tx>
            <c:strRef>
              <c:f>Summary!$N$329</c:f>
              <c:strCache>
                <c:ptCount val="1"/>
                <c:pt idx="0">
                  <c:v>WASH</c:v>
                </c:pt>
              </c:strCache>
            </c:strRef>
          </c:tx>
          <c:invertIfNegative val="0"/>
          <c:val>
            <c:numRef>
              <c:f>Summary!$O$329:$Q$329</c:f>
              <c:numCache>
                <c:formatCode>General</c:formatCode>
                <c:ptCount val="3"/>
                <c:pt idx="0">
                  <c:v>0</c:v>
                </c:pt>
                <c:pt idx="1">
                  <c:v>460.81700000000001</c:v>
                </c:pt>
                <c:pt idx="2">
                  <c:v>635.149</c:v>
                </c:pt>
              </c:numCache>
            </c:numRef>
          </c:val>
          <c:extLst xmlns:c16r2="http://schemas.microsoft.com/office/drawing/2015/06/chart">
            <c:ext xmlns:c16="http://schemas.microsoft.com/office/drawing/2014/chart" uri="{C3380CC4-5D6E-409C-BE32-E72D297353CC}">
              <c16:uniqueId val="{00000008-B5D2-4A91-B493-B5C5543C3D04}"/>
            </c:ext>
          </c:extLst>
        </c:ser>
        <c:dLbls>
          <c:showLegendKey val="0"/>
          <c:showVal val="0"/>
          <c:showCatName val="0"/>
          <c:showSerName val="0"/>
          <c:showPercent val="0"/>
          <c:showBubbleSize val="0"/>
        </c:dLbls>
        <c:gapWidth val="55"/>
        <c:overlap val="100"/>
        <c:axId val="440757312"/>
        <c:axId val="440758880"/>
      </c:barChart>
      <c:catAx>
        <c:axId val="440757312"/>
        <c:scaling>
          <c:orientation val="minMax"/>
        </c:scaling>
        <c:delete val="0"/>
        <c:axPos val="b"/>
        <c:numFmt formatCode="General" sourceLinked="1"/>
        <c:majorTickMark val="none"/>
        <c:minorTickMark val="none"/>
        <c:tickLblPos val="nextTo"/>
        <c:crossAx val="440758880"/>
        <c:crosses val="autoZero"/>
        <c:auto val="1"/>
        <c:lblAlgn val="ctr"/>
        <c:lblOffset val="100"/>
        <c:noMultiLvlLbl val="0"/>
      </c:catAx>
      <c:valAx>
        <c:axId val="440758880"/>
        <c:scaling>
          <c:orientation val="minMax"/>
        </c:scaling>
        <c:delete val="0"/>
        <c:axPos val="l"/>
        <c:majorGridlines>
          <c:spPr>
            <a:effectLst/>
          </c:spPr>
        </c:majorGridlines>
        <c:numFmt formatCode="General" sourceLinked="1"/>
        <c:majorTickMark val="none"/>
        <c:minorTickMark val="none"/>
        <c:tickLblPos val="nextTo"/>
        <c:spPr>
          <a:ln w="9525" cap="flat" cmpd="sng">
            <a:prstDash val="solid"/>
            <a:bevel/>
          </a:ln>
          <a:effectLst/>
        </c:spPr>
        <c:crossAx val="440758880"/>
        <c:crosses val="autoZero"/>
        <c:crossBetween val="midCat"/>
      </c:valAx>
    </c:plotArea>
    <c:legend>
      <c:legendPos val="r"/>
      <c:overlay val="0"/>
      <c:txPr>
        <a:bodyPr/>
        <a:lstStyle/>
        <a:p>
          <a:pPr rtl="0">
            <a:defRPr/>
          </a:pPr>
          <a:endParaRPr lang="fr-FR"/>
        </a:p>
      </c:txPr>
    </c:legend>
    <c:plotVisOnly val="1"/>
    <c:dispBlanksAs val="gap"/>
    <c:showDLblsOverMax val="0"/>
  </c:chart>
  <c:spPr>
    <a:ln w="15875" cmpd="sng">
      <a:solidFill>
        <a:srgbClr val="00B0F0"/>
      </a:solidFill>
    </a:ln>
  </c:sp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r>
              <a:rPr lang="fr-FR" b="0" i="0" u="none" strike="noStrike">
                <a:latin typeface="Calibri"/>
              </a:rPr>
              <a:t> </a:t>
            </a:r>
          </a:p>
        </c:rich>
      </c:tx>
      <c:overlay val="0"/>
    </c:title>
    <c:autoTitleDeleted val="0"/>
    <c:plotArea>
      <c:layout/>
      <c:barChart>
        <c:barDir val="col"/>
        <c:grouping val="stacked"/>
        <c:varyColors val="1"/>
        <c:ser>
          <c:idx val="0"/>
          <c:order val="0"/>
          <c:tx>
            <c:strRef>
              <c:f>Summary!$C$340</c:f>
              <c:strCache>
                <c:ptCount val="1"/>
                <c:pt idx="0">
                  <c:v>Hémorragie du troisième trimestre</c:v>
                </c:pt>
              </c:strCache>
            </c:strRef>
          </c:tx>
          <c:spPr>
            <a:solidFill>
              <a:srgbClr val="FF0000"/>
            </a:solidFill>
            <a:ln>
              <a:solidFill>
                <a:srgbClr val="FF0000"/>
              </a:solidFill>
            </a:ln>
          </c:spPr>
          <c:invertIfNegative val="0"/>
          <c:cat>
            <c:strRef>
              <c:f>Summary!$D$339:$F$339</c:f>
              <c:strCache>
                <c:ptCount val="3"/>
                <c:pt idx="0">
                  <c:v>Limite opérationnelle</c:v>
                </c:pt>
                <c:pt idx="1">
                  <c:v>Limites à l’équité</c:v>
                </c:pt>
                <c:pt idx="2">
                  <c:v>Décès évités dans le scénario</c:v>
                </c:pt>
              </c:strCache>
            </c:strRef>
          </c:cat>
          <c:val>
            <c:numRef>
              <c:f>Summary!$D$340:$F$340</c:f>
              <c:numCache>
                <c:formatCode>General</c:formatCode>
                <c:ptCount val="3"/>
                <c:pt idx="0">
                  <c:v>165.279</c:v>
                </c:pt>
                <c:pt idx="1">
                  <c:v>76.498000000000005</c:v>
                </c:pt>
                <c:pt idx="2">
                  <c:v>90.518000000000001</c:v>
                </c:pt>
              </c:numCache>
            </c:numRef>
          </c:val>
          <c:extLst xmlns:c16r2="http://schemas.microsoft.com/office/drawing/2015/06/chart">
            <c:ext xmlns:c16="http://schemas.microsoft.com/office/drawing/2014/chart" uri="{C3380CC4-5D6E-409C-BE32-E72D297353CC}">
              <c16:uniqueId val="{00000000-60D0-45F8-8F39-B0EF58C8072B}"/>
            </c:ext>
          </c:extLst>
        </c:ser>
        <c:ser>
          <c:idx val="1"/>
          <c:order val="1"/>
          <c:tx>
            <c:strRef>
              <c:f>Summary!$C$341</c:f>
              <c:strCache>
                <c:ptCount val="1"/>
                <c:pt idx="0">
                  <c:v>Éclampsie</c:v>
                </c:pt>
              </c:strCache>
            </c:strRef>
          </c:tx>
          <c:invertIfNegative val="0"/>
          <c:val>
            <c:numRef>
              <c:f>Summary!$D$341:$F$341</c:f>
              <c:numCache>
                <c:formatCode>General</c:formatCode>
                <c:ptCount val="3"/>
                <c:pt idx="0">
                  <c:v>17.712</c:v>
                </c:pt>
                <c:pt idx="1">
                  <c:v>8.1959999999999997</c:v>
                </c:pt>
                <c:pt idx="2">
                  <c:v>9.6950000000000003</c:v>
                </c:pt>
              </c:numCache>
            </c:numRef>
          </c:val>
          <c:extLst xmlns:c16r2="http://schemas.microsoft.com/office/drawing/2015/06/chart">
            <c:ext xmlns:c16="http://schemas.microsoft.com/office/drawing/2014/chart" uri="{C3380CC4-5D6E-409C-BE32-E72D297353CC}">
              <c16:uniqueId val="{00000001-60D0-45F8-8F39-B0EF58C8072B}"/>
            </c:ext>
          </c:extLst>
        </c:ser>
        <c:ser>
          <c:idx val="2"/>
          <c:order val="2"/>
          <c:tx>
            <c:strRef>
              <c:f>Summary!$C$342</c:f>
              <c:strCache>
                <c:ptCount val="1"/>
                <c:pt idx="0">
                  <c:v>Hémorragie du post-partum</c:v>
                </c:pt>
              </c:strCache>
            </c:strRef>
          </c:tx>
          <c:spPr>
            <a:solidFill>
              <a:srgbClr val="FFC000"/>
            </a:solidFill>
          </c:spPr>
          <c:invertIfNegative val="0"/>
          <c:val>
            <c:numRef>
              <c:f>Summary!$D$342:$F$342</c:f>
              <c:numCache>
                <c:formatCode>General</c:formatCode>
                <c:ptCount val="3"/>
                <c:pt idx="0">
                  <c:v>392.25900000000001</c:v>
                </c:pt>
                <c:pt idx="1">
                  <c:v>197.82</c:v>
                </c:pt>
                <c:pt idx="2">
                  <c:v>212.376</c:v>
                </c:pt>
              </c:numCache>
            </c:numRef>
          </c:val>
          <c:extLst xmlns:c16r2="http://schemas.microsoft.com/office/drawing/2015/06/chart">
            <c:ext xmlns:c16="http://schemas.microsoft.com/office/drawing/2014/chart" uri="{C3380CC4-5D6E-409C-BE32-E72D297353CC}">
              <c16:uniqueId val="{00000002-60D0-45F8-8F39-B0EF58C8072B}"/>
            </c:ext>
          </c:extLst>
        </c:ser>
        <c:ser>
          <c:idx val="3"/>
          <c:order val="3"/>
          <c:tx>
            <c:strRef>
              <c:f>Summary!$C$343</c:f>
              <c:strCache>
                <c:ptCount val="1"/>
                <c:pt idx="0">
                  <c:v>Dystocie d’obstacle</c:v>
                </c:pt>
              </c:strCache>
            </c:strRef>
          </c:tx>
          <c:spPr>
            <a:solidFill>
              <a:srgbClr val="7030A0"/>
            </a:solidFill>
            <a:ln>
              <a:solidFill>
                <a:srgbClr val="7030A0"/>
              </a:solidFill>
            </a:ln>
          </c:spPr>
          <c:invertIfNegative val="0"/>
          <c:val>
            <c:numRef>
              <c:f>Summary!$D$343:$F$343</c:f>
              <c:numCache>
                <c:formatCode>General</c:formatCode>
                <c:ptCount val="3"/>
                <c:pt idx="0">
                  <c:v>360.92</c:v>
                </c:pt>
                <c:pt idx="1">
                  <c:v>375.04899999999998</c:v>
                </c:pt>
                <c:pt idx="2">
                  <c:v>300.53199999999998</c:v>
                </c:pt>
              </c:numCache>
            </c:numRef>
          </c:val>
          <c:extLst xmlns:c16r2="http://schemas.microsoft.com/office/drawing/2015/06/chart">
            <c:ext xmlns:c16="http://schemas.microsoft.com/office/drawing/2014/chart" uri="{C3380CC4-5D6E-409C-BE32-E72D297353CC}">
              <c16:uniqueId val="{00000003-60D0-45F8-8F39-B0EF58C8072B}"/>
            </c:ext>
          </c:extLst>
        </c:ser>
        <c:ser>
          <c:idx val="4"/>
          <c:order val="4"/>
          <c:tx>
            <c:strRef>
              <c:f>Summary!$C$344</c:f>
              <c:strCache>
                <c:ptCount val="1"/>
                <c:pt idx="0">
                  <c:v>Infection puerpérale</c:v>
                </c:pt>
              </c:strCache>
            </c:strRef>
          </c:tx>
          <c:spPr>
            <a:solidFill>
              <a:srgbClr val="0070C0"/>
            </a:solidFill>
          </c:spPr>
          <c:invertIfNegative val="0"/>
          <c:val>
            <c:numRef>
              <c:f>Summary!$D$344:$F$344</c:f>
              <c:numCache>
                <c:formatCode>General</c:formatCode>
                <c:ptCount val="3"/>
                <c:pt idx="0">
                  <c:v>214.74199999999999</c:v>
                </c:pt>
                <c:pt idx="1">
                  <c:v>172.125</c:v>
                </c:pt>
                <c:pt idx="2">
                  <c:v>230.62700000000001</c:v>
                </c:pt>
              </c:numCache>
            </c:numRef>
          </c:val>
          <c:extLst xmlns:c16r2="http://schemas.microsoft.com/office/drawing/2015/06/chart">
            <c:ext xmlns:c16="http://schemas.microsoft.com/office/drawing/2014/chart" uri="{C3380CC4-5D6E-409C-BE32-E72D297353CC}">
              <c16:uniqueId val="{00000004-60D0-45F8-8F39-B0EF58C8072B}"/>
            </c:ext>
          </c:extLst>
        </c:ser>
        <c:ser>
          <c:idx val="5"/>
          <c:order val="5"/>
          <c:tx>
            <c:strRef>
              <c:f>Summary!$C$345</c:f>
              <c:strCache>
                <c:ptCount val="1"/>
                <c:pt idx="0">
                  <c:v>Complications consécutives à un avortement</c:v>
                </c:pt>
              </c:strCache>
            </c:strRef>
          </c:tx>
          <c:invertIfNegative val="0"/>
          <c:val>
            <c:numRef>
              <c:f>Summary!$D$345:$F$345</c:f>
              <c:numCache>
                <c:formatCode>General</c:formatCode>
                <c:ptCount val="3"/>
                <c:pt idx="0">
                  <c:v>234.10300000000001</c:v>
                </c:pt>
                <c:pt idx="1">
                  <c:v>94.504000000000005</c:v>
                </c:pt>
                <c:pt idx="2">
                  <c:v>0</c:v>
                </c:pt>
              </c:numCache>
            </c:numRef>
          </c:val>
          <c:extLst xmlns:c16r2="http://schemas.microsoft.com/office/drawing/2015/06/chart">
            <c:ext xmlns:c16="http://schemas.microsoft.com/office/drawing/2014/chart" uri="{C3380CC4-5D6E-409C-BE32-E72D297353CC}">
              <c16:uniqueId val="{00000005-60D0-45F8-8F39-B0EF58C8072B}"/>
            </c:ext>
          </c:extLst>
        </c:ser>
        <c:ser>
          <c:idx val="6"/>
          <c:order val="6"/>
          <c:tx>
            <c:strRef>
              <c:f>Summary!$C$346</c:f>
              <c:strCache>
                <c:ptCount val="1"/>
                <c:pt idx="0">
                  <c:v>Anémie</c:v>
                </c:pt>
              </c:strCache>
            </c:strRef>
          </c:tx>
          <c:invertIfNegative val="0"/>
          <c:val>
            <c:numRef>
              <c:f>Summary!$D$346:$F$346</c:f>
              <c:numCache>
                <c:formatCode>General</c:formatCode>
                <c:ptCount val="3"/>
                <c:pt idx="0">
                  <c:v>0</c:v>
                </c:pt>
                <c:pt idx="1">
                  <c:v>0</c:v>
                </c:pt>
                <c:pt idx="2">
                  <c:v>0</c:v>
                </c:pt>
              </c:numCache>
            </c:numRef>
          </c:val>
          <c:extLst xmlns:c16r2="http://schemas.microsoft.com/office/drawing/2015/06/chart">
            <c:ext xmlns:c16="http://schemas.microsoft.com/office/drawing/2014/chart" uri="{C3380CC4-5D6E-409C-BE32-E72D297353CC}">
              <c16:uniqueId val="{00000006-60D0-45F8-8F39-B0EF58C8072B}"/>
            </c:ext>
          </c:extLst>
        </c:ser>
        <c:ser>
          <c:idx val="7"/>
          <c:order val="7"/>
          <c:tx>
            <c:strRef>
              <c:f>Summary!$C$347</c:f>
              <c:strCache>
                <c:ptCount val="1"/>
                <c:pt idx="0">
                  <c:v>VIH/sida</c:v>
                </c:pt>
              </c:strCache>
            </c:strRef>
          </c:tx>
          <c:invertIfNegative val="0"/>
          <c:val>
            <c:numRef>
              <c:f>Summary!$D$347:$F$347</c:f>
              <c:numCache>
                <c:formatCode>General</c:formatCode>
                <c:ptCount val="3"/>
                <c:pt idx="0">
                  <c:v>54.203000000000003</c:v>
                </c:pt>
                <c:pt idx="1">
                  <c:v>21.344000000000001</c:v>
                </c:pt>
                <c:pt idx="2">
                  <c:v>8.2289999999999992</c:v>
                </c:pt>
              </c:numCache>
            </c:numRef>
          </c:val>
          <c:extLst xmlns:c16r2="http://schemas.microsoft.com/office/drawing/2015/06/chart">
            <c:ext xmlns:c16="http://schemas.microsoft.com/office/drawing/2014/chart" uri="{C3380CC4-5D6E-409C-BE32-E72D297353CC}">
              <c16:uniqueId val="{00000007-60D0-45F8-8F39-B0EF58C8072B}"/>
            </c:ext>
          </c:extLst>
        </c:ser>
        <c:ser>
          <c:idx val="8"/>
          <c:order val="8"/>
          <c:tx>
            <c:strRef>
              <c:f>Summary!$C$348</c:f>
              <c:strCache>
                <c:ptCount val="1"/>
                <c:pt idx="0">
                  <c:v>Autres (MM)</c:v>
                </c:pt>
              </c:strCache>
            </c:strRef>
          </c:tx>
          <c:spPr>
            <a:solidFill>
              <a:schemeClr val="tx1"/>
            </a:solidFill>
            <a:ln>
              <a:solidFill>
                <a:schemeClr val="tx1"/>
              </a:solidFill>
            </a:ln>
          </c:spPr>
          <c:invertIfNegative val="0"/>
          <c:val>
            <c:numRef>
              <c:f>Summary!$D$348:$F$348</c:f>
              <c:numCache>
                <c:formatCode>General</c:formatCode>
                <c:ptCount val="3"/>
                <c:pt idx="0">
                  <c:v>18.483000000000001</c:v>
                </c:pt>
                <c:pt idx="1">
                  <c:v>23.219000000000001</c:v>
                </c:pt>
                <c:pt idx="2">
                  <c:v>29.983000000000001</c:v>
                </c:pt>
              </c:numCache>
            </c:numRef>
          </c:val>
          <c:extLst xmlns:c16r2="http://schemas.microsoft.com/office/drawing/2015/06/chart">
            <c:ext xmlns:c16="http://schemas.microsoft.com/office/drawing/2014/chart" uri="{C3380CC4-5D6E-409C-BE32-E72D297353CC}">
              <c16:uniqueId val="{00000008-60D0-45F8-8F39-B0EF58C8072B}"/>
            </c:ext>
          </c:extLst>
        </c:ser>
        <c:dLbls>
          <c:showLegendKey val="0"/>
          <c:showVal val="0"/>
          <c:showCatName val="0"/>
          <c:showSerName val="0"/>
          <c:showPercent val="0"/>
          <c:showBubbleSize val="0"/>
        </c:dLbls>
        <c:gapWidth val="150"/>
        <c:overlap val="100"/>
        <c:axId val="440759272"/>
        <c:axId val="440755352"/>
      </c:barChart>
      <c:catAx>
        <c:axId val="440759272"/>
        <c:scaling>
          <c:orientation val="minMax"/>
        </c:scaling>
        <c:delete val="0"/>
        <c:axPos val="b"/>
        <c:numFmt formatCode="General" sourceLinked="1"/>
        <c:majorTickMark val="none"/>
        <c:minorTickMark val="none"/>
        <c:tickLblPos val="nextTo"/>
        <c:crossAx val="440755352"/>
        <c:crosses val="autoZero"/>
        <c:auto val="1"/>
        <c:lblAlgn val="ctr"/>
        <c:lblOffset val="100"/>
        <c:noMultiLvlLbl val="0"/>
      </c:catAx>
      <c:valAx>
        <c:axId val="440755352"/>
        <c:scaling>
          <c:orientation val="minMax"/>
        </c:scaling>
        <c:delete val="0"/>
        <c:axPos val="l"/>
        <c:majorGridlines>
          <c:spPr>
            <a:effectLst/>
          </c:spPr>
        </c:majorGridlines>
        <c:title>
          <c:tx>
            <c:rich>
              <a:bodyPr/>
              <a:lstStyle/>
              <a:p>
                <a:endParaRPr lang="fr-FR"/>
              </a:p>
            </c:rich>
          </c:tx>
          <c:overlay val="0"/>
        </c:title>
        <c:numFmt formatCode="General" sourceLinked="1"/>
        <c:majorTickMark val="none"/>
        <c:minorTickMark val="none"/>
        <c:tickLblPos val="nextTo"/>
        <c:spPr>
          <a:ln w="9525" cap="flat" cmpd="sng">
            <a:prstDash val="solid"/>
            <a:bevel/>
          </a:ln>
          <a:effectLst/>
        </c:spPr>
        <c:crossAx val="440755352"/>
        <c:crosses val="autoZero"/>
        <c:crossBetween val="midCat"/>
      </c:valAx>
    </c:plotArea>
    <c:legend>
      <c:legendPos val="r"/>
      <c:overlay val="0"/>
      <c:txPr>
        <a:bodyPr/>
        <a:lstStyle/>
        <a:p>
          <a:pPr rtl="0">
            <a:defRPr/>
          </a:pPr>
          <a:endParaRPr lang="fr-FR"/>
        </a:p>
      </c:txPr>
    </c:legend>
    <c:plotVisOnly val="1"/>
    <c:dispBlanksAs val="gap"/>
    <c:showDLblsOverMax val="0"/>
  </c:chart>
  <c:spPr>
    <a:ln w="15875" cmpd="sng">
      <a:solidFill>
        <a:srgbClr val="00B0F0"/>
      </a:solidFill>
    </a:ln>
  </c:sp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r>
              <a:rPr lang="en-US" b="0" i="0" u="none" strike="noStrike">
                <a:latin typeface="Calibri"/>
              </a:rPr>
              <a:t> </a:t>
            </a:r>
          </a:p>
        </c:rich>
      </c:tx>
      <c:overlay val="0"/>
    </c:title>
    <c:autoTitleDeleted val="0"/>
    <c:plotArea>
      <c:layout/>
      <c:barChart>
        <c:barDir val="col"/>
        <c:grouping val="stacked"/>
        <c:varyColors val="1"/>
        <c:ser>
          <c:idx val="0"/>
          <c:order val="0"/>
          <c:tx>
            <c:strRef>
              <c:f>'[EQUIST_Côte_d’Ivoire_CIV_2016_Data_DI_GFF_Côte_d''Ivoire_Scénario_général_pays_.xlsx]Summary'!$N$391</c:f>
              <c:strCache>
                <c:ptCount val="1"/>
                <c:pt idx="0">
                  <c:v>SONU</c:v>
                </c:pt>
              </c:strCache>
            </c:strRef>
          </c:tx>
          <c:invertIfNegative val="0"/>
          <c:cat>
            <c:strRef>
              <c:f>'[EQUIST_Côte_d’Ivoire_CIV_2016_Data_DI_GFF_Côte_d''Ivoire_Scénario_général_pays_.xlsx]Summary'!$O$390:$Q$390</c:f>
              <c:strCache>
                <c:ptCount val="3"/>
                <c:pt idx="0">
                  <c:v>Limite opérationnelle</c:v>
                </c:pt>
                <c:pt idx="1">
                  <c:v>Limites à l’équité</c:v>
                </c:pt>
                <c:pt idx="2">
                  <c:v>Décès évités dans le scénario</c:v>
                </c:pt>
              </c:strCache>
            </c:strRef>
          </c:cat>
          <c:val>
            <c:numRef>
              <c:f>'[EQUIST_Côte_d’Ivoire_CIV_2016_Data_DI_GFF_Côte_d''Ivoire_Scénario_général_pays_.xlsx]Summary'!$O$391:$Q$391</c:f>
              <c:numCache>
                <c:formatCode>General</c:formatCode>
                <c:ptCount val="3"/>
                <c:pt idx="0">
                  <c:v>13310.6</c:v>
                </c:pt>
                <c:pt idx="1">
                  <c:v>5578.6719999999996</c:v>
                </c:pt>
                <c:pt idx="2">
                  <c:v>15366.897000000001</c:v>
                </c:pt>
              </c:numCache>
            </c:numRef>
          </c:val>
          <c:extLst xmlns:c16r2="http://schemas.microsoft.com/office/drawing/2015/06/chart">
            <c:ext xmlns:c16="http://schemas.microsoft.com/office/drawing/2014/chart" uri="{C3380CC4-5D6E-409C-BE32-E72D297353CC}">
              <c16:uniqueId val="{00000000-DBDB-46E1-BF3A-6E2A1E54A00D}"/>
            </c:ext>
          </c:extLst>
        </c:ser>
        <c:ser>
          <c:idx val="1"/>
          <c:order val="1"/>
          <c:tx>
            <c:strRef>
              <c:f>'[EQUIST_Côte_d’Ivoire_CIV_2016_Data_DI_GFF_Côte_d''Ivoire_Scénario_général_pays_.xlsx]Summary'!$N$392</c:f>
              <c:strCache>
                <c:ptCount val="1"/>
                <c:pt idx="0">
                  <c:v>PCIMIN</c:v>
                </c:pt>
              </c:strCache>
            </c:strRef>
          </c:tx>
          <c:invertIfNegative val="0"/>
          <c:val>
            <c:numRef>
              <c:f>'[EQUIST_Côte_d’Ivoire_CIV_2016_Data_DI_GFF_Côte_d''Ivoire_Scénario_général_pays_.xlsx]Summary'!$O$392:$Q$392</c:f>
              <c:numCache>
                <c:formatCode>General</c:formatCode>
                <c:ptCount val="3"/>
                <c:pt idx="0">
                  <c:v>6623.3549999999996</c:v>
                </c:pt>
                <c:pt idx="1">
                  <c:v>1662.7729999999999</c:v>
                </c:pt>
                <c:pt idx="2">
                  <c:v>21418.174999999999</c:v>
                </c:pt>
              </c:numCache>
            </c:numRef>
          </c:val>
          <c:extLst xmlns:c16r2="http://schemas.microsoft.com/office/drawing/2015/06/chart">
            <c:ext xmlns:c16="http://schemas.microsoft.com/office/drawing/2014/chart" uri="{C3380CC4-5D6E-409C-BE32-E72D297353CC}">
              <c16:uniqueId val="{00000001-DBDB-46E1-BF3A-6E2A1E54A00D}"/>
            </c:ext>
          </c:extLst>
        </c:ser>
        <c:ser>
          <c:idx val="2"/>
          <c:order val="2"/>
          <c:tx>
            <c:strRef>
              <c:f>'[EQUIST_Côte_d’Ivoire_CIV_2016_Data_DI_GFF_Côte_d''Ivoire_Scénario_général_pays_.xlsx]Summary'!$N$393</c:f>
              <c:strCache>
                <c:ptCount val="1"/>
                <c:pt idx="0">
                  <c:v>Accouchement assisté par un professionnel qualifié</c:v>
                </c:pt>
              </c:strCache>
            </c:strRef>
          </c:tx>
          <c:invertIfNegative val="0"/>
          <c:val>
            <c:numRef>
              <c:f>'[EQUIST_Côte_d’Ivoire_CIV_2016_Data_DI_GFF_Côte_d''Ivoire_Scénario_général_pays_.xlsx]Summary'!$O$393:$Q$393</c:f>
              <c:numCache>
                <c:formatCode>General</c:formatCode>
                <c:ptCount val="3"/>
                <c:pt idx="0">
                  <c:v>4794.5219999999999</c:v>
                </c:pt>
                <c:pt idx="1">
                  <c:v>2386.7550000000001</c:v>
                </c:pt>
                <c:pt idx="2">
                  <c:v>215.60599999999999</c:v>
                </c:pt>
              </c:numCache>
            </c:numRef>
          </c:val>
          <c:extLst xmlns:c16r2="http://schemas.microsoft.com/office/drawing/2015/06/chart">
            <c:ext xmlns:c16="http://schemas.microsoft.com/office/drawing/2014/chart" uri="{C3380CC4-5D6E-409C-BE32-E72D297353CC}">
              <c16:uniqueId val="{00000002-DBDB-46E1-BF3A-6E2A1E54A00D}"/>
            </c:ext>
          </c:extLst>
        </c:ser>
        <c:ser>
          <c:idx val="3"/>
          <c:order val="3"/>
          <c:tx>
            <c:strRef>
              <c:f>'[EQUIST_Côte_d’Ivoire_CIV_2016_Data_DI_GFF_Côte_d''Ivoire_Scénario_général_pays_.xlsx]Summary'!$N$394</c:f>
              <c:strCache>
                <c:ptCount val="1"/>
                <c:pt idx="0">
                  <c:v>Vaccination plus</c:v>
                </c:pt>
              </c:strCache>
            </c:strRef>
          </c:tx>
          <c:invertIfNegative val="0"/>
          <c:val>
            <c:numRef>
              <c:f>'[EQUIST_Côte_d’Ivoire_CIV_2016_Data_DI_GFF_Côte_d''Ivoire_Scénario_général_pays_.xlsx]Summary'!$O$394:$Q$394</c:f>
              <c:numCache>
                <c:formatCode>General</c:formatCode>
                <c:ptCount val="3"/>
                <c:pt idx="0">
                  <c:v>0</c:v>
                </c:pt>
                <c:pt idx="1">
                  <c:v>0</c:v>
                </c:pt>
                <c:pt idx="2">
                  <c:v>0</c:v>
                </c:pt>
              </c:numCache>
            </c:numRef>
          </c:val>
          <c:extLst xmlns:c16r2="http://schemas.microsoft.com/office/drawing/2015/06/chart">
            <c:ext xmlns:c16="http://schemas.microsoft.com/office/drawing/2014/chart" uri="{C3380CC4-5D6E-409C-BE32-E72D297353CC}">
              <c16:uniqueId val="{00000003-DBDB-46E1-BF3A-6E2A1E54A00D}"/>
            </c:ext>
          </c:extLst>
        </c:ser>
        <c:ser>
          <c:idx val="4"/>
          <c:order val="4"/>
          <c:tx>
            <c:strRef>
              <c:f>'[EQUIST_Côte_d’Ivoire_CIV_2016_Data_DI_GFF_Côte_d''Ivoire_Scénario_général_pays_.xlsx]Summary'!$N$395</c:f>
              <c:strCache>
                <c:ptCount val="1"/>
                <c:pt idx="0">
                  <c:v>Soins prénatals</c:v>
                </c:pt>
              </c:strCache>
            </c:strRef>
          </c:tx>
          <c:invertIfNegative val="0"/>
          <c:val>
            <c:numRef>
              <c:f>'[EQUIST_Côte_d’Ivoire_CIV_2016_Data_DI_GFF_Côte_d''Ivoire_Scénario_général_pays_.xlsx]Summary'!$O$395:$Q$395</c:f>
              <c:numCache>
                <c:formatCode>General</c:formatCode>
                <c:ptCount val="3"/>
                <c:pt idx="0">
                  <c:v>308.58800000000002</c:v>
                </c:pt>
                <c:pt idx="1">
                  <c:v>218.529</c:v>
                </c:pt>
                <c:pt idx="2">
                  <c:v>520.37900000000002</c:v>
                </c:pt>
              </c:numCache>
            </c:numRef>
          </c:val>
          <c:extLst xmlns:c16r2="http://schemas.microsoft.com/office/drawing/2015/06/chart">
            <c:ext xmlns:c16="http://schemas.microsoft.com/office/drawing/2014/chart" uri="{C3380CC4-5D6E-409C-BE32-E72D297353CC}">
              <c16:uniqueId val="{00000004-DBDB-46E1-BF3A-6E2A1E54A00D}"/>
            </c:ext>
          </c:extLst>
        </c:ser>
        <c:ser>
          <c:idx val="5"/>
          <c:order val="5"/>
          <c:tx>
            <c:strRef>
              <c:f>'[EQUIST_Côte_d’Ivoire_CIV_2016_Data_DI_GFF_Côte_d''Ivoire_Scénario_général_pays_.xlsx]Summary'!$N$396</c:f>
              <c:strCache>
                <c:ptCount val="1"/>
                <c:pt idx="0">
                  <c:v>Planification familiale</c:v>
                </c:pt>
              </c:strCache>
            </c:strRef>
          </c:tx>
          <c:invertIfNegative val="0"/>
          <c:val>
            <c:numRef>
              <c:f>'[EQUIST_Côte_d’Ivoire_CIV_2016_Data_DI_GFF_Côte_d''Ivoire_Scénario_général_pays_.xlsx]Summary'!$O$396:$Q$396</c:f>
              <c:numCache>
                <c:formatCode>General</c:formatCode>
                <c:ptCount val="3"/>
                <c:pt idx="0">
                  <c:v>0</c:v>
                </c:pt>
                <c:pt idx="1">
                  <c:v>0</c:v>
                </c:pt>
                <c:pt idx="2">
                  <c:v>0</c:v>
                </c:pt>
              </c:numCache>
            </c:numRef>
          </c:val>
          <c:extLst xmlns:c16r2="http://schemas.microsoft.com/office/drawing/2015/06/chart">
            <c:ext xmlns:c16="http://schemas.microsoft.com/office/drawing/2014/chart" uri="{C3380CC4-5D6E-409C-BE32-E72D297353CC}">
              <c16:uniqueId val="{00000005-DBDB-46E1-BF3A-6E2A1E54A00D}"/>
            </c:ext>
          </c:extLst>
        </c:ser>
        <c:ser>
          <c:idx val="6"/>
          <c:order val="6"/>
          <c:tx>
            <c:strRef>
              <c:f>'[EQUIST_Côte_d’Ivoire_CIV_2016_Data_DI_GFF_Côte_d''Ivoire_Scénario_général_pays_.xlsx]Summary'!$N$397</c:f>
              <c:strCache>
                <c:ptCount val="1"/>
                <c:pt idx="0">
                  <c:v>Soins des nouveau-nés et des nourrissons</c:v>
                </c:pt>
              </c:strCache>
            </c:strRef>
          </c:tx>
          <c:invertIfNegative val="0"/>
          <c:val>
            <c:numRef>
              <c:f>'[EQUIST_Côte_d’Ivoire_CIV_2016_Data_DI_GFF_Côte_d''Ivoire_Scénario_général_pays_.xlsx]Summary'!$O$397:$Q$397</c:f>
              <c:numCache>
                <c:formatCode>General</c:formatCode>
                <c:ptCount val="3"/>
                <c:pt idx="0">
                  <c:v>2595.6390000000001</c:v>
                </c:pt>
                <c:pt idx="1">
                  <c:v>1064.0440000000001</c:v>
                </c:pt>
                <c:pt idx="2">
                  <c:v>3966.3420000000001</c:v>
                </c:pt>
              </c:numCache>
            </c:numRef>
          </c:val>
          <c:extLst xmlns:c16r2="http://schemas.microsoft.com/office/drawing/2015/06/chart">
            <c:ext xmlns:c16="http://schemas.microsoft.com/office/drawing/2014/chart" uri="{C3380CC4-5D6E-409C-BE32-E72D297353CC}">
              <c16:uniqueId val="{00000006-DBDB-46E1-BF3A-6E2A1E54A00D}"/>
            </c:ext>
          </c:extLst>
        </c:ser>
        <c:ser>
          <c:idx val="7"/>
          <c:order val="7"/>
          <c:tx>
            <c:strRef>
              <c:f>'[EQUIST_Côte_d’Ivoire_CIV_2016_Data_DI_GFF_Côte_d''Ivoire_Scénario_général_pays_.xlsx]Summary'!$N$398</c:f>
              <c:strCache>
                <c:ptCount val="1"/>
                <c:pt idx="0">
                  <c:v>MII /sûreté environnementale</c:v>
                </c:pt>
              </c:strCache>
            </c:strRef>
          </c:tx>
          <c:invertIfNegative val="0"/>
          <c:val>
            <c:numRef>
              <c:f>'[EQUIST_Côte_d’Ivoire_CIV_2016_Data_DI_GFF_Côte_d''Ivoire_Scénario_général_pays_.xlsx]Summary'!$O$398:$Q$398</c:f>
              <c:numCache>
                <c:formatCode>General</c:formatCode>
                <c:ptCount val="3"/>
                <c:pt idx="0">
                  <c:v>2338.482</c:v>
                </c:pt>
                <c:pt idx="1">
                  <c:v>0</c:v>
                </c:pt>
                <c:pt idx="2">
                  <c:v>0</c:v>
                </c:pt>
              </c:numCache>
            </c:numRef>
          </c:val>
          <c:extLst xmlns:c16r2="http://schemas.microsoft.com/office/drawing/2015/06/chart">
            <c:ext xmlns:c16="http://schemas.microsoft.com/office/drawing/2014/chart" uri="{C3380CC4-5D6E-409C-BE32-E72D297353CC}">
              <c16:uniqueId val="{00000007-DBDB-46E1-BF3A-6E2A1E54A00D}"/>
            </c:ext>
          </c:extLst>
        </c:ser>
        <c:ser>
          <c:idx val="8"/>
          <c:order val="8"/>
          <c:tx>
            <c:strRef>
              <c:f>'[EQUIST_Côte_d’Ivoire_CIV_2016_Data_DI_GFF_Côte_d''Ivoire_Scénario_général_pays_.xlsx]Summary'!$N$399</c:f>
              <c:strCache>
                <c:ptCount val="1"/>
                <c:pt idx="0">
                  <c:v>WASH</c:v>
                </c:pt>
              </c:strCache>
            </c:strRef>
          </c:tx>
          <c:invertIfNegative val="0"/>
          <c:val>
            <c:numRef>
              <c:f>'[EQUIST_Côte_d’Ivoire_CIV_2016_Data_DI_GFF_Côte_d''Ivoire_Scénario_général_pays_.xlsx]Summary'!$O$399:$Q$399</c:f>
              <c:numCache>
                <c:formatCode>General</c:formatCode>
                <c:ptCount val="3"/>
                <c:pt idx="0">
                  <c:v>581.17999999999995</c:v>
                </c:pt>
                <c:pt idx="1">
                  <c:v>1040.944</c:v>
                </c:pt>
                <c:pt idx="2">
                  <c:v>1374.7</c:v>
                </c:pt>
              </c:numCache>
            </c:numRef>
          </c:val>
          <c:extLst xmlns:c16r2="http://schemas.microsoft.com/office/drawing/2015/06/chart">
            <c:ext xmlns:c16="http://schemas.microsoft.com/office/drawing/2014/chart" uri="{C3380CC4-5D6E-409C-BE32-E72D297353CC}">
              <c16:uniqueId val="{00000008-DBDB-46E1-BF3A-6E2A1E54A00D}"/>
            </c:ext>
          </c:extLst>
        </c:ser>
        <c:dLbls>
          <c:showLegendKey val="0"/>
          <c:showVal val="0"/>
          <c:showCatName val="0"/>
          <c:showSerName val="0"/>
          <c:showPercent val="0"/>
          <c:showBubbleSize val="0"/>
        </c:dLbls>
        <c:gapWidth val="55"/>
        <c:overlap val="100"/>
        <c:axId val="440764368"/>
        <c:axId val="440756920"/>
      </c:barChart>
      <c:catAx>
        <c:axId val="440764368"/>
        <c:scaling>
          <c:orientation val="minMax"/>
        </c:scaling>
        <c:delete val="0"/>
        <c:axPos val="b"/>
        <c:numFmt formatCode="General" sourceLinked="1"/>
        <c:majorTickMark val="none"/>
        <c:minorTickMark val="none"/>
        <c:tickLblPos val="nextTo"/>
        <c:crossAx val="440756920"/>
        <c:crosses val="autoZero"/>
        <c:auto val="1"/>
        <c:lblAlgn val="ctr"/>
        <c:lblOffset val="100"/>
        <c:noMultiLvlLbl val="0"/>
      </c:catAx>
      <c:valAx>
        <c:axId val="440756920"/>
        <c:scaling>
          <c:orientation val="minMax"/>
        </c:scaling>
        <c:delete val="0"/>
        <c:axPos val="l"/>
        <c:majorGridlines>
          <c:spPr>
            <a:effectLst/>
          </c:spPr>
        </c:majorGridlines>
        <c:numFmt formatCode="General" sourceLinked="1"/>
        <c:majorTickMark val="none"/>
        <c:minorTickMark val="none"/>
        <c:tickLblPos val="nextTo"/>
        <c:spPr>
          <a:ln w="9525" cap="flat" cmpd="sng">
            <a:prstDash val="solid"/>
            <a:bevel/>
          </a:ln>
          <a:effectLst/>
        </c:spPr>
        <c:crossAx val="440756920"/>
        <c:crosses val="autoZero"/>
        <c:crossBetween val="midCat"/>
      </c:valAx>
    </c:plotArea>
    <c:legend>
      <c:legendPos val="r"/>
      <c:overlay val="0"/>
      <c:txPr>
        <a:bodyPr/>
        <a:lstStyle/>
        <a:p>
          <a:pPr rtl="0">
            <a:defRPr/>
          </a:pPr>
          <a:endParaRPr lang="fr-FR"/>
        </a:p>
      </c:txPr>
    </c:legend>
    <c:plotVisOnly val="1"/>
    <c:dispBlanksAs val="gap"/>
    <c:showDLblsOverMax val="0"/>
  </c:chart>
  <c:spPr>
    <a:ln w="15875" cmpd="sng">
      <a:solidFill>
        <a:srgbClr val="00B0F0"/>
      </a:solidFill>
    </a:ln>
  </c:sp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r>
              <a:rPr lang="fr-FR" b="0" i="0" u="none" strike="noStrike">
                <a:latin typeface="Calibri"/>
              </a:rPr>
              <a:t> </a:t>
            </a:r>
          </a:p>
        </c:rich>
      </c:tx>
      <c:overlay val="0"/>
    </c:title>
    <c:autoTitleDeleted val="0"/>
    <c:plotArea>
      <c:layout>
        <c:manualLayout>
          <c:layoutTarget val="inner"/>
          <c:xMode val="edge"/>
          <c:yMode val="edge"/>
          <c:x val="7.3562787499795362E-2"/>
          <c:y val="7.699688003617132E-2"/>
          <c:w val="0.65444628153289575"/>
          <c:h val="0.78122883603280158"/>
        </c:manualLayout>
      </c:layout>
      <c:barChart>
        <c:barDir val="col"/>
        <c:grouping val="stacked"/>
        <c:varyColors val="1"/>
        <c:ser>
          <c:idx val="0"/>
          <c:order val="0"/>
          <c:tx>
            <c:strRef>
              <c:f>Summary!$C$340</c:f>
              <c:strCache>
                <c:ptCount val="1"/>
                <c:pt idx="0">
                  <c:v>Hémorragie du troisième trimestre</c:v>
                </c:pt>
              </c:strCache>
            </c:strRef>
          </c:tx>
          <c:spPr>
            <a:solidFill>
              <a:schemeClr val="tx1"/>
            </a:solidFill>
            <a:ln>
              <a:solidFill>
                <a:schemeClr val="tx1"/>
              </a:solidFill>
            </a:ln>
          </c:spPr>
          <c:invertIfNegative val="0"/>
          <c:cat>
            <c:strRef>
              <c:f>Summary!$D$339:$F$339</c:f>
              <c:strCache>
                <c:ptCount val="3"/>
                <c:pt idx="0">
                  <c:v>Limite opérationnelle</c:v>
                </c:pt>
                <c:pt idx="1">
                  <c:v>Limites à l’équité</c:v>
                </c:pt>
                <c:pt idx="2">
                  <c:v>Décès évités dans le scénario</c:v>
                </c:pt>
              </c:strCache>
            </c:strRef>
          </c:cat>
          <c:val>
            <c:numRef>
              <c:f>Summary!$D$340:$F$340</c:f>
              <c:numCache>
                <c:formatCode>General</c:formatCode>
                <c:ptCount val="3"/>
                <c:pt idx="0">
                  <c:v>230.136</c:v>
                </c:pt>
                <c:pt idx="1">
                  <c:v>84.414000000000001</c:v>
                </c:pt>
                <c:pt idx="2">
                  <c:v>111.274</c:v>
                </c:pt>
              </c:numCache>
            </c:numRef>
          </c:val>
          <c:extLst xmlns:c16r2="http://schemas.microsoft.com/office/drawing/2015/06/chart">
            <c:ext xmlns:c16="http://schemas.microsoft.com/office/drawing/2014/chart" uri="{C3380CC4-5D6E-409C-BE32-E72D297353CC}">
              <c16:uniqueId val="{00000000-7B0A-4081-9D18-C5F8B66A45C5}"/>
            </c:ext>
          </c:extLst>
        </c:ser>
        <c:ser>
          <c:idx val="1"/>
          <c:order val="1"/>
          <c:tx>
            <c:strRef>
              <c:f>Summary!$C$341</c:f>
              <c:strCache>
                <c:ptCount val="1"/>
                <c:pt idx="0">
                  <c:v>Éclampsie</c:v>
                </c:pt>
              </c:strCache>
            </c:strRef>
          </c:tx>
          <c:invertIfNegative val="0"/>
          <c:val>
            <c:numRef>
              <c:f>Summary!$D$341:$F$341</c:f>
              <c:numCache>
                <c:formatCode>General</c:formatCode>
                <c:ptCount val="3"/>
                <c:pt idx="0">
                  <c:v>24.652000000000001</c:v>
                </c:pt>
                <c:pt idx="1">
                  <c:v>9.0470000000000006</c:v>
                </c:pt>
                <c:pt idx="2">
                  <c:v>11.907999999999999</c:v>
                </c:pt>
              </c:numCache>
            </c:numRef>
          </c:val>
          <c:extLst xmlns:c16r2="http://schemas.microsoft.com/office/drawing/2015/06/chart">
            <c:ext xmlns:c16="http://schemas.microsoft.com/office/drawing/2014/chart" uri="{C3380CC4-5D6E-409C-BE32-E72D297353CC}">
              <c16:uniqueId val="{00000001-7B0A-4081-9D18-C5F8B66A45C5}"/>
            </c:ext>
          </c:extLst>
        </c:ser>
        <c:ser>
          <c:idx val="2"/>
          <c:order val="2"/>
          <c:tx>
            <c:strRef>
              <c:f>Summary!$C$342</c:f>
              <c:strCache>
                <c:ptCount val="1"/>
                <c:pt idx="0">
                  <c:v>Hémorragie du post-partum</c:v>
                </c:pt>
              </c:strCache>
            </c:strRef>
          </c:tx>
          <c:spPr>
            <a:solidFill>
              <a:srgbClr val="FF0000"/>
            </a:solidFill>
            <a:ln>
              <a:solidFill>
                <a:srgbClr val="FF0000"/>
              </a:solidFill>
            </a:ln>
          </c:spPr>
          <c:invertIfNegative val="0"/>
          <c:val>
            <c:numRef>
              <c:f>Summary!$D$342:$F$342</c:f>
              <c:numCache>
                <c:formatCode>General</c:formatCode>
                <c:ptCount val="3"/>
                <c:pt idx="0">
                  <c:v>542.18100000000004</c:v>
                </c:pt>
                <c:pt idx="1">
                  <c:v>219.32599999999999</c:v>
                </c:pt>
                <c:pt idx="2">
                  <c:v>251.98400000000001</c:v>
                </c:pt>
              </c:numCache>
            </c:numRef>
          </c:val>
          <c:extLst xmlns:c16r2="http://schemas.microsoft.com/office/drawing/2015/06/chart">
            <c:ext xmlns:c16="http://schemas.microsoft.com/office/drawing/2014/chart" uri="{C3380CC4-5D6E-409C-BE32-E72D297353CC}">
              <c16:uniqueId val="{00000002-7B0A-4081-9D18-C5F8B66A45C5}"/>
            </c:ext>
          </c:extLst>
        </c:ser>
        <c:ser>
          <c:idx val="3"/>
          <c:order val="3"/>
          <c:tx>
            <c:strRef>
              <c:f>Summary!$C$343</c:f>
              <c:strCache>
                <c:ptCount val="1"/>
                <c:pt idx="0">
                  <c:v>Dystocie d’obstacle</c:v>
                </c:pt>
              </c:strCache>
            </c:strRef>
          </c:tx>
          <c:spPr>
            <a:solidFill>
              <a:srgbClr val="00B050"/>
            </a:solidFill>
            <a:ln>
              <a:solidFill>
                <a:srgbClr val="00B050"/>
              </a:solidFill>
            </a:ln>
          </c:spPr>
          <c:invertIfNegative val="0"/>
          <c:val>
            <c:numRef>
              <c:f>Summary!$D$343:$F$343</c:f>
              <c:numCache>
                <c:formatCode>General</c:formatCode>
                <c:ptCount val="3"/>
                <c:pt idx="0">
                  <c:v>506.892</c:v>
                </c:pt>
                <c:pt idx="1">
                  <c:v>474.30599999999998</c:v>
                </c:pt>
                <c:pt idx="2">
                  <c:v>352.904</c:v>
                </c:pt>
              </c:numCache>
            </c:numRef>
          </c:val>
          <c:extLst xmlns:c16r2="http://schemas.microsoft.com/office/drawing/2015/06/chart">
            <c:ext xmlns:c16="http://schemas.microsoft.com/office/drawing/2014/chart" uri="{C3380CC4-5D6E-409C-BE32-E72D297353CC}">
              <c16:uniqueId val="{00000003-7B0A-4081-9D18-C5F8B66A45C5}"/>
            </c:ext>
          </c:extLst>
        </c:ser>
        <c:ser>
          <c:idx val="4"/>
          <c:order val="4"/>
          <c:tx>
            <c:strRef>
              <c:f>Summary!$C$344</c:f>
              <c:strCache>
                <c:ptCount val="1"/>
                <c:pt idx="0">
                  <c:v>Infection puerpérale</c:v>
                </c:pt>
              </c:strCache>
            </c:strRef>
          </c:tx>
          <c:invertIfNegative val="0"/>
          <c:val>
            <c:numRef>
              <c:f>Summary!$D$344:$F$344</c:f>
              <c:numCache>
                <c:formatCode>General</c:formatCode>
                <c:ptCount val="3"/>
                <c:pt idx="0">
                  <c:v>292.23500000000001</c:v>
                </c:pt>
                <c:pt idx="1">
                  <c:v>197.005</c:v>
                </c:pt>
                <c:pt idx="2">
                  <c:v>308.19400000000002</c:v>
                </c:pt>
              </c:numCache>
            </c:numRef>
          </c:val>
          <c:extLst xmlns:c16r2="http://schemas.microsoft.com/office/drawing/2015/06/chart">
            <c:ext xmlns:c16="http://schemas.microsoft.com/office/drawing/2014/chart" uri="{C3380CC4-5D6E-409C-BE32-E72D297353CC}">
              <c16:uniqueId val="{00000004-7B0A-4081-9D18-C5F8B66A45C5}"/>
            </c:ext>
          </c:extLst>
        </c:ser>
        <c:ser>
          <c:idx val="5"/>
          <c:order val="5"/>
          <c:tx>
            <c:strRef>
              <c:f>Summary!$C$345</c:f>
              <c:strCache>
                <c:ptCount val="1"/>
                <c:pt idx="0">
                  <c:v>Complications consécutives à un avortement</c:v>
                </c:pt>
              </c:strCache>
            </c:strRef>
          </c:tx>
          <c:spPr>
            <a:solidFill>
              <a:srgbClr val="7030A0"/>
            </a:solidFill>
            <a:ln>
              <a:solidFill>
                <a:srgbClr val="7030A0"/>
              </a:solidFill>
            </a:ln>
          </c:spPr>
          <c:invertIfNegative val="0"/>
          <c:val>
            <c:numRef>
              <c:f>Summary!$D$345:$F$345</c:f>
              <c:numCache>
                <c:formatCode>General</c:formatCode>
                <c:ptCount val="3"/>
                <c:pt idx="0">
                  <c:v>246.126</c:v>
                </c:pt>
                <c:pt idx="1">
                  <c:v>45.707999999999998</c:v>
                </c:pt>
                <c:pt idx="2">
                  <c:v>0</c:v>
                </c:pt>
              </c:numCache>
            </c:numRef>
          </c:val>
          <c:extLst xmlns:c16r2="http://schemas.microsoft.com/office/drawing/2015/06/chart">
            <c:ext xmlns:c16="http://schemas.microsoft.com/office/drawing/2014/chart" uri="{C3380CC4-5D6E-409C-BE32-E72D297353CC}">
              <c16:uniqueId val="{00000005-7B0A-4081-9D18-C5F8B66A45C5}"/>
            </c:ext>
          </c:extLst>
        </c:ser>
        <c:ser>
          <c:idx val="6"/>
          <c:order val="6"/>
          <c:tx>
            <c:strRef>
              <c:f>Summary!$C$346</c:f>
              <c:strCache>
                <c:ptCount val="1"/>
                <c:pt idx="0">
                  <c:v>Anémie</c:v>
                </c:pt>
              </c:strCache>
            </c:strRef>
          </c:tx>
          <c:invertIfNegative val="0"/>
          <c:val>
            <c:numRef>
              <c:f>Summary!$D$346:$F$346</c:f>
              <c:numCache>
                <c:formatCode>General</c:formatCode>
                <c:ptCount val="3"/>
                <c:pt idx="0">
                  <c:v>0</c:v>
                </c:pt>
                <c:pt idx="1">
                  <c:v>0</c:v>
                </c:pt>
                <c:pt idx="2">
                  <c:v>0</c:v>
                </c:pt>
              </c:numCache>
            </c:numRef>
          </c:val>
          <c:extLst xmlns:c16r2="http://schemas.microsoft.com/office/drawing/2015/06/chart">
            <c:ext xmlns:c16="http://schemas.microsoft.com/office/drawing/2014/chart" uri="{C3380CC4-5D6E-409C-BE32-E72D297353CC}">
              <c16:uniqueId val="{00000006-7B0A-4081-9D18-C5F8B66A45C5}"/>
            </c:ext>
          </c:extLst>
        </c:ser>
        <c:ser>
          <c:idx val="7"/>
          <c:order val="7"/>
          <c:tx>
            <c:strRef>
              <c:f>Summary!$C$347</c:f>
              <c:strCache>
                <c:ptCount val="1"/>
                <c:pt idx="0">
                  <c:v>VIH/sida</c:v>
                </c:pt>
              </c:strCache>
            </c:strRef>
          </c:tx>
          <c:invertIfNegative val="0"/>
          <c:val>
            <c:numRef>
              <c:f>Summary!$D$347:$F$347</c:f>
              <c:numCache>
                <c:formatCode>General</c:formatCode>
                <c:ptCount val="3"/>
                <c:pt idx="0">
                  <c:v>75.718000000000004</c:v>
                </c:pt>
                <c:pt idx="1">
                  <c:v>23.702999999999999</c:v>
                </c:pt>
                <c:pt idx="2">
                  <c:v>4.5490000000000004</c:v>
                </c:pt>
              </c:numCache>
            </c:numRef>
          </c:val>
          <c:extLst xmlns:c16r2="http://schemas.microsoft.com/office/drawing/2015/06/chart">
            <c:ext xmlns:c16="http://schemas.microsoft.com/office/drawing/2014/chart" uri="{C3380CC4-5D6E-409C-BE32-E72D297353CC}">
              <c16:uniqueId val="{00000007-7B0A-4081-9D18-C5F8B66A45C5}"/>
            </c:ext>
          </c:extLst>
        </c:ser>
        <c:ser>
          <c:idx val="8"/>
          <c:order val="8"/>
          <c:tx>
            <c:strRef>
              <c:f>Summary!$C$348</c:f>
              <c:strCache>
                <c:ptCount val="1"/>
                <c:pt idx="0">
                  <c:v>Autres (MM)</c:v>
                </c:pt>
              </c:strCache>
            </c:strRef>
          </c:tx>
          <c:spPr>
            <a:solidFill>
              <a:srgbClr val="FFC000"/>
            </a:solidFill>
            <a:ln>
              <a:solidFill>
                <a:srgbClr val="FFFF00"/>
              </a:solidFill>
            </a:ln>
          </c:spPr>
          <c:invertIfNegative val="0"/>
          <c:val>
            <c:numRef>
              <c:f>Summary!$D$348:$F$348</c:f>
              <c:numCache>
                <c:formatCode>General</c:formatCode>
                <c:ptCount val="3"/>
                <c:pt idx="0">
                  <c:v>27.109000000000002</c:v>
                </c:pt>
                <c:pt idx="1">
                  <c:v>29.036999999999999</c:v>
                </c:pt>
                <c:pt idx="2">
                  <c:v>39.753999999999998</c:v>
                </c:pt>
              </c:numCache>
            </c:numRef>
          </c:val>
          <c:extLst xmlns:c16r2="http://schemas.microsoft.com/office/drawing/2015/06/chart">
            <c:ext xmlns:c16="http://schemas.microsoft.com/office/drawing/2014/chart" uri="{C3380CC4-5D6E-409C-BE32-E72D297353CC}">
              <c16:uniqueId val="{00000008-7B0A-4081-9D18-C5F8B66A45C5}"/>
            </c:ext>
          </c:extLst>
        </c:ser>
        <c:dLbls>
          <c:showLegendKey val="0"/>
          <c:showVal val="0"/>
          <c:showCatName val="0"/>
          <c:showSerName val="0"/>
          <c:showPercent val="0"/>
          <c:showBubbleSize val="0"/>
        </c:dLbls>
        <c:gapWidth val="150"/>
        <c:overlap val="100"/>
        <c:axId val="440767112"/>
        <c:axId val="440769072"/>
      </c:barChart>
      <c:catAx>
        <c:axId val="440767112"/>
        <c:scaling>
          <c:orientation val="minMax"/>
        </c:scaling>
        <c:delete val="0"/>
        <c:axPos val="b"/>
        <c:numFmt formatCode="General" sourceLinked="1"/>
        <c:majorTickMark val="none"/>
        <c:minorTickMark val="none"/>
        <c:tickLblPos val="nextTo"/>
        <c:txPr>
          <a:bodyPr/>
          <a:lstStyle/>
          <a:p>
            <a:pPr>
              <a:defRPr sz="1000" b="0">
                <a:latin typeface="Times New Roman" panose="02020603050405020304" pitchFamily="18" charset="0"/>
                <a:cs typeface="Times New Roman" panose="02020603050405020304" pitchFamily="18" charset="0"/>
              </a:defRPr>
            </a:pPr>
            <a:endParaRPr lang="fr-FR"/>
          </a:p>
        </c:txPr>
        <c:crossAx val="440769072"/>
        <c:crosses val="autoZero"/>
        <c:auto val="1"/>
        <c:lblAlgn val="ctr"/>
        <c:lblOffset val="100"/>
        <c:noMultiLvlLbl val="0"/>
      </c:catAx>
      <c:valAx>
        <c:axId val="440769072"/>
        <c:scaling>
          <c:orientation val="minMax"/>
        </c:scaling>
        <c:delete val="0"/>
        <c:axPos val="l"/>
        <c:majorGridlines>
          <c:spPr>
            <a:effectLst/>
          </c:spPr>
        </c:majorGridlines>
        <c:title>
          <c:tx>
            <c:rich>
              <a:bodyPr/>
              <a:lstStyle/>
              <a:p>
                <a:endParaRPr lang="fr-FR"/>
              </a:p>
            </c:rich>
          </c:tx>
          <c:overlay val="0"/>
        </c:title>
        <c:numFmt formatCode="General" sourceLinked="1"/>
        <c:majorTickMark val="none"/>
        <c:minorTickMark val="none"/>
        <c:tickLblPos val="nextTo"/>
        <c:spPr>
          <a:ln w="9525" cap="flat" cmpd="sng">
            <a:prstDash val="solid"/>
            <a:bevel/>
          </a:ln>
          <a:effectLst/>
        </c:spPr>
        <c:txPr>
          <a:bodyPr/>
          <a:lstStyle/>
          <a:p>
            <a:pPr>
              <a:defRPr sz="900">
                <a:latin typeface="Times New Roman" panose="02020603050405020304" pitchFamily="18" charset="0"/>
                <a:cs typeface="Times New Roman" panose="02020603050405020304" pitchFamily="18" charset="0"/>
              </a:defRPr>
            </a:pPr>
            <a:endParaRPr lang="fr-FR"/>
          </a:p>
        </c:txPr>
        <c:crossAx val="440769072"/>
        <c:crosses val="autoZero"/>
        <c:crossBetween val="midCat"/>
      </c:valAx>
    </c:plotArea>
    <c:legend>
      <c:legendPos val="r"/>
      <c:layout>
        <c:manualLayout>
          <c:xMode val="edge"/>
          <c:yMode val="edge"/>
          <c:x val="0.77994745199469606"/>
          <c:y val="7.2229320155566684E-2"/>
          <c:w val="0.19302552097827688"/>
          <c:h val="0.89554518694455543"/>
        </c:manualLayout>
      </c:layout>
      <c:overlay val="0"/>
      <c:txPr>
        <a:bodyPr/>
        <a:lstStyle/>
        <a:p>
          <a:pPr rtl="0">
            <a:defRPr>
              <a:latin typeface="Times New Roman" panose="02020603050405020304" pitchFamily="18" charset="0"/>
              <a:cs typeface="Times New Roman" panose="02020603050405020304" pitchFamily="18" charset="0"/>
            </a:defRPr>
          </a:pPr>
          <a:endParaRPr lang="fr-FR"/>
        </a:p>
      </c:txPr>
    </c:legend>
    <c:plotVisOnly val="1"/>
    <c:dispBlanksAs val="gap"/>
    <c:showDLblsOverMax val="0"/>
  </c:chart>
  <c:spPr>
    <a:ln w="15875" cmpd="sng">
      <a:solidFill>
        <a:srgbClr val="00B0F0"/>
      </a:solidFill>
    </a:ln>
  </c:sp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Feuil3!$A$4</c:f>
              <c:strCache>
                <c:ptCount val="1"/>
                <c:pt idx="0">
                  <c:v>    Ratio de mortalité maternelle (morts pour 100,000 naissances vivantes)</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Feuil3!$B$3:$H$3</c:f>
              <c:numCache>
                <c:formatCode>General</c:formatCode>
                <c:ptCount val="7"/>
                <c:pt idx="0">
                  <c:v>2016</c:v>
                </c:pt>
                <c:pt idx="1">
                  <c:v>2017</c:v>
                </c:pt>
                <c:pt idx="2">
                  <c:v>2018</c:v>
                </c:pt>
                <c:pt idx="3">
                  <c:v>2019</c:v>
                </c:pt>
                <c:pt idx="4">
                  <c:v>2020</c:v>
                </c:pt>
                <c:pt idx="5">
                  <c:v>2021</c:v>
                </c:pt>
                <c:pt idx="6">
                  <c:v>2022</c:v>
                </c:pt>
              </c:numCache>
            </c:numRef>
          </c:cat>
          <c:val>
            <c:numRef>
              <c:f>Feuil3!$B$4:$H$4</c:f>
              <c:numCache>
                <c:formatCode>General</c:formatCode>
                <c:ptCount val="7"/>
                <c:pt idx="0">
                  <c:v>614</c:v>
                </c:pt>
                <c:pt idx="1">
                  <c:v>577.52</c:v>
                </c:pt>
                <c:pt idx="2">
                  <c:v>541.64</c:v>
                </c:pt>
                <c:pt idx="3">
                  <c:v>509.11</c:v>
                </c:pt>
                <c:pt idx="4">
                  <c:v>477.35</c:v>
                </c:pt>
                <c:pt idx="5">
                  <c:v>446.11</c:v>
                </c:pt>
                <c:pt idx="6">
                  <c:v>417.38</c:v>
                </c:pt>
              </c:numCache>
            </c:numRef>
          </c:val>
          <c:smooth val="0"/>
          <c:extLst xmlns:c16r2="http://schemas.microsoft.com/office/drawing/2015/06/chart">
            <c:ext xmlns:c16="http://schemas.microsoft.com/office/drawing/2014/chart" uri="{C3380CC4-5D6E-409C-BE32-E72D297353CC}">
              <c16:uniqueId val="{00000000-0C83-43E1-9AEA-741016216B0E}"/>
            </c:ext>
          </c:extLst>
        </c:ser>
        <c:ser>
          <c:idx val="1"/>
          <c:order val="1"/>
          <c:tx>
            <c:strRef>
              <c:f>Feuil3!$A$5</c:f>
              <c:strCache>
                <c:ptCount val="1"/>
                <c:pt idx="0">
                  <c:v>    Taux de mortalité maternelle (morts pour 100,000 femmes entre 15-49 ans)</c:v>
                </c:pt>
              </c:strCache>
            </c:strRef>
          </c:tx>
          <c:spPr>
            <a:ln w="28575" cap="rnd">
              <a:solidFill>
                <a:schemeClr val="accent2"/>
              </a:solidFill>
              <a:round/>
            </a:ln>
            <a:effectLst/>
          </c:spPr>
          <c:marker>
            <c:symbol val="none"/>
          </c:marker>
          <c:cat>
            <c:numRef>
              <c:f>Feuil3!$B$3:$H$3</c:f>
              <c:numCache>
                <c:formatCode>General</c:formatCode>
                <c:ptCount val="7"/>
                <c:pt idx="0">
                  <c:v>2016</c:v>
                </c:pt>
                <c:pt idx="1">
                  <c:v>2017</c:v>
                </c:pt>
                <c:pt idx="2">
                  <c:v>2018</c:v>
                </c:pt>
                <c:pt idx="3">
                  <c:v>2019</c:v>
                </c:pt>
                <c:pt idx="4">
                  <c:v>2020</c:v>
                </c:pt>
                <c:pt idx="5">
                  <c:v>2021</c:v>
                </c:pt>
                <c:pt idx="6">
                  <c:v>2022</c:v>
                </c:pt>
              </c:numCache>
            </c:numRef>
          </c:cat>
          <c:val>
            <c:numRef>
              <c:f>Feuil3!$B$5:$H$5</c:f>
              <c:numCache>
                <c:formatCode>General</c:formatCode>
                <c:ptCount val="7"/>
                <c:pt idx="0">
                  <c:v>96.88</c:v>
                </c:pt>
                <c:pt idx="1">
                  <c:v>87.08</c:v>
                </c:pt>
                <c:pt idx="2">
                  <c:v>76.66</c:v>
                </c:pt>
                <c:pt idx="3">
                  <c:v>67.38</c:v>
                </c:pt>
                <c:pt idx="4">
                  <c:v>58.88</c:v>
                </c:pt>
                <c:pt idx="5">
                  <c:v>51.15</c:v>
                </c:pt>
                <c:pt idx="6">
                  <c:v>44.33</c:v>
                </c:pt>
              </c:numCache>
            </c:numRef>
          </c:val>
          <c:smooth val="0"/>
          <c:extLst xmlns:c16r2="http://schemas.microsoft.com/office/drawing/2015/06/chart">
            <c:ext xmlns:c16="http://schemas.microsoft.com/office/drawing/2014/chart" uri="{C3380CC4-5D6E-409C-BE32-E72D297353CC}">
              <c16:uniqueId val="{00000001-0C83-43E1-9AEA-741016216B0E}"/>
            </c:ext>
          </c:extLst>
        </c:ser>
        <c:ser>
          <c:idx val="2"/>
          <c:order val="2"/>
          <c:tx>
            <c:strRef>
              <c:f>Feuil3!$A$6</c:f>
              <c:strCache>
                <c:ptCount val="1"/>
                <c:pt idx="0">
                  <c:v>    Taux de mortalité néonatale (morts pour 1 000 naissances)</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Feuil3!$B$3:$H$3</c:f>
              <c:numCache>
                <c:formatCode>General</c:formatCode>
                <c:ptCount val="7"/>
                <c:pt idx="0">
                  <c:v>2016</c:v>
                </c:pt>
                <c:pt idx="1">
                  <c:v>2017</c:v>
                </c:pt>
                <c:pt idx="2">
                  <c:v>2018</c:v>
                </c:pt>
                <c:pt idx="3">
                  <c:v>2019</c:v>
                </c:pt>
                <c:pt idx="4">
                  <c:v>2020</c:v>
                </c:pt>
                <c:pt idx="5">
                  <c:v>2021</c:v>
                </c:pt>
                <c:pt idx="6">
                  <c:v>2022</c:v>
                </c:pt>
              </c:numCache>
            </c:numRef>
          </c:cat>
          <c:val>
            <c:numRef>
              <c:f>Feuil3!$B$6:$H$6</c:f>
              <c:numCache>
                <c:formatCode>General</c:formatCode>
                <c:ptCount val="7"/>
                <c:pt idx="0">
                  <c:v>34.11</c:v>
                </c:pt>
                <c:pt idx="1">
                  <c:v>31.27</c:v>
                </c:pt>
                <c:pt idx="2">
                  <c:v>28.61</c:v>
                </c:pt>
                <c:pt idx="3">
                  <c:v>26.1</c:v>
                </c:pt>
                <c:pt idx="4">
                  <c:v>23.75</c:v>
                </c:pt>
                <c:pt idx="5">
                  <c:v>22.19</c:v>
                </c:pt>
                <c:pt idx="6">
                  <c:v>20.97</c:v>
                </c:pt>
              </c:numCache>
            </c:numRef>
          </c:val>
          <c:smooth val="0"/>
          <c:extLst xmlns:c16r2="http://schemas.microsoft.com/office/drawing/2015/06/chart">
            <c:ext xmlns:c16="http://schemas.microsoft.com/office/drawing/2014/chart" uri="{C3380CC4-5D6E-409C-BE32-E72D297353CC}">
              <c16:uniqueId val="{00000002-0C83-43E1-9AEA-741016216B0E}"/>
            </c:ext>
          </c:extLst>
        </c:ser>
        <c:ser>
          <c:idx val="3"/>
          <c:order val="3"/>
          <c:tx>
            <c:strRef>
              <c:f>Feuil3!$A$7</c:f>
              <c:strCache>
                <c:ptCount val="1"/>
                <c:pt idx="0">
                  <c:v>    Taux de mortalité avant cinq ans (morts pour 1 000 naissances)</c:v>
                </c:pt>
              </c:strCache>
            </c:strRef>
          </c:tx>
          <c:spPr>
            <a:ln w="28575" cap="rnd">
              <a:solidFill>
                <a:schemeClr val="accent4"/>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Feuil3!$B$3:$H$3</c:f>
              <c:numCache>
                <c:formatCode>General</c:formatCode>
                <c:ptCount val="7"/>
                <c:pt idx="0">
                  <c:v>2016</c:v>
                </c:pt>
                <c:pt idx="1">
                  <c:v>2017</c:v>
                </c:pt>
                <c:pt idx="2">
                  <c:v>2018</c:v>
                </c:pt>
                <c:pt idx="3">
                  <c:v>2019</c:v>
                </c:pt>
                <c:pt idx="4">
                  <c:v>2020</c:v>
                </c:pt>
                <c:pt idx="5">
                  <c:v>2021</c:v>
                </c:pt>
                <c:pt idx="6">
                  <c:v>2022</c:v>
                </c:pt>
              </c:numCache>
            </c:numRef>
          </c:cat>
          <c:val>
            <c:numRef>
              <c:f>Feuil3!$B$7:$H$7</c:f>
              <c:numCache>
                <c:formatCode>General</c:formatCode>
                <c:ptCount val="7"/>
                <c:pt idx="0">
                  <c:v>91.8</c:v>
                </c:pt>
                <c:pt idx="1">
                  <c:v>85.04</c:v>
                </c:pt>
                <c:pt idx="2">
                  <c:v>78.92</c:v>
                </c:pt>
                <c:pt idx="3">
                  <c:v>73.16</c:v>
                </c:pt>
                <c:pt idx="4">
                  <c:v>67.84</c:v>
                </c:pt>
                <c:pt idx="5">
                  <c:v>63.28</c:v>
                </c:pt>
                <c:pt idx="6">
                  <c:v>59.02</c:v>
                </c:pt>
              </c:numCache>
            </c:numRef>
          </c:val>
          <c:smooth val="0"/>
          <c:extLst xmlns:c16r2="http://schemas.microsoft.com/office/drawing/2015/06/chart">
            <c:ext xmlns:c16="http://schemas.microsoft.com/office/drawing/2014/chart" uri="{C3380CC4-5D6E-409C-BE32-E72D297353CC}">
              <c16:uniqueId val="{00000003-0C83-43E1-9AEA-741016216B0E}"/>
            </c:ext>
          </c:extLst>
        </c:ser>
        <c:dLbls>
          <c:showLegendKey val="0"/>
          <c:showVal val="0"/>
          <c:showCatName val="0"/>
          <c:showSerName val="0"/>
          <c:showPercent val="0"/>
          <c:showBubbleSize val="0"/>
        </c:dLbls>
        <c:smooth val="0"/>
        <c:axId val="440769856"/>
        <c:axId val="440769464"/>
      </c:lineChart>
      <c:catAx>
        <c:axId val="4407698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crossAx val="440769464"/>
        <c:crosses val="autoZero"/>
        <c:auto val="1"/>
        <c:lblAlgn val="ctr"/>
        <c:lblOffset val="100"/>
        <c:noMultiLvlLbl val="0"/>
      </c:catAx>
      <c:valAx>
        <c:axId val="4407694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407698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1"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ln>
              <a:solidFill>
                <a:schemeClr val="tx1"/>
              </a:solidFill>
            </a:ln>
          </c:spPr>
          <c:dPt>
            <c:idx val="0"/>
            <c:bubble3D val="0"/>
            <c:spPr>
              <a:solidFill>
                <a:schemeClr val="accent1"/>
              </a:solidFill>
              <a:ln w="19050">
                <a:solidFill>
                  <a:schemeClr val="tx1"/>
                </a:solidFill>
              </a:ln>
              <a:effectLst/>
            </c:spPr>
            <c:extLst xmlns:c16r2="http://schemas.microsoft.com/office/drawing/2015/06/chart">
              <c:ext xmlns:c16="http://schemas.microsoft.com/office/drawing/2014/chart" uri="{C3380CC4-5D6E-409C-BE32-E72D297353CC}">
                <c16:uniqueId val="{00000001-F6F4-8744-961B-CAFFF923EF84}"/>
              </c:ext>
            </c:extLst>
          </c:dPt>
          <c:dPt>
            <c:idx val="1"/>
            <c:bubble3D val="0"/>
            <c:spPr>
              <a:solidFill>
                <a:schemeClr val="accent2"/>
              </a:solidFill>
              <a:ln w="19050">
                <a:solidFill>
                  <a:schemeClr val="tx1"/>
                </a:solidFill>
              </a:ln>
              <a:effectLst/>
            </c:spPr>
            <c:extLst xmlns:c16r2="http://schemas.microsoft.com/office/drawing/2015/06/chart">
              <c:ext xmlns:c16="http://schemas.microsoft.com/office/drawing/2014/chart" uri="{C3380CC4-5D6E-409C-BE32-E72D297353CC}">
                <c16:uniqueId val="{00000003-F6F4-8744-961B-CAFFF923EF84}"/>
              </c:ext>
            </c:extLst>
          </c:dPt>
          <c:dPt>
            <c:idx val="2"/>
            <c:bubble3D val="0"/>
            <c:spPr>
              <a:solidFill>
                <a:schemeClr val="accent3"/>
              </a:solidFill>
              <a:ln w="19050">
                <a:solidFill>
                  <a:schemeClr val="tx1"/>
                </a:solidFill>
              </a:ln>
              <a:effectLst/>
            </c:spPr>
            <c:extLst xmlns:c16r2="http://schemas.microsoft.com/office/drawing/2015/06/chart">
              <c:ext xmlns:c16="http://schemas.microsoft.com/office/drawing/2014/chart" uri="{C3380CC4-5D6E-409C-BE32-E72D297353CC}">
                <c16:uniqueId val="{00000005-F6F4-8744-961B-CAFFF923EF84}"/>
              </c:ext>
            </c:extLst>
          </c:dPt>
          <c:dPt>
            <c:idx val="3"/>
            <c:bubble3D val="0"/>
            <c:spPr>
              <a:solidFill>
                <a:schemeClr val="accent4"/>
              </a:solidFill>
              <a:ln w="19050">
                <a:solidFill>
                  <a:schemeClr val="tx1"/>
                </a:solidFill>
              </a:ln>
              <a:effectLst/>
            </c:spPr>
            <c:extLst xmlns:c16r2="http://schemas.microsoft.com/office/drawing/2015/06/chart">
              <c:ext xmlns:c16="http://schemas.microsoft.com/office/drawing/2014/chart" uri="{C3380CC4-5D6E-409C-BE32-E72D297353CC}">
                <c16:uniqueId val="{00000007-F6F4-8744-961B-CAFFF923EF84}"/>
              </c:ext>
            </c:extLst>
          </c:dPt>
          <c:dPt>
            <c:idx val="4"/>
            <c:bubble3D val="0"/>
            <c:spPr>
              <a:solidFill>
                <a:schemeClr val="accent5"/>
              </a:solidFill>
              <a:ln w="19050">
                <a:solidFill>
                  <a:schemeClr val="tx1"/>
                </a:solidFill>
              </a:ln>
              <a:effectLst/>
            </c:spPr>
            <c:extLst xmlns:c16r2="http://schemas.microsoft.com/office/drawing/2015/06/chart">
              <c:ext xmlns:c16="http://schemas.microsoft.com/office/drawing/2014/chart" uri="{C3380CC4-5D6E-409C-BE32-E72D297353CC}">
                <c16:uniqueId val="{00000009-F6F4-8744-961B-CAFFF923EF84}"/>
              </c:ext>
            </c:extLst>
          </c:dPt>
          <c:dPt>
            <c:idx val="5"/>
            <c:bubble3D val="0"/>
            <c:spPr>
              <a:solidFill>
                <a:schemeClr val="accent6"/>
              </a:solidFill>
              <a:ln w="19050">
                <a:solidFill>
                  <a:schemeClr val="tx1"/>
                </a:solidFill>
              </a:ln>
              <a:effectLst/>
            </c:spPr>
            <c:extLst xmlns:c16r2="http://schemas.microsoft.com/office/drawing/2015/06/chart">
              <c:ext xmlns:c16="http://schemas.microsoft.com/office/drawing/2014/chart" uri="{C3380CC4-5D6E-409C-BE32-E72D297353CC}">
                <c16:uniqueId val="{0000000B-F6F4-8744-961B-CAFFF923EF84}"/>
              </c:ext>
            </c:extLst>
          </c:dPt>
          <c:dPt>
            <c:idx val="6"/>
            <c:bubble3D val="0"/>
            <c:spPr>
              <a:solidFill>
                <a:schemeClr val="accent1">
                  <a:lumMod val="6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0D-F6F4-8744-961B-CAFFF923EF84}"/>
              </c:ext>
            </c:extLst>
          </c:dPt>
          <c:dPt>
            <c:idx val="7"/>
            <c:bubble3D val="0"/>
            <c:spPr>
              <a:solidFill>
                <a:schemeClr val="accent2">
                  <a:lumMod val="6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0F-F6F4-8744-961B-CAFFF923EF84}"/>
              </c:ext>
            </c:extLst>
          </c:dPt>
          <c:dPt>
            <c:idx val="8"/>
            <c:bubble3D val="0"/>
            <c:spPr>
              <a:solidFill>
                <a:schemeClr val="accent3">
                  <a:lumMod val="6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11-F6F4-8744-961B-CAFFF923EF84}"/>
              </c:ext>
            </c:extLst>
          </c:dPt>
          <c:dPt>
            <c:idx val="9"/>
            <c:bubble3D val="0"/>
            <c:spPr>
              <a:solidFill>
                <a:schemeClr val="accent4">
                  <a:lumMod val="6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13-F6F4-8744-961B-CAFFF923EF84}"/>
              </c:ext>
            </c:extLst>
          </c:dPt>
          <c:dPt>
            <c:idx val="10"/>
            <c:bubble3D val="0"/>
            <c:spPr>
              <a:solidFill>
                <a:schemeClr val="accent5">
                  <a:lumMod val="6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15-F6F4-8744-961B-CAFFF923EF84}"/>
              </c:ext>
            </c:extLst>
          </c:dPt>
          <c:dPt>
            <c:idx val="11"/>
            <c:bubble3D val="0"/>
            <c:spPr>
              <a:solidFill>
                <a:schemeClr val="accent6">
                  <a:lumMod val="6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17-F6F4-8744-961B-CAFFF923EF84}"/>
              </c:ext>
            </c:extLst>
          </c:dPt>
          <c:dPt>
            <c:idx val="12"/>
            <c:bubble3D val="0"/>
            <c:spPr>
              <a:solidFill>
                <a:schemeClr val="accent1">
                  <a:lumMod val="80000"/>
                  <a:lumOff val="2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19-F6F4-8744-961B-CAFFF923EF84}"/>
              </c:ext>
            </c:extLst>
          </c:dPt>
          <c:dPt>
            <c:idx val="13"/>
            <c:bubble3D val="0"/>
            <c:spPr>
              <a:solidFill>
                <a:schemeClr val="accent2">
                  <a:lumMod val="80000"/>
                  <a:lumOff val="2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1B-F6F4-8744-961B-CAFFF923EF84}"/>
              </c:ext>
            </c:extLst>
          </c:dPt>
          <c:dPt>
            <c:idx val="14"/>
            <c:bubble3D val="0"/>
            <c:spPr>
              <a:solidFill>
                <a:schemeClr val="accent3">
                  <a:lumMod val="80000"/>
                  <a:lumOff val="2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1D-F6F4-8744-961B-CAFFF923EF84}"/>
              </c:ext>
            </c:extLst>
          </c:dPt>
          <c:dPt>
            <c:idx val="15"/>
            <c:bubble3D val="0"/>
            <c:spPr>
              <a:solidFill>
                <a:schemeClr val="accent4">
                  <a:lumMod val="80000"/>
                  <a:lumOff val="2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1F-F6F4-8744-961B-CAFFF923EF84}"/>
              </c:ext>
            </c:extLst>
          </c:dPt>
          <c:dPt>
            <c:idx val="16"/>
            <c:bubble3D val="0"/>
            <c:spPr>
              <a:solidFill>
                <a:schemeClr val="accent5">
                  <a:lumMod val="80000"/>
                  <a:lumOff val="2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21-F6F4-8744-961B-CAFFF923EF84}"/>
              </c:ext>
            </c:extLst>
          </c:dPt>
          <c:dPt>
            <c:idx val="17"/>
            <c:bubble3D val="0"/>
            <c:spPr>
              <a:solidFill>
                <a:schemeClr val="accent6">
                  <a:lumMod val="80000"/>
                  <a:lumOff val="2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23-F6F4-8744-961B-CAFFF923EF84}"/>
              </c:ext>
            </c:extLst>
          </c:dPt>
          <c:dPt>
            <c:idx val="18"/>
            <c:bubble3D val="0"/>
            <c:spPr>
              <a:solidFill>
                <a:schemeClr val="accent1">
                  <a:lumMod val="8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25-F6F4-8744-961B-CAFFF923EF84}"/>
              </c:ext>
            </c:extLst>
          </c:dPt>
          <c:dPt>
            <c:idx val="19"/>
            <c:bubble3D val="0"/>
            <c:spPr>
              <a:solidFill>
                <a:schemeClr val="accent2">
                  <a:lumMod val="8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27-F6F4-8744-961B-CAFFF923EF84}"/>
              </c:ext>
            </c:extLst>
          </c:dPt>
          <c:dPt>
            <c:idx val="20"/>
            <c:bubble3D val="0"/>
            <c:spPr>
              <a:solidFill>
                <a:schemeClr val="accent3">
                  <a:lumMod val="8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29-F6F4-8744-961B-CAFFF923EF84}"/>
              </c:ext>
            </c:extLst>
          </c:dPt>
          <c:dPt>
            <c:idx val="21"/>
            <c:bubble3D val="0"/>
            <c:spPr>
              <a:solidFill>
                <a:schemeClr val="accent4">
                  <a:lumMod val="8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2B-F6F4-8744-961B-CAFFF923EF84}"/>
              </c:ext>
            </c:extLst>
          </c:dPt>
          <c:dPt>
            <c:idx val="22"/>
            <c:bubble3D val="0"/>
            <c:spPr>
              <a:solidFill>
                <a:schemeClr val="accent5">
                  <a:lumMod val="80000"/>
                </a:schemeClr>
              </a:solidFill>
              <a:ln w="19050">
                <a:solidFill>
                  <a:schemeClr val="tx1"/>
                </a:solidFill>
              </a:ln>
              <a:effectLst/>
            </c:spPr>
            <c:extLst xmlns:c16r2="http://schemas.microsoft.com/office/drawing/2015/06/chart">
              <c:ext xmlns:c16="http://schemas.microsoft.com/office/drawing/2014/chart" uri="{C3380CC4-5D6E-409C-BE32-E72D297353CC}">
                <c16:uniqueId val="{0000002D-F6F4-8744-961B-CAFFF923EF84}"/>
              </c:ext>
            </c:extLst>
          </c:dPt>
          <c:cat>
            <c:strRef>
              <c:f>Total!$C$35:$C$57</c:f>
              <c:strCache>
                <c:ptCount val="23"/>
                <c:pt idx="0">
                  <c:v> MSHP </c:v>
                </c:pt>
                <c:pt idx="1">
                  <c:v> Fonds Mondial </c:v>
                </c:pt>
                <c:pt idx="2">
                  <c:v> USAID </c:v>
                </c:pt>
                <c:pt idx="3">
                  <c:v> AFD </c:v>
                </c:pt>
                <c:pt idx="4">
                  <c:v> Gavi </c:v>
                </c:pt>
                <c:pt idx="5">
                  <c:v> Banque mondiale </c:v>
                </c:pt>
                <c:pt idx="6">
                  <c:v> PAM </c:v>
                </c:pt>
                <c:pt idx="7">
                  <c:v> UNFPA, Koica, Muskoka </c:v>
                </c:pt>
                <c:pt idx="8">
                  <c:v> KfW </c:v>
                </c:pt>
                <c:pt idx="9">
                  <c:v> C2D </c:v>
                </c:pt>
                <c:pt idx="10">
                  <c:v> CDC (GHSA) </c:v>
                </c:pt>
                <c:pt idx="11">
                  <c:v> Initiative 5% / MEAE </c:v>
                </c:pt>
                <c:pt idx="12">
                  <c:v> OMS </c:v>
                </c:pt>
                <c:pt idx="13">
                  <c:v> Union Europenne </c:v>
                </c:pt>
                <c:pt idx="14">
                  <c:v> Fonds Canadien </c:v>
                </c:pt>
                <c:pt idx="15">
                  <c:v> ACF International </c:v>
                </c:pt>
                <c:pt idx="16">
                  <c:v> ONUSIDA </c:v>
                </c:pt>
                <c:pt idx="17">
                  <c:v> CDC/PEPFAR et ONUSIDA </c:v>
                </c:pt>
                <c:pt idx="18">
                  <c:v> Muskoka 2018 </c:v>
                </c:pt>
                <c:pt idx="19">
                  <c:v> Muskoka 2016 </c:v>
                </c:pt>
                <c:pt idx="20">
                  <c:v> ONUSIDA/USAID </c:v>
                </c:pt>
                <c:pt idx="21">
                  <c:v> Muskoka 2017 </c:v>
                </c:pt>
                <c:pt idx="22">
                  <c:v> CDC </c:v>
                </c:pt>
              </c:strCache>
            </c:strRef>
          </c:cat>
          <c:val>
            <c:numRef>
              <c:f>Total!$D$35:$D$57</c:f>
              <c:numCache>
                <c:formatCode>_(* #,##0_);_(* \(#,##0\);_(* "-"??_);_(@_)</c:formatCode>
                <c:ptCount val="23"/>
                <c:pt idx="0">
                  <c:v>801255887136</c:v>
                </c:pt>
                <c:pt idx="1">
                  <c:v>255462705408.80069</c:v>
                </c:pt>
                <c:pt idx="2">
                  <c:v>162536475465.36731</c:v>
                </c:pt>
                <c:pt idx="3">
                  <c:v>117631401426</c:v>
                </c:pt>
                <c:pt idx="4">
                  <c:v>74287121072.066467</c:v>
                </c:pt>
                <c:pt idx="5">
                  <c:v>55189393556.443207</c:v>
                </c:pt>
                <c:pt idx="6">
                  <c:v>42338843138.093765</c:v>
                </c:pt>
                <c:pt idx="7">
                  <c:v>23309679800</c:v>
                </c:pt>
                <c:pt idx="8">
                  <c:v>13271015000</c:v>
                </c:pt>
                <c:pt idx="9">
                  <c:v>7020926714.6048355</c:v>
                </c:pt>
                <c:pt idx="10">
                  <c:v>5740559550</c:v>
                </c:pt>
                <c:pt idx="11">
                  <c:v>3240344285</c:v>
                </c:pt>
                <c:pt idx="12">
                  <c:v>3169671300.5</c:v>
                </c:pt>
                <c:pt idx="13">
                  <c:v>1316347128</c:v>
                </c:pt>
                <c:pt idx="14">
                  <c:v>1116500000</c:v>
                </c:pt>
                <c:pt idx="15">
                  <c:v>1071000000</c:v>
                </c:pt>
                <c:pt idx="16">
                  <c:v>546153000</c:v>
                </c:pt>
                <c:pt idx="17">
                  <c:v>479050000</c:v>
                </c:pt>
                <c:pt idx="18">
                  <c:v>254629628</c:v>
                </c:pt>
                <c:pt idx="19">
                  <c:v>123413966.5</c:v>
                </c:pt>
                <c:pt idx="20">
                  <c:v>115500000</c:v>
                </c:pt>
                <c:pt idx="21">
                  <c:v>51103365.5</c:v>
                </c:pt>
                <c:pt idx="22">
                  <c:v>42909350</c:v>
                </c:pt>
              </c:numCache>
            </c:numRef>
          </c:val>
          <c:extLst xmlns:c16r2="http://schemas.microsoft.com/office/drawing/2015/06/chart">
            <c:ext xmlns:c16="http://schemas.microsoft.com/office/drawing/2014/chart" uri="{C3380CC4-5D6E-409C-BE32-E72D297353CC}">
              <c16:uniqueId val="{0000002E-F6F4-8744-961B-CAFFF923EF84}"/>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0.5684</cdr:x>
      <cdr:y>0.06564</cdr:y>
    </cdr:from>
    <cdr:to>
      <cdr:x>0.60261</cdr:x>
      <cdr:y>0.23166</cdr:y>
    </cdr:to>
    <cdr:sp macro="" textlink="">
      <cdr:nvSpPr>
        <cdr:cNvPr id="2" name="Flèche : bas 1"/>
        <cdr:cNvSpPr/>
      </cdr:nvSpPr>
      <cdr:spPr>
        <a:xfrm xmlns:a="http://schemas.openxmlformats.org/drawingml/2006/main">
          <a:off x="3324224" y="161925"/>
          <a:ext cx="200025" cy="409575"/>
        </a:xfrm>
        <a:prstGeom xmlns:a="http://schemas.openxmlformats.org/drawingml/2006/main" prst="downArrow">
          <a:avLst/>
        </a:prstGeom>
        <a:solidFill xmlns:a="http://schemas.openxmlformats.org/drawingml/2006/main">
          <a:schemeClr val="tx1"/>
        </a:solidFill>
        <a:ln xmlns:a="http://schemas.openxmlformats.org/drawingml/2006/main">
          <a:solidFill>
            <a:schemeClr val="tx1"/>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fr-FR"/>
        </a:p>
      </cdr:txBody>
    </cdr:sp>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Thème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hème Office">
    <a:majorFont>
      <a:latin typeface="Helvetica"/>
      <a:ea typeface="Helvetica"/>
      <a:cs typeface="Helvetica"/>
    </a:majorFont>
    <a:minorFont>
      <a:latin typeface="Helvetica"/>
      <a:ea typeface="Helvetica"/>
      <a:cs typeface="Helvetica"/>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DB18A9-0B8B-4E46-9470-33867FC71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79</Pages>
  <Words>24074</Words>
  <Characters>132407</Characters>
  <Application>Microsoft Office Word</Application>
  <DocSecurity>0</DocSecurity>
  <Lines>1103</Lines>
  <Paragraphs>312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156169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Isidore</dc:creator>
  <cp:keywords/>
  <dc:description/>
  <cp:lastModifiedBy>Dr KOBENAN</cp:lastModifiedBy>
  <cp:revision>9</cp:revision>
  <dcterms:created xsi:type="dcterms:W3CDTF">2019-02-20T02:39:00Z</dcterms:created>
  <dcterms:modified xsi:type="dcterms:W3CDTF">2019-02-20T21:19:00Z</dcterms:modified>
</cp:coreProperties>
</file>