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2B2" w:rsidRDefault="00E97608" w:rsidP="001E32B2">
      <w:pPr>
        <w:numPr>
          <w:ilvl w:val="0"/>
          <w:numId w:val="1"/>
        </w:numPr>
        <w:autoSpaceDE w:val="0"/>
        <w:autoSpaceDN w:val="0"/>
        <w:adjustRightInd w:val="0"/>
        <w:spacing w:after="0" w:line="240" w:lineRule="auto"/>
        <w:contextualSpacing/>
        <w:rPr>
          <w:rFonts w:ascii="Calibri" w:eastAsia="Times New Roman" w:hAnsi="Calibri" w:cs="Times New Roman"/>
          <w:b/>
          <w:sz w:val="32"/>
          <w:szCs w:val="20"/>
          <w:lang w:bidi="en-US"/>
        </w:rPr>
      </w:pPr>
      <w:r>
        <w:rPr>
          <w:rFonts w:ascii="Calibri" w:eastAsia="Times New Roman" w:hAnsi="Calibri" w:cs="Times New Roman"/>
          <w:b/>
          <w:sz w:val="32"/>
          <w:szCs w:val="20"/>
          <w:lang w:bidi="en-US"/>
        </w:rPr>
        <w:t>Introduction</w:t>
      </w:r>
    </w:p>
    <w:p w:rsidR="00B637A9" w:rsidRPr="001E32B2" w:rsidRDefault="00B637A9" w:rsidP="00B637A9">
      <w:pPr>
        <w:autoSpaceDE w:val="0"/>
        <w:autoSpaceDN w:val="0"/>
        <w:adjustRightInd w:val="0"/>
        <w:spacing w:after="0" w:line="240" w:lineRule="auto"/>
        <w:ind w:left="360"/>
        <w:contextualSpacing/>
        <w:rPr>
          <w:rFonts w:ascii="Calibri" w:eastAsia="Times New Roman" w:hAnsi="Calibri" w:cs="Times New Roman"/>
          <w:b/>
          <w:sz w:val="32"/>
          <w:szCs w:val="20"/>
          <w:lang w:bidi="en-US"/>
        </w:rPr>
      </w:pPr>
    </w:p>
    <w:p w:rsidR="001E32B2" w:rsidRPr="001E32B2" w:rsidRDefault="001E32B2" w:rsidP="001E32B2">
      <w:pPr>
        <w:numPr>
          <w:ilvl w:val="1"/>
          <w:numId w:val="1"/>
        </w:numPr>
        <w:autoSpaceDE w:val="0"/>
        <w:autoSpaceDN w:val="0"/>
        <w:adjustRightInd w:val="0"/>
        <w:spacing w:after="0" w:line="240" w:lineRule="auto"/>
        <w:contextualSpacing/>
        <w:rPr>
          <w:rFonts w:ascii="Verdana" w:eastAsia="Times New Roman" w:hAnsi="Verdana" w:cs="Times New Roman"/>
          <w:b/>
          <w:sz w:val="21"/>
          <w:szCs w:val="21"/>
          <w:lang w:bidi="en-US"/>
        </w:rPr>
      </w:pPr>
      <w:r w:rsidRPr="001E32B2">
        <w:rPr>
          <w:rFonts w:ascii="Verdana" w:eastAsia="Times New Roman" w:hAnsi="Verdana" w:cs="Times New Roman"/>
          <w:b/>
          <w:sz w:val="21"/>
          <w:szCs w:val="21"/>
          <w:lang w:bidi="en-US"/>
        </w:rPr>
        <w:t>Contexte et justification</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 xml:space="preserve">Accroître le montant des ressources financières allouées au secteur de la santé pour mieux répondre aux besoins de soins de santé des populations est un impératif qui ne souffre aujourd’hui d’aucune contestation. Ainsi, les chefs d’Etat et de Gouvernements des pays africains ont pris l’engagement d’allouer au moins 15% du budget de l’Etat au secteur de la santé (Déclaration d’Abuja de 2001). </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Au Burkina Faso, la revue du financement public de la santé a révélé que le gouvernement burkinabé consacre des ressources budgétaires importantes au secteur de la santé (jusqu’à 6,2% du PIB entre 2010 et 2013). Ainsi, le Burkina Faso a réussi à maintenir, au cours de la période 2011-2015, un niveau de financement proche de l’objectif de la Déclaration d’Abuja (environ 12% du budget de l’Etat est alloué au ministère de la santé).</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Cependant, si l’accroissement des financements en faveur du secteur de la santé connait des améliorations, il importe de s’interroger sur l’utilisation faite de ces ressources en constante progression. En effet, cette augmentation ne peut pas à elle seule permettre d’atteindre les objectifs de santé sans des prises de décisions éclairées quant à la façon (le comment) dont ces fonds sont dépensés. C’est ainsi que la problématique de la pertinence et l’effectivité des règles d’allocation des ressources aux différents niveaux du système de santé reste posée au regard de l’évolution des exigences, des besoins en soins de santé et des efforts financiers consentis.</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Cette préoccupation a fait l’objet de réflexion lors de la Conférence « Financement de la santé en Afrique» à Dar es-Salaam, en Tanzanie, du 30 novembre au 1er décembre 2015, notamment la question de l’efficience des dépenses de santé.</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En théorie économique, « efficience » se rapporte à tout processus de production, en particulier à la relation entre les intrants (moyens ou ressources) et les extrants (produits). L’efficience allocative est l’utilisation des fonds sur les maladies représentant la plus grosse part de la charge de morbidité. Elle compare l’impact des différents services, ou forfaits de services, et donne la priorité à ceux dont les résultats sont les plus élevés. Par exemple, elle analysera si le poids relatif d’un investissement (dépense) dans les programmes de prévention et de traitement réalise les meilleurs résultats (en termes d’années de vie gagnées (pondérées par la qualité de vie).  L’efficience technique mesure au niveau de la pyramide sanitaire auquel nous intervenons, si la combinaison d’intrants que nous utilisons ainsi que les mécanismes d’allocation sont-ils à-même de maximiser l’impact sanitaire.</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L’OMS estime que 20 à 40 pour cent des dépenses de santé sont gaspillées au niveau mondial à cause de l’inefficience, ce qui met en évidence les économies considérables qui pourraient être faites. L’organisation mondiale décrit dix causes principales d’inefficience du système de santé et suggère que les décideurs qui veulent mettre l’accent sur des interventions ciblées pour améliorer l’efficience du système de santé pourraient commencer leur analyse en se concentrant sur un sous-ensemble des piliers du système de santé. Il s’agit des médicaments et fournitures médicales, des ressources humaines pour la santé et du financement de la santé (en particulier la fonction d’achat des services de santé).</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 xml:space="preserve">Au Burkina Faso, plusieurs analyses des documents référentiels, d’études et de recherche indexent la question de l’efficacité et de l’efficience dans la gestion des ressources financières allouées à la santé. Cette exigence ne peut être ignorée eu égard à l’insuffisance des ressources financières et de la relative dépendance du financement du secteur des partenaires techniques et financiers. </w:t>
      </w:r>
    </w:p>
    <w:p w:rsidR="001E32B2" w:rsidRPr="001E32B2" w:rsidRDefault="001E32B2" w:rsidP="001E32B2">
      <w:pPr>
        <w:autoSpaceDE w:val="0"/>
        <w:autoSpaceDN w:val="0"/>
        <w:adjustRightInd w:val="0"/>
        <w:spacing w:after="0" w:line="240" w:lineRule="auto"/>
        <w:jc w:val="both"/>
        <w:rPr>
          <w:rFonts w:ascii="Verdana" w:eastAsia="Calibri" w:hAnsi="Verdana" w:cs="Times New Roman"/>
          <w:sz w:val="21"/>
          <w:szCs w:val="21"/>
        </w:rPr>
      </w:pPr>
      <w:r w:rsidRPr="001E32B2">
        <w:rPr>
          <w:rFonts w:ascii="Verdana" w:eastAsia="Calibri" w:hAnsi="Verdana" w:cs="Times New Roman"/>
          <w:sz w:val="21"/>
          <w:szCs w:val="21"/>
        </w:rPr>
        <w:t xml:space="preserve">Dans un tel contexte, plusieurs interrogations se posent aux décideurs du ministère de la santé, à savoir : </w:t>
      </w:r>
    </w:p>
    <w:p w:rsidR="001E32B2" w:rsidRPr="001E32B2" w:rsidRDefault="001E32B2" w:rsidP="001E32B2">
      <w:pPr>
        <w:numPr>
          <w:ilvl w:val="0"/>
          <w:numId w:val="8"/>
        </w:numPr>
        <w:autoSpaceDE w:val="0"/>
        <w:autoSpaceDN w:val="0"/>
        <w:adjustRightInd w:val="0"/>
        <w:spacing w:after="0" w:line="240" w:lineRule="auto"/>
        <w:ind w:left="426"/>
        <w:contextualSpacing/>
        <w:jc w:val="both"/>
        <w:rPr>
          <w:rFonts w:ascii="Verdana" w:eastAsia="Times New Roman" w:hAnsi="Verdana" w:cs="Times New Roman"/>
          <w:sz w:val="21"/>
          <w:szCs w:val="21"/>
          <w:lang w:bidi="en-US"/>
        </w:rPr>
      </w:pPr>
      <w:r w:rsidRPr="001E32B2">
        <w:rPr>
          <w:rFonts w:ascii="Verdana" w:eastAsia="Times New Roman" w:hAnsi="Verdana" w:cs="Times New Roman"/>
          <w:sz w:val="21"/>
          <w:szCs w:val="21"/>
          <w:lang w:bidi="en-US"/>
        </w:rPr>
        <w:lastRenderedPageBreak/>
        <w:t xml:space="preserve">l’allocation actuelle des ressources est-elle en ligne avec les données probantes disponibles en termes de charges de morbidité ? </w:t>
      </w:r>
    </w:p>
    <w:p w:rsidR="001E32B2" w:rsidRPr="001E32B2" w:rsidRDefault="001E32B2" w:rsidP="001E32B2">
      <w:pPr>
        <w:numPr>
          <w:ilvl w:val="0"/>
          <w:numId w:val="8"/>
        </w:numPr>
        <w:autoSpaceDE w:val="0"/>
        <w:autoSpaceDN w:val="0"/>
        <w:adjustRightInd w:val="0"/>
        <w:spacing w:after="0" w:line="240" w:lineRule="auto"/>
        <w:ind w:left="426"/>
        <w:contextualSpacing/>
        <w:jc w:val="both"/>
        <w:rPr>
          <w:rFonts w:ascii="Verdana" w:eastAsia="Times New Roman" w:hAnsi="Verdana" w:cs="Times New Roman"/>
          <w:sz w:val="21"/>
          <w:szCs w:val="21"/>
          <w:lang w:bidi="en-US"/>
        </w:rPr>
      </w:pPr>
      <w:r w:rsidRPr="001E32B2">
        <w:rPr>
          <w:rFonts w:ascii="Verdana" w:eastAsia="Times New Roman" w:hAnsi="Verdana" w:cs="Times New Roman"/>
          <w:sz w:val="21"/>
          <w:szCs w:val="21"/>
          <w:lang w:bidi="en-US"/>
        </w:rPr>
        <w:t>les interventions sont-elles d’une nature propre à avoir le plus d’impact (préventif vs curatif) et dans le même esprit sont-elles orientées vers le niveau adéquat de la pyramide sanitaire (le tout au vu des expériences nationales et internationales démontrant la bonne pratique).</w:t>
      </w:r>
    </w:p>
    <w:p w:rsidR="001E32B2" w:rsidRPr="001E32B2" w:rsidRDefault="001E32B2" w:rsidP="001E32B2">
      <w:pPr>
        <w:numPr>
          <w:ilvl w:val="0"/>
          <w:numId w:val="8"/>
        </w:numPr>
        <w:autoSpaceDE w:val="0"/>
        <w:autoSpaceDN w:val="0"/>
        <w:adjustRightInd w:val="0"/>
        <w:spacing w:after="0" w:line="240" w:lineRule="auto"/>
        <w:ind w:left="426"/>
        <w:contextualSpacing/>
        <w:jc w:val="both"/>
        <w:rPr>
          <w:rFonts w:ascii="Verdana" w:eastAsia="Times New Roman" w:hAnsi="Verdana" w:cs="Times New Roman"/>
          <w:sz w:val="21"/>
          <w:szCs w:val="21"/>
          <w:lang w:bidi="en-US"/>
        </w:rPr>
      </w:pPr>
      <w:r w:rsidRPr="001E32B2">
        <w:rPr>
          <w:rFonts w:ascii="Verdana" w:eastAsia="Times New Roman" w:hAnsi="Verdana" w:cs="Times New Roman"/>
          <w:sz w:val="21"/>
          <w:szCs w:val="21"/>
          <w:lang w:bidi="en-US"/>
        </w:rPr>
        <w:t xml:space="preserve">les zones géographiques et/ou les populations étant affectées par les affections représentant la plus grosse part de la charge de morbidité sont-elles effectivement ciblées par les interventions ? </w:t>
      </w:r>
    </w:p>
    <w:p w:rsidR="001E32B2" w:rsidRDefault="001E32B2" w:rsidP="001E32B2">
      <w:pPr>
        <w:autoSpaceDE w:val="0"/>
        <w:autoSpaceDN w:val="0"/>
        <w:adjustRightInd w:val="0"/>
        <w:spacing w:after="0" w:line="240" w:lineRule="auto"/>
        <w:ind w:left="66"/>
        <w:jc w:val="both"/>
        <w:rPr>
          <w:rFonts w:ascii="Verdana" w:eastAsia="Calibri" w:hAnsi="Verdana" w:cs="Times New Roman"/>
          <w:sz w:val="21"/>
          <w:szCs w:val="21"/>
        </w:rPr>
      </w:pPr>
      <w:r w:rsidRPr="001E32B2">
        <w:rPr>
          <w:rFonts w:ascii="Verdana" w:eastAsia="Calibri" w:hAnsi="Verdana" w:cs="Times New Roman"/>
          <w:sz w:val="21"/>
          <w:szCs w:val="21"/>
        </w:rPr>
        <w:t>La présente étude se propose de répondre aux différentes préoccupations ci-dessus citées et vise à fournir aux décideurs des éléments de réponses pour une meilleure allocation des ressources financières en faveur des différents niveaux du système de santé.</w:t>
      </w:r>
    </w:p>
    <w:p w:rsidR="00B54A3D" w:rsidRPr="001E32B2" w:rsidRDefault="00B54A3D" w:rsidP="001E32B2">
      <w:pPr>
        <w:autoSpaceDE w:val="0"/>
        <w:autoSpaceDN w:val="0"/>
        <w:adjustRightInd w:val="0"/>
        <w:spacing w:after="0" w:line="240" w:lineRule="auto"/>
        <w:ind w:left="66"/>
        <w:jc w:val="both"/>
        <w:rPr>
          <w:rFonts w:ascii="Verdana" w:eastAsia="Calibri" w:hAnsi="Verdana" w:cs="Times New Roman"/>
          <w:sz w:val="21"/>
          <w:szCs w:val="21"/>
        </w:rPr>
      </w:pPr>
    </w:p>
    <w:p w:rsidR="00253060" w:rsidRPr="00253060" w:rsidRDefault="00253060" w:rsidP="00253060">
      <w:pPr>
        <w:numPr>
          <w:ilvl w:val="1"/>
          <w:numId w:val="1"/>
        </w:numPr>
        <w:autoSpaceDE w:val="0"/>
        <w:autoSpaceDN w:val="0"/>
        <w:adjustRightInd w:val="0"/>
        <w:spacing w:after="0" w:line="240" w:lineRule="auto"/>
        <w:contextualSpacing/>
        <w:rPr>
          <w:rFonts w:ascii="Verdana" w:eastAsia="Times New Roman" w:hAnsi="Verdana" w:cs="Times New Roman"/>
          <w:b/>
          <w:sz w:val="21"/>
          <w:szCs w:val="21"/>
          <w:lang w:bidi="en-US"/>
        </w:rPr>
      </w:pPr>
      <w:r w:rsidRPr="00253060">
        <w:rPr>
          <w:rFonts w:ascii="Verdana" w:eastAsia="Times New Roman" w:hAnsi="Verdana" w:cs="Times New Roman"/>
          <w:b/>
          <w:sz w:val="21"/>
          <w:szCs w:val="21"/>
          <w:lang w:bidi="en-US"/>
        </w:rPr>
        <w:t>Rappel des objectifs des TDR</w:t>
      </w:r>
    </w:p>
    <w:p w:rsidR="00253060" w:rsidRPr="00253060" w:rsidRDefault="00253060" w:rsidP="00253060">
      <w:pPr>
        <w:autoSpaceDE w:val="0"/>
        <w:autoSpaceDN w:val="0"/>
        <w:adjustRightInd w:val="0"/>
        <w:spacing w:after="0" w:line="240" w:lineRule="auto"/>
        <w:jc w:val="both"/>
        <w:rPr>
          <w:rFonts w:ascii="Verdana" w:eastAsia="Calibri" w:hAnsi="Verdana" w:cs="Times New Roman"/>
          <w:sz w:val="21"/>
          <w:szCs w:val="21"/>
        </w:rPr>
      </w:pPr>
      <w:r w:rsidRPr="00253060">
        <w:rPr>
          <w:rFonts w:ascii="Verdana" w:eastAsia="Calibri" w:hAnsi="Verdana" w:cs="Times New Roman"/>
          <w:sz w:val="21"/>
          <w:szCs w:val="21"/>
        </w:rPr>
        <w:t>L’objectif général de cette étude est d’analyser et mettre en cohérence les allocations des ressources financières avec les objectifs prioritaires du secteur de la santé ce qui permettra de fournir des données probantes pour aider à la prise de décision afin d’améliorer l’efficience allocative. De façon spécifique il s’agit de :</w:t>
      </w:r>
    </w:p>
    <w:p w:rsidR="00253060" w:rsidRPr="00253060" w:rsidRDefault="00253060" w:rsidP="00253060">
      <w:pPr>
        <w:numPr>
          <w:ilvl w:val="0"/>
          <w:numId w:val="7"/>
        </w:numPr>
        <w:autoSpaceDE w:val="0"/>
        <w:autoSpaceDN w:val="0"/>
        <w:adjustRightInd w:val="0"/>
        <w:spacing w:after="0" w:line="240" w:lineRule="auto"/>
        <w:contextualSpacing/>
        <w:jc w:val="both"/>
        <w:rPr>
          <w:rFonts w:ascii="Verdana" w:eastAsia="Times New Roman" w:hAnsi="Verdana" w:cs="Times New Roman"/>
          <w:sz w:val="21"/>
          <w:szCs w:val="21"/>
          <w:lang w:bidi="en-US"/>
        </w:rPr>
      </w:pPr>
      <w:r w:rsidRPr="00253060">
        <w:rPr>
          <w:rFonts w:ascii="Verdana" w:eastAsia="Times New Roman" w:hAnsi="Verdana" w:cs="Times New Roman"/>
          <w:sz w:val="21"/>
          <w:szCs w:val="21"/>
          <w:lang w:bidi="en-US"/>
        </w:rPr>
        <w:t>évaluer les critères d’allocations des ressources financières par le Ministère de la santé à un échantillon de structures sanitaires publiques aux différents niveaux de soins ;</w:t>
      </w:r>
    </w:p>
    <w:p w:rsidR="00253060" w:rsidRPr="00253060" w:rsidRDefault="00253060" w:rsidP="00253060">
      <w:pPr>
        <w:numPr>
          <w:ilvl w:val="0"/>
          <w:numId w:val="7"/>
        </w:numPr>
        <w:autoSpaceDE w:val="0"/>
        <w:autoSpaceDN w:val="0"/>
        <w:adjustRightInd w:val="0"/>
        <w:spacing w:after="0" w:line="240" w:lineRule="auto"/>
        <w:contextualSpacing/>
        <w:jc w:val="both"/>
        <w:rPr>
          <w:rFonts w:ascii="Verdana" w:eastAsia="Times New Roman" w:hAnsi="Verdana" w:cs="Times New Roman"/>
          <w:sz w:val="21"/>
          <w:szCs w:val="21"/>
          <w:lang w:bidi="en-US"/>
        </w:rPr>
      </w:pPr>
      <w:r w:rsidRPr="00253060">
        <w:rPr>
          <w:rFonts w:ascii="Verdana" w:eastAsia="Times New Roman" w:hAnsi="Verdana" w:cs="Times New Roman"/>
          <w:sz w:val="21"/>
          <w:szCs w:val="21"/>
          <w:lang w:bidi="en-US"/>
        </w:rPr>
        <w:t>identifier les goulots d’étranglement entravant une corrélation positive entre l’augmentation des allocations des ressources financières et les performances attendues des structures de santé ;</w:t>
      </w:r>
    </w:p>
    <w:p w:rsidR="00253060" w:rsidRPr="00253060" w:rsidRDefault="00253060" w:rsidP="00253060">
      <w:pPr>
        <w:numPr>
          <w:ilvl w:val="0"/>
          <w:numId w:val="7"/>
        </w:numPr>
        <w:autoSpaceDE w:val="0"/>
        <w:autoSpaceDN w:val="0"/>
        <w:adjustRightInd w:val="0"/>
        <w:spacing w:after="0" w:line="240" w:lineRule="auto"/>
        <w:contextualSpacing/>
        <w:jc w:val="both"/>
        <w:rPr>
          <w:rFonts w:ascii="Verdana" w:eastAsia="Times New Roman" w:hAnsi="Verdana" w:cs="Times New Roman"/>
          <w:sz w:val="21"/>
          <w:szCs w:val="21"/>
          <w:lang w:bidi="en-US"/>
        </w:rPr>
      </w:pPr>
      <w:r w:rsidRPr="00253060">
        <w:rPr>
          <w:rFonts w:ascii="Verdana" w:eastAsia="Times New Roman" w:hAnsi="Verdana" w:cs="Times New Roman"/>
          <w:sz w:val="21"/>
          <w:szCs w:val="21"/>
          <w:lang w:bidi="en-US"/>
        </w:rPr>
        <w:t>proposer des critères d’allocation des ressources financières et des clés de répartition en tenant compte des interventions à gain rapide découlant des priorités du département et des performances des structures de santé ;</w:t>
      </w:r>
    </w:p>
    <w:p w:rsidR="00253060" w:rsidRPr="00253060" w:rsidRDefault="00253060" w:rsidP="00253060">
      <w:pPr>
        <w:numPr>
          <w:ilvl w:val="0"/>
          <w:numId w:val="7"/>
        </w:numPr>
        <w:autoSpaceDE w:val="0"/>
        <w:autoSpaceDN w:val="0"/>
        <w:adjustRightInd w:val="0"/>
        <w:spacing w:after="0" w:line="240" w:lineRule="auto"/>
        <w:contextualSpacing/>
        <w:jc w:val="both"/>
        <w:rPr>
          <w:rFonts w:ascii="Verdana" w:eastAsia="Times New Roman" w:hAnsi="Verdana" w:cs="Times New Roman"/>
          <w:sz w:val="21"/>
          <w:szCs w:val="21"/>
          <w:lang w:bidi="en-US"/>
        </w:rPr>
      </w:pPr>
      <w:r w:rsidRPr="00253060">
        <w:rPr>
          <w:rFonts w:ascii="Verdana" w:eastAsia="Times New Roman" w:hAnsi="Verdana" w:cs="Times New Roman"/>
          <w:sz w:val="21"/>
          <w:szCs w:val="21"/>
          <w:lang w:bidi="en-US"/>
        </w:rPr>
        <w:t>proposer un mécanisme de suivi et d’évaluation de la corrélation entre l’augmentation des financements et les performances des services de santé.</w:t>
      </w:r>
    </w:p>
    <w:p w:rsidR="001E32B2" w:rsidRDefault="001E32B2" w:rsidP="001E32B2">
      <w:pPr>
        <w:autoSpaceDE w:val="0"/>
        <w:autoSpaceDN w:val="0"/>
        <w:adjustRightInd w:val="0"/>
        <w:spacing w:after="0" w:line="240" w:lineRule="auto"/>
        <w:jc w:val="both"/>
        <w:rPr>
          <w:rFonts w:ascii="Verdana" w:eastAsia="Times New Roman" w:hAnsi="Verdana" w:cs="Times New Roman"/>
          <w:sz w:val="21"/>
          <w:szCs w:val="21"/>
          <w:lang w:bidi="en-US"/>
        </w:rPr>
      </w:pPr>
    </w:p>
    <w:p w:rsidR="00E97608" w:rsidRPr="00122F75" w:rsidRDefault="00E97608" w:rsidP="00E97608">
      <w:pPr>
        <w:numPr>
          <w:ilvl w:val="0"/>
          <w:numId w:val="1"/>
        </w:numPr>
        <w:autoSpaceDE w:val="0"/>
        <w:autoSpaceDN w:val="0"/>
        <w:adjustRightInd w:val="0"/>
        <w:spacing w:after="0" w:line="240" w:lineRule="auto"/>
        <w:contextualSpacing/>
        <w:rPr>
          <w:rFonts w:ascii="Calibri" w:eastAsia="Times New Roman" w:hAnsi="Calibri" w:cs="Times New Roman"/>
          <w:b/>
          <w:sz w:val="32"/>
          <w:szCs w:val="20"/>
          <w:lang w:bidi="en-US"/>
        </w:rPr>
      </w:pPr>
      <w:r w:rsidRPr="00122F75">
        <w:rPr>
          <w:rFonts w:ascii="Calibri" w:eastAsia="Times New Roman" w:hAnsi="Calibri" w:cs="Times New Roman"/>
          <w:b/>
          <w:sz w:val="32"/>
          <w:szCs w:val="20"/>
          <w:lang w:bidi="en-US"/>
        </w:rPr>
        <w:t xml:space="preserve">Méthodologie </w:t>
      </w:r>
    </w:p>
    <w:p w:rsidR="00E97608" w:rsidRDefault="00E97608" w:rsidP="00E97608">
      <w:pPr>
        <w:spacing w:after="0"/>
        <w:jc w:val="both"/>
        <w:rPr>
          <w:rFonts w:ascii="Verdana" w:eastAsia="Times New Roman" w:hAnsi="Verdana" w:cs="Times New Roman"/>
          <w:color w:val="000000"/>
          <w:sz w:val="21"/>
          <w:szCs w:val="21"/>
          <w:lang w:eastAsia="fr-FR"/>
        </w:rPr>
      </w:pPr>
      <w:r w:rsidRPr="00122F75">
        <w:rPr>
          <w:rFonts w:ascii="Verdana" w:eastAsia="Times New Roman" w:hAnsi="Verdana" w:cs="Times New Roman"/>
          <w:color w:val="000000"/>
          <w:sz w:val="21"/>
          <w:szCs w:val="21"/>
          <w:lang w:eastAsia="fr-FR"/>
        </w:rPr>
        <w:t>La méthodologie de cette étude sera basée sur une approche participative et interactive tout au long du processus de récolte et d’analyse des données. Afin d’atteindre les objectifs assignés à cette mission notre démarche sera participative mettant au cœur de l’action l’ensemble des parties prenantes de l’allocation des ressources financières au secteur de la santé, les décideurs de l’allocation des ressources, les acteurs bénéficiaires chargés de la mise en œuvre des programmes et des interventions au bénéfice de la population. La méthodologie sera à prédominance qualitative permettant de recueillir à la fois les données qualitatives et quantitatives sur les deux principales composantes de l’étude que sont l’analyse de la situation et la partie prospective</w:t>
      </w:r>
      <w:r>
        <w:rPr>
          <w:rFonts w:ascii="Verdana" w:eastAsia="Times New Roman" w:hAnsi="Verdana" w:cs="Times New Roman"/>
          <w:color w:val="000000"/>
          <w:sz w:val="21"/>
          <w:szCs w:val="21"/>
          <w:lang w:eastAsia="fr-FR"/>
        </w:rPr>
        <w:t>.</w:t>
      </w:r>
    </w:p>
    <w:p w:rsidR="00E97608" w:rsidRDefault="00E97608" w:rsidP="00E97608">
      <w:pPr>
        <w:spacing w:after="0"/>
        <w:jc w:val="both"/>
        <w:rPr>
          <w:rFonts w:ascii="Verdana" w:eastAsia="Times New Roman" w:hAnsi="Verdana" w:cs="Times New Roman"/>
          <w:color w:val="000000"/>
          <w:sz w:val="21"/>
          <w:szCs w:val="21"/>
          <w:lang w:eastAsia="fr-FR"/>
        </w:rPr>
      </w:pPr>
      <w:r>
        <w:rPr>
          <w:rFonts w:ascii="Verdana" w:eastAsia="Times New Roman" w:hAnsi="Verdana" w:cs="Times New Roman"/>
          <w:color w:val="000000"/>
          <w:sz w:val="21"/>
          <w:szCs w:val="21"/>
          <w:lang w:eastAsia="fr-FR"/>
        </w:rPr>
        <w:t xml:space="preserve"> </w:t>
      </w:r>
    </w:p>
    <w:p w:rsidR="00E97608" w:rsidRPr="00461F34" w:rsidRDefault="00E97608" w:rsidP="00E97608">
      <w:pPr>
        <w:numPr>
          <w:ilvl w:val="1"/>
          <w:numId w:val="1"/>
        </w:numPr>
        <w:autoSpaceDE w:val="0"/>
        <w:autoSpaceDN w:val="0"/>
        <w:adjustRightInd w:val="0"/>
        <w:spacing w:after="0" w:line="240" w:lineRule="auto"/>
        <w:contextualSpacing/>
        <w:rPr>
          <w:rFonts w:ascii="Verdana" w:eastAsia="Times New Roman" w:hAnsi="Verdana" w:cs="Times New Roman"/>
          <w:b/>
          <w:bCs/>
          <w:color w:val="000000"/>
          <w:sz w:val="21"/>
          <w:szCs w:val="21"/>
          <w:lang w:eastAsia="fr-FR"/>
        </w:rPr>
      </w:pPr>
      <w:r w:rsidRPr="00461F34">
        <w:rPr>
          <w:rFonts w:ascii="Verdana" w:eastAsia="Times New Roman" w:hAnsi="Verdana" w:cs="Times New Roman"/>
          <w:b/>
          <w:bCs/>
          <w:color w:val="000000"/>
          <w:sz w:val="21"/>
          <w:szCs w:val="21"/>
          <w:lang w:eastAsia="fr-FR"/>
        </w:rPr>
        <w:t>Analyse de la situation</w:t>
      </w:r>
    </w:p>
    <w:p w:rsidR="00E97608" w:rsidRDefault="00E97608" w:rsidP="00E97608">
      <w:pPr>
        <w:spacing w:after="0"/>
        <w:jc w:val="both"/>
        <w:rPr>
          <w:rFonts w:ascii="Verdana" w:eastAsia="Times New Roman" w:hAnsi="Verdana" w:cs="Times New Roman"/>
          <w:color w:val="000000"/>
          <w:sz w:val="21"/>
          <w:szCs w:val="21"/>
          <w:lang w:eastAsia="fr-FR"/>
        </w:rPr>
      </w:pPr>
      <w:r>
        <w:rPr>
          <w:rFonts w:ascii="Verdana" w:eastAsia="Times New Roman" w:hAnsi="Verdana" w:cs="Times New Roman"/>
          <w:color w:val="000000"/>
          <w:sz w:val="21"/>
          <w:szCs w:val="21"/>
          <w:lang w:eastAsia="fr-FR"/>
        </w:rPr>
        <w:t xml:space="preserve">Deux techniques seront utilisées </w:t>
      </w:r>
      <w:r w:rsidR="00003A6B">
        <w:rPr>
          <w:rFonts w:ascii="Verdana" w:eastAsia="Times New Roman" w:hAnsi="Verdana" w:cs="Times New Roman"/>
          <w:color w:val="000000"/>
          <w:sz w:val="21"/>
          <w:szCs w:val="21"/>
          <w:lang w:eastAsia="fr-FR"/>
        </w:rPr>
        <w:t>pour la collecte des données relatives à l’analyse de la situation</w:t>
      </w:r>
      <w:r>
        <w:rPr>
          <w:rFonts w:ascii="Verdana" w:eastAsia="Times New Roman" w:hAnsi="Verdana" w:cs="Times New Roman"/>
          <w:color w:val="000000"/>
          <w:sz w:val="21"/>
          <w:szCs w:val="21"/>
          <w:lang w:eastAsia="fr-FR"/>
        </w:rPr>
        <w:t>: la revue documentaire et l’interview.</w:t>
      </w:r>
    </w:p>
    <w:p w:rsidR="00E97608" w:rsidRPr="00122F75" w:rsidRDefault="00E97608" w:rsidP="00E97608">
      <w:pPr>
        <w:numPr>
          <w:ilvl w:val="2"/>
          <w:numId w:val="1"/>
        </w:numPr>
        <w:autoSpaceDE w:val="0"/>
        <w:autoSpaceDN w:val="0"/>
        <w:adjustRightInd w:val="0"/>
        <w:spacing w:after="0" w:line="240" w:lineRule="auto"/>
        <w:contextualSpacing/>
        <w:rPr>
          <w:rFonts w:ascii="Verdana" w:eastAsia="Times New Roman" w:hAnsi="Verdana" w:cs="Times New Roman"/>
          <w:b/>
          <w:bCs/>
          <w:color w:val="000000"/>
          <w:sz w:val="21"/>
          <w:szCs w:val="21"/>
          <w:lang w:eastAsia="fr-FR"/>
        </w:rPr>
      </w:pPr>
      <w:r w:rsidRPr="00122F75">
        <w:rPr>
          <w:rFonts w:ascii="Verdana" w:eastAsia="Times New Roman" w:hAnsi="Verdana" w:cs="Times New Roman"/>
          <w:b/>
          <w:bCs/>
          <w:color w:val="000000"/>
          <w:sz w:val="21"/>
          <w:szCs w:val="21"/>
          <w:lang w:eastAsia="fr-FR"/>
        </w:rPr>
        <w:t>Revue documentaire</w:t>
      </w:r>
    </w:p>
    <w:p w:rsidR="00E97608" w:rsidRPr="00122F75" w:rsidRDefault="00E97608" w:rsidP="00E97608">
      <w:pPr>
        <w:spacing w:after="0" w:line="240" w:lineRule="auto"/>
        <w:jc w:val="both"/>
        <w:rPr>
          <w:rFonts w:ascii="Verdana" w:eastAsia="Times New Roman" w:hAnsi="Verdana" w:cs="Times New Roman"/>
          <w:color w:val="000000"/>
          <w:sz w:val="21"/>
          <w:szCs w:val="21"/>
          <w:lang w:eastAsia="fr-FR"/>
        </w:rPr>
      </w:pPr>
      <w:r w:rsidRPr="00122F75">
        <w:rPr>
          <w:rFonts w:ascii="Verdana" w:eastAsia="Times New Roman" w:hAnsi="Verdana" w:cs="Times New Roman"/>
          <w:color w:val="000000"/>
          <w:sz w:val="21"/>
          <w:szCs w:val="21"/>
          <w:lang w:eastAsia="fr-FR"/>
        </w:rPr>
        <w:t xml:space="preserve">La revue documentaire va concerner autant l’exploitation des données nationales qu’internationales. </w:t>
      </w:r>
      <w:r w:rsidR="00B712B1">
        <w:rPr>
          <w:rFonts w:ascii="Verdana" w:eastAsia="Times New Roman" w:hAnsi="Verdana" w:cs="Times New Roman"/>
          <w:color w:val="000000"/>
          <w:sz w:val="21"/>
          <w:szCs w:val="21"/>
          <w:lang w:eastAsia="fr-FR"/>
        </w:rPr>
        <w:t>L’exploitation des données</w:t>
      </w:r>
      <w:r w:rsidRPr="00122F75">
        <w:rPr>
          <w:rFonts w:ascii="Verdana" w:eastAsia="Times New Roman" w:hAnsi="Verdana" w:cs="Times New Roman"/>
          <w:color w:val="000000"/>
          <w:sz w:val="21"/>
          <w:szCs w:val="21"/>
          <w:lang w:eastAsia="fr-FR"/>
        </w:rPr>
        <w:t xml:space="preserve"> nation</w:t>
      </w:r>
      <w:r w:rsidR="00B712B1">
        <w:rPr>
          <w:rFonts w:ascii="Verdana" w:eastAsia="Times New Roman" w:hAnsi="Verdana" w:cs="Times New Roman"/>
          <w:color w:val="000000"/>
          <w:sz w:val="21"/>
          <w:szCs w:val="21"/>
          <w:lang w:eastAsia="fr-FR"/>
        </w:rPr>
        <w:t>ales</w:t>
      </w:r>
      <w:r w:rsidRPr="00122F75">
        <w:rPr>
          <w:rFonts w:ascii="Verdana" w:eastAsia="Times New Roman" w:hAnsi="Verdana" w:cs="Times New Roman"/>
          <w:color w:val="000000"/>
          <w:sz w:val="21"/>
          <w:szCs w:val="21"/>
          <w:lang w:eastAsia="fr-FR"/>
        </w:rPr>
        <w:t xml:space="preserve"> permettr</w:t>
      </w:r>
      <w:r w:rsidR="00B712B1">
        <w:rPr>
          <w:rFonts w:ascii="Verdana" w:eastAsia="Times New Roman" w:hAnsi="Verdana" w:cs="Times New Roman"/>
          <w:color w:val="000000"/>
          <w:sz w:val="21"/>
          <w:szCs w:val="21"/>
          <w:lang w:eastAsia="fr-FR"/>
        </w:rPr>
        <w:t>a</w:t>
      </w:r>
      <w:r w:rsidRPr="00122F75">
        <w:rPr>
          <w:rFonts w:ascii="Verdana" w:eastAsia="Times New Roman" w:hAnsi="Verdana" w:cs="Times New Roman"/>
          <w:color w:val="000000"/>
          <w:sz w:val="21"/>
          <w:szCs w:val="21"/>
          <w:lang w:eastAsia="fr-FR"/>
        </w:rPr>
        <w:t xml:space="preserve"> de récolter des informations au sein des différents démembrements du ministère de la santé, des autres ministères et institutions intervenant dans le financement du secteur de la santé ou ceux qui apportent des appuis budgétaires ou des appuis ciblés.  Tous les textes de loi, décrets, les décisions et arrêtés ministériels, les notes techniques, les </w:t>
      </w:r>
      <w:r w:rsidRPr="00122F75">
        <w:rPr>
          <w:rFonts w:ascii="Verdana" w:eastAsia="Times New Roman" w:hAnsi="Verdana" w:cs="Times New Roman"/>
          <w:color w:val="000000"/>
          <w:sz w:val="21"/>
          <w:szCs w:val="21"/>
          <w:lang w:eastAsia="fr-FR"/>
        </w:rPr>
        <w:lastRenderedPageBreak/>
        <w:t>rapports, les documents de projets, les protocoles d’accord, les courriers importants relatifs à l’allocation des ressources ou aux politiques budgétaires seront exploités.</w:t>
      </w:r>
    </w:p>
    <w:p w:rsidR="00E97608" w:rsidRDefault="00B712B1" w:rsidP="00E97608">
      <w:pPr>
        <w:spacing w:after="0" w:line="240" w:lineRule="auto"/>
        <w:jc w:val="both"/>
        <w:rPr>
          <w:rFonts w:ascii="Verdana" w:eastAsia="Times New Roman" w:hAnsi="Verdana" w:cs="Times New Roman"/>
          <w:color w:val="000000"/>
          <w:sz w:val="21"/>
          <w:szCs w:val="21"/>
          <w:lang w:eastAsia="fr-FR"/>
        </w:rPr>
      </w:pPr>
      <w:r>
        <w:rPr>
          <w:rFonts w:ascii="Verdana" w:eastAsia="Times New Roman" w:hAnsi="Verdana" w:cs="Times New Roman"/>
          <w:color w:val="000000"/>
          <w:sz w:val="21"/>
          <w:szCs w:val="21"/>
          <w:lang w:eastAsia="fr-FR"/>
        </w:rPr>
        <w:t>L’exploitation des données</w:t>
      </w:r>
      <w:r w:rsidR="00E97608" w:rsidRPr="00122F75">
        <w:rPr>
          <w:rFonts w:ascii="Verdana" w:eastAsia="Times New Roman" w:hAnsi="Verdana" w:cs="Times New Roman"/>
          <w:color w:val="000000"/>
          <w:sz w:val="21"/>
          <w:szCs w:val="21"/>
          <w:lang w:eastAsia="fr-FR"/>
        </w:rPr>
        <w:t xml:space="preserve"> international</w:t>
      </w:r>
      <w:r>
        <w:rPr>
          <w:rFonts w:ascii="Verdana" w:eastAsia="Times New Roman" w:hAnsi="Verdana" w:cs="Times New Roman"/>
          <w:color w:val="000000"/>
          <w:sz w:val="21"/>
          <w:szCs w:val="21"/>
          <w:lang w:eastAsia="fr-FR"/>
        </w:rPr>
        <w:t>es permettra de collecter les données relatives aux</w:t>
      </w:r>
      <w:r w:rsidR="00E97608" w:rsidRPr="00461F34">
        <w:rPr>
          <w:rFonts w:ascii="Verdana" w:eastAsia="Times New Roman" w:hAnsi="Verdana" w:cs="Times New Roman"/>
          <w:color w:val="000000"/>
          <w:sz w:val="21"/>
          <w:szCs w:val="21"/>
          <w:lang w:eastAsia="fr-FR"/>
        </w:rPr>
        <w:t xml:space="preserve"> évidences scientifiques en matière d’allocation des ressources financières </w:t>
      </w:r>
      <w:r w:rsidR="00E97608">
        <w:rPr>
          <w:rFonts w:ascii="Verdana" w:eastAsia="Times New Roman" w:hAnsi="Verdana" w:cs="Times New Roman"/>
          <w:color w:val="000000"/>
          <w:sz w:val="21"/>
          <w:szCs w:val="21"/>
          <w:lang w:eastAsia="fr-FR"/>
        </w:rPr>
        <w:t xml:space="preserve">et d’interventions cout/efficacité </w:t>
      </w:r>
      <w:r w:rsidR="00E97608" w:rsidRPr="00461F34">
        <w:rPr>
          <w:rFonts w:ascii="Verdana" w:eastAsia="Times New Roman" w:hAnsi="Verdana" w:cs="Times New Roman"/>
          <w:color w:val="000000"/>
          <w:sz w:val="21"/>
          <w:szCs w:val="21"/>
          <w:lang w:eastAsia="fr-FR"/>
        </w:rPr>
        <w:t>dans le secteur de la santé</w:t>
      </w:r>
      <w:r w:rsidR="00E97608">
        <w:rPr>
          <w:rFonts w:ascii="Verdana" w:eastAsia="Times New Roman" w:hAnsi="Verdana" w:cs="Times New Roman"/>
          <w:color w:val="000000"/>
          <w:sz w:val="21"/>
          <w:szCs w:val="21"/>
          <w:lang w:eastAsia="fr-FR"/>
        </w:rPr>
        <w:t xml:space="preserve">. En outre </w:t>
      </w:r>
      <w:r w:rsidR="00E97608" w:rsidRPr="00461F34">
        <w:rPr>
          <w:rFonts w:ascii="Verdana" w:eastAsia="Times New Roman" w:hAnsi="Verdana" w:cs="Times New Roman"/>
          <w:color w:val="000000"/>
          <w:sz w:val="21"/>
          <w:szCs w:val="21"/>
          <w:lang w:eastAsia="fr-FR"/>
        </w:rPr>
        <w:t xml:space="preserve">des </w:t>
      </w:r>
      <w:r w:rsidR="00E97608" w:rsidRPr="003F609F">
        <w:rPr>
          <w:rFonts w:ascii="Verdana" w:eastAsia="Times New Roman" w:hAnsi="Verdana" w:cs="Times New Roman"/>
          <w:color w:val="000000"/>
          <w:sz w:val="21"/>
          <w:szCs w:val="21"/>
          <w:highlight w:val="yellow"/>
          <w:lang w:eastAsia="fr-FR"/>
        </w:rPr>
        <w:t>informations relatives à la charge de morbidité et de mortalité ainsi que celles se rapportant aux interventions à haut impact</w:t>
      </w:r>
      <w:r w:rsidRPr="003F609F">
        <w:rPr>
          <w:rFonts w:ascii="Verdana" w:eastAsia="Times New Roman" w:hAnsi="Verdana" w:cs="Times New Roman"/>
          <w:color w:val="000000"/>
          <w:sz w:val="21"/>
          <w:szCs w:val="21"/>
          <w:highlight w:val="yellow"/>
          <w:lang w:eastAsia="fr-FR"/>
        </w:rPr>
        <w:t xml:space="preserve"> (définition, processus de sélection, affectation de </w:t>
      </w:r>
      <w:r w:rsidR="003F609F" w:rsidRPr="003F609F">
        <w:rPr>
          <w:rFonts w:ascii="Verdana" w:eastAsia="Times New Roman" w:hAnsi="Verdana" w:cs="Times New Roman"/>
          <w:color w:val="000000"/>
          <w:sz w:val="21"/>
          <w:szCs w:val="21"/>
          <w:highlight w:val="yellow"/>
          <w:lang w:eastAsia="fr-FR"/>
        </w:rPr>
        <w:t>ressources…</w:t>
      </w:r>
      <w:r w:rsidRPr="003F609F">
        <w:rPr>
          <w:rFonts w:ascii="Verdana" w:eastAsia="Times New Roman" w:hAnsi="Verdana" w:cs="Times New Roman"/>
          <w:color w:val="000000"/>
          <w:sz w:val="21"/>
          <w:szCs w:val="21"/>
          <w:highlight w:val="yellow"/>
          <w:lang w:eastAsia="fr-FR"/>
        </w:rPr>
        <w:t>)</w:t>
      </w:r>
      <w:r w:rsidR="00E97608" w:rsidRPr="00461F34">
        <w:rPr>
          <w:rFonts w:ascii="Verdana" w:eastAsia="Times New Roman" w:hAnsi="Verdana" w:cs="Times New Roman"/>
          <w:color w:val="000000"/>
          <w:sz w:val="21"/>
          <w:szCs w:val="21"/>
          <w:lang w:eastAsia="fr-FR"/>
        </w:rPr>
        <w:t xml:space="preserve"> et à l’allocation des ressources financière en santé</w:t>
      </w:r>
      <w:r>
        <w:rPr>
          <w:rFonts w:ascii="Verdana" w:eastAsia="Times New Roman" w:hAnsi="Verdana" w:cs="Times New Roman"/>
          <w:color w:val="000000"/>
          <w:sz w:val="21"/>
          <w:szCs w:val="21"/>
          <w:lang w:eastAsia="fr-FR"/>
        </w:rPr>
        <w:t xml:space="preserve"> (niveau de soins, types soins de </w:t>
      </w:r>
      <w:r w:rsidR="00DE4EA6">
        <w:rPr>
          <w:rFonts w:ascii="Verdana" w:eastAsia="Times New Roman" w:hAnsi="Verdana" w:cs="Times New Roman"/>
          <w:color w:val="000000"/>
          <w:sz w:val="21"/>
          <w:szCs w:val="21"/>
          <w:lang w:eastAsia="fr-FR"/>
        </w:rPr>
        <w:t>santé...</w:t>
      </w:r>
      <w:bookmarkStart w:id="0" w:name="_GoBack"/>
      <w:bookmarkEnd w:id="0"/>
      <w:r w:rsidR="00DD5F95">
        <w:rPr>
          <w:rFonts w:ascii="Verdana" w:eastAsia="Times New Roman" w:hAnsi="Verdana" w:cs="Times New Roman"/>
          <w:color w:val="000000"/>
          <w:sz w:val="21"/>
          <w:szCs w:val="21"/>
          <w:lang w:eastAsia="fr-FR"/>
        </w:rPr>
        <w:t>)</w:t>
      </w:r>
      <w:r w:rsidR="00E97608" w:rsidRPr="00461F34">
        <w:rPr>
          <w:rFonts w:ascii="Verdana" w:eastAsia="Times New Roman" w:hAnsi="Verdana" w:cs="Times New Roman"/>
          <w:color w:val="000000"/>
          <w:sz w:val="21"/>
          <w:szCs w:val="21"/>
          <w:lang w:eastAsia="fr-FR"/>
        </w:rPr>
        <w:t xml:space="preserve"> seront recherchées à travers les différentes sources d’informations</w:t>
      </w:r>
      <w:r w:rsidR="00E97608">
        <w:rPr>
          <w:rFonts w:ascii="Verdana" w:eastAsia="Times New Roman" w:hAnsi="Verdana" w:cs="Times New Roman"/>
          <w:color w:val="000000"/>
          <w:sz w:val="21"/>
          <w:szCs w:val="21"/>
          <w:lang w:eastAsia="fr-FR"/>
        </w:rPr>
        <w:t>.</w:t>
      </w:r>
    </w:p>
    <w:p w:rsidR="00B712B1" w:rsidRDefault="00B712B1" w:rsidP="00E97608">
      <w:pPr>
        <w:spacing w:after="0" w:line="240" w:lineRule="auto"/>
        <w:jc w:val="both"/>
        <w:rPr>
          <w:rFonts w:ascii="Verdana" w:eastAsia="Times New Roman" w:hAnsi="Verdana" w:cs="Times New Roman"/>
          <w:color w:val="000000"/>
          <w:sz w:val="21"/>
          <w:szCs w:val="21"/>
          <w:lang w:eastAsia="fr-FR"/>
        </w:rPr>
      </w:pPr>
    </w:p>
    <w:p w:rsidR="00E97608" w:rsidRPr="00ED27C7" w:rsidRDefault="00E97608" w:rsidP="00E97608">
      <w:pPr>
        <w:numPr>
          <w:ilvl w:val="2"/>
          <w:numId w:val="1"/>
        </w:numPr>
        <w:autoSpaceDE w:val="0"/>
        <w:autoSpaceDN w:val="0"/>
        <w:adjustRightInd w:val="0"/>
        <w:spacing w:after="0" w:line="240" w:lineRule="auto"/>
        <w:contextualSpacing/>
        <w:rPr>
          <w:rFonts w:ascii="Verdana" w:eastAsia="Times New Roman" w:hAnsi="Verdana" w:cs="Times New Roman"/>
          <w:b/>
          <w:bCs/>
          <w:color w:val="000000"/>
          <w:sz w:val="21"/>
          <w:szCs w:val="21"/>
          <w:lang w:eastAsia="fr-FR"/>
        </w:rPr>
      </w:pPr>
      <w:r w:rsidRPr="00ED27C7">
        <w:rPr>
          <w:rFonts w:ascii="Verdana" w:eastAsia="Times New Roman" w:hAnsi="Verdana" w:cs="Times New Roman"/>
          <w:b/>
          <w:bCs/>
          <w:color w:val="000000"/>
          <w:sz w:val="21"/>
          <w:szCs w:val="21"/>
          <w:lang w:eastAsia="fr-FR"/>
        </w:rPr>
        <w:t>Les interviews</w:t>
      </w:r>
    </w:p>
    <w:p w:rsidR="00E97608" w:rsidRDefault="00E97608" w:rsidP="00E97608">
      <w:pPr>
        <w:spacing w:after="0" w:line="240" w:lineRule="auto"/>
        <w:jc w:val="both"/>
        <w:rPr>
          <w:rFonts w:ascii="Verdana" w:eastAsia="Times New Roman" w:hAnsi="Verdana" w:cs="Times New Roman"/>
          <w:color w:val="000000"/>
          <w:sz w:val="21"/>
          <w:szCs w:val="21"/>
          <w:lang w:eastAsia="fr-FR"/>
        </w:rPr>
      </w:pPr>
      <w:r w:rsidRPr="00ED27C7">
        <w:rPr>
          <w:rFonts w:ascii="Verdana" w:eastAsia="Times New Roman" w:hAnsi="Verdana" w:cs="Times New Roman"/>
          <w:color w:val="000000"/>
          <w:sz w:val="21"/>
          <w:szCs w:val="21"/>
          <w:lang w:eastAsia="fr-FR"/>
        </w:rPr>
        <w:t>Les interviews permettr</w:t>
      </w:r>
      <w:r w:rsidR="00DD5F95">
        <w:rPr>
          <w:rFonts w:ascii="Verdana" w:eastAsia="Times New Roman" w:hAnsi="Verdana" w:cs="Times New Roman"/>
          <w:color w:val="000000"/>
          <w:sz w:val="21"/>
          <w:szCs w:val="21"/>
          <w:lang w:eastAsia="fr-FR"/>
        </w:rPr>
        <w:t>ont</w:t>
      </w:r>
      <w:r w:rsidRPr="00ED27C7">
        <w:rPr>
          <w:rFonts w:ascii="Verdana" w:eastAsia="Times New Roman" w:hAnsi="Verdana" w:cs="Times New Roman"/>
          <w:color w:val="000000"/>
          <w:sz w:val="21"/>
          <w:szCs w:val="21"/>
          <w:lang w:eastAsia="fr-FR"/>
        </w:rPr>
        <w:t xml:space="preserve"> de recueillir des informations sur l’opinion des différentes parties prenantes </w:t>
      </w:r>
      <w:r w:rsidR="00DD5F95">
        <w:rPr>
          <w:rFonts w:ascii="Verdana" w:eastAsia="Times New Roman" w:hAnsi="Verdana" w:cs="Times New Roman"/>
          <w:color w:val="000000"/>
          <w:sz w:val="21"/>
          <w:szCs w:val="21"/>
          <w:lang w:eastAsia="fr-FR"/>
        </w:rPr>
        <w:t>en matière d’</w:t>
      </w:r>
      <w:r w:rsidRPr="00ED27C7">
        <w:rPr>
          <w:rFonts w:ascii="Verdana" w:eastAsia="Times New Roman" w:hAnsi="Verdana" w:cs="Times New Roman"/>
          <w:color w:val="000000"/>
          <w:sz w:val="21"/>
          <w:szCs w:val="21"/>
          <w:lang w:eastAsia="fr-FR"/>
        </w:rPr>
        <w:t xml:space="preserve">allocation efficiente et des suggestions tenant compte de l’environnement du système de santé. Ces entrevues seront menées auprès d’informateurs </w:t>
      </w:r>
      <w:r w:rsidR="00DD5F95" w:rsidRPr="00ED27C7">
        <w:rPr>
          <w:rFonts w:ascii="Verdana" w:eastAsia="Times New Roman" w:hAnsi="Verdana" w:cs="Times New Roman"/>
          <w:color w:val="000000"/>
          <w:sz w:val="21"/>
          <w:szCs w:val="21"/>
          <w:lang w:eastAsia="fr-FR"/>
        </w:rPr>
        <w:t>clés</w:t>
      </w:r>
      <w:r w:rsidR="00DD5F95">
        <w:rPr>
          <w:rFonts w:ascii="Verdana" w:eastAsia="Times New Roman" w:hAnsi="Verdana" w:cs="Times New Roman"/>
          <w:color w:val="000000"/>
          <w:sz w:val="21"/>
          <w:szCs w:val="21"/>
          <w:lang w:eastAsia="fr-FR"/>
        </w:rPr>
        <w:t xml:space="preserve"> </w:t>
      </w:r>
      <w:r w:rsidRPr="00ED27C7">
        <w:rPr>
          <w:rFonts w:ascii="Verdana" w:eastAsia="Times New Roman" w:hAnsi="Verdana" w:cs="Times New Roman"/>
          <w:color w:val="000000"/>
          <w:sz w:val="21"/>
          <w:szCs w:val="21"/>
          <w:lang w:eastAsia="fr-FR"/>
        </w:rPr>
        <w:t xml:space="preserve">et des détenteurs d’enjeux et serviront à recouper et à approfondir les informations tirées de l’analyse documentaire. </w:t>
      </w:r>
    </w:p>
    <w:p w:rsidR="00DD5F95" w:rsidRPr="00ED27C7" w:rsidRDefault="00DD5F95" w:rsidP="00E97608">
      <w:pPr>
        <w:spacing w:after="0" w:line="240" w:lineRule="auto"/>
        <w:jc w:val="both"/>
        <w:rPr>
          <w:rFonts w:ascii="Verdana" w:eastAsia="Times New Roman" w:hAnsi="Verdana" w:cs="Times New Roman"/>
          <w:color w:val="000000"/>
          <w:sz w:val="21"/>
          <w:szCs w:val="21"/>
          <w:lang w:eastAsia="fr-FR"/>
        </w:rPr>
      </w:pPr>
    </w:p>
    <w:p w:rsidR="00E97608" w:rsidRPr="00122F75" w:rsidRDefault="00DD5F95" w:rsidP="00E97608">
      <w:pPr>
        <w:numPr>
          <w:ilvl w:val="3"/>
          <w:numId w:val="1"/>
        </w:numPr>
        <w:autoSpaceDE w:val="0"/>
        <w:autoSpaceDN w:val="0"/>
        <w:adjustRightInd w:val="0"/>
        <w:spacing w:after="0" w:line="240" w:lineRule="auto"/>
        <w:contextualSpacing/>
        <w:rPr>
          <w:rFonts w:ascii="Verdana" w:eastAsia="Times New Roman" w:hAnsi="Verdana" w:cs="Times New Roman"/>
          <w:color w:val="000000"/>
          <w:sz w:val="21"/>
          <w:szCs w:val="21"/>
          <w:lang w:eastAsia="fr-FR"/>
        </w:rPr>
      </w:pPr>
      <w:r>
        <w:rPr>
          <w:rFonts w:ascii="Verdana" w:eastAsia="Times New Roman" w:hAnsi="Verdana" w:cs="Times New Roman"/>
          <w:b/>
          <w:bCs/>
          <w:color w:val="000000"/>
          <w:sz w:val="21"/>
          <w:szCs w:val="21"/>
          <w:lang w:eastAsia="fr-FR"/>
        </w:rPr>
        <w:t xml:space="preserve">Population cible/Sélection des interviewés </w:t>
      </w:r>
    </w:p>
    <w:p w:rsidR="00341C77" w:rsidRPr="00341C77" w:rsidRDefault="00341C77" w:rsidP="00341C77">
      <w:pPr>
        <w:spacing w:after="0"/>
        <w:jc w:val="both"/>
        <w:rPr>
          <w:rFonts w:ascii="Verdana" w:eastAsia="Times New Roman" w:hAnsi="Verdana" w:cs="Times New Roman"/>
          <w:color w:val="000000"/>
          <w:sz w:val="21"/>
          <w:szCs w:val="21"/>
          <w:lang w:eastAsia="fr-FR"/>
        </w:rPr>
      </w:pPr>
      <w:r w:rsidRPr="00341C77">
        <w:rPr>
          <w:rFonts w:ascii="Verdana" w:eastAsia="Times New Roman" w:hAnsi="Verdana" w:cs="Times New Roman"/>
          <w:color w:val="000000"/>
          <w:sz w:val="21"/>
          <w:szCs w:val="21"/>
          <w:lang w:eastAsia="fr-FR"/>
        </w:rPr>
        <w:t xml:space="preserve">La population cible de cette étude sera constituée des structures du ministère de la santé et autres structures ou institutions parties prenantes de l’allocation des ressources financières au sein du ministère de santé. L’échantillonnage va se baser sur le choix raisonné sur les personnes ressources clé au niveau des structures impliquées dans l’étude pouvant donner un capital d’informations sur l’allocation budgétaire, </w:t>
      </w:r>
      <w:r w:rsidR="00307DC7">
        <w:rPr>
          <w:rFonts w:ascii="Verdana" w:eastAsia="Times New Roman" w:hAnsi="Verdana" w:cs="Times New Roman"/>
          <w:color w:val="000000"/>
          <w:sz w:val="21"/>
          <w:szCs w:val="21"/>
          <w:lang w:eastAsia="fr-FR"/>
        </w:rPr>
        <w:t>l’</w:t>
      </w:r>
      <w:r w:rsidRPr="00341C77">
        <w:rPr>
          <w:rFonts w:ascii="Verdana" w:eastAsia="Times New Roman" w:hAnsi="Verdana" w:cs="Times New Roman"/>
          <w:color w:val="000000"/>
          <w:sz w:val="21"/>
          <w:szCs w:val="21"/>
          <w:lang w:eastAsia="fr-FR"/>
        </w:rPr>
        <w:t>efficacité technique du financement de la santé et pouvant contribuer à la proposition d’alternative d’allocation budgétaire répond aux besoins du ministère de la santé et les attentes de ses missions de service public.</w:t>
      </w:r>
      <w:r w:rsidR="00EA56D8" w:rsidRPr="00EA56D8">
        <w:rPr>
          <w:rFonts w:ascii="Verdana" w:eastAsia="Times New Roman" w:hAnsi="Verdana" w:cs="Times New Roman"/>
          <w:color w:val="000000"/>
          <w:sz w:val="21"/>
          <w:szCs w:val="21"/>
          <w:lang w:eastAsia="fr-FR" w:bidi="en-US"/>
        </w:rPr>
        <w:t xml:space="preserve"> </w:t>
      </w:r>
      <w:r w:rsidR="00EA56D8">
        <w:rPr>
          <w:rFonts w:ascii="Verdana" w:eastAsia="Times New Roman" w:hAnsi="Verdana" w:cs="Times New Roman"/>
          <w:color w:val="000000"/>
          <w:sz w:val="21"/>
          <w:szCs w:val="21"/>
          <w:lang w:eastAsia="fr-FR" w:bidi="en-US"/>
        </w:rPr>
        <w:t>Q</w:t>
      </w:r>
      <w:r w:rsidR="00EA56D8" w:rsidRPr="00EA56D8">
        <w:rPr>
          <w:rFonts w:ascii="Verdana" w:eastAsia="Times New Roman" w:hAnsi="Verdana" w:cs="Times New Roman"/>
          <w:color w:val="000000"/>
          <w:sz w:val="21"/>
          <w:szCs w:val="21"/>
          <w:lang w:eastAsia="fr-FR" w:bidi="en-US"/>
        </w:rPr>
        <w:t>uatre</w:t>
      </w:r>
      <w:r w:rsidR="00EA56D8" w:rsidRPr="00122F75">
        <w:rPr>
          <w:rFonts w:ascii="Verdana" w:eastAsia="Times New Roman" w:hAnsi="Verdana" w:cs="Times New Roman"/>
          <w:color w:val="000000"/>
          <w:sz w:val="21"/>
          <w:szCs w:val="21"/>
          <w:lang w:eastAsia="fr-FR" w:bidi="en-US"/>
        </w:rPr>
        <w:t xml:space="preserve"> régions </w:t>
      </w:r>
      <w:r w:rsidR="00EA56D8" w:rsidRPr="00EA56D8">
        <w:rPr>
          <w:rFonts w:ascii="Verdana" w:eastAsia="Times New Roman" w:hAnsi="Verdana" w:cs="Times New Roman"/>
          <w:color w:val="000000"/>
          <w:sz w:val="21"/>
          <w:szCs w:val="21"/>
          <w:lang w:eastAsia="fr-FR" w:bidi="en-US"/>
        </w:rPr>
        <w:t xml:space="preserve">choix selon le niveau de performance (élevé/ faible) à savoir Haut Bassin, Sud-Ouest, le </w:t>
      </w:r>
      <w:r w:rsidR="00EA56D8" w:rsidRPr="00122F75">
        <w:rPr>
          <w:rFonts w:ascii="Verdana" w:eastAsia="Times New Roman" w:hAnsi="Verdana" w:cs="Times New Roman"/>
          <w:color w:val="000000"/>
          <w:sz w:val="21"/>
          <w:szCs w:val="21"/>
          <w:lang w:eastAsia="fr-FR" w:bidi="en-US"/>
        </w:rPr>
        <w:t>Centre</w:t>
      </w:r>
      <w:r w:rsidR="00EA56D8" w:rsidRPr="00EA56D8">
        <w:rPr>
          <w:rFonts w:ascii="Verdana" w:eastAsia="Times New Roman" w:hAnsi="Verdana" w:cs="Times New Roman"/>
          <w:color w:val="000000"/>
          <w:sz w:val="21"/>
          <w:szCs w:val="21"/>
          <w:lang w:eastAsia="fr-FR" w:bidi="en-US"/>
        </w:rPr>
        <w:t>-</w:t>
      </w:r>
      <w:r w:rsidR="00EA56D8" w:rsidRPr="00122F75">
        <w:rPr>
          <w:rFonts w:ascii="Verdana" w:eastAsia="Times New Roman" w:hAnsi="Verdana" w:cs="Times New Roman"/>
          <w:color w:val="000000"/>
          <w:sz w:val="21"/>
          <w:szCs w:val="21"/>
          <w:lang w:eastAsia="fr-FR" w:bidi="en-US"/>
        </w:rPr>
        <w:t>Nord</w:t>
      </w:r>
      <w:r w:rsidR="00EA56D8" w:rsidRPr="00EA56D8">
        <w:rPr>
          <w:rFonts w:ascii="Verdana" w:eastAsia="Times New Roman" w:hAnsi="Verdana" w:cs="Times New Roman"/>
          <w:color w:val="000000"/>
          <w:sz w:val="21"/>
          <w:szCs w:val="21"/>
          <w:lang w:eastAsia="fr-FR" w:bidi="en-US"/>
        </w:rPr>
        <w:t xml:space="preserve"> et le </w:t>
      </w:r>
      <w:r w:rsidR="00EA56D8" w:rsidRPr="00122F75">
        <w:rPr>
          <w:rFonts w:ascii="Verdana" w:eastAsia="Times New Roman" w:hAnsi="Verdana" w:cs="Times New Roman"/>
          <w:color w:val="000000"/>
          <w:sz w:val="21"/>
          <w:szCs w:val="21"/>
          <w:lang w:eastAsia="fr-FR" w:bidi="en-US"/>
        </w:rPr>
        <w:t>Centre</w:t>
      </w:r>
      <w:r w:rsidR="00EA56D8" w:rsidRPr="00EA56D8">
        <w:rPr>
          <w:rFonts w:ascii="Verdana" w:eastAsia="Times New Roman" w:hAnsi="Verdana" w:cs="Times New Roman"/>
          <w:color w:val="000000"/>
          <w:sz w:val="21"/>
          <w:szCs w:val="21"/>
          <w:lang w:eastAsia="fr-FR" w:bidi="en-US"/>
        </w:rPr>
        <w:t>.</w:t>
      </w:r>
      <w:r w:rsidR="00EA56D8" w:rsidRPr="00122F75">
        <w:rPr>
          <w:rFonts w:ascii="Verdana" w:eastAsia="Times New Roman" w:hAnsi="Verdana" w:cs="Times New Roman"/>
          <w:color w:val="000000"/>
          <w:sz w:val="21"/>
          <w:szCs w:val="21"/>
          <w:lang w:eastAsia="fr-FR" w:bidi="en-US"/>
        </w:rPr>
        <w:t xml:space="preserve"> </w:t>
      </w:r>
      <w:r w:rsidR="00EA56D8" w:rsidRPr="00EA56D8">
        <w:rPr>
          <w:rFonts w:ascii="Verdana" w:eastAsia="Times New Roman" w:hAnsi="Verdana" w:cs="Times New Roman"/>
          <w:color w:val="000000"/>
          <w:sz w:val="21"/>
          <w:szCs w:val="21"/>
          <w:lang w:eastAsia="fr-FR" w:bidi="en-US"/>
        </w:rPr>
        <w:t>Au niveau de chaque région deux districts sanitaires seront visités sur la base identifiée de soit un district sur la base de leurs performances (élevé/faible)</w:t>
      </w:r>
    </w:p>
    <w:p w:rsidR="00E97608" w:rsidRPr="00122F75" w:rsidRDefault="00E97608" w:rsidP="00341C77">
      <w:pPr>
        <w:spacing w:after="0" w:line="240" w:lineRule="auto"/>
        <w:jc w:val="both"/>
        <w:rPr>
          <w:rFonts w:ascii="Verdana" w:eastAsia="Times New Roman" w:hAnsi="Verdana" w:cs="Times New Roman"/>
          <w:color w:val="000000"/>
          <w:sz w:val="21"/>
          <w:szCs w:val="21"/>
          <w:lang w:eastAsia="fr-FR"/>
        </w:rPr>
      </w:pPr>
      <w:r w:rsidRPr="00122F75">
        <w:rPr>
          <w:rFonts w:ascii="Verdana" w:eastAsia="Times New Roman" w:hAnsi="Verdana" w:cs="Times New Roman"/>
          <w:color w:val="000000"/>
          <w:sz w:val="21"/>
          <w:szCs w:val="21"/>
          <w:lang w:eastAsia="fr-FR"/>
        </w:rPr>
        <w:t>L</w:t>
      </w:r>
      <w:r w:rsidR="00341C77">
        <w:rPr>
          <w:rFonts w:ascii="Verdana" w:eastAsia="Times New Roman" w:hAnsi="Verdana" w:cs="Times New Roman"/>
          <w:color w:val="000000"/>
          <w:sz w:val="21"/>
          <w:szCs w:val="21"/>
          <w:lang w:eastAsia="fr-FR"/>
        </w:rPr>
        <w:t>a sélection des interviewés</w:t>
      </w:r>
      <w:r w:rsidRPr="00122F75">
        <w:rPr>
          <w:rFonts w:ascii="Verdana" w:eastAsia="Times New Roman" w:hAnsi="Verdana" w:cs="Times New Roman"/>
          <w:color w:val="000000"/>
          <w:sz w:val="21"/>
          <w:szCs w:val="21"/>
          <w:lang w:eastAsia="fr-FR"/>
        </w:rPr>
        <w:t xml:space="preserve"> s</w:t>
      </w:r>
      <w:r w:rsidR="00341C77">
        <w:rPr>
          <w:rFonts w:ascii="Verdana" w:eastAsia="Times New Roman" w:hAnsi="Verdana" w:cs="Times New Roman"/>
          <w:color w:val="000000"/>
          <w:sz w:val="21"/>
          <w:szCs w:val="21"/>
          <w:lang w:eastAsia="fr-FR"/>
        </w:rPr>
        <w:t>e fera selon leur degré d’implication dans la prise de décision et de mise en œuvre de l’</w:t>
      </w:r>
      <w:r w:rsidRPr="00122F75">
        <w:rPr>
          <w:rFonts w:ascii="Verdana" w:eastAsia="Times New Roman" w:hAnsi="Verdana" w:cs="Times New Roman"/>
          <w:color w:val="000000"/>
          <w:sz w:val="21"/>
          <w:szCs w:val="21"/>
          <w:lang w:eastAsia="fr-FR"/>
        </w:rPr>
        <w:t>allocation des ressources :</w:t>
      </w:r>
    </w:p>
    <w:p w:rsidR="00EA56D8" w:rsidRPr="00EA56D8" w:rsidRDefault="00E97608" w:rsidP="00EA56D8">
      <w:pPr>
        <w:numPr>
          <w:ilvl w:val="0"/>
          <w:numId w:val="2"/>
        </w:numPr>
        <w:spacing w:after="0" w:line="240" w:lineRule="auto"/>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 xml:space="preserve">Les </w:t>
      </w:r>
      <w:r w:rsidR="00DD5F95" w:rsidRPr="00EA56D8">
        <w:rPr>
          <w:rFonts w:ascii="Verdana" w:eastAsia="Times New Roman" w:hAnsi="Verdana" w:cs="Times New Roman"/>
          <w:color w:val="000000"/>
          <w:sz w:val="21"/>
          <w:szCs w:val="21"/>
          <w:lang w:eastAsia="fr-FR" w:bidi="en-US"/>
        </w:rPr>
        <w:t>informateurs clés</w:t>
      </w:r>
      <w:r w:rsidR="00EA56D8">
        <w:rPr>
          <w:rFonts w:ascii="Verdana" w:eastAsia="Times New Roman" w:hAnsi="Verdana" w:cs="Times New Roman"/>
          <w:color w:val="000000"/>
          <w:sz w:val="21"/>
          <w:szCs w:val="21"/>
          <w:lang w:eastAsia="fr-FR" w:bidi="en-US"/>
        </w:rPr>
        <w:t xml:space="preserve"> : </w:t>
      </w:r>
      <w:r w:rsidR="00EA56D8" w:rsidRPr="00EA56D8">
        <w:rPr>
          <w:rFonts w:ascii="Verdana" w:eastAsia="Times New Roman" w:hAnsi="Verdana" w:cs="Times New Roman"/>
          <w:color w:val="000000"/>
          <w:sz w:val="21"/>
          <w:szCs w:val="21"/>
          <w:lang w:eastAsia="fr-FR" w:bidi="en-US"/>
        </w:rPr>
        <w:t xml:space="preserve">ils seront sélectionnés au sein du ministère de la santé. L’équipe de recherche a opté de retenir parmi les </w:t>
      </w:r>
      <w:r w:rsidR="00307DC7">
        <w:rPr>
          <w:rFonts w:ascii="Verdana" w:eastAsia="Times New Roman" w:hAnsi="Verdana" w:cs="Times New Roman"/>
          <w:color w:val="000000"/>
          <w:sz w:val="21"/>
          <w:szCs w:val="21"/>
          <w:lang w:eastAsia="fr-FR" w:bidi="en-US"/>
        </w:rPr>
        <w:t>informateurs clés</w:t>
      </w:r>
      <w:r w:rsidR="00EA56D8" w:rsidRPr="00EA56D8">
        <w:rPr>
          <w:rFonts w:ascii="Verdana" w:eastAsia="Times New Roman" w:hAnsi="Verdana" w:cs="Times New Roman"/>
          <w:color w:val="000000"/>
          <w:sz w:val="21"/>
          <w:szCs w:val="21"/>
          <w:lang w:eastAsia="fr-FR" w:bidi="en-US"/>
        </w:rPr>
        <w:t>, les acteurs des cinq dernières années, qui ont initié, vécu, suivi ou subi les réformes budgétaires majeures du secteur.</w:t>
      </w:r>
      <w:r w:rsidR="00EA56D8" w:rsidRPr="00EA56D8">
        <w:t xml:space="preserve"> </w:t>
      </w:r>
      <w:r w:rsidR="00EA56D8" w:rsidRPr="00EA56D8">
        <w:rPr>
          <w:rFonts w:ascii="Verdana" w:eastAsia="Times New Roman" w:hAnsi="Verdana" w:cs="Times New Roman"/>
          <w:color w:val="000000"/>
          <w:sz w:val="21"/>
          <w:szCs w:val="21"/>
          <w:lang w:eastAsia="fr-FR" w:bidi="en-US"/>
        </w:rPr>
        <w:t>Cependant, pour des questions de disponibilité et d’agenda de mise en œuvre de l’étude, les profils ci-après seront ciblés dans l’inventaire des témoins privilégiés :</w:t>
      </w:r>
    </w:p>
    <w:p w:rsidR="00EA56D8" w:rsidRPr="00EA56D8" w:rsidRDefault="00EA56D8" w:rsidP="00EA56D8">
      <w:pPr>
        <w:numPr>
          <w:ilvl w:val="0"/>
          <w:numId w:val="2"/>
        </w:numPr>
        <w:spacing w:after="0" w:line="240" w:lineRule="auto"/>
        <w:contextualSpacing/>
        <w:jc w:val="both"/>
        <w:rPr>
          <w:rFonts w:ascii="Verdana" w:eastAsia="Times New Roman" w:hAnsi="Verdana" w:cs="Times New Roman"/>
          <w:color w:val="000000"/>
          <w:sz w:val="21"/>
          <w:szCs w:val="21"/>
          <w:lang w:eastAsia="fr-FR" w:bidi="en-US"/>
        </w:rPr>
      </w:pPr>
      <w:r w:rsidRPr="00EA56D8">
        <w:rPr>
          <w:rFonts w:ascii="Verdana" w:eastAsia="Times New Roman" w:hAnsi="Verdana" w:cs="Times New Roman"/>
          <w:color w:val="000000"/>
          <w:sz w:val="21"/>
          <w:szCs w:val="21"/>
          <w:lang w:eastAsia="fr-FR" w:bidi="en-US"/>
        </w:rPr>
        <w:t>Administrateurs de crédits : DAF des EPE et MS, DRS et MCD ;</w:t>
      </w:r>
    </w:p>
    <w:p w:rsidR="00EA56D8" w:rsidRPr="00EA56D8" w:rsidRDefault="00EA56D8" w:rsidP="00EA56D8">
      <w:pPr>
        <w:numPr>
          <w:ilvl w:val="0"/>
          <w:numId w:val="2"/>
        </w:numPr>
        <w:spacing w:after="0" w:line="240" w:lineRule="auto"/>
        <w:contextualSpacing/>
        <w:jc w:val="both"/>
        <w:rPr>
          <w:rFonts w:ascii="Verdana" w:eastAsia="Times New Roman" w:hAnsi="Verdana" w:cs="Times New Roman"/>
          <w:color w:val="000000"/>
          <w:sz w:val="21"/>
          <w:szCs w:val="21"/>
          <w:lang w:eastAsia="fr-FR" w:bidi="en-US"/>
        </w:rPr>
      </w:pPr>
      <w:r w:rsidRPr="00EA56D8">
        <w:rPr>
          <w:rFonts w:ascii="Verdana" w:eastAsia="Times New Roman" w:hAnsi="Verdana" w:cs="Times New Roman"/>
          <w:color w:val="000000"/>
          <w:sz w:val="21"/>
          <w:szCs w:val="21"/>
          <w:lang w:eastAsia="fr-FR" w:bidi="en-US"/>
        </w:rPr>
        <w:t>Gestionnaires de crédits : RAF et C/SAF ;</w:t>
      </w:r>
    </w:p>
    <w:p w:rsidR="00EA56D8" w:rsidRDefault="00EA56D8" w:rsidP="00EA56D8">
      <w:pPr>
        <w:numPr>
          <w:ilvl w:val="0"/>
          <w:numId w:val="2"/>
        </w:numPr>
        <w:spacing w:after="0" w:line="240" w:lineRule="auto"/>
        <w:contextualSpacing/>
        <w:jc w:val="both"/>
        <w:rPr>
          <w:rFonts w:ascii="Verdana" w:eastAsia="Times New Roman" w:hAnsi="Verdana" w:cs="Times New Roman"/>
          <w:color w:val="000000"/>
          <w:sz w:val="21"/>
          <w:szCs w:val="21"/>
          <w:lang w:eastAsia="fr-FR" w:bidi="en-US"/>
        </w:rPr>
      </w:pPr>
      <w:r w:rsidRPr="00EA56D8">
        <w:rPr>
          <w:rFonts w:ascii="Verdana" w:eastAsia="Times New Roman" w:hAnsi="Verdana" w:cs="Times New Roman"/>
          <w:color w:val="000000"/>
          <w:sz w:val="21"/>
          <w:szCs w:val="21"/>
          <w:lang w:eastAsia="fr-FR" w:bidi="en-US"/>
        </w:rPr>
        <w:t>Ordonnateurs du budget des EPE : DG ; Coordonnateur de projet/programmes</w:t>
      </w:r>
    </w:p>
    <w:p w:rsidR="00EA56D8" w:rsidRPr="00EA56D8" w:rsidRDefault="00EA56D8" w:rsidP="00EA56D8">
      <w:pPr>
        <w:spacing w:after="0"/>
        <w:jc w:val="both"/>
        <w:rPr>
          <w:rFonts w:ascii="Calibri" w:eastAsia="Calibri" w:hAnsi="Calibri" w:cs="Times New Roman"/>
          <w:sz w:val="24"/>
          <w:szCs w:val="24"/>
        </w:rPr>
      </w:pPr>
      <w:r w:rsidRPr="00EA56D8">
        <w:rPr>
          <w:rFonts w:ascii="Calibri" w:eastAsia="Calibri" w:hAnsi="Calibri" w:cs="Times New Roman"/>
          <w:sz w:val="24"/>
          <w:szCs w:val="24"/>
        </w:rPr>
        <w:t xml:space="preserve">Ainsi, on : </w:t>
      </w:r>
    </w:p>
    <w:p w:rsidR="00EA56D8" w:rsidRPr="00EA56D8" w:rsidRDefault="00EA56D8" w:rsidP="008D2E48">
      <w:pPr>
        <w:numPr>
          <w:ilvl w:val="1"/>
          <w:numId w:val="15"/>
        </w:numPr>
        <w:spacing w:after="0" w:line="240" w:lineRule="auto"/>
        <w:ind w:left="1134"/>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 xml:space="preserve">Au niveau central : </w:t>
      </w:r>
    </w:p>
    <w:p w:rsidR="00EA56D8" w:rsidRPr="00EA56D8" w:rsidRDefault="00EA56D8" w:rsidP="008D2E48">
      <w:pPr>
        <w:numPr>
          <w:ilvl w:val="2"/>
          <w:numId w:val="14"/>
        </w:numPr>
        <w:spacing w:after="0" w:line="240" w:lineRule="auto"/>
        <w:ind w:left="1701"/>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 xml:space="preserve">le DAF et ses chefs de service, </w:t>
      </w:r>
    </w:p>
    <w:p w:rsidR="00EA56D8" w:rsidRPr="00EA56D8" w:rsidRDefault="00EA56D8" w:rsidP="008D2E48">
      <w:pPr>
        <w:numPr>
          <w:ilvl w:val="2"/>
          <w:numId w:val="14"/>
        </w:numPr>
        <w:spacing w:after="0" w:line="240" w:lineRule="auto"/>
        <w:ind w:left="1701"/>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 xml:space="preserve">le DGESS, le DRH, le DGOS, le </w:t>
      </w:r>
      <w:proofErr w:type="gramStart"/>
      <w:r w:rsidRPr="00EA56D8">
        <w:rPr>
          <w:rFonts w:ascii="Calibri" w:eastAsia="Calibri" w:hAnsi="Calibri" w:cs="Times New Roman"/>
          <w:sz w:val="24"/>
          <w:szCs w:val="24"/>
          <w:lang w:bidi="en-US"/>
        </w:rPr>
        <w:t>DGSP ,</w:t>
      </w:r>
      <w:proofErr w:type="gramEnd"/>
      <w:r w:rsidRPr="00EA56D8">
        <w:rPr>
          <w:rFonts w:ascii="Calibri" w:eastAsia="Calibri" w:hAnsi="Calibri" w:cs="Times New Roman"/>
          <w:sz w:val="24"/>
          <w:szCs w:val="24"/>
          <w:lang w:bidi="en-US"/>
        </w:rPr>
        <w:t xml:space="preserve"> le DGAP et leurs SAF ; </w:t>
      </w:r>
    </w:p>
    <w:p w:rsidR="00EA56D8" w:rsidRPr="00EA56D8" w:rsidRDefault="00EA56D8" w:rsidP="008D2E48">
      <w:pPr>
        <w:numPr>
          <w:ilvl w:val="2"/>
          <w:numId w:val="14"/>
        </w:numPr>
        <w:spacing w:after="0" w:line="240" w:lineRule="auto"/>
        <w:ind w:left="1701"/>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 xml:space="preserve">Les coordonnateurs des projets et programmes (PADS, PT-CSPS/CM…), </w:t>
      </w:r>
    </w:p>
    <w:p w:rsidR="00EA56D8" w:rsidRPr="00EA56D8" w:rsidRDefault="00EA56D8" w:rsidP="008D2E48">
      <w:pPr>
        <w:numPr>
          <w:ilvl w:val="1"/>
          <w:numId w:val="15"/>
        </w:numPr>
        <w:spacing w:after="0" w:line="240" w:lineRule="auto"/>
        <w:ind w:left="1134"/>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 xml:space="preserve">Au niveau déconcentré : le DRS, le CSAF, les MCD et leurs RAF </w:t>
      </w:r>
    </w:p>
    <w:p w:rsidR="00EA56D8" w:rsidRPr="00EA56D8" w:rsidRDefault="00EA56D8" w:rsidP="008D2E48">
      <w:pPr>
        <w:numPr>
          <w:ilvl w:val="1"/>
          <w:numId w:val="15"/>
        </w:numPr>
        <w:spacing w:after="0" w:line="240" w:lineRule="auto"/>
        <w:ind w:left="1134"/>
        <w:contextualSpacing/>
        <w:jc w:val="both"/>
        <w:rPr>
          <w:rFonts w:ascii="Calibri" w:eastAsia="Calibri" w:hAnsi="Calibri" w:cs="Times New Roman"/>
          <w:sz w:val="24"/>
          <w:szCs w:val="24"/>
          <w:lang w:bidi="en-US"/>
        </w:rPr>
      </w:pPr>
      <w:r w:rsidRPr="00EA56D8">
        <w:rPr>
          <w:rFonts w:ascii="Calibri" w:eastAsia="Calibri" w:hAnsi="Calibri" w:cs="Times New Roman"/>
          <w:sz w:val="24"/>
          <w:szCs w:val="24"/>
          <w:lang w:bidi="en-US"/>
        </w:rPr>
        <w:t>Au niveau des EPE : les DG et leurs DAF et PCA</w:t>
      </w:r>
    </w:p>
    <w:p w:rsidR="00E97608" w:rsidRDefault="00E97608" w:rsidP="00307DC7">
      <w:pPr>
        <w:numPr>
          <w:ilvl w:val="0"/>
          <w:numId w:val="2"/>
        </w:numPr>
        <w:spacing w:after="0" w:line="240" w:lineRule="auto"/>
        <w:contextualSpacing/>
        <w:jc w:val="both"/>
        <w:rPr>
          <w:rFonts w:ascii="Verdana" w:eastAsia="Times New Roman" w:hAnsi="Verdana" w:cs="Times New Roman"/>
          <w:color w:val="000000"/>
          <w:sz w:val="21"/>
          <w:szCs w:val="21"/>
          <w:lang w:eastAsia="fr-FR" w:bidi="en-US"/>
        </w:rPr>
      </w:pPr>
      <w:r w:rsidRPr="00307DC7">
        <w:rPr>
          <w:rFonts w:ascii="Verdana" w:eastAsia="Times New Roman" w:hAnsi="Verdana" w:cs="Times New Roman"/>
          <w:color w:val="000000"/>
          <w:sz w:val="21"/>
          <w:szCs w:val="21"/>
          <w:lang w:eastAsia="fr-FR" w:bidi="en-US"/>
        </w:rPr>
        <w:t xml:space="preserve">Les détenteurs d’enjeux </w:t>
      </w:r>
      <w:r w:rsidR="00307DC7" w:rsidRPr="00307DC7">
        <w:rPr>
          <w:rFonts w:ascii="Verdana" w:eastAsia="Times New Roman" w:hAnsi="Verdana" w:cs="Times New Roman"/>
          <w:color w:val="000000"/>
          <w:sz w:val="21"/>
          <w:szCs w:val="21"/>
          <w:lang w:eastAsia="fr-FR" w:bidi="en-US"/>
        </w:rPr>
        <w:t xml:space="preserve">seront retenus selon leur pouvoir politique, législatif, financier dans l’allocation des ressources afin d’explorer leur rôle dans les </w:t>
      </w:r>
      <w:r w:rsidR="00307DC7" w:rsidRPr="00307DC7">
        <w:rPr>
          <w:rFonts w:ascii="Verdana" w:eastAsia="Times New Roman" w:hAnsi="Verdana" w:cs="Times New Roman"/>
          <w:color w:val="000000"/>
          <w:sz w:val="21"/>
          <w:szCs w:val="21"/>
          <w:lang w:eastAsia="fr-FR" w:bidi="en-US"/>
        </w:rPr>
        <w:lastRenderedPageBreak/>
        <w:t xml:space="preserve">décisions de politique de santé, humaine et matérielle des politiques budgétaires. Les profils ciblés sont </w:t>
      </w:r>
      <w:r w:rsidRPr="00307DC7">
        <w:rPr>
          <w:rFonts w:ascii="Verdana" w:eastAsia="Times New Roman" w:hAnsi="Verdana" w:cs="Times New Roman"/>
          <w:color w:val="000000"/>
          <w:sz w:val="21"/>
          <w:szCs w:val="21"/>
          <w:lang w:eastAsia="fr-FR" w:bidi="en-US"/>
        </w:rPr>
        <w:t xml:space="preserve">le ministère de la santé, </w:t>
      </w:r>
      <w:r w:rsidR="00307DC7">
        <w:rPr>
          <w:rFonts w:ascii="Verdana" w:eastAsia="Times New Roman" w:hAnsi="Verdana" w:cs="Times New Roman"/>
          <w:color w:val="000000"/>
          <w:sz w:val="21"/>
          <w:szCs w:val="21"/>
          <w:lang w:eastAsia="fr-FR" w:bidi="en-US"/>
        </w:rPr>
        <w:t>l</w:t>
      </w:r>
      <w:r w:rsidRPr="00307DC7">
        <w:rPr>
          <w:rFonts w:ascii="Verdana" w:eastAsia="Times New Roman" w:hAnsi="Verdana" w:cs="Times New Roman"/>
          <w:color w:val="000000"/>
          <w:sz w:val="21"/>
          <w:szCs w:val="21"/>
          <w:lang w:eastAsia="fr-FR" w:bidi="en-US"/>
        </w:rPr>
        <w:t xml:space="preserve">e ministère des finances, </w:t>
      </w:r>
      <w:r w:rsidR="00307DC7">
        <w:rPr>
          <w:rFonts w:ascii="Verdana" w:eastAsia="Times New Roman" w:hAnsi="Verdana" w:cs="Times New Roman"/>
          <w:color w:val="000000"/>
          <w:sz w:val="21"/>
          <w:szCs w:val="21"/>
          <w:lang w:eastAsia="fr-FR" w:bidi="en-US"/>
        </w:rPr>
        <w:t>l</w:t>
      </w:r>
      <w:r w:rsidRPr="00307DC7">
        <w:rPr>
          <w:rFonts w:ascii="Verdana" w:eastAsia="Times New Roman" w:hAnsi="Verdana" w:cs="Times New Roman"/>
          <w:color w:val="000000"/>
          <w:sz w:val="21"/>
          <w:szCs w:val="21"/>
          <w:lang w:eastAsia="fr-FR" w:bidi="en-US"/>
        </w:rPr>
        <w:t>’assemblée nationale (président et président de la commission finance) ; SP PNDES, le chef de file des PTF.</w:t>
      </w:r>
    </w:p>
    <w:p w:rsidR="00307DC7" w:rsidRPr="00307DC7" w:rsidRDefault="00307DC7" w:rsidP="00307DC7">
      <w:pPr>
        <w:spacing w:after="0" w:line="240" w:lineRule="auto"/>
        <w:ind w:left="796"/>
        <w:contextualSpacing/>
        <w:jc w:val="both"/>
        <w:rPr>
          <w:rFonts w:ascii="Verdana" w:eastAsia="Times New Roman" w:hAnsi="Verdana" w:cs="Times New Roman"/>
          <w:color w:val="000000"/>
          <w:sz w:val="21"/>
          <w:szCs w:val="21"/>
          <w:lang w:eastAsia="fr-FR" w:bidi="en-US"/>
        </w:rPr>
      </w:pPr>
    </w:p>
    <w:p w:rsidR="00E97608" w:rsidRPr="00122F75" w:rsidRDefault="00307DC7" w:rsidP="00E97608">
      <w:pPr>
        <w:numPr>
          <w:ilvl w:val="3"/>
          <w:numId w:val="1"/>
        </w:numPr>
        <w:autoSpaceDE w:val="0"/>
        <w:autoSpaceDN w:val="0"/>
        <w:adjustRightInd w:val="0"/>
        <w:spacing w:after="0" w:line="240" w:lineRule="auto"/>
        <w:contextualSpacing/>
        <w:rPr>
          <w:rFonts w:ascii="Verdana" w:eastAsia="Times New Roman" w:hAnsi="Verdana" w:cs="Times New Roman"/>
          <w:color w:val="000000"/>
          <w:sz w:val="21"/>
          <w:szCs w:val="21"/>
          <w:lang w:eastAsia="fr-FR"/>
        </w:rPr>
      </w:pPr>
      <w:r>
        <w:rPr>
          <w:rFonts w:ascii="Verdana" w:eastAsia="Times New Roman" w:hAnsi="Verdana" w:cs="Times New Roman"/>
          <w:b/>
          <w:bCs/>
          <w:color w:val="000000"/>
          <w:sz w:val="21"/>
          <w:szCs w:val="21"/>
          <w:lang w:eastAsia="fr-FR"/>
        </w:rPr>
        <w:t>Outils de collecte</w:t>
      </w:r>
    </w:p>
    <w:p w:rsidR="00E97608" w:rsidRPr="00122F75" w:rsidRDefault="00E97608" w:rsidP="00E97608">
      <w:pPr>
        <w:spacing w:after="0" w:line="240" w:lineRule="auto"/>
        <w:jc w:val="both"/>
        <w:rPr>
          <w:rFonts w:ascii="Verdana" w:eastAsia="Times New Roman" w:hAnsi="Verdana" w:cs="Times New Roman"/>
          <w:color w:val="000000"/>
          <w:sz w:val="21"/>
          <w:szCs w:val="21"/>
          <w:lang w:eastAsia="fr-FR"/>
        </w:rPr>
      </w:pPr>
      <w:bookmarkStart w:id="1" w:name="parametre"/>
      <w:bookmarkEnd w:id="1"/>
      <w:r w:rsidRPr="00122F75">
        <w:rPr>
          <w:rFonts w:ascii="Verdana" w:eastAsia="Times New Roman" w:hAnsi="Verdana" w:cs="Times New Roman"/>
          <w:color w:val="000000"/>
          <w:sz w:val="21"/>
          <w:szCs w:val="21"/>
          <w:lang w:eastAsia="fr-FR"/>
        </w:rPr>
        <w:t xml:space="preserve">Trois outils de collecte de l’information </w:t>
      </w:r>
      <w:r w:rsidR="00307DC7">
        <w:rPr>
          <w:rFonts w:ascii="Verdana" w:eastAsia="Times New Roman" w:hAnsi="Verdana" w:cs="Times New Roman"/>
          <w:color w:val="000000"/>
          <w:sz w:val="21"/>
          <w:szCs w:val="21"/>
          <w:lang w:eastAsia="fr-FR"/>
        </w:rPr>
        <w:t xml:space="preserve">seront </w:t>
      </w:r>
      <w:r w:rsidRPr="00122F75">
        <w:rPr>
          <w:rFonts w:ascii="Verdana" w:eastAsia="Times New Roman" w:hAnsi="Verdana" w:cs="Times New Roman"/>
          <w:color w:val="000000"/>
          <w:sz w:val="21"/>
          <w:szCs w:val="21"/>
          <w:lang w:eastAsia="fr-FR"/>
        </w:rPr>
        <w:t>élaboré</w:t>
      </w:r>
      <w:r w:rsidR="00307DC7">
        <w:rPr>
          <w:rFonts w:ascii="Verdana" w:eastAsia="Times New Roman" w:hAnsi="Verdana" w:cs="Times New Roman"/>
          <w:color w:val="000000"/>
          <w:sz w:val="21"/>
          <w:szCs w:val="21"/>
          <w:lang w:eastAsia="fr-FR"/>
        </w:rPr>
        <w:t>s</w:t>
      </w:r>
    </w:p>
    <w:p w:rsidR="00E97608" w:rsidRPr="00122F75" w:rsidRDefault="00E97608" w:rsidP="00E97608">
      <w:pPr>
        <w:numPr>
          <w:ilvl w:val="0"/>
          <w:numId w:val="3"/>
        </w:numPr>
        <w:spacing w:after="0" w:line="240" w:lineRule="auto"/>
        <w:ind w:left="426"/>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 xml:space="preserve">un </w:t>
      </w:r>
      <w:r w:rsidR="00F67A06">
        <w:rPr>
          <w:rFonts w:ascii="Verdana" w:eastAsia="Times New Roman" w:hAnsi="Verdana" w:cs="Times New Roman"/>
          <w:color w:val="000000"/>
          <w:sz w:val="21"/>
          <w:szCs w:val="21"/>
          <w:lang w:eastAsia="fr-FR" w:bidi="en-US"/>
        </w:rPr>
        <w:t xml:space="preserve">questionnaire </w:t>
      </w:r>
      <w:r w:rsidRPr="00122F75">
        <w:rPr>
          <w:rFonts w:ascii="Verdana" w:eastAsia="Times New Roman" w:hAnsi="Verdana" w:cs="Times New Roman"/>
          <w:color w:val="000000"/>
          <w:sz w:val="21"/>
          <w:szCs w:val="21"/>
          <w:lang w:eastAsia="fr-FR" w:bidi="en-US"/>
        </w:rPr>
        <w:t>de collecte des données comptables et budgétaires : Ce support a pour objectif de collecter l’ensemble des informations nécessaires à une bonne compréhension des critères existants à travers la genèse ainsi que des actions et effets des différents critères d’allocation des ressources.</w:t>
      </w:r>
    </w:p>
    <w:p w:rsidR="00E97608" w:rsidRPr="00122F75" w:rsidRDefault="00E97608" w:rsidP="00E97608">
      <w:pPr>
        <w:numPr>
          <w:ilvl w:val="0"/>
          <w:numId w:val="3"/>
        </w:numPr>
        <w:spacing w:after="0" w:line="240" w:lineRule="auto"/>
        <w:ind w:left="426"/>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 xml:space="preserve">un </w:t>
      </w:r>
      <w:r w:rsidR="00307DC7">
        <w:rPr>
          <w:rFonts w:ascii="Verdana" w:eastAsia="Times New Roman" w:hAnsi="Verdana" w:cs="Times New Roman"/>
          <w:color w:val="000000"/>
          <w:sz w:val="21"/>
          <w:szCs w:val="21"/>
          <w:lang w:eastAsia="fr-FR" w:bidi="en-US"/>
        </w:rPr>
        <w:t>guide d’entretien</w:t>
      </w:r>
      <w:r w:rsidRPr="00122F75">
        <w:rPr>
          <w:rFonts w:ascii="Verdana" w:eastAsia="Times New Roman" w:hAnsi="Verdana" w:cs="Times New Roman"/>
          <w:color w:val="000000"/>
          <w:sz w:val="21"/>
          <w:szCs w:val="21"/>
          <w:lang w:eastAsia="fr-FR" w:bidi="en-US"/>
        </w:rPr>
        <w:t xml:space="preserve"> des informateurs clés pour recouper et approfondir les informations de la revue documentaire à travers les indicateurs :</w:t>
      </w:r>
    </w:p>
    <w:p w:rsidR="00E97608" w:rsidRPr="00122F75" w:rsidRDefault="00E97608"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Connaissance et maitrise des critères d’allocation</w:t>
      </w:r>
    </w:p>
    <w:p w:rsidR="00E97608" w:rsidRPr="00122F75" w:rsidRDefault="00E97608"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Expérience pratique de la mise en œuvre des décisions d’allocation des ressources</w:t>
      </w:r>
    </w:p>
    <w:p w:rsidR="00E97608" w:rsidRPr="00122F75" w:rsidRDefault="00F67A06"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Pr>
          <w:rFonts w:ascii="Verdana" w:eastAsia="Times New Roman" w:hAnsi="Verdana" w:cs="Times New Roman"/>
          <w:color w:val="000000"/>
          <w:sz w:val="21"/>
          <w:szCs w:val="21"/>
          <w:lang w:eastAsia="fr-FR" w:bidi="en-US"/>
        </w:rPr>
        <w:t>S</w:t>
      </w:r>
      <w:r w:rsidR="00E97608" w:rsidRPr="00122F75">
        <w:rPr>
          <w:rFonts w:ascii="Verdana" w:eastAsia="Times New Roman" w:hAnsi="Verdana" w:cs="Times New Roman"/>
          <w:color w:val="000000"/>
          <w:sz w:val="21"/>
          <w:szCs w:val="21"/>
          <w:lang w:eastAsia="fr-FR" w:bidi="en-US"/>
        </w:rPr>
        <w:t>uggestions</w:t>
      </w:r>
      <w:r w:rsidR="00E97608" w:rsidRPr="00122F75">
        <w:rPr>
          <w:rFonts w:ascii="Verdana" w:eastAsia="Times New Roman" w:hAnsi="Verdana" w:cs="Times New Roman"/>
          <w:b/>
          <w:bCs/>
          <w:color w:val="FFFFFF"/>
          <w:sz w:val="21"/>
          <w:szCs w:val="21"/>
          <w:lang w:eastAsia="fr-FR" w:bidi="en-US"/>
        </w:rPr>
        <w:t>les</w:t>
      </w:r>
    </w:p>
    <w:p w:rsidR="00E97608" w:rsidRPr="00122F75" w:rsidRDefault="00E97608" w:rsidP="00E97608">
      <w:pPr>
        <w:numPr>
          <w:ilvl w:val="0"/>
          <w:numId w:val="3"/>
        </w:numPr>
        <w:spacing w:after="0" w:line="240" w:lineRule="auto"/>
        <w:ind w:left="426"/>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 xml:space="preserve">un </w:t>
      </w:r>
      <w:r w:rsidR="00307DC7">
        <w:rPr>
          <w:rFonts w:ascii="Verdana" w:eastAsia="Times New Roman" w:hAnsi="Verdana" w:cs="Times New Roman"/>
          <w:color w:val="000000"/>
          <w:sz w:val="21"/>
          <w:szCs w:val="21"/>
          <w:lang w:eastAsia="fr-FR" w:bidi="en-US"/>
        </w:rPr>
        <w:t>guide d’entretien</w:t>
      </w:r>
      <w:r w:rsidRPr="00122F75">
        <w:rPr>
          <w:rFonts w:ascii="Verdana" w:eastAsia="Times New Roman" w:hAnsi="Verdana" w:cs="Times New Roman"/>
          <w:color w:val="000000"/>
          <w:sz w:val="21"/>
          <w:szCs w:val="21"/>
          <w:lang w:eastAsia="fr-FR" w:bidi="en-US"/>
        </w:rPr>
        <w:t xml:space="preserve"> des </w:t>
      </w:r>
      <w:r w:rsidR="00307DC7">
        <w:rPr>
          <w:rFonts w:ascii="Verdana" w:eastAsia="Times New Roman" w:hAnsi="Verdana" w:cs="Times New Roman"/>
          <w:color w:val="000000"/>
          <w:sz w:val="21"/>
          <w:szCs w:val="21"/>
          <w:lang w:eastAsia="fr-FR" w:bidi="en-US"/>
        </w:rPr>
        <w:t>détenteurs d’enjeux</w:t>
      </w:r>
      <w:r w:rsidRPr="00122F75">
        <w:rPr>
          <w:rFonts w:ascii="Verdana" w:eastAsia="Times New Roman" w:hAnsi="Verdana" w:cs="Times New Roman"/>
          <w:color w:val="000000"/>
          <w:sz w:val="21"/>
          <w:szCs w:val="21"/>
          <w:lang w:eastAsia="fr-FR" w:bidi="en-US"/>
        </w:rPr>
        <w:t xml:space="preserve"> pour comprendre et explorer le processus décisionnel dans le choix des politiques budgétaires et les mécanismes d’arbitrage intra sectoriel pour les reformes futures à travers les indicateurs :</w:t>
      </w:r>
    </w:p>
    <w:p w:rsidR="00E97608" w:rsidRPr="00122F75" w:rsidRDefault="00E97608"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les priorité</w:t>
      </w:r>
      <w:r w:rsidR="003F609F">
        <w:rPr>
          <w:rFonts w:ascii="Verdana" w:eastAsia="Times New Roman" w:hAnsi="Verdana" w:cs="Times New Roman"/>
          <w:color w:val="000000"/>
          <w:sz w:val="21"/>
          <w:szCs w:val="21"/>
          <w:lang w:eastAsia="fr-FR" w:bidi="en-US"/>
        </w:rPr>
        <w:t>s</w:t>
      </w:r>
      <w:r w:rsidRPr="00122F75">
        <w:rPr>
          <w:rFonts w:ascii="Verdana" w:eastAsia="Times New Roman" w:hAnsi="Verdana" w:cs="Times New Roman"/>
          <w:color w:val="000000"/>
          <w:sz w:val="21"/>
          <w:szCs w:val="21"/>
          <w:lang w:eastAsia="fr-FR" w:bidi="en-US"/>
        </w:rPr>
        <w:t xml:space="preserve"> en santé</w:t>
      </w:r>
    </w:p>
    <w:p w:rsidR="00E97608" w:rsidRPr="00122F75" w:rsidRDefault="00E97608"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sidRPr="00122F75">
        <w:rPr>
          <w:rFonts w:ascii="Verdana" w:eastAsia="Times New Roman" w:hAnsi="Verdana" w:cs="Times New Roman"/>
          <w:color w:val="000000"/>
          <w:sz w:val="21"/>
          <w:szCs w:val="21"/>
          <w:lang w:eastAsia="fr-FR" w:bidi="en-US"/>
        </w:rPr>
        <w:t>les interventions</w:t>
      </w:r>
    </w:p>
    <w:p w:rsidR="00E97608" w:rsidRPr="00122F75" w:rsidRDefault="00F67A06"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Pr>
          <w:rFonts w:ascii="Verdana" w:eastAsia="Times New Roman" w:hAnsi="Verdana" w:cs="Times New Roman"/>
          <w:color w:val="000000"/>
          <w:sz w:val="21"/>
          <w:szCs w:val="21"/>
          <w:lang w:eastAsia="fr-FR" w:bidi="en-US"/>
        </w:rPr>
        <w:t>les critères d</w:t>
      </w:r>
      <w:r w:rsidR="00E97608" w:rsidRPr="00122F75">
        <w:rPr>
          <w:rFonts w:ascii="Verdana" w:eastAsia="Times New Roman" w:hAnsi="Verdana" w:cs="Times New Roman"/>
          <w:color w:val="000000"/>
          <w:sz w:val="21"/>
          <w:szCs w:val="21"/>
          <w:lang w:eastAsia="fr-FR" w:bidi="en-US"/>
        </w:rPr>
        <w:t xml:space="preserve">’allocation des ressources </w:t>
      </w:r>
    </w:p>
    <w:p w:rsidR="00E97608" w:rsidRDefault="00F67A06" w:rsidP="00E97608">
      <w:pPr>
        <w:numPr>
          <w:ilvl w:val="1"/>
          <w:numId w:val="3"/>
        </w:numPr>
        <w:spacing w:after="0" w:line="240" w:lineRule="auto"/>
        <w:contextualSpacing/>
        <w:jc w:val="both"/>
        <w:rPr>
          <w:rFonts w:ascii="Verdana" w:eastAsia="Times New Roman" w:hAnsi="Verdana" w:cs="Times New Roman"/>
          <w:color w:val="000000"/>
          <w:sz w:val="21"/>
          <w:szCs w:val="21"/>
          <w:lang w:eastAsia="fr-FR" w:bidi="en-US"/>
        </w:rPr>
      </w:pPr>
      <w:r>
        <w:rPr>
          <w:rFonts w:ascii="Verdana" w:eastAsia="Times New Roman" w:hAnsi="Verdana" w:cs="Times New Roman"/>
          <w:color w:val="000000"/>
          <w:sz w:val="21"/>
          <w:szCs w:val="21"/>
          <w:lang w:eastAsia="fr-FR" w:bidi="en-US"/>
        </w:rPr>
        <w:t xml:space="preserve">les </w:t>
      </w:r>
      <w:r w:rsidR="00E97608" w:rsidRPr="00122F75">
        <w:rPr>
          <w:rFonts w:ascii="Verdana" w:eastAsia="Times New Roman" w:hAnsi="Verdana" w:cs="Times New Roman"/>
          <w:color w:val="000000"/>
          <w:sz w:val="21"/>
          <w:szCs w:val="21"/>
          <w:lang w:eastAsia="fr-FR" w:bidi="en-US"/>
        </w:rPr>
        <w:t>perspective</w:t>
      </w:r>
      <w:r w:rsidR="003F609F">
        <w:rPr>
          <w:rFonts w:ascii="Verdana" w:eastAsia="Times New Roman" w:hAnsi="Verdana" w:cs="Times New Roman"/>
          <w:color w:val="000000"/>
          <w:sz w:val="21"/>
          <w:szCs w:val="21"/>
          <w:lang w:eastAsia="fr-FR" w:bidi="en-US"/>
        </w:rPr>
        <w:t>s</w:t>
      </w:r>
      <w:r w:rsidR="00E97608" w:rsidRPr="00122F75">
        <w:rPr>
          <w:rFonts w:ascii="Verdana" w:eastAsia="Times New Roman" w:hAnsi="Verdana" w:cs="Times New Roman"/>
          <w:color w:val="000000"/>
          <w:sz w:val="21"/>
          <w:szCs w:val="21"/>
          <w:lang w:eastAsia="fr-FR" w:bidi="en-US"/>
        </w:rPr>
        <w:t xml:space="preserve"> de révision des critères</w:t>
      </w:r>
    </w:p>
    <w:p w:rsidR="00E97608" w:rsidRDefault="00F67A06" w:rsidP="00AE20DC">
      <w:pPr>
        <w:spacing w:after="0" w:line="240" w:lineRule="auto"/>
        <w:contextualSpacing/>
        <w:jc w:val="both"/>
        <w:rPr>
          <w:rFonts w:ascii="Verdana" w:eastAsia="Times New Roman" w:hAnsi="Verdana" w:cs="Times New Roman"/>
          <w:color w:val="000000"/>
          <w:sz w:val="21"/>
          <w:szCs w:val="21"/>
          <w:lang w:eastAsia="fr-FR"/>
        </w:rPr>
      </w:pPr>
      <w:r>
        <w:rPr>
          <w:rFonts w:ascii="Verdana" w:eastAsia="Times New Roman" w:hAnsi="Verdana" w:cs="Times New Roman"/>
          <w:color w:val="000000"/>
          <w:sz w:val="21"/>
          <w:szCs w:val="21"/>
          <w:lang w:eastAsia="fr-FR" w:bidi="en-US"/>
        </w:rPr>
        <w:t>L’ensemble de ces outils et techniques de collectes seront soumis à la validation du comité technique de l’étude.</w:t>
      </w:r>
      <w:r w:rsidR="00AE20DC" w:rsidRPr="00FF3396">
        <w:rPr>
          <w:rFonts w:ascii="Verdana" w:eastAsia="Times New Roman" w:hAnsi="Verdana" w:cs="Times New Roman"/>
          <w:color w:val="000000"/>
          <w:sz w:val="21"/>
          <w:szCs w:val="21"/>
          <w:lang w:eastAsia="fr-FR"/>
        </w:rPr>
        <w:t xml:space="preserve"> </w:t>
      </w:r>
    </w:p>
    <w:p w:rsidR="008D2E48" w:rsidRPr="00FF3396" w:rsidRDefault="008D2E48" w:rsidP="00AE20DC">
      <w:pPr>
        <w:spacing w:after="0" w:line="240" w:lineRule="auto"/>
        <w:contextualSpacing/>
        <w:jc w:val="both"/>
        <w:rPr>
          <w:rFonts w:ascii="Verdana" w:eastAsia="Times New Roman" w:hAnsi="Verdana" w:cs="Times New Roman"/>
          <w:color w:val="000000"/>
          <w:sz w:val="21"/>
          <w:szCs w:val="21"/>
          <w:lang w:eastAsia="fr-FR"/>
        </w:rPr>
      </w:pPr>
    </w:p>
    <w:p w:rsidR="00E97608" w:rsidRPr="00FF3396" w:rsidRDefault="00AE20DC" w:rsidP="00E97608">
      <w:pPr>
        <w:numPr>
          <w:ilvl w:val="2"/>
          <w:numId w:val="1"/>
        </w:numPr>
        <w:autoSpaceDE w:val="0"/>
        <w:autoSpaceDN w:val="0"/>
        <w:adjustRightInd w:val="0"/>
        <w:spacing w:after="0" w:line="240" w:lineRule="auto"/>
        <w:contextualSpacing/>
        <w:rPr>
          <w:rFonts w:ascii="Verdana" w:eastAsia="Times New Roman" w:hAnsi="Verdana" w:cs="Times New Roman"/>
          <w:color w:val="000000"/>
          <w:sz w:val="21"/>
          <w:szCs w:val="21"/>
          <w:lang w:eastAsia="fr-FR"/>
        </w:rPr>
      </w:pPr>
      <w:r>
        <w:rPr>
          <w:rFonts w:ascii="Verdana" w:eastAsia="Times New Roman" w:hAnsi="Verdana" w:cs="Times New Roman"/>
          <w:b/>
          <w:bCs/>
          <w:color w:val="000000"/>
          <w:sz w:val="21"/>
          <w:szCs w:val="21"/>
          <w:lang w:eastAsia="fr-FR"/>
        </w:rPr>
        <w:t>Méthode</w:t>
      </w:r>
      <w:r w:rsidR="00E97608" w:rsidRPr="00122F75">
        <w:rPr>
          <w:rFonts w:ascii="Verdana" w:eastAsia="Times New Roman" w:hAnsi="Verdana" w:cs="Times New Roman"/>
          <w:b/>
          <w:bCs/>
          <w:color w:val="000000"/>
          <w:sz w:val="21"/>
          <w:szCs w:val="21"/>
          <w:lang w:eastAsia="fr-FR"/>
        </w:rPr>
        <w:t xml:space="preserve"> </w:t>
      </w:r>
      <w:r w:rsidR="00E97608">
        <w:rPr>
          <w:rFonts w:ascii="Verdana" w:eastAsia="Times New Roman" w:hAnsi="Verdana" w:cs="Times New Roman"/>
          <w:b/>
          <w:bCs/>
          <w:color w:val="000000"/>
          <w:sz w:val="21"/>
          <w:szCs w:val="21"/>
          <w:lang w:eastAsia="fr-FR"/>
        </w:rPr>
        <w:t>d’analyse</w:t>
      </w:r>
    </w:p>
    <w:p w:rsidR="00E97608" w:rsidRPr="00FF3396" w:rsidRDefault="00AE20DC" w:rsidP="00E97608">
      <w:pPr>
        <w:autoSpaceDE w:val="0"/>
        <w:autoSpaceDN w:val="0"/>
        <w:adjustRightInd w:val="0"/>
        <w:spacing w:after="0" w:line="240" w:lineRule="auto"/>
        <w:contextualSpacing/>
        <w:jc w:val="both"/>
        <w:rPr>
          <w:rFonts w:ascii="Verdana" w:eastAsia="Times New Roman" w:hAnsi="Verdana" w:cs="Times New Roman"/>
          <w:color w:val="000000"/>
          <w:sz w:val="21"/>
          <w:szCs w:val="21"/>
          <w:lang w:eastAsia="fr-FR"/>
        </w:rPr>
      </w:pPr>
      <w:r>
        <w:rPr>
          <w:rFonts w:ascii="Verdana" w:eastAsia="Times New Roman" w:hAnsi="Verdana" w:cs="Times New Roman"/>
          <w:color w:val="000000"/>
          <w:sz w:val="21"/>
          <w:szCs w:val="21"/>
          <w:lang w:eastAsia="fr-FR"/>
        </w:rPr>
        <w:t>L</w:t>
      </w:r>
      <w:r w:rsidR="00E97608" w:rsidRPr="00FF3396">
        <w:rPr>
          <w:rFonts w:ascii="Verdana" w:eastAsia="Times New Roman" w:hAnsi="Verdana" w:cs="Times New Roman"/>
          <w:color w:val="000000"/>
          <w:sz w:val="21"/>
          <w:szCs w:val="21"/>
          <w:lang w:eastAsia="fr-FR"/>
        </w:rPr>
        <w:t>’interprétation des données sera conduite dans l’optique de vérifier les postulats. Ainsi, l’analyse de la cohérence décisionnelle s’avère incontournable. Elle permettra de mieux comprendre les processus de décision d’allocation des ressources. Le plan général va consister à objectiver des faits récurrents, à partir de la confrontation des données budgétaires tirées des différentes sources à notre disposition. Ensuite ces faits vont être validés, en les confrontant aux informations recueillies durant le processus de collecte</w:t>
      </w:r>
      <w:r w:rsidR="00E97608">
        <w:rPr>
          <w:rFonts w:ascii="Verdana" w:eastAsia="Times New Roman" w:hAnsi="Verdana" w:cs="Times New Roman"/>
          <w:color w:val="000000"/>
          <w:sz w:val="21"/>
          <w:szCs w:val="21"/>
          <w:lang w:eastAsia="fr-FR"/>
        </w:rPr>
        <w:t xml:space="preserve"> </w:t>
      </w:r>
      <w:r w:rsidR="00E97608" w:rsidRPr="000D5833">
        <w:rPr>
          <w:rFonts w:ascii="Verdana" w:eastAsia="Times New Roman" w:hAnsi="Verdana" w:cs="Times New Roman"/>
          <w:color w:val="000000"/>
          <w:sz w:val="21"/>
          <w:szCs w:val="21"/>
          <w:lang w:eastAsia="fr-FR"/>
        </w:rPr>
        <w:t>pour s’assurer que les priorités avancées ont été exécutées pour une meilleure objectivité</w:t>
      </w:r>
      <w:r w:rsidR="00E97608">
        <w:rPr>
          <w:rFonts w:ascii="Verdana" w:eastAsia="Times New Roman" w:hAnsi="Verdana" w:cs="Times New Roman"/>
          <w:color w:val="000000"/>
          <w:sz w:val="21"/>
          <w:szCs w:val="21"/>
          <w:lang w:eastAsia="fr-FR"/>
        </w:rPr>
        <w:t xml:space="preserve">. </w:t>
      </w:r>
      <w:r w:rsidRPr="00AE20DC">
        <w:rPr>
          <w:rFonts w:ascii="Verdana" w:eastAsia="Times New Roman" w:hAnsi="Verdana" w:cs="Times New Roman"/>
          <w:color w:val="000000"/>
          <w:sz w:val="21"/>
          <w:szCs w:val="21"/>
          <w:lang w:eastAsia="fr-FR"/>
        </w:rPr>
        <w:t xml:space="preserve">L’analyse de l’efficience allocative se fera à travers le recoupement des informations sur </w:t>
      </w:r>
      <w:r w:rsidR="00E97608">
        <w:rPr>
          <w:rFonts w:ascii="Verdana" w:eastAsia="Times New Roman" w:hAnsi="Verdana" w:cs="Times New Roman"/>
          <w:color w:val="000000"/>
          <w:sz w:val="21"/>
          <w:szCs w:val="21"/>
          <w:lang w:eastAsia="fr-FR"/>
        </w:rPr>
        <w:t>:</w:t>
      </w:r>
    </w:p>
    <w:p w:rsidR="00E97608" w:rsidRPr="00FF3396" w:rsidRDefault="00E97608" w:rsidP="00E97608">
      <w:pPr>
        <w:pStyle w:val="Paragraphedeliste"/>
        <w:numPr>
          <w:ilvl w:val="0"/>
          <w:numId w:val="6"/>
        </w:numPr>
        <w:autoSpaceDE w:val="0"/>
        <w:autoSpaceDN w:val="0"/>
        <w:adjustRightInd w:val="0"/>
        <w:spacing w:after="0" w:line="240" w:lineRule="auto"/>
        <w:ind w:left="709"/>
        <w:jc w:val="both"/>
        <w:rPr>
          <w:rFonts w:ascii="Verdana" w:eastAsia="Times New Roman" w:hAnsi="Verdana" w:cs="Times New Roman"/>
          <w:color w:val="000000"/>
          <w:sz w:val="21"/>
          <w:szCs w:val="21"/>
          <w:lang w:eastAsia="fr-FR"/>
        </w:rPr>
      </w:pPr>
      <w:r w:rsidRPr="00FF3396">
        <w:rPr>
          <w:rFonts w:ascii="Verdana" w:eastAsia="Times New Roman" w:hAnsi="Verdana" w:cs="Times New Roman"/>
          <w:color w:val="000000"/>
          <w:sz w:val="21"/>
          <w:szCs w:val="21"/>
          <w:lang w:eastAsia="fr-FR"/>
        </w:rPr>
        <w:t xml:space="preserve">L’allocation actuelle des ressources et les données probantes disponibles en termes de charges de morbidité </w:t>
      </w:r>
    </w:p>
    <w:p w:rsidR="00E97608" w:rsidRPr="00FF3396" w:rsidRDefault="00E97608" w:rsidP="00E97608">
      <w:pPr>
        <w:pStyle w:val="Paragraphedeliste"/>
        <w:numPr>
          <w:ilvl w:val="0"/>
          <w:numId w:val="6"/>
        </w:numPr>
        <w:autoSpaceDE w:val="0"/>
        <w:autoSpaceDN w:val="0"/>
        <w:adjustRightInd w:val="0"/>
        <w:spacing w:after="0" w:line="240" w:lineRule="auto"/>
        <w:ind w:left="709"/>
        <w:jc w:val="both"/>
        <w:rPr>
          <w:rFonts w:ascii="Verdana" w:eastAsia="Times New Roman" w:hAnsi="Verdana" w:cs="Times New Roman"/>
          <w:color w:val="000000"/>
          <w:sz w:val="21"/>
          <w:szCs w:val="21"/>
          <w:lang w:eastAsia="fr-FR"/>
        </w:rPr>
      </w:pPr>
      <w:r w:rsidRPr="00FF3396">
        <w:rPr>
          <w:rFonts w:ascii="Verdana" w:eastAsia="Times New Roman" w:hAnsi="Verdana" w:cs="Times New Roman"/>
          <w:color w:val="000000"/>
          <w:sz w:val="21"/>
          <w:szCs w:val="21"/>
          <w:lang w:eastAsia="fr-FR"/>
        </w:rPr>
        <w:t xml:space="preserve">Les interventions et leur mise en œuvre (préventif vs curatif) </w:t>
      </w:r>
    </w:p>
    <w:p w:rsidR="00E97608" w:rsidRPr="00FF3396" w:rsidRDefault="00E97608" w:rsidP="00E97608">
      <w:pPr>
        <w:pStyle w:val="Paragraphedeliste"/>
        <w:numPr>
          <w:ilvl w:val="0"/>
          <w:numId w:val="6"/>
        </w:numPr>
        <w:autoSpaceDE w:val="0"/>
        <w:autoSpaceDN w:val="0"/>
        <w:adjustRightInd w:val="0"/>
        <w:spacing w:after="0" w:line="240" w:lineRule="auto"/>
        <w:ind w:left="709"/>
        <w:jc w:val="both"/>
        <w:rPr>
          <w:rFonts w:ascii="Verdana" w:eastAsia="Times New Roman" w:hAnsi="Verdana" w:cs="Times New Roman"/>
          <w:color w:val="000000"/>
          <w:sz w:val="21"/>
          <w:szCs w:val="21"/>
          <w:lang w:eastAsia="fr-FR"/>
        </w:rPr>
      </w:pPr>
      <w:r w:rsidRPr="00FF3396">
        <w:rPr>
          <w:rFonts w:ascii="Verdana" w:eastAsia="Times New Roman" w:hAnsi="Verdana" w:cs="Times New Roman"/>
          <w:color w:val="000000"/>
          <w:sz w:val="21"/>
          <w:szCs w:val="21"/>
          <w:lang w:eastAsia="fr-FR"/>
        </w:rPr>
        <w:t>Les interventions et les zones géographiques et/ou les populations représentent la plus grosse part de la charge de morbidité</w:t>
      </w:r>
    </w:p>
    <w:p w:rsidR="00E97608" w:rsidRDefault="00E97608" w:rsidP="00E97608">
      <w:pPr>
        <w:autoSpaceDE w:val="0"/>
        <w:autoSpaceDN w:val="0"/>
        <w:adjustRightInd w:val="0"/>
        <w:spacing w:after="0" w:line="240" w:lineRule="auto"/>
        <w:contextualSpacing/>
        <w:jc w:val="both"/>
        <w:rPr>
          <w:rFonts w:ascii="Verdana" w:eastAsia="Times New Roman" w:hAnsi="Verdana" w:cs="Times New Roman"/>
          <w:color w:val="000000"/>
          <w:sz w:val="21"/>
          <w:szCs w:val="21"/>
          <w:lang w:eastAsia="fr-FR"/>
        </w:rPr>
      </w:pPr>
      <w:r w:rsidRPr="00FF3396">
        <w:rPr>
          <w:rFonts w:ascii="Verdana" w:eastAsia="Times New Roman" w:hAnsi="Verdana" w:cs="Times New Roman"/>
          <w:color w:val="000000"/>
          <w:sz w:val="21"/>
          <w:szCs w:val="21"/>
          <w:lang w:eastAsia="fr-FR"/>
        </w:rPr>
        <w:t xml:space="preserve">Le cadre d’analyse permettra d’interroger l’efficience allocative </w:t>
      </w:r>
      <w:r w:rsidR="00F44088">
        <w:rPr>
          <w:rFonts w:ascii="Verdana" w:eastAsia="Times New Roman" w:hAnsi="Verdana" w:cs="Times New Roman"/>
          <w:color w:val="000000"/>
          <w:sz w:val="21"/>
          <w:szCs w:val="21"/>
          <w:lang w:eastAsia="fr-FR"/>
        </w:rPr>
        <w:t>d</w:t>
      </w:r>
      <w:r w:rsidRPr="00FF3396">
        <w:rPr>
          <w:rFonts w:ascii="Verdana" w:eastAsia="Times New Roman" w:hAnsi="Verdana" w:cs="Times New Roman"/>
          <w:color w:val="000000"/>
          <w:sz w:val="21"/>
          <w:szCs w:val="21"/>
          <w:lang w:eastAsia="fr-FR"/>
        </w:rPr>
        <w:t xml:space="preserve">es différentes réformes du système de santé, </w:t>
      </w:r>
      <w:r w:rsidR="00F44088">
        <w:rPr>
          <w:rFonts w:ascii="Verdana" w:eastAsia="Times New Roman" w:hAnsi="Verdana" w:cs="Times New Roman"/>
          <w:color w:val="000000"/>
          <w:sz w:val="21"/>
          <w:szCs w:val="21"/>
          <w:lang w:eastAsia="fr-FR"/>
        </w:rPr>
        <w:t>d</w:t>
      </w:r>
      <w:r w:rsidRPr="00FF3396">
        <w:rPr>
          <w:rFonts w:ascii="Verdana" w:eastAsia="Times New Roman" w:hAnsi="Verdana" w:cs="Times New Roman"/>
          <w:color w:val="000000"/>
          <w:sz w:val="21"/>
          <w:szCs w:val="21"/>
          <w:lang w:eastAsia="fr-FR"/>
        </w:rPr>
        <w:t xml:space="preserve">es politiques budgétaires </w:t>
      </w:r>
      <w:r w:rsidR="008D2E48">
        <w:rPr>
          <w:rFonts w:ascii="Verdana" w:eastAsia="Times New Roman" w:hAnsi="Verdana" w:cs="Times New Roman"/>
          <w:color w:val="000000"/>
          <w:sz w:val="21"/>
          <w:szCs w:val="21"/>
          <w:lang w:eastAsia="fr-FR"/>
        </w:rPr>
        <w:t>des mécanismes d’allocation des ressources</w:t>
      </w:r>
      <w:r w:rsidRPr="00FF3396">
        <w:rPr>
          <w:rFonts w:ascii="Verdana" w:eastAsia="Times New Roman" w:hAnsi="Verdana" w:cs="Times New Roman"/>
          <w:color w:val="000000"/>
          <w:sz w:val="21"/>
          <w:szCs w:val="21"/>
          <w:lang w:eastAsia="fr-FR"/>
        </w:rPr>
        <w:t xml:space="preserve"> pour répondre à </w:t>
      </w:r>
      <w:r>
        <w:rPr>
          <w:rFonts w:ascii="Verdana" w:eastAsia="Times New Roman" w:hAnsi="Verdana" w:cs="Times New Roman"/>
          <w:color w:val="000000"/>
          <w:sz w:val="21"/>
          <w:szCs w:val="21"/>
          <w:lang w:eastAsia="fr-FR"/>
        </w:rPr>
        <w:t>l</w:t>
      </w:r>
      <w:r w:rsidRPr="00FF3396">
        <w:rPr>
          <w:rFonts w:ascii="Verdana" w:eastAsia="Times New Roman" w:hAnsi="Verdana" w:cs="Times New Roman"/>
          <w:color w:val="000000"/>
          <w:sz w:val="21"/>
          <w:szCs w:val="21"/>
          <w:lang w:eastAsia="fr-FR"/>
        </w:rPr>
        <w:t>a mission de service public.</w:t>
      </w:r>
    </w:p>
    <w:p w:rsidR="00E97608" w:rsidRDefault="00E97608" w:rsidP="00E97608">
      <w:pPr>
        <w:autoSpaceDE w:val="0"/>
        <w:autoSpaceDN w:val="0"/>
        <w:adjustRightInd w:val="0"/>
        <w:spacing w:after="0" w:line="240" w:lineRule="auto"/>
        <w:contextualSpacing/>
        <w:jc w:val="both"/>
        <w:rPr>
          <w:rFonts w:ascii="Verdana" w:eastAsia="Times New Roman" w:hAnsi="Verdana" w:cs="Times New Roman"/>
          <w:color w:val="000000"/>
          <w:sz w:val="21"/>
          <w:szCs w:val="21"/>
          <w:lang w:eastAsia="fr-FR"/>
        </w:rPr>
      </w:pPr>
    </w:p>
    <w:p w:rsidR="00E97608" w:rsidRDefault="00E97608" w:rsidP="00E97608">
      <w:pPr>
        <w:numPr>
          <w:ilvl w:val="1"/>
          <w:numId w:val="1"/>
        </w:numPr>
        <w:autoSpaceDE w:val="0"/>
        <w:autoSpaceDN w:val="0"/>
        <w:adjustRightInd w:val="0"/>
        <w:spacing w:after="0" w:line="240" w:lineRule="auto"/>
        <w:contextualSpacing/>
        <w:rPr>
          <w:rFonts w:ascii="Verdana" w:eastAsia="Times New Roman" w:hAnsi="Verdana" w:cs="Times New Roman"/>
          <w:b/>
          <w:bCs/>
          <w:color w:val="000000"/>
          <w:sz w:val="21"/>
          <w:szCs w:val="21"/>
          <w:lang w:eastAsia="fr-FR"/>
        </w:rPr>
      </w:pPr>
      <w:bookmarkStart w:id="2" w:name="_Hlk525826193"/>
      <w:r w:rsidRPr="00B51D02">
        <w:rPr>
          <w:rFonts w:ascii="Verdana" w:eastAsia="Times New Roman" w:hAnsi="Verdana" w:cs="Times New Roman"/>
          <w:b/>
          <w:bCs/>
          <w:color w:val="000000"/>
          <w:sz w:val="21"/>
          <w:szCs w:val="21"/>
          <w:lang w:eastAsia="fr-FR"/>
        </w:rPr>
        <w:t>Analyse prospective</w:t>
      </w:r>
    </w:p>
    <w:bookmarkEnd w:id="2"/>
    <w:p w:rsidR="00E97608" w:rsidRDefault="00E97608" w:rsidP="00E97608">
      <w:pPr>
        <w:spacing w:after="0"/>
        <w:jc w:val="both"/>
        <w:rPr>
          <w:rFonts w:ascii="Verdana" w:eastAsia="Times New Roman" w:hAnsi="Verdana" w:cs="Times New Roman"/>
          <w:color w:val="000000"/>
          <w:sz w:val="21"/>
          <w:szCs w:val="21"/>
          <w:lang w:eastAsia="fr-FR"/>
        </w:rPr>
      </w:pPr>
      <w:r w:rsidRPr="000D5833">
        <w:rPr>
          <w:rFonts w:ascii="Verdana" w:eastAsia="Times New Roman" w:hAnsi="Verdana" w:cs="Times New Roman"/>
          <w:color w:val="000000"/>
          <w:sz w:val="21"/>
          <w:szCs w:val="21"/>
          <w:lang w:eastAsia="fr-FR"/>
        </w:rPr>
        <w:t>L’analyse prospective sera faite à travers l’approche des DALY (</w:t>
      </w:r>
      <w:proofErr w:type="spellStart"/>
      <w:r w:rsidRPr="000D5833">
        <w:rPr>
          <w:rFonts w:ascii="Verdana" w:eastAsia="Times New Roman" w:hAnsi="Verdana" w:cs="Times New Roman"/>
          <w:color w:val="000000"/>
          <w:sz w:val="21"/>
          <w:szCs w:val="21"/>
          <w:lang w:eastAsia="fr-FR"/>
        </w:rPr>
        <w:t>diseability</w:t>
      </w:r>
      <w:proofErr w:type="spellEnd"/>
      <w:r w:rsidRPr="000D5833">
        <w:rPr>
          <w:rFonts w:ascii="Verdana" w:eastAsia="Times New Roman" w:hAnsi="Verdana" w:cs="Times New Roman"/>
          <w:color w:val="000000"/>
          <w:sz w:val="21"/>
          <w:szCs w:val="21"/>
          <w:lang w:eastAsia="fr-FR"/>
        </w:rPr>
        <w:t xml:space="preserve"> </w:t>
      </w:r>
      <w:proofErr w:type="spellStart"/>
      <w:r w:rsidRPr="000D5833">
        <w:rPr>
          <w:rFonts w:ascii="Verdana" w:eastAsia="Times New Roman" w:hAnsi="Verdana" w:cs="Times New Roman"/>
          <w:color w:val="000000"/>
          <w:sz w:val="21"/>
          <w:szCs w:val="21"/>
          <w:lang w:eastAsia="fr-FR"/>
        </w:rPr>
        <w:t>adjust</w:t>
      </w:r>
      <w:proofErr w:type="spellEnd"/>
      <w:r w:rsidRPr="000D5833">
        <w:rPr>
          <w:rFonts w:ascii="Verdana" w:eastAsia="Times New Roman" w:hAnsi="Verdana" w:cs="Times New Roman"/>
          <w:color w:val="000000"/>
          <w:sz w:val="21"/>
          <w:szCs w:val="21"/>
          <w:lang w:eastAsia="fr-FR"/>
        </w:rPr>
        <w:t xml:space="preserve"> life </w:t>
      </w:r>
      <w:proofErr w:type="spellStart"/>
      <w:r w:rsidRPr="000D5833">
        <w:rPr>
          <w:rFonts w:ascii="Verdana" w:eastAsia="Times New Roman" w:hAnsi="Verdana" w:cs="Times New Roman"/>
          <w:color w:val="000000"/>
          <w:sz w:val="21"/>
          <w:szCs w:val="21"/>
          <w:lang w:eastAsia="fr-FR"/>
        </w:rPr>
        <w:t>year</w:t>
      </w:r>
      <w:proofErr w:type="spellEnd"/>
      <w:r w:rsidRPr="000D5833">
        <w:rPr>
          <w:rFonts w:ascii="Verdana" w:eastAsia="Times New Roman" w:hAnsi="Verdana" w:cs="Times New Roman"/>
          <w:color w:val="000000"/>
          <w:sz w:val="21"/>
          <w:szCs w:val="21"/>
          <w:lang w:eastAsia="fr-FR"/>
        </w:rPr>
        <w:t xml:space="preserve">) ou année de vie corrigée de l’incapacité qui permettra de prioriser les interventions et les nouveaux critères d’allocations des ressources financières en santé. Elle consistera en une simulation du financement sur la base de nouveaux critères et l’estimation des éventuelles gains de performance en termes de décès évités/ charge de morbidité évité. </w:t>
      </w:r>
      <w:r>
        <w:rPr>
          <w:rFonts w:ascii="Verdana" w:eastAsia="Times New Roman" w:hAnsi="Verdana" w:cs="Times New Roman"/>
          <w:color w:val="000000"/>
          <w:sz w:val="21"/>
          <w:szCs w:val="21"/>
          <w:lang w:eastAsia="fr-FR"/>
        </w:rPr>
        <w:t>A cet effet la modélisation sera faite avec l’outils CHOICE de l’OMS</w:t>
      </w:r>
      <w:r w:rsidR="008D2E48">
        <w:rPr>
          <w:rFonts w:ascii="Verdana" w:eastAsia="Times New Roman" w:hAnsi="Verdana" w:cs="Times New Roman"/>
          <w:color w:val="000000"/>
          <w:sz w:val="21"/>
          <w:szCs w:val="21"/>
          <w:lang w:eastAsia="fr-FR"/>
        </w:rPr>
        <w:t>.</w:t>
      </w:r>
    </w:p>
    <w:p w:rsidR="001E32B2" w:rsidRPr="001E32B2" w:rsidRDefault="00E97608" w:rsidP="008D2E48">
      <w:pPr>
        <w:spacing w:after="0"/>
        <w:jc w:val="both"/>
        <w:rPr>
          <w:rFonts w:ascii="Verdana" w:eastAsia="Times New Roman" w:hAnsi="Verdana" w:cs="Times New Roman"/>
          <w:color w:val="000000"/>
          <w:sz w:val="21"/>
          <w:szCs w:val="21"/>
          <w:lang w:eastAsia="fr-FR"/>
        </w:rPr>
      </w:pPr>
      <w:r w:rsidRPr="00B51D02">
        <w:rPr>
          <w:rFonts w:ascii="Verdana" w:eastAsia="Times New Roman" w:hAnsi="Verdana" w:cs="Times New Roman"/>
          <w:color w:val="000000"/>
          <w:sz w:val="21"/>
          <w:szCs w:val="21"/>
          <w:lang w:eastAsia="fr-FR"/>
        </w:rPr>
        <w:lastRenderedPageBreak/>
        <w:t>Recommandations pour la prise en compte d’une combinaison optimale de répartition des ressources</w:t>
      </w:r>
    </w:p>
    <w:sectPr w:rsidR="001E32B2" w:rsidRPr="001E32B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716E" w:rsidRDefault="00F5716E" w:rsidP="001E32B2">
      <w:pPr>
        <w:spacing w:after="0" w:line="240" w:lineRule="auto"/>
      </w:pPr>
      <w:r>
        <w:separator/>
      </w:r>
    </w:p>
  </w:endnote>
  <w:endnote w:type="continuationSeparator" w:id="0">
    <w:p w:rsidR="00F5716E" w:rsidRDefault="00F5716E" w:rsidP="001E32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0362145"/>
      <w:docPartObj>
        <w:docPartGallery w:val="Page Numbers (Bottom of Page)"/>
        <w:docPartUnique/>
      </w:docPartObj>
    </w:sdtPr>
    <w:sdtEndPr/>
    <w:sdtContent>
      <w:p w:rsidR="008D2E48" w:rsidRDefault="008D2E48">
        <w:pPr>
          <w:pStyle w:val="Pieddepage"/>
          <w:jc w:val="right"/>
        </w:pPr>
        <w:r>
          <w:fldChar w:fldCharType="begin"/>
        </w:r>
        <w:r>
          <w:instrText>PAGE   \* MERGEFORMAT</w:instrText>
        </w:r>
        <w:r>
          <w:fldChar w:fldCharType="separate"/>
        </w:r>
        <w:r w:rsidR="00DE4EA6">
          <w:rPr>
            <w:noProof/>
          </w:rPr>
          <w:t>3</w:t>
        </w:r>
        <w:r>
          <w:fldChar w:fldCharType="end"/>
        </w:r>
      </w:p>
    </w:sdtContent>
  </w:sdt>
  <w:p w:rsidR="008D2E48" w:rsidRDefault="008D2E48">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716E" w:rsidRDefault="00F5716E" w:rsidP="001E32B2">
      <w:pPr>
        <w:spacing w:after="0" w:line="240" w:lineRule="auto"/>
      </w:pPr>
      <w:r>
        <w:separator/>
      </w:r>
    </w:p>
  </w:footnote>
  <w:footnote w:type="continuationSeparator" w:id="0">
    <w:p w:rsidR="00F5716E" w:rsidRDefault="00F5716E" w:rsidP="001E32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C212E"/>
    <w:multiLevelType w:val="hybridMultilevel"/>
    <w:tmpl w:val="1D26984A"/>
    <w:lvl w:ilvl="0" w:tplc="5AFC05FE">
      <w:numFmt w:val="bullet"/>
      <w:lvlText w:val="-"/>
      <w:lvlJc w:val="left"/>
      <w:pPr>
        <w:ind w:left="1068" w:hanging="708"/>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C6124A6"/>
    <w:multiLevelType w:val="hybridMultilevel"/>
    <w:tmpl w:val="1150AE98"/>
    <w:lvl w:ilvl="0" w:tplc="5AFC05FE">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DF106B4"/>
    <w:multiLevelType w:val="hybridMultilevel"/>
    <w:tmpl w:val="930E26C0"/>
    <w:lvl w:ilvl="0" w:tplc="5AFC05FE">
      <w:numFmt w:val="bullet"/>
      <w:lvlText w:val="-"/>
      <w:lvlJc w:val="left"/>
      <w:pPr>
        <w:ind w:left="796" w:hanging="360"/>
      </w:pPr>
      <w:rPr>
        <w:rFonts w:ascii="Calibri" w:eastAsia="Calibri" w:hAnsi="Calibri" w:cs="Times New Roman" w:hint="default"/>
      </w:rPr>
    </w:lvl>
    <w:lvl w:ilvl="1" w:tplc="040C0003">
      <w:start w:val="1"/>
      <w:numFmt w:val="bullet"/>
      <w:lvlText w:val="o"/>
      <w:lvlJc w:val="left"/>
      <w:pPr>
        <w:ind w:left="1516" w:hanging="360"/>
      </w:pPr>
      <w:rPr>
        <w:rFonts w:ascii="Courier New" w:hAnsi="Courier New" w:cs="Courier New" w:hint="default"/>
      </w:rPr>
    </w:lvl>
    <w:lvl w:ilvl="2" w:tplc="040C0005" w:tentative="1">
      <w:start w:val="1"/>
      <w:numFmt w:val="bullet"/>
      <w:lvlText w:val=""/>
      <w:lvlJc w:val="left"/>
      <w:pPr>
        <w:ind w:left="2236" w:hanging="360"/>
      </w:pPr>
      <w:rPr>
        <w:rFonts w:ascii="Wingdings" w:hAnsi="Wingdings" w:hint="default"/>
      </w:rPr>
    </w:lvl>
    <w:lvl w:ilvl="3" w:tplc="040C0001" w:tentative="1">
      <w:start w:val="1"/>
      <w:numFmt w:val="bullet"/>
      <w:lvlText w:val=""/>
      <w:lvlJc w:val="left"/>
      <w:pPr>
        <w:ind w:left="2956" w:hanging="360"/>
      </w:pPr>
      <w:rPr>
        <w:rFonts w:ascii="Symbol" w:hAnsi="Symbol" w:hint="default"/>
      </w:rPr>
    </w:lvl>
    <w:lvl w:ilvl="4" w:tplc="040C0003" w:tentative="1">
      <w:start w:val="1"/>
      <w:numFmt w:val="bullet"/>
      <w:lvlText w:val="o"/>
      <w:lvlJc w:val="left"/>
      <w:pPr>
        <w:ind w:left="3676" w:hanging="360"/>
      </w:pPr>
      <w:rPr>
        <w:rFonts w:ascii="Courier New" w:hAnsi="Courier New" w:cs="Courier New" w:hint="default"/>
      </w:rPr>
    </w:lvl>
    <w:lvl w:ilvl="5" w:tplc="040C0005" w:tentative="1">
      <w:start w:val="1"/>
      <w:numFmt w:val="bullet"/>
      <w:lvlText w:val=""/>
      <w:lvlJc w:val="left"/>
      <w:pPr>
        <w:ind w:left="4396" w:hanging="360"/>
      </w:pPr>
      <w:rPr>
        <w:rFonts w:ascii="Wingdings" w:hAnsi="Wingdings" w:hint="default"/>
      </w:rPr>
    </w:lvl>
    <w:lvl w:ilvl="6" w:tplc="040C0001" w:tentative="1">
      <w:start w:val="1"/>
      <w:numFmt w:val="bullet"/>
      <w:lvlText w:val=""/>
      <w:lvlJc w:val="left"/>
      <w:pPr>
        <w:ind w:left="5116" w:hanging="360"/>
      </w:pPr>
      <w:rPr>
        <w:rFonts w:ascii="Symbol" w:hAnsi="Symbol" w:hint="default"/>
      </w:rPr>
    </w:lvl>
    <w:lvl w:ilvl="7" w:tplc="040C0003" w:tentative="1">
      <w:start w:val="1"/>
      <w:numFmt w:val="bullet"/>
      <w:lvlText w:val="o"/>
      <w:lvlJc w:val="left"/>
      <w:pPr>
        <w:ind w:left="5836" w:hanging="360"/>
      </w:pPr>
      <w:rPr>
        <w:rFonts w:ascii="Courier New" w:hAnsi="Courier New" w:cs="Courier New" w:hint="default"/>
      </w:rPr>
    </w:lvl>
    <w:lvl w:ilvl="8" w:tplc="040C0005" w:tentative="1">
      <w:start w:val="1"/>
      <w:numFmt w:val="bullet"/>
      <w:lvlText w:val=""/>
      <w:lvlJc w:val="left"/>
      <w:pPr>
        <w:ind w:left="6556" w:hanging="360"/>
      </w:pPr>
      <w:rPr>
        <w:rFonts w:ascii="Wingdings" w:hAnsi="Wingdings" w:hint="default"/>
      </w:rPr>
    </w:lvl>
  </w:abstractNum>
  <w:abstractNum w:abstractNumId="3">
    <w:nsid w:val="225B3901"/>
    <w:multiLevelType w:val="hybridMultilevel"/>
    <w:tmpl w:val="1A301B94"/>
    <w:lvl w:ilvl="0" w:tplc="6F1AA28C">
      <w:numFmt w:val="bullet"/>
      <w:lvlText w:val="-"/>
      <w:lvlJc w:val="left"/>
      <w:pPr>
        <w:ind w:left="720" w:hanging="360"/>
      </w:pPr>
      <w:rPr>
        <w:rFonts w:ascii="Calibri" w:eastAsia="Times New Roman" w:hAnsi="Calibri"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8183AE3"/>
    <w:multiLevelType w:val="multilevel"/>
    <w:tmpl w:val="508A427A"/>
    <w:lvl w:ilvl="0">
      <w:start w:val="1"/>
      <w:numFmt w:val="upperRoman"/>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39C04814"/>
    <w:multiLevelType w:val="hybridMultilevel"/>
    <w:tmpl w:val="5C32832C"/>
    <w:lvl w:ilvl="0" w:tplc="9D16E470">
      <w:start w:val="3"/>
      <w:numFmt w:val="bullet"/>
      <w:lvlText w:val="•"/>
      <w:lvlJc w:val="left"/>
      <w:pPr>
        <w:ind w:left="1068" w:hanging="708"/>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3C3D3C63"/>
    <w:multiLevelType w:val="hybridMultilevel"/>
    <w:tmpl w:val="CA268D74"/>
    <w:lvl w:ilvl="0" w:tplc="5AFC05FE">
      <w:numFmt w:val="bullet"/>
      <w:lvlText w:val="-"/>
      <w:lvlJc w:val="left"/>
      <w:pPr>
        <w:ind w:left="1080" w:hanging="360"/>
      </w:pPr>
      <w:rPr>
        <w:rFonts w:ascii="Calibri" w:eastAsia="Calibri" w:hAnsi="Calibri"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3E1D1158"/>
    <w:multiLevelType w:val="hybridMultilevel"/>
    <w:tmpl w:val="3022FB3E"/>
    <w:lvl w:ilvl="0" w:tplc="3CA4CB58">
      <w:numFmt w:val="bullet"/>
      <w:lvlText w:val="•"/>
      <w:lvlJc w:val="left"/>
      <w:pPr>
        <w:ind w:left="720" w:hanging="360"/>
      </w:pPr>
      <w:rPr>
        <w:rFonts w:ascii="TimesNewRomanPSMT" w:eastAsia="Times New Roman" w:hAnsi="TimesNewRomanPSMT" w:cs="TimesNewRomanPSMT"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5B994DDB"/>
    <w:multiLevelType w:val="hybridMultilevel"/>
    <w:tmpl w:val="1552536A"/>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65681029"/>
    <w:multiLevelType w:val="hybridMultilevel"/>
    <w:tmpl w:val="5FC447FA"/>
    <w:lvl w:ilvl="0" w:tplc="5AFC05FE">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65B81354"/>
    <w:multiLevelType w:val="hybridMultilevel"/>
    <w:tmpl w:val="B490893E"/>
    <w:lvl w:ilvl="0" w:tplc="B8E4A0DA">
      <w:numFmt w:val="bullet"/>
      <w:lvlText w:val="•"/>
      <w:lvlJc w:val="left"/>
      <w:pPr>
        <w:ind w:left="720" w:hanging="360"/>
      </w:pPr>
      <w:rPr>
        <w:rFonts w:ascii="Calibri" w:eastAsiaTheme="minorHAnsi" w:hAnsi="Calibri" w:cs="Calibri" w:hint="default"/>
      </w:rPr>
    </w:lvl>
    <w:lvl w:ilvl="1" w:tplc="93967C48">
      <w:numFmt w:val="bullet"/>
      <w:lvlText w:val="-"/>
      <w:lvlJc w:val="left"/>
      <w:pPr>
        <w:ind w:left="1788" w:hanging="708"/>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675A4368"/>
    <w:multiLevelType w:val="hybridMultilevel"/>
    <w:tmpl w:val="77464E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71017BA6"/>
    <w:multiLevelType w:val="hybridMultilevel"/>
    <w:tmpl w:val="BCA6AF0E"/>
    <w:lvl w:ilvl="0" w:tplc="B8E4A0DA">
      <w:numFmt w:val="bullet"/>
      <w:lvlText w:val="•"/>
      <w:lvlJc w:val="left"/>
      <w:pPr>
        <w:ind w:left="360" w:hanging="360"/>
      </w:pPr>
      <w:rPr>
        <w:rFonts w:ascii="Calibri" w:eastAsiaTheme="minorHAns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nsid w:val="78883A02"/>
    <w:multiLevelType w:val="hybridMultilevel"/>
    <w:tmpl w:val="3ADC8DF8"/>
    <w:lvl w:ilvl="0" w:tplc="040C0005">
      <w:start w:val="1"/>
      <w:numFmt w:val="bullet"/>
      <w:lvlText w:val=""/>
      <w:lvlJc w:val="left"/>
      <w:pPr>
        <w:ind w:left="2160" w:hanging="360"/>
      </w:pPr>
      <w:rPr>
        <w:rFonts w:ascii="Wingdings" w:hAnsi="Wingdings" w:hint="default"/>
      </w:rPr>
    </w:lvl>
    <w:lvl w:ilvl="1" w:tplc="040C0003">
      <w:start w:val="1"/>
      <w:numFmt w:val="bullet"/>
      <w:lvlText w:val="o"/>
      <w:lvlJc w:val="left"/>
      <w:pPr>
        <w:ind w:left="2880" w:hanging="360"/>
      </w:pPr>
      <w:rPr>
        <w:rFonts w:ascii="Courier New" w:hAnsi="Courier New" w:cs="Courier New" w:hint="default"/>
      </w:rPr>
    </w:lvl>
    <w:lvl w:ilvl="2" w:tplc="040C0005">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4">
    <w:nsid w:val="7CA81C6D"/>
    <w:multiLevelType w:val="hybridMultilevel"/>
    <w:tmpl w:val="57AE2724"/>
    <w:lvl w:ilvl="0" w:tplc="5AFC05FE">
      <w:numFmt w:val="bullet"/>
      <w:lvlText w:val="-"/>
      <w:lvlJc w:val="left"/>
      <w:pPr>
        <w:ind w:left="2160" w:hanging="360"/>
      </w:pPr>
      <w:rPr>
        <w:rFonts w:ascii="Calibri" w:eastAsia="Calibri" w:hAnsi="Calibri" w:cs="Times New Roman"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num w:numId="1">
    <w:abstractNumId w:val="4"/>
  </w:num>
  <w:num w:numId="2">
    <w:abstractNumId w:val="2"/>
  </w:num>
  <w:num w:numId="3">
    <w:abstractNumId w:val="9"/>
  </w:num>
  <w:num w:numId="4">
    <w:abstractNumId w:val="11"/>
  </w:num>
  <w:num w:numId="5">
    <w:abstractNumId w:val="5"/>
  </w:num>
  <w:num w:numId="6">
    <w:abstractNumId w:val="0"/>
  </w:num>
  <w:num w:numId="7">
    <w:abstractNumId w:val="10"/>
  </w:num>
  <w:num w:numId="8">
    <w:abstractNumId w:val="12"/>
  </w:num>
  <w:num w:numId="9">
    <w:abstractNumId w:val="14"/>
  </w:num>
  <w:num w:numId="10">
    <w:abstractNumId w:val="6"/>
  </w:num>
  <w:num w:numId="11">
    <w:abstractNumId w:val="1"/>
  </w:num>
  <w:num w:numId="12">
    <w:abstractNumId w:val="8"/>
  </w:num>
  <w:num w:numId="13">
    <w:abstractNumId w:val="13"/>
  </w:num>
  <w:num w:numId="14">
    <w:abstractNumId w:val="7"/>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F75"/>
    <w:rsid w:val="00003A6B"/>
    <w:rsid w:val="0006239B"/>
    <w:rsid w:val="000B1C30"/>
    <w:rsid w:val="000D5833"/>
    <w:rsid w:val="0010423C"/>
    <w:rsid w:val="00122F75"/>
    <w:rsid w:val="001E32B2"/>
    <w:rsid w:val="00253060"/>
    <w:rsid w:val="00307DC7"/>
    <w:rsid w:val="00341C77"/>
    <w:rsid w:val="003F609F"/>
    <w:rsid w:val="00425D5D"/>
    <w:rsid w:val="00461F34"/>
    <w:rsid w:val="005072DF"/>
    <w:rsid w:val="005D4DE4"/>
    <w:rsid w:val="006A6C63"/>
    <w:rsid w:val="006B7C86"/>
    <w:rsid w:val="00827799"/>
    <w:rsid w:val="0087043A"/>
    <w:rsid w:val="008D2E48"/>
    <w:rsid w:val="00933E63"/>
    <w:rsid w:val="00AE20DC"/>
    <w:rsid w:val="00AF6311"/>
    <w:rsid w:val="00B51D02"/>
    <w:rsid w:val="00B54A3D"/>
    <w:rsid w:val="00B637A9"/>
    <w:rsid w:val="00B712B1"/>
    <w:rsid w:val="00B93033"/>
    <w:rsid w:val="00D12D4A"/>
    <w:rsid w:val="00D6714C"/>
    <w:rsid w:val="00DD5F95"/>
    <w:rsid w:val="00DE4EA6"/>
    <w:rsid w:val="00E97608"/>
    <w:rsid w:val="00EA56D8"/>
    <w:rsid w:val="00ED27C7"/>
    <w:rsid w:val="00F44088"/>
    <w:rsid w:val="00F5716E"/>
    <w:rsid w:val="00F67A06"/>
    <w:rsid w:val="00FF33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F3396"/>
    <w:pPr>
      <w:ind w:left="720"/>
      <w:contextualSpacing/>
    </w:pPr>
  </w:style>
  <w:style w:type="paragraph" w:styleId="Notedebasdepage">
    <w:name w:val="footnote text"/>
    <w:basedOn w:val="Normal"/>
    <w:link w:val="NotedebasdepageCar"/>
    <w:uiPriority w:val="99"/>
    <w:semiHidden/>
    <w:unhideWhenUsed/>
    <w:rsid w:val="001E32B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E32B2"/>
    <w:rPr>
      <w:sz w:val="20"/>
      <w:szCs w:val="20"/>
    </w:rPr>
  </w:style>
  <w:style w:type="character" w:styleId="Appelnotedebasdep">
    <w:name w:val="footnote reference"/>
    <w:basedOn w:val="Policepardfaut"/>
    <w:uiPriority w:val="99"/>
    <w:semiHidden/>
    <w:unhideWhenUsed/>
    <w:rsid w:val="001E32B2"/>
    <w:rPr>
      <w:vertAlign w:val="superscript"/>
    </w:rPr>
  </w:style>
  <w:style w:type="paragraph" w:styleId="En-tte">
    <w:name w:val="header"/>
    <w:basedOn w:val="Normal"/>
    <w:link w:val="En-tteCar"/>
    <w:uiPriority w:val="99"/>
    <w:unhideWhenUsed/>
    <w:rsid w:val="008D2E48"/>
    <w:pPr>
      <w:tabs>
        <w:tab w:val="center" w:pos="4536"/>
        <w:tab w:val="right" w:pos="9072"/>
      </w:tabs>
      <w:spacing w:after="0" w:line="240" w:lineRule="auto"/>
    </w:pPr>
  </w:style>
  <w:style w:type="character" w:customStyle="1" w:styleId="En-tteCar">
    <w:name w:val="En-tête Car"/>
    <w:basedOn w:val="Policepardfaut"/>
    <w:link w:val="En-tte"/>
    <w:uiPriority w:val="99"/>
    <w:rsid w:val="008D2E48"/>
  </w:style>
  <w:style w:type="paragraph" w:styleId="Pieddepage">
    <w:name w:val="footer"/>
    <w:basedOn w:val="Normal"/>
    <w:link w:val="PieddepageCar"/>
    <w:uiPriority w:val="99"/>
    <w:unhideWhenUsed/>
    <w:rsid w:val="008D2E4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D2E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F3396"/>
    <w:pPr>
      <w:ind w:left="720"/>
      <w:contextualSpacing/>
    </w:pPr>
  </w:style>
  <w:style w:type="paragraph" w:styleId="Notedebasdepage">
    <w:name w:val="footnote text"/>
    <w:basedOn w:val="Normal"/>
    <w:link w:val="NotedebasdepageCar"/>
    <w:uiPriority w:val="99"/>
    <w:semiHidden/>
    <w:unhideWhenUsed/>
    <w:rsid w:val="001E32B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E32B2"/>
    <w:rPr>
      <w:sz w:val="20"/>
      <w:szCs w:val="20"/>
    </w:rPr>
  </w:style>
  <w:style w:type="character" w:styleId="Appelnotedebasdep">
    <w:name w:val="footnote reference"/>
    <w:basedOn w:val="Policepardfaut"/>
    <w:uiPriority w:val="99"/>
    <w:semiHidden/>
    <w:unhideWhenUsed/>
    <w:rsid w:val="001E32B2"/>
    <w:rPr>
      <w:vertAlign w:val="superscript"/>
    </w:rPr>
  </w:style>
  <w:style w:type="paragraph" w:styleId="En-tte">
    <w:name w:val="header"/>
    <w:basedOn w:val="Normal"/>
    <w:link w:val="En-tteCar"/>
    <w:uiPriority w:val="99"/>
    <w:unhideWhenUsed/>
    <w:rsid w:val="008D2E48"/>
    <w:pPr>
      <w:tabs>
        <w:tab w:val="center" w:pos="4536"/>
        <w:tab w:val="right" w:pos="9072"/>
      </w:tabs>
      <w:spacing w:after="0" w:line="240" w:lineRule="auto"/>
    </w:pPr>
  </w:style>
  <w:style w:type="character" w:customStyle="1" w:styleId="En-tteCar">
    <w:name w:val="En-tête Car"/>
    <w:basedOn w:val="Policepardfaut"/>
    <w:link w:val="En-tte"/>
    <w:uiPriority w:val="99"/>
    <w:rsid w:val="008D2E48"/>
  </w:style>
  <w:style w:type="paragraph" w:styleId="Pieddepage">
    <w:name w:val="footer"/>
    <w:basedOn w:val="Normal"/>
    <w:link w:val="PieddepageCar"/>
    <w:uiPriority w:val="99"/>
    <w:unhideWhenUsed/>
    <w:rsid w:val="008D2E4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D2E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2158</Words>
  <Characters>11871</Characters>
  <Application>Microsoft Office Word</Application>
  <DocSecurity>0</DocSecurity>
  <Lines>98</Lines>
  <Paragraphs>28</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14001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Bigeard, Mr Alexis - bf</cp:lastModifiedBy>
  <cp:revision>3</cp:revision>
  <dcterms:created xsi:type="dcterms:W3CDTF">2018-10-02T10:01:00Z</dcterms:created>
  <dcterms:modified xsi:type="dcterms:W3CDTF">2018-10-02T10:04:00Z</dcterms:modified>
</cp:coreProperties>
</file>