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charts/chart10.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11.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12.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13.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14.xml" ContentType="application/vnd.openxmlformats-officedocument.drawingml.chart+xml"/>
  <Override PartName="/word/theme/themeOverride10.xml" ContentType="application/vnd.openxmlformats-officedocument.themeOverrid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6737481" w14:textId="77777777" w:rsidR="00EF3BA6" w:rsidRPr="001170AC" w:rsidRDefault="000B5E1A" w:rsidP="00AC460C">
      <w:pPr>
        <w:pBdr>
          <w:top w:val="threeDEmboss" w:sz="18" w:space="1" w:color="0033CC" w:shadow="1"/>
          <w:left w:val="threeDEmboss" w:sz="18" w:space="4" w:color="0033CC" w:shadow="1"/>
          <w:bottom w:val="threeDEngrave" w:sz="18" w:space="1" w:color="0033CC" w:shadow="1"/>
          <w:right w:val="threeDEngrave" w:sz="18" w:space="4" w:color="0033CC" w:shadow="1"/>
        </w:pBdr>
        <w:spacing w:line="264" w:lineRule="auto"/>
        <w:jc w:val="center"/>
        <w:rPr>
          <w:b/>
        </w:rPr>
      </w:pPr>
      <w:r>
        <w:rPr>
          <w:rFonts w:cs="Arial"/>
          <w:noProof/>
        </w:rPr>
        <w:drawing>
          <wp:inline distT="0" distB="0" distL="0" distR="0" wp14:anchorId="6B112A4E" wp14:editId="0C90EBA6">
            <wp:extent cx="2156460" cy="2118360"/>
            <wp:effectExtent l="0" t="0" r="0" b="0"/>
            <wp:docPr id="142" name="Picture 1" descr="http://1.bp.blogspot.com/-XQLamb1uT3A/UklIF8MRuJI/AAAAAAAExyk/7TqhOtDJHzg/s1600/tanzania-coat-of-arms-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1.bp.blogspot.com/-XQLamb1uT3A/UklIF8MRuJI/AAAAAAAExyk/7TqhOtDJHzg/s1600/tanzania-coat-of-arms-png.png"/>
                    <pic:cNvPicPr>
                      <a:picLocks noChangeAspect="1" noChangeArrowheads="1"/>
                    </pic:cNvPicPr>
                  </pic:nvPicPr>
                  <pic:blipFill>
                    <a:blip r:embed="rId8"/>
                    <a:srcRect/>
                    <a:stretch>
                      <a:fillRect/>
                    </a:stretch>
                  </pic:blipFill>
                  <pic:spPr bwMode="auto">
                    <a:xfrm>
                      <a:off x="0" y="0"/>
                      <a:ext cx="2156460" cy="2118360"/>
                    </a:xfrm>
                    <a:prstGeom prst="rect">
                      <a:avLst/>
                    </a:prstGeom>
                    <a:noFill/>
                    <a:ln w="9525">
                      <a:noFill/>
                      <a:miter lim="800000"/>
                      <a:headEnd/>
                      <a:tailEnd/>
                    </a:ln>
                  </pic:spPr>
                </pic:pic>
              </a:graphicData>
            </a:graphic>
          </wp:inline>
        </w:drawing>
      </w:r>
    </w:p>
    <w:p w14:paraId="664927FE" w14:textId="77777777" w:rsidR="00AC460C" w:rsidRDefault="00AC460C" w:rsidP="00AC460C">
      <w:pPr>
        <w:pBdr>
          <w:top w:val="threeDEmboss" w:sz="18" w:space="1" w:color="0033CC" w:shadow="1"/>
          <w:left w:val="threeDEmboss" w:sz="18" w:space="4" w:color="0033CC" w:shadow="1"/>
          <w:bottom w:val="threeDEngrave" w:sz="18" w:space="1" w:color="0033CC" w:shadow="1"/>
          <w:right w:val="threeDEngrave" w:sz="18" w:space="4" w:color="0033CC" w:shadow="1"/>
        </w:pBdr>
        <w:spacing w:line="264" w:lineRule="auto"/>
        <w:jc w:val="center"/>
        <w:rPr>
          <w:b/>
          <w:sz w:val="36"/>
          <w:szCs w:val="36"/>
        </w:rPr>
      </w:pPr>
      <w:r w:rsidRPr="00AC460C">
        <w:rPr>
          <w:b/>
          <w:sz w:val="36"/>
          <w:szCs w:val="36"/>
        </w:rPr>
        <w:t>UNITED REPUBLIC OF TANZANIA</w:t>
      </w:r>
    </w:p>
    <w:p w14:paraId="1F901EC8" w14:textId="77777777" w:rsidR="004D090A" w:rsidRPr="00AC460C" w:rsidRDefault="004D090A" w:rsidP="00AC460C">
      <w:pPr>
        <w:pBdr>
          <w:top w:val="threeDEmboss" w:sz="18" w:space="1" w:color="0033CC" w:shadow="1"/>
          <w:left w:val="threeDEmboss" w:sz="18" w:space="4" w:color="0033CC" w:shadow="1"/>
          <w:bottom w:val="threeDEngrave" w:sz="18" w:space="1" w:color="0033CC" w:shadow="1"/>
          <w:right w:val="threeDEngrave" w:sz="18" w:space="4" w:color="0033CC" w:shadow="1"/>
        </w:pBdr>
        <w:spacing w:line="264" w:lineRule="auto"/>
        <w:jc w:val="center"/>
        <w:rPr>
          <w:b/>
          <w:sz w:val="36"/>
          <w:szCs w:val="36"/>
        </w:rPr>
      </w:pPr>
    </w:p>
    <w:p w14:paraId="76F99A85" w14:textId="77777777" w:rsidR="00EF3BA6" w:rsidRPr="00AC460C" w:rsidRDefault="00AC460C" w:rsidP="00AC460C">
      <w:pPr>
        <w:pBdr>
          <w:top w:val="threeDEmboss" w:sz="18" w:space="1" w:color="0033CC" w:shadow="1"/>
          <w:left w:val="threeDEmboss" w:sz="18" w:space="4" w:color="0033CC" w:shadow="1"/>
          <w:bottom w:val="threeDEngrave" w:sz="18" w:space="1" w:color="0033CC" w:shadow="1"/>
          <w:right w:val="threeDEngrave" w:sz="18" w:space="4" w:color="0033CC" w:shadow="1"/>
        </w:pBdr>
        <w:spacing w:line="264" w:lineRule="auto"/>
        <w:jc w:val="center"/>
        <w:rPr>
          <w:b/>
          <w:sz w:val="36"/>
          <w:szCs w:val="36"/>
        </w:rPr>
      </w:pPr>
      <w:r w:rsidRPr="00AC460C">
        <w:rPr>
          <w:b/>
          <w:sz w:val="36"/>
          <w:szCs w:val="36"/>
        </w:rPr>
        <w:t>MINISTRY OF HEALTH, COMMUNITY DEVELOPMENT, GENDER, ELDERLY AND CHILDREN</w:t>
      </w:r>
    </w:p>
    <w:p w14:paraId="60A9E58A" w14:textId="77777777" w:rsidR="00EF3BA6" w:rsidRPr="001170AC" w:rsidRDefault="00EF3BA6" w:rsidP="00AC460C">
      <w:pPr>
        <w:pBdr>
          <w:top w:val="threeDEmboss" w:sz="18" w:space="1" w:color="0033CC" w:shadow="1"/>
          <w:left w:val="threeDEmboss" w:sz="18" w:space="4" w:color="0033CC" w:shadow="1"/>
          <w:bottom w:val="threeDEngrave" w:sz="18" w:space="1" w:color="0033CC" w:shadow="1"/>
          <w:right w:val="threeDEngrave" w:sz="18" w:space="4" w:color="0033CC" w:shadow="1"/>
        </w:pBdr>
        <w:spacing w:line="264" w:lineRule="auto"/>
        <w:jc w:val="center"/>
        <w:rPr>
          <w:b/>
        </w:rPr>
      </w:pPr>
    </w:p>
    <w:p w14:paraId="70D7B778" w14:textId="77777777" w:rsidR="00EF3BA6" w:rsidRPr="001170AC" w:rsidRDefault="00EF3BA6" w:rsidP="00AC460C">
      <w:pPr>
        <w:pBdr>
          <w:top w:val="threeDEmboss" w:sz="18" w:space="1" w:color="0033CC" w:shadow="1"/>
          <w:left w:val="threeDEmboss" w:sz="18" w:space="4" w:color="0033CC" w:shadow="1"/>
          <w:bottom w:val="threeDEngrave" w:sz="18" w:space="1" w:color="0033CC" w:shadow="1"/>
          <w:right w:val="threeDEngrave" w:sz="18" w:space="4" w:color="0033CC" w:shadow="1"/>
        </w:pBdr>
        <w:spacing w:line="264" w:lineRule="auto"/>
        <w:jc w:val="center"/>
        <w:rPr>
          <w:b/>
        </w:rPr>
      </w:pPr>
    </w:p>
    <w:p w14:paraId="1EA67CB8" w14:textId="77777777" w:rsidR="00EF3BA6" w:rsidRPr="00AC460C" w:rsidRDefault="00EF3BA6" w:rsidP="00AC460C">
      <w:pPr>
        <w:pBdr>
          <w:top w:val="threeDEmboss" w:sz="18" w:space="1" w:color="0033CC" w:shadow="1"/>
          <w:left w:val="threeDEmboss" w:sz="18" w:space="4" w:color="0033CC" w:shadow="1"/>
          <w:bottom w:val="threeDEngrave" w:sz="18" w:space="1" w:color="0033CC" w:shadow="1"/>
          <w:right w:val="threeDEngrave" w:sz="18" w:space="4" w:color="0033CC" w:shadow="1"/>
        </w:pBdr>
        <w:spacing w:line="264" w:lineRule="auto"/>
        <w:jc w:val="center"/>
        <w:rPr>
          <w:b/>
          <w:color w:val="0033CC"/>
        </w:rPr>
      </w:pPr>
    </w:p>
    <w:p w14:paraId="740B57B6" w14:textId="77777777" w:rsidR="00EF3BA6" w:rsidRPr="00AC460C" w:rsidRDefault="00AC460C" w:rsidP="00AC460C">
      <w:pPr>
        <w:pBdr>
          <w:top w:val="threeDEmboss" w:sz="18" w:space="1" w:color="0033CC" w:shadow="1"/>
          <w:left w:val="threeDEmboss" w:sz="18" w:space="4" w:color="0033CC" w:shadow="1"/>
          <w:bottom w:val="threeDEngrave" w:sz="18" w:space="1" w:color="0033CC" w:shadow="1"/>
          <w:right w:val="threeDEngrave" w:sz="18" w:space="4" w:color="0033CC" w:shadow="1"/>
        </w:pBdr>
        <w:spacing w:line="264" w:lineRule="auto"/>
        <w:jc w:val="center"/>
        <w:rPr>
          <w:b/>
          <w:color w:val="0033CC"/>
          <w:sz w:val="36"/>
          <w:szCs w:val="36"/>
        </w:rPr>
      </w:pPr>
      <w:r w:rsidRPr="00AC460C">
        <w:rPr>
          <w:b/>
          <w:color w:val="0033CC"/>
          <w:sz w:val="36"/>
          <w:szCs w:val="36"/>
        </w:rPr>
        <w:t>HEALTH SECTOR PUBLIC EXPENDITURE REVIEW, 2015/16</w:t>
      </w:r>
    </w:p>
    <w:p w14:paraId="7230DC26" w14:textId="77777777" w:rsidR="00EF3BA6" w:rsidRPr="00AC460C" w:rsidRDefault="00EF3BA6" w:rsidP="00AC460C">
      <w:pPr>
        <w:pBdr>
          <w:top w:val="threeDEmboss" w:sz="18" w:space="1" w:color="0033CC" w:shadow="1"/>
          <w:left w:val="threeDEmboss" w:sz="18" w:space="4" w:color="0033CC" w:shadow="1"/>
          <w:bottom w:val="threeDEngrave" w:sz="18" w:space="1" w:color="0033CC" w:shadow="1"/>
          <w:right w:val="threeDEngrave" w:sz="18" w:space="4" w:color="0033CC" w:shadow="1"/>
        </w:pBdr>
        <w:spacing w:line="264" w:lineRule="auto"/>
        <w:jc w:val="center"/>
        <w:rPr>
          <w:b/>
          <w:sz w:val="36"/>
          <w:szCs w:val="36"/>
        </w:rPr>
      </w:pPr>
    </w:p>
    <w:p w14:paraId="577A8188" w14:textId="77777777" w:rsidR="00EF3BA6" w:rsidRPr="00AC460C" w:rsidRDefault="00EF3BA6" w:rsidP="00AC460C">
      <w:pPr>
        <w:pBdr>
          <w:top w:val="threeDEmboss" w:sz="18" w:space="1" w:color="0033CC" w:shadow="1"/>
          <w:left w:val="threeDEmboss" w:sz="18" w:space="4" w:color="0033CC" w:shadow="1"/>
          <w:bottom w:val="threeDEngrave" w:sz="18" w:space="1" w:color="0033CC" w:shadow="1"/>
          <w:right w:val="threeDEngrave" w:sz="18" w:space="4" w:color="0033CC" w:shadow="1"/>
        </w:pBdr>
        <w:spacing w:line="264" w:lineRule="auto"/>
        <w:jc w:val="center"/>
        <w:rPr>
          <w:b/>
          <w:sz w:val="36"/>
          <w:szCs w:val="36"/>
        </w:rPr>
      </w:pPr>
    </w:p>
    <w:p w14:paraId="11C8359F" w14:textId="77777777" w:rsidR="00EF3BA6" w:rsidRPr="00AC460C" w:rsidRDefault="00EF3BA6" w:rsidP="00AC460C">
      <w:pPr>
        <w:pBdr>
          <w:top w:val="threeDEmboss" w:sz="18" w:space="1" w:color="0033CC" w:shadow="1"/>
          <w:left w:val="threeDEmboss" w:sz="18" w:space="4" w:color="0033CC" w:shadow="1"/>
          <w:bottom w:val="threeDEngrave" w:sz="18" w:space="1" w:color="0033CC" w:shadow="1"/>
          <w:right w:val="threeDEngrave" w:sz="18" w:space="4" w:color="0033CC" w:shadow="1"/>
        </w:pBdr>
        <w:spacing w:line="264" w:lineRule="auto"/>
        <w:jc w:val="center"/>
        <w:rPr>
          <w:b/>
          <w:sz w:val="36"/>
          <w:szCs w:val="36"/>
        </w:rPr>
      </w:pPr>
    </w:p>
    <w:p w14:paraId="48BDC7DD" w14:textId="77777777" w:rsidR="00EF3BA6" w:rsidRPr="00AC460C" w:rsidRDefault="00EF3BA6" w:rsidP="00AC460C">
      <w:pPr>
        <w:pBdr>
          <w:top w:val="threeDEmboss" w:sz="18" w:space="1" w:color="0033CC" w:shadow="1"/>
          <w:left w:val="threeDEmboss" w:sz="18" w:space="4" w:color="0033CC" w:shadow="1"/>
          <w:bottom w:val="threeDEngrave" w:sz="18" w:space="1" w:color="0033CC" w:shadow="1"/>
          <w:right w:val="threeDEngrave" w:sz="18" w:space="4" w:color="0033CC" w:shadow="1"/>
        </w:pBdr>
        <w:spacing w:line="264" w:lineRule="auto"/>
        <w:jc w:val="center"/>
        <w:rPr>
          <w:b/>
          <w:sz w:val="36"/>
          <w:szCs w:val="36"/>
        </w:rPr>
      </w:pPr>
    </w:p>
    <w:p w14:paraId="33A93E7B" w14:textId="77777777" w:rsidR="00EF3BA6" w:rsidRPr="00AC460C" w:rsidRDefault="00AC460C" w:rsidP="00AC460C">
      <w:pPr>
        <w:pBdr>
          <w:top w:val="threeDEmboss" w:sz="18" w:space="1" w:color="0033CC" w:shadow="1"/>
          <w:left w:val="threeDEmboss" w:sz="18" w:space="4" w:color="0033CC" w:shadow="1"/>
          <w:bottom w:val="threeDEngrave" w:sz="18" w:space="1" w:color="0033CC" w:shadow="1"/>
          <w:right w:val="threeDEngrave" w:sz="18" w:space="4" w:color="0033CC" w:shadow="1"/>
        </w:pBdr>
        <w:spacing w:line="264" w:lineRule="auto"/>
        <w:jc w:val="center"/>
        <w:rPr>
          <w:b/>
          <w:sz w:val="28"/>
          <w:szCs w:val="28"/>
        </w:rPr>
      </w:pPr>
      <w:r w:rsidRPr="00AC460C">
        <w:rPr>
          <w:b/>
          <w:sz w:val="28"/>
          <w:szCs w:val="28"/>
        </w:rPr>
        <w:t>PREPARED BY:</w:t>
      </w:r>
    </w:p>
    <w:p w14:paraId="7ECEBC50" w14:textId="77777777" w:rsidR="00EF3BA6" w:rsidRPr="00AC460C" w:rsidRDefault="00AC460C" w:rsidP="00AC460C">
      <w:pPr>
        <w:pBdr>
          <w:top w:val="threeDEmboss" w:sz="18" w:space="1" w:color="0033CC" w:shadow="1"/>
          <w:left w:val="threeDEmboss" w:sz="18" w:space="4" w:color="0033CC" w:shadow="1"/>
          <w:bottom w:val="threeDEngrave" w:sz="18" w:space="1" w:color="0033CC" w:shadow="1"/>
          <w:right w:val="threeDEngrave" w:sz="18" w:space="4" w:color="0033CC" w:shadow="1"/>
        </w:pBdr>
        <w:spacing w:line="264" w:lineRule="auto"/>
        <w:jc w:val="center"/>
        <w:rPr>
          <w:b/>
          <w:sz w:val="28"/>
          <w:szCs w:val="28"/>
        </w:rPr>
      </w:pPr>
      <w:r w:rsidRPr="00AC460C">
        <w:rPr>
          <w:b/>
          <w:sz w:val="28"/>
          <w:szCs w:val="28"/>
        </w:rPr>
        <w:t>DIRECTORATE OF POLICY AND PLANNING</w:t>
      </w:r>
    </w:p>
    <w:p w14:paraId="5C1B3BC7" w14:textId="77777777" w:rsidR="00EF3BA6" w:rsidRDefault="00AC460C" w:rsidP="00AC460C">
      <w:pPr>
        <w:pBdr>
          <w:top w:val="threeDEmboss" w:sz="18" w:space="1" w:color="0033CC" w:shadow="1"/>
          <w:left w:val="threeDEmboss" w:sz="18" w:space="4" w:color="0033CC" w:shadow="1"/>
          <w:bottom w:val="threeDEngrave" w:sz="18" w:space="1" w:color="0033CC" w:shadow="1"/>
          <w:right w:val="threeDEngrave" w:sz="18" w:space="4" w:color="0033CC" w:shadow="1"/>
        </w:pBdr>
        <w:spacing w:line="264" w:lineRule="auto"/>
        <w:jc w:val="center"/>
        <w:rPr>
          <w:b/>
          <w:sz w:val="28"/>
          <w:szCs w:val="28"/>
        </w:rPr>
      </w:pPr>
      <w:r w:rsidRPr="00AC460C">
        <w:rPr>
          <w:b/>
          <w:sz w:val="28"/>
          <w:szCs w:val="28"/>
        </w:rPr>
        <w:t>MINISTRY OF HEALTH, COMMUNITY DEVELOPMENT, GENDER, ELDERLY AND CHILDREN</w:t>
      </w:r>
    </w:p>
    <w:p w14:paraId="1BD11EBB" w14:textId="77777777" w:rsidR="004D090A" w:rsidRPr="00AC460C" w:rsidRDefault="004D090A" w:rsidP="00AC460C">
      <w:pPr>
        <w:pBdr>
          <w:top w:val="threeDEmboss" w:sz="18" w:space="1" w:color="0033CC" w:shadow="1"/>
          <w:left w:val="threeDEmboss" w:sz="18" w:space="4" w:color="0033CC" w:shadow="1"/>
          <w:bottom w:val="threeDEngrave" w:sz="18" w:space="1" w:color="0033CC" w:shadow="1"/>
          <w:right w:val="threeDEngrave" w:sz="18" w:space="4" w:color="0033CC" w:shadow="1"/>
        </w:pBdr>
        <w:spacing w:line="264" w:lineRule="auto"/>
        <w:jc w:val="center"/>
        <w:rPr>
          <w:b/>
          <w:sz w:val="28"/>
          <w:szCs w:val="28"/>
        </w:rPr>
      </w:pPr>
    </w:p>
    <w:p w14:paraId="4094B2D1" w14:textId="77777777" w:rsidR="00EF3BA6" w:rsidRPr="00AC460C" w:rsidRDefault="00AC460C" w:rsidP="00AC460C">
      <w:pPr>
        <w:pBdr>
          <w:top w:val="threeDEmboss" w:sz="18" w:space="1" w:color="0033CC" w:shadow="1"/>
          <w:left w:val="threeDEmboss" w:sz="18" w:space="4" w:color="0033CC" w:shadow="1"/>
          <w:bottom w:val="threeDEngrave" w:sz="18" w:space="1" w:color="0033CC" w:shadow="1"/>
          <w:right w:val="threeDEngrave" w:sz="18" w:space="4" w:color="0033CC" w:shadow="1"/>
        </w:pBdr>
        <w:spacing w:line="264" w:lineRule="auto"/>
        <w:jc w:val="center"/>
        <w:rPr>
          <w:b/>
          <w:sz w:val="28"/>
          <w:szCs w:val="28"/>
        </w:rPr>
      </w:pPr>
      <w:r w:rsidRPr="00AC460C">
        <w:rPr>
          <w:b/>
          <w:sz w:val="28"/>
          <w:szCs w:val="28"/>
        </w:rPr>
        <w:t>DAR ES SALAAM</w:t>
      </w:r>
    </w:p>
    <w:p w14:paraId="239CCF53" w14:textId="77777777" w:rsidR="00EF3BA6" w:rsidRPr="00AC460C" w:rsidRDefault="00EF3BA6" w:rsidP="00AC460C">
      <w:pPr>
        <w:pBdr>
          <w:top w:val="threeDEmboss" w:sz="18" w:space="1" w:color="0033CC" w:shadow="1"/>
          <w:left w:val="threeDEmboss" w:sz="18" w:space="4" w:color="0033CC" w:shadow="1"/>
          <w:bottom w:val="threeDEngrave" w:sz="18" w:space="1" w:color="0033CC" w:shadow="1"/>
          <w:right w:val="threeDEngrave" w:sz="18" w:space="4" w:color="0033CC" w:shadow="1"/>
        </w:pBdr>
        <w:spacing w:line="264" w:lineRule="auto"/>
        <w:jc w:val="center"/>
        <w:rPr>
          <w:b/>
          <w:i/>
          <w:sz w:val="36"/>
          <w:szCs w:val="36"/>
        </w:rPr>
      </w:pPr>
    </w:p>
    <w:p w14:paraId="51CA5CFF" w14:textId="77777777" w:rsidR="00EF3BA6" w:rsidRPr="00AC460C" w:rsidRDefault="00EF3BA6" w:rsidP="00AC460C">
      <w:pPr>
        <w:pBdr>
          <w:top w:val="threeDEmboss" w:sz="18" w:space="1" w:color="0033CC" w:shadow="1"/>
          <w:left w:val="threeDEmboss" w:sz="18" w:space="4" w:color="0033CC" w:shadow="1"/>
          <w:bottom w:val="threeDEngrave" w:sz="18" w:space="1" w:color="0033CC" w:shadow="1"/>
          <w:right w:val="threeDEngrave" w:sz="18" w:space="4" w:color="0033CC" w:shadow="1"/>
        </w:pBdr>
        <w:spacing w:line="264" w:lineRule="auto"/>
        <w:jc w:val="center"/>
        <w:rPr>
          <w:b/>
          <w:i/>
          <w:sz w:val="36"/>
          <w:szCs w:val="36"/>
        </w:rPr>
      </w:pPr>
    </w:p>
    <w:p w14:paraId="5B5E852B" w14:textId="77777777" w:rsidR="00EF3BA6" w:rsidRDefault="00EF3BA6" w:rsidP="00AC460C">
      <w:pPr>
        <w:pBdr>
          <w:top w:val="threeDEmboss" w:sz="18" w:space="1" w:color="0033CC" w:shadow="1"/>
          <w:left w:val="threeDEmboss" w:sz="18" w:space="4" w:color="0033CC" w:shadow="1"/>
          <w:bottom w:val="threeDEngrave" w:sz="18" w:space="1" w:color="0033CC" w:shadow="1"/>
          <w:right w:val="threeDEngrave" w:sz="18" w:space="4" w:color="0033CC" w:shadow="1"/>
        </w:pBdr>
        <w:spacing w:line="264" w:lineRule="auto"/>
        <w:jc w:val="center"/>
        <w:rPr>
          <w:b/>
          <w:i/>
          <w:sz w:val="36"/>
          <w:szCs w:val="36"/>
        </w:rPr>
      </w:pPr>
    </w:p>
    <w:p w14:paraId="542796FD" w14:textId="77777777" w:rsidR="00EF3BA6" w:rsidRPr="00AC460C" w:rsidRDefault="00EF3BA6" w:rsidP="00AC460C">
      <w:pPr>
        <w:pBdr>
          <w:top w:val="threeDEmboss" w:sz="18" w:space="1" w:color="0033CC" w:shadow="1"/>
          <w:left w:val="threeDEmboss" w:sz="18" w:space="4" w:color="0033CC" w:shadow="1"/>
          <w:bottom w:val="threeDEngrave" w:sz="18" w:space="1" w:color="0033CC" w:shadow="1"/>
          <w:right w:val="threeDEngrave" w:sz="18" w:space="4" w:color="0033CC" w:shadow="1"/>
        </w:pBdr>
        <w:spacing w:line="264" w:lineRule="auto"/>
        <w:jc w:val="center"/>
        <w:rPr>
          <w:b/>
          <w:i/>
          <w:sz w:val="36"/>
          <w:szCs w:val="36"/>
        </w:rPr>
      </w:pPr>
    </w:p>
    <w:p w14:paraId="0DD855FC" w14:textId="77777777" w:rsidR="00EF3BA6" w:rsidRDefault="00A339D0" w:rsidP="00AC460C">
      <w:pPr>
        <w:pBdr>
          <w:top w:val="threeDEmboss" w:sz="18" w:space="1" w:color="0033CC" w:shadow="1"/>
          <w:left w:val="threeDEmboss" w:sz="18" w:space="4" w:color="0033CC" w:shadow="1"/>
          <w:bottom w:val="threeDEngrave" w:sz="18" w:space="1" w:color="0033CC" w:shadow="1"/>
          <w:right w:val="threeDEngrave" w:sz="18" w:space="4" w:color="0033CC" w:shadow="1"/>
        </w:pBdr>
        <w:spacing w:line="264" w:lineRule="auto"/>
        <w:jc w:val="center"/>
        <w:rPr>
          <w:b/>
          <w:sz w:val="32"/>
          <w:szCs w:val="32"/>
        </w:rPr>
      </w:pPr>
      <w:r>
        <w:rPr>
          <w:b/>
          <w:sz w:val="32"/>
          <w:szCs w:val="32"/>
        </w:rPr>
        <w:t xml:space="preserve">DRAFT, </w:t>
      </w:r>
    </w:p>
    <w:p w14:paraId="3F675181" w14:textId="77777777" w:rsidR="00E56537" w:rsidRPr="00AC460C" w:rsidRDefault="00E56537" w:rsidP="00AC460C">
      <w:pPr>
        <w:pStyle w:val="Heading1"/>
      </w:pPr>
      <w:bookmarkStart w:id="0" w:name="_Toc488423242"/>
      <w:bookmarkStart w:id="1" w:name="_Toc422287317"/>
      <w:r w:rsidRPr="00AC460C">
        <w:lastRenderedPageBreak/>
        <w:t>Table of Contents</w:t>
      </w:r>
      <w:bookmarkEnd w:id="0"/>
    </w:p>
    <w:p w14:paraId="79AE9B1A" w14:textId="77777777" w:rsidR="00F96C11" w:rsidRDefault="00F96C11">
      <w:pPr>
        <w:pStyle w:val="TOC1"/>
        <w:tabs>
          <w:tab w:val="right" w:leader="dot" w:pos="9016"/>
        </w:tabs>
      </w:pPr>
    </w:p>
    <w:p w14:paraId="3A811B19" w14:textId="77777777" w:rsidR="000A6BD1" w:rsidRDefault="00F96C11">
      <w:pPr>
        <w:pStyle w:val="TOC1"/>
        <w:tabs>
          <w:tab w:val="right" w:leader="dot" w:pos="9016"/>
        </w:tabs>
        <w:rPr>
          <w:rFonts w:asciiTheme="minorHAnsi" w:eastAsiaTheme="minorEastAsia" w:hAnsiTheme="minorHAnsi" w:cstheme="minorBidi"/>
          <w:b w:val="0"/>
          <w:bCs w:val="0"/>
          <w:caps w:val="0"/>
          <w:noProof/>
          <w:sz w:val="22"/>
          <w:szCs w:val="22"/>
        </w:rPr>
      </w:pPr>
      <w:r>
        <w:fldChar w:fldCharType="begin"/>
      </w:r>
      <w:r>
        <w:instrText xml:space="preserve"> TOC \o "1-3" \h \z \u </w:instrText>
      </w:r>
      <w:r>
        <w:fldChar w:fldCharType="separate"/>
      </w:r>
      <w:hyperlink w:anchor="_Toc488423242" w:history="1">
        <w:r w:rsidR="000A6BD1" w:rsidRPr="00F248F2">
          <w:rPr>
            <w:rStyle w:val="Hyperlink"/>
            <w:noProof/>
          </w:rPr>
          <w:t>Table of Contents</w:t>
        </w:r>
        <w:r w:rsidR="000A6BD1">
          <w:rPr>
            <w:noProof/>
            <w:webHidden/>
          </w:rPr>
          <w:tab/>
        </w:r>
        <w:r w:rsidR="000A6BD1">
          <w:rPr>
            <w:noProof/>
            <w:webHidden/>
          </w:rPr>
          <w:fldChar w:fldCharType="begin"/>
        </w:r>
        <w:r w:rsidR="000A6BD1">
          <w:rPr>
            <w:noProof/>
            <w:webHidden/>
          </w:rPr>
          <w:instrText xml:space="preserve"> PAGEREF _Toc488423242 \h </w:instrText>
        </w:r>
        <w:r w:rsidR="000A6BD1">
          <w:rPr>
            <w:noProof/>
            <w:webHidden/>
          </w:rPr>
        </w:r>
        <w:r w:rsidR="000A6BD1">
          <w:rPr>
            <w:noProof/>
            <w:webHidden/>
          </w:rPr>
          <w:fldChar w:fldCharType="separate"/>
        </w:r>
        <w:r w:rsidR="000A6BD1">
          <w:rPr>
            <w:noProof/>
            <w:webHidden/>
          </w:rPr>
          <w:t>ii</w:t>
        </w:r>
        <w:r w:rsidR="000A6BD1">
          <w:rPr>
            <w:noProof/>
            <w:webHidden/>
          </w:rPr>
          <w:fldChar w:fldCharType="end"/>
        </w:r>
      </w:hyperlink>
    </w:p>
    <w:p w14:paraId="05F9623B" w14:textId="77777777" w:rsidR="000A6BD1" w:rsidRDefault="00934881">
      <w:pPr>
        <w:pStyle w:val="TOC1"/>
        <w:tabs>
          <w:tab w:val="right" w:leader="dot" w:pos="9016"/>
        </w:tabs>
        <w:rPr>
          <w:rFonts w:asciiTheme="minorHAnsi" w:eastAsiaTheme="minorEastAsia" w:hAnsiTheme="minorHAnsi" w:cstheme="minorBidi"/>
          <w:b w:val="0"/>
          <w:bCs w:val="0"/>
          <w:caps w:val="0"/>
          <w:noProof/>
          <w:sz w:val="22"/>
          <w:szCs w:val="22"/>
        </w:rPr>
      </w:pPr>
      <w:hyperlink w:anchor="_Toc488423243" w:history="1">
        <w:r w:rsidR="000A6BD1" w:rsidRPr="00F248F2">
          <w:rPr>
            <w:rStyle w:val="Hyperlink"/>
            <w:noProof/>
          </w:rPr>
          <w:t>List of Tables</w:t>
        </w:r>
        <w:r w:rsidR="000A6BD1">
          <w:rPr>
            <w:noProof/>
            <w:webHidden/>
          </w:rPr>
          <w:tab/>
        </w:r>
        <w:r w:rsidR="000A6BD1">
          <w:rPr>
            <w:noProof/>
            <w:webHidden/>
          </w:rPr>
          <w:fldChar w:fldCharType="begin"/>
        </w:r>
        <w:r w:rsidR="000A6BD1">
          <w:rPr>
            <w:noProof/>
            <w:webHidden/>
          </w:rPr>
          <w:instrText xml:space="preserve"> PAGEREF _Toc488423243 \h </w:instrText>
        </w:r>
        <w:r w:rsidR="000A6BD1">
          <w:rPr>
            <w:noProof/>
            <w:webHidden/>
          </w:rPr>
        </w:r>
        <w:r w:rsidR="000A6BD1">
          <w:rPr>
            <w:noProof/>
            <w:webHidden/>
          </w:rPr>
          <w:fldChar w:fldCharType="separate"/>
        </w:r>
        <w:r w:rsidR="000A6BD1">
          <w:rPr>
            <w:noProof/>
            <w:webHidden/>
          </w:rPr>
          <w:t>iii</w:t>
        </w:r>
        <w:r w:rsidR="000A6BD1">
          <w:rPr>
            <w:noProof/>
            <w:webHidden/>
          </w:rPr>
          <w:fldChar w:fldCharType="end"/>
        </w:r>
      </w:hyperlink>
    </w:p>
    <w:p w14:paraId="4B3A243C" w14:textId="77777777" w:rsidR="000A6BD1" w:rsidRDefault="00934881">
      <w:pPr>
        <w:pStyle w:val="TOC1"/>
        <w:tabs>
          <w:tab w:val="right" w:leader="dot" w:pos="9016"/>
        </w:tabs>
        <w:rPr>
          <w:rFonts w:asciiTheme="minorHAnsi" w:eastAsiaTheme="minorEastAsia" w:hAnsiTheme="minorHAnsi" w:cstheme="minorBidi"/>
          <w:b w:val="0"/>
          <w:bCs w:val="0"/>
          <w:caps w:val="0"/>
          <w:noProof/>
          <w:sz w:val="22"/>
          <w:szCs w:val="22"/>
        </w:rPr>
      </w:pPr>
      <w:hyperlink w:anchor="_Toc488423244" w:history="1">
        <w:r w:rsidR="000A6BD1" w:rsidRPr="00F248F2">
          <w:rPr>
            <w:rStyle w:val="Hyperlink"/>
            <w:noProof/>
          </w:rPr>
          <w:t>List of Figures</w:t>
        </w:r>
        <w:r w:rsidR="000A6BD1">
          <w:rPr>
            <w:noProof/>
            <w:webHidden/>
          </w:rPr>
          <w:tab/>
        </w:r>
        <w:r w:rsidR="000A6BD1">
          <w:rPr>
            <w:noProof/>
            <w:webHidden/>
          </w:rPr>
          <w:fldChar w:fldCharType="begin"/>
        </w:r>
        <w:r w:rsidR="000A6BD1">
          <w:rPr>
            <w:noProof/>
            <w:webHidden/>
          </w:rPr>
          <w:instrText xml:space="preserve"> PAGEREF _Toc488423244 \h </w:instrText>
        </w:r>
        <w:r w:rsidR="000A6BD1">
          <w:rPr>
            <w:noProof/>
            <w:webHidden/>
          </w:rPr>
        </w:r>
        <w:r w:rsidR="000A6BD1">
          <w:rPr>
            <w:noProof/>
            <w:webHidden/>
          </w:rPr>
          <w:fldChar w:fldCharType="separate"/>
        </w:r>
        <w:r w:rsidR="000A6BD1">
          <w:rPr>
            <w:noProof/>
            <w:webHidden/>
          </w:rPr>
          <w:t>iv</w:t>
        </w:r>
        <w:r w:rsidR="000A6BD1">
          <w:rPr>
            <w:noProof/>
            <w:webHidden/>
          </w:rPr>
          <w:fldChar w:fldCharType="end"/>
        </w:r>
      </w:hyperlink>
    </w:p>
    <w:p w14:paraId="108CF17C" w14:textId="77777777" w:rsidR="000A6BD1" w:rsidRDefault="00934881">
      <w:pPr>
        <w:pStyle w:val="TOC1"/>
        <w:tabs>
          <w:tab w:val="right" w:leader="dot" w:pos="9016"/>
        </w:tabs>
        <w:rPr>
          <w:rFonts w:asciiTheme="minorHAnsi" w:eastAsiaTheme="minorEastAsia" w:hAnsiTheme="minorHAnsi" w:cstheme="minorBidi"/>
          <w:b w:val="0"/>
          <w:bCs w:val="0"/>
          <w:caps w:val="0"/>
          <w:noProof/>
          <w:sz w:val="22"/>
          <w:szCs w:val="22"/>
        </w:rPr>
      </w:pPr>
      <w:hyperlink w:anchor="_Toc488423245" w:history="1">
        <w:r w:rsidR="000A6BD1" w:rsidRPr="00F248F2">
          <w:rPr>
            <w:rStyle w:val="Hyperlink"/>
            <w:noProof/>
          </w:rPr>
          <w:t>List of Abbreviations</w:t>
        </w:r>
        <w:r w:rsidR="000A6BD1">
          <w:rPr>
            <w:noProof/>
            <w:webHidden/>
          </w:rPr>
          <w:tab/>
        </w:r>
        <w:r w:rsidR="000A6BD1">
          <w:rPr>
            <w:noProof/>
            <w:webHidden/>
          </w:rPr>
          <w:fldChar w:fldCharType="begin"/>
        </w:r>
        <w:r w:rsidR="000A6BD1">
          <w:rPr>
            <w:noProof/>
            <w:webHidden/>
          </w:rPr>
          <w:instrText xml:space="preserve"> PAGEREF _Toc488423245 \h </w:instrText>
        </w:r>
        <w:r w:rsidR="000A6BD1">
          <w:rPr>
            <w:noProof/>
            <w:webHidden/>
          </w:rPr>
        </w:r>
        <w:r w:rsidR="000A6BD1">
          <w:rPr>
            <w:noProof/>
            <w:webHidden/>
          </w:rPr>
          <w:fldChar w:fldCharType="separate"/>
        </w:r>
        <w:r w:rsidR="000A6BD1">
          <w:rPr>
            <w:noProof/>
            <w:webHidden/>
          </w:rPr>
          <w:t>v</w:t>
        </w:r>
        <w:r w:rsidR="000A6BD1">
          <w:rPr>
            <w:noProof/>
            <w:webHidden/>
          </w:rPr>
          <w:fldChar w:fldCharType="end"/>
        </w:r>
      </w:hyperlink>
    </w:p>
    <w:p w14:paraId="0A18D3CE" w14:textId="77777777" w:rsidR="000A6BD1" w:rsidRDefault="00934881">
      <w:pPr>
        <w:pStyle w:val="TOC1"/>
        <w:tabs>
          <w:tab w:val="right" w:leader="dot" w:pos="9016"/>
        </w:tabs>
        <w:rPr>
          <w:rFonts w:asciiTheme="minorHAnsi" w:eastAsiaTheme="minorEastAsia" w:hAnsiTheme="minorHAnsi" w:cstheme="minorBidi"/>
          <w:b w:val="0"/>
          <w:bCs w:val="0"/>
          <w:caps w:val="0"/>
          <w:noProof/>
          <w:sz w:val="22"/>
          <w:szCs w:val="22"/>
        </w:rPr>
      </w:pPr>
      <w:hyperlink w:anchor="_Toc488423246" w:history="1">
        <w:r w:rsidR="000A6BD1" w:rsidRPr="00F248F2">
          <w:rPr>
            <w:rStyle w:val="Hyperlink"/>
            <w:noProof/>
          </w:rPr>
          <w:t>Executive Summary</w:t>
        </w:r>
        <w:r w:rsidR="000A6BD1">
          <w:rPr>
            <w:noProof/>
            <w:webHidden/>
          </w:rPr>
          <w:tab/>
        </w:r>
        <w:r w:rsidR="000A6BD1">
          <w:rPr>
            <w:noProof/>
            <w:webHidden/>
          </w:rPr>
          <w:fldChar w:fldCharType="begin"/>
        </w:r>
        <w:r w:rsidR="000A6BD1">
          <w:rPr>
            <w:noProof/>
            <w:webHidden/>
          </w:rPr>
          <w:instrText xml:space="preserve"> PAGEREF _Toc488423246 \h </w:instrText>
        </w:r>
        <w:r w:rsidR="000A6BD1">
          <w:rPr>
            <w:noProof/>
            <w:webHidden/>
          </w:rPr>
        </w:r>
        <w:r w:rsidR="000A6BD1">
          <w:rPr>
            <w:noProof/>
            <w:webHidden/>
          </w:rPr>
          <w:fldChar w:fldCharType="separate"/>
        </w:r>
        <w:r w:rsidR="000A6BD1">
          <w:rPr>
            <w:noProof/>
            <w:webHidden/>
          </w:rPr>
          <w:t>vi</w:t>
        </w:r>
        <w:r w:rsidR="000A6BD1">
          <w:rPr>
            <w:noProof/>
            <w:webHidden/>
          </w:rPr>
          <w:fldChar w:fldCharType="end"/>
        </w:r>
      </w:hyperlink>
    </w:p>
    <w:p w14:paraId="75822A53" w14:textId="77777777" w:rsidR="000A6BD1" w:rsidRDefault="00934881">
      <w:pPr>
        <w:pStyle w:val="TOC1"/>
        <w:tabs>
          <w:tab w:val="left" w:pos="480"/>
          <w:tab w:val="right" w:leader="dot" w:pos="9016"/>
        </w:tabs>
        <w:rPr>
          <w:rFonts w:asciiTheme="minorHAnsi" w:eastAsiaTheme="minorEastAsia" w:hAnsiTheme="minorHAnsi" w:cstheme="minorBidi"/>
          <w:b w:val="0"/>
          <w:bCs w:val="0"/>
          <w:caps w:val="0"/>
          <w:noProof/>
          <w:sz w:val="22"/>
          <w:szCs w:val="22"/>
        </w:rPr>
      </w:pPr>
      <w:hyperlink w:anchor="_Toc488423247" w:history="1">
        <w:r w:rsidR="000A6BD1" w:rsidRPr="00F248F2">
          <w:rPr>
            <w:rStyle w:val="Hyperlink"/>
            <w:noProof/>
          </w:rPr>
          <w:t>1.0</w:t>
        </w:r>
        <w:r w:rsidR="000A6BD1">
          <w:rPr>
            <w:rFonts w:asciiTheme="minorHAnsi" w:eastAsiaTheme="minorEastAsia" w:hAnsiTheme="minorHAnsi" w:cstheme="minorBidi"/>
            <w:b w:val="0"/>
            <w:bCs w:val="0"/>
            <w:caps w:val="0"/>
            <w:noProof/>
            <w:sz w:val="22"/>
            <w:szCs w:val="22"/>
          </w:rPr>
          <w:tab/>
        </w:r>
        <w:r w:rsidR="000A6BD1" w:rsidRPr="00F248F2">
          <w:rPr>
            <w:rStyle w:val="Hyperlink"/>
            <w:noProof/>
          </w:rPr>
          <w:t>Introduction</w:t>
        </w:r>
        <w:r w:rsidR="000A6BD1">
          <w:rPr>
            <w:noProof/>
            <w:webHidden/>
          </w:rPr>
          <w:tab/>
        </w:r>
        <w:r w:rsidR="000A6BD1">
          <w:rPr>
            <w:noProof/>
            <w:webHidden/>
          </w:rPr>
          <w:fldChar w:fldCharType="begin"/>
        </w:r>
        <w:r w:rsidR="000A6BD1">
          <w:rPr>
            <w:noProof/>
            <w:webHidden/>
          </w:rPr>
          <w:instrText xml:space="preserve"> PAGEREF _Toc488423247 \h </w:instrText>
        </w:r>
        <w:r w:rsidR="000A6BD1">
          <w:rPr>
            <w:noProof/>
            <w:webHidden/>
          </w:rPr>
        </w:r>
        <w:r w:rsidR="000A6BD1">
          <w:rPr>
            <w:noProof/>
            <w:webHidden/>
          </w:rPr>
          <w:fldChar w:fldCharType="separate"/>
        </w:r>
        <w:r w:rsidR="000A6BD1">
          <w:rPr>
            <w:noProof/>
            <w:webHidden/>
          </w:rPr>
          <w:t>1</w:t>
        </w:r>
        <w:r w:rsidR="000A6BD1">
          <w:rPr>
            <w:noProof/>
            <w:webHidden/>
          </w:rPr>
          <w:fldChar w:fldCharType="end"/>
        </w:r>
      </w:hyperlink>
    </w:p>
    <w:p w14:paraId="1D9E9D9A" w14:textId="77777777" w:rsidR="000A6BD1" w:rsidRDefault="00934881">
      <w:pPr>
        <w:pStyle w:val="TOC1"/>
        <w:tabs>
          <w:tab w:val="left" w:pos="480"/>
          <w:tab w:val="right" w:leader="dot" w:pos="9016"/>
        </w:tabs>
        <w:rPr>
          <w:rFonts w:asciiTheme="minorHAnsi" w:eastAsiaTheme="minorEastAsia" w:hAnsiTheme="minorHAnsi" w:cstheme="minorBidi"/>
          <w:b w:val="0"/>
          <w:bCs w:val="0"/>
          <w:caps w:val="0"/>
          <w:noProof/>
          <w:sz w:val="22"/>
          <w:szCs w:val="22"/>
        </w:rPr>
      </w:pPr>
      <w:hyperlink w:anchor="_Toc488423248" w:history="1">
        <w:r w:rsidR="000A6BD1" w:rsidRPr="00F248F2">
          <w:rPr>
            <w:rStyle w:val="Hyperlink"/>
            <w:noProof/>
          </w:rPr>
          <w:t>2.0</w:t>
        </w:r>
        <w:r w:rsidR="000A6BD1">
          <w:rPr>
            <w:rFonts w:asciiTheme="minorHAnsi" w:eastAsiaTheme="minorEastAsia" w:hAnsiTheme="minorHAnsi" w:cstheme="minorBidi"/>
            <w:b w:val="0"/>
            <w:bCs w:val="0"/>
            <w:caps w:val="0"/>
            <w:noProof/>
            <w:sz w:val="22"/>
            <w:szCs w:val="22"/>
          </w:rPr>
          <w:tab/>
        </w:r>
        <w:r w:rsidR="000A6BD1" w:rsidRPr="00F248F2">
          <w:rPr>
            <w:rStyle w:val="Hyperlink"/>
            <w:noProof/>
          </w:rPr>
          <w:t>Review of PER FY</w:t>
        </w:r>
        <w:r w:rsidR="000A6BD1" w:rsidRPr="00F248F2">
          <w:rPr>
            <w:rStyle w:val="Hyperlink"/>
            <w:noProof/>
            <w:lang w:val="en-GB"/>
          </w:rPr>
          <w:t xml:space="preserve">2014/15 </w:t>
        </w:r>
        <w:r w:rsidR="000A6BD1" w:rsidRPr="00F248F2">
          <w:rPr>
            <w:rStyle w:val="Hyperlink"/>
            <w:noProof/>
          </w:rPr>
          <w:t>Recommendations and Actions Taken</w:t>
        </w:r>
        <w:r w:rsidR="000A6BD1">
          <w:rPr>
            <w:noProof/>
            <w:webHidden/>
          </w:rPr>
          <w:tab/>
        </w:r>
        <w:r w:rsidR="000A6BD1">
          <w:rPr>
            <w:noProof/>
            <w:webHidden/>
          </w:rPr>
          <w:fldChar w:fldCharType="begin"/>
        </w:r>
        <w:r w:rsidR="000A6BD1">
          <w:rPr>
            <w:noProof/>
            <w:webHidden/>
          </w:rPr>
          <w:instrText xml:space="preserve"> PAGEREF _Toc488423248 \h </w:instrText>
        </w:r>
        <w:r w:rsidR="000A6BD1">
          <w:rPr>
            <w:noProof/>
            <w:webHidden/>
          </w:rPr>
        </w:r>
        <w:r w:rsidR="000A6BD1">
          <w:rPr>
            <w:noProof/>
            <w:webHidden/>
          </w:rPr>
          <w:fldChar w:fldCharType="separate"/>
        </w:r>
        <w:r w:rsidR="000A6BD1">
          <w:rPr>
            <w:noProof/>
            <w:webHidden/>
          </w:rPr>
          <w:t>3</w:t>
        </w:r>
        <w:r w:rsidR="000A6BD1">
          <w:rPr>
            <w:noProof/>
            <w:webHidden/>
          </w:rPr>
          <w:fldChar w:fldCharType="end"/>
        </w:r>
      </w:hyperlink>
    </w:p>
    <w:p w14:paraId="6910E2B4" w14:textId="77777777" w:rsidR="000A6BD1" w:rsidRDefault="00934881">
      <w:pPr>
        <w:pStyle w:val="TOC1"/>
        <w:tabs>
          <w:tab w:val="left" w:pos="480"/>
          <w:tab w:val="right" w:leader="dot" w:pos="9016"/>
        </w:tabs>
        <w:rPr>
          <w:rFonts w:asciiTheme="minorHAnsi" w:eastAsiaTheme="minorEastAsia" w:hAnsiTheme="minorHAnsi" w:cstheme="minorBidi"/>
          <w:b w:val="0"/>
          <w:bCs w:val="0"/>
          <w:caps w:val="0"/>
          <w:noProof/>
          <w:sz w:val="22"/>
          <w:szCs w:val="22"/>
        </w:rPr>
      </w:pPr>
      <w:hyperlink w:anchor="_Toc488423249" w:history="1">
        <w:r w:rsidR="000A6BD1" w:rsidRPr="00F248F2">
          <w:rPr>
            <w:rStyle w:val="Hyperlink"/>
            <w:noProof/>
          </w:rPr>
          <w:t>3.0</w:t>
        </w:r>
        <w:r w:rsidR="000A6BD1">
          <w:rPr>
            <w:rFonts w:asciiTheme="minorHAnsi" w:eastAsiaTheme="minorEastAsia" w:hAnsiTheme="minorHAnsi" w:cstheme="minorBidi"/>
            <w:b w:val="0"/>
            <w:bCs w:val="0"/>
            <w:caps w:val="0"/>
            <w:noProof/>
            <w:sz w:val="22"/>
            <w:szCs w:val="22"/>
          </w:rPr>
          <w:tab/>
        </w:r>
        <w:r w:rsidR="000A6BD1" w:rsidRPr="00F248F2">
          <w:rPr>
            <w:rStyle w:val="Hyperlink"/>
            <w:noProof/>
          </w:rPr>
          <w:t>Health Budget and Expenditure Analysis</w:t>
        </w:r>
        <w:r w:rsidR="000A6BD1">
          <w:rPr>
            <w:noProof/>
            <w:webHidden/>
          </w:rPr>
          <w:tab/>
        </w:r>
        <w:r w:rsidR="000A6BD1">
          <w:rPr>
            <w:noProof/>
            <w:webHidden/>
          </w:rPr>
          <w:fldChar w:fldCharType="begin"/>
        </w:r>
        <w:r w:rsidR="000A6BD1">
          <w:rPr>
            <w:noProof/>
            <w:webHidden/>
          </w:rPr>
          <w:instrText xml:space="preserve"> PAGEREF _Toc488423249 \h </w:instrText>
        </w:r>
        <w:r w:rsidR="000A6BD1">
          <w:rPr>
            <w:noProof/>
            <w:webHidden/>
          </w:rPr>
        </w:r>
        <w:r w:rsidR="000A6BD1">
          <w:rPr>
            <w:noProof/>
            <w:webHidden/>
          </w:rPr>
          <w:fldChar w:fldCharType="separate"/>
        </w:r>
        <w:r w:rsidR="000A6BD1">
          <w:rPr>
            <w:noProof/>
            <w:webHidden/>
          </w:rPr>
          <w:t>6</w:t>
        </w:r>
        <w:r w:rsidR="000A6BD1">
          <w:rPr>
            <w:noProof/>
            <w:webHidden/>
          </w:rPr>
          <w:fldChar w:fldCharType="end"/>
        </w:r>
      </w:hyperlink>
    </w:p>
    <w:p w14:paraId="47D5F15A" w14:textId="77777777" w:rsidR="000A6BD1" w:rsidRDefault="00934881">
      <w:pPr>
        <w:pStyle w:val="TOC2"/>
        <w:tabs>
          <w:tab w:val="left" w:pos="720"/>
          <w:tab w:val="right" w:leader="dot" w:pos="9016"/>
        </w:tabs>
        <w:rPr>
          <w:rFonts w:asciiTheme="minorHAnsi" w:eastAsiaTheme="minorEastAsia" w:hAnsiTheme="minorHAnsi" w:cstheme="minorBidi"/>
          <w:smallCaps w:val="0"/>
          <w:noProof/>
          <w:sz w:val="22"/>
          <w:szCs w:val="22"/>
        </w:rPr>
      </w:pPr>
      <w:hyperlink w:anchor="_Toc488423250" w:history="1">
        <w:r w:rsidR="000A6BD1" w:rsidRPr="00F248F2">
          <w:rPr>
            <w:rStyle w:val="Hyperlink"/>
            <w:noProof/>
          </w:rPr>
          <w:t>3.1</w:t>
        </w:r>
        <w:r w:rsidR="000A6BD1">
          <w:rPr>
            <w:rFonts w:asciiTheme="minorHAnsi" w:eastAsiaTheme="minorEastAsia" w:hAnsiTheme="minorHAnsi" w:cstheme="minorBidi"/>
            <w:smallCaps w:val="0"/>
            <w:noProof/>
            <w:sz w:val="22"/>
            <w:szCs w:val="22"/>
          </w:rPr>
          <w:tab/>
        </w:r>
        <w:r w:rsidR="000A6BD1" w:rsidRPr="00F248F2">
          <w:rPr>
            <w:rStyle w:val="Hyperlink"/>
            <w:noProof/>
          </w:rPr>
          <w:t>Introduction</w:t>
        </w:r>
        <w:r w:rsidR="000A6BD1">
          <w:rPr>
            <w:noProof/>
            <w:webHidden/>
          </w:rPr>
          <w:tab/>
        </w:r>
        <w:r w:rsidR="000A6BD1">
          <w:rPr>
            <w:noProof/>
            <w:webHidden/>
          </w:rPr>
          <w:fldChar w:fldCharType="begin"/>
        </w:r>
        <w:r w:rsidR="000A6BD1">
          <w:rPr>
            <w:noProof/>
            <w:webHidden/>
          </w:rPr>
          <w:instrText xml:space="preserve"> PAGEREF _Toc488423250 \h </w:instrText>
        </w:r>
        <w:r w:rsidR="000A6BD1">
          <w:rPr>
            <w:noProof/>
            <w:webHidden/>
          </w:rPr>
        </w:r>
        <w:r w:rsidR="000A6BD1">
          <w:rPr>
            <w:noProof/>
            <w:webHidden/>
          </w:rPr>
          <w:fldChar w:fldCharType="separate"/>
        </w:r>
        <w:r w:rsidR="000A6BD1">
          <w:rPr>
            <w:noProof/>
            <w:webHidden/>
          </w:rPr>
          <w:t>6</w:t>
        </w:r>
        <w:r w:rsidR="000A6BD1">
          <w:rPr>
            <w:noProof/>
            <w:webHidden/>
          </w:rPr>
          <w:fldChar w:fldCharType="end"/>
        </w:r>
      </w:hyperlink>
    </w:p>
    <w:p w14:paraId="7598DAFD" w14:textId="77777777" w:rsidR="000A6BD1" w:rsidRDefault="00934881">
      <w:pPr>
        <w:pStyle w:val="TOC2"/>
        <w:tabs>
          <w:tab w:val="left" w:pos="720"/>
          <w:tab w:val="right" w:leader="dot" w:pos="9016"/>
        </w:tabs>
        <w:rPr>
          <w:rFonts w:asciiTheme="minorHAnsi" w:eastAsiaTheme="minorEastAsia" w:hAnsiTheme="minorHAnsi" w:cstheme="minorBidi"/>
          <w:smallCaps w:val="0"/>
          <w:noProof/>
          <w:sz w:val="22"/>
          <w:szCs w:val="22"/>
        </w:rPr>
      </w:pPr>
      <w:hyperlink w:anchor="_Toc488423251" w:history="1">
        <w:r w:rsidR="000A6BD1" w:rsidRPr="00F248F2">
          <w:rPr>
            <w:rStyle w:val="Hyperlink"/>
            <w:noProof/>
          </w:rPr>
          <w:t>3.2</w:t>
        </w:r>
        <w:r w:rsidR="000A6BD1">
          <w:rPr>
            <w:rFonts w:asciiTheme="minorHAnsi" w:eastAsiaTheme="minorEastAsia" w:hAnsiTheme="minorHAnsi" w:cstheme="minorBidi"/>
            <w:smallCaps w:val="0"/>
            <w:noProof/>
            <w:sz w:val="22"/>
            <w:szCs w:val="22"/>
          </w:rPr>
          <w:tab/>
        </w:r>
        <w:r w:rsidR="000A6BD1" w:rsidRPr="00F248F2">
          <w:rPr>
            <w:rStyle w:val="Hyperlink"/>
            <w:noProof/>
          </w:rPr>
          <w:t>Total Public Health Spending</w:t>
        </w:r>
        <w:r w:rsidR="000A6BD1">
          <w:rPr>
            <w:noProof/>
            <w:webHidden/>
          </w:rPr>
          <w:tab/>
        </w:r>
        <w:r w:rsidR="000A6BD1">
          <w:rPr>
            <w:noProof/>
            <w:webHidden/>
          </w:rPr>
          <w:fldChar w:fldCharType="begin"/>
        </w:r>
        <w:r w:rsidR="000A6BD1">
          <w:rPr>
            <w:noProof/>
            <w:webHidden/>
          </w:rPr>
          <w:instrText xml:space="preserve"> PAGEREF _Toc488423251 \h </w:instrText>
        </w:r>
        <w:r w:rsidR="000A6BD1">
          <w:rPr>
            <w:noProof/>
            <w:webHidden/>
          </w:rPr>
        </w:r>
        <w:r w:rsidR="000A6BD1">
          <w:rPr>
            <w:noProof/>
            <w:webHidden/>
          </w:rPr>
          <w:fldChar w:fldCharType="separate"/>
        </w:r>
        <w:r w:rsidR="000A6BD1">
          <w:rPr>
            <w:noProof/>
            <w:webHidden/>
          </w:rPr>
          <w:t>6</w:t>
        </w:r>
        <w:r w:rsidR="000A6BD1">
          <w:rPr>
            <w:noProof/>
            <w:webHidden/>
          </w:rPr>
          <w:fldChar w:fldCharType="end"/>
        </w:r>
      </w:hyperlink>
    </w:p>
    <w:p w14:paraId="04161F30" w14:textId="77777777" w:rsidR="000A6BD1" w:rsidRDefault="00934881">
      <w:pPr>
        <w:pStyle w:val="TOC2"/>
        <w:tabs>
          <w:tab w:val="left" w:pos="720"/>
          <w:tab w:val="right" w:leader="dot" w:pos="9016"/>
        </w:tabs>
        <w:rPr>
          <w:rFonts w:asciiTheme="minorHAnsi" w:eastAsiaTheme="minorEastAsia" w:hAnsiTheme="minorHAnsi" w:cstheme="minorBidi"/>
          <w:smallCaps w:val="0"/>
          <w:noProof/>
          <w:sz w:val="22"/>
          <w:szCs w:val="22"/>
        </w:rPr>
      </w:pPr>
      <w:hyperlink w:anchor="_Toc488423252" w:history="1">
        <w:r w:rsidR="000A6BD1" w:rsidRPr="00F248F2">
          <w:rPr>
            <w:rStyle w:val="Hyperlink"/>
            <w:noProof/>
          </w:rPr>
          <w:t>3.3</w:t>
        </w:r>
        <w:r w:rsidR="000A6BD1">
          <w:rPr>
            <w:rFonts w:asciiTheme="minorHAnsi" w:eastAsiaTheme="minorEastAsia" w:hAnsiTheme="minorHAnsi" w:cstheme="minorBidi"/>
            <w:smallCaps w:val="0"/>
            <w:noProof/>
            <w:sz w:val="22"/>
            <w:szCs w:val="22"/>
          </w:rPr>
          <w:tab/>
        </w:r>
        <w:r w:rsidR="000A6BD1" w:rsidRPr="00F248F2">
          <w:rPr>
            <w:rStyle w:val="Hyperlink"/>
            <w:noProof/>
          </w:rPr>
          <w:t>Sources of Funds for the Public Health Expenditure</w:t>
        </w:r>
        <w:r w:rsidR="000A6BD1">
          <w:rPr>
            <w:noProof/>
            <w:webHidden/>
          </w:rPr>
          <w:tab/>
        </w:r>
        <w:r w:rsidR="000A6BD1">
          <w:rPr>
            <w:noProof/>
            <w:webHidden/>
          </w:rPr>
          <w:fldChar w:fldCharType="begin"/>
        </w:r>
        <w:r w:rsidR="000A6BD1">
          <w:rPr>
            <w:noProof/>
            <w:webHidden/>
          </w:rPr>
          <w:instrText xml:space="preserve"> PAGEREF _Toc488423252 \h </w:instrText>
        </w:r>
        <w:r w:rsidR="000A6BD1">
          <w:rPr>
            <w:noProof/>
            <w:webHidden/>
          </w:rPr>
        </w:r>
        <w:r w:rsidR="000A6BD1">
          <w:rPr>
            <w:noProof/>
            <w:webHidden/>
          </w:rPr>
          <w:fldChar w:fldCharType="separate"/>
        </w:r>
        <w:r w:rsidR="000A6BD1">
          <w:rPr>
            <w:noProof/>
            <w:webHidden/>
          </w:rPr>
          <w:t>10</w:t>
        </w:r>
        <w:r w:rsidR="000A6BD1">
          <w:rPr>
            <w:noProof/>
            <w:webHidden/>
          </w:rPr>
          <w:fldChar w:fldCharType="end"/>
        </w:r>
      </w:hyperlink>
    </w:p>
    <w:p w14:paraId="5FB730E7" w14:textId="77777777" w:rsidR="000A6BD1" w:rsidRDefault="00934881">
      <w:pPr>
        <w:pStyle w:val="TOC2"/>
        <w:tabs>
          <w:tab w:val="left" w:pos="720"/>
          <w:tab w:val="right" w:leader="dot" w:pos="9016"/>
        </w:tabs>
        <w:rPr>
          <w:rFonts w:asciiTheme="minorHAnsi" w:eastAsiaTheme="minorEastAsia" w:hAnsiTheme="minorHAnsi" w:cstheme="minorBidi"/>
          <w:smallCaps w:val="0"/>
          <w:noProof/>
          <w:sz w:val="22"/>
          <w:szCs w:val="22"/>
        </w:rPr>
      </w:pPr>
      <w:hyperlink w:anchor="_Toc488423253" w:history="1">
        <w:r w:rsidR="000A6BD1" w:rsidRPr="00F248F2">
          <w:rPr>
            <w:rStyle w:val="Hyperlink"/>
            <w:noProof/>
          </w:rPr>
          <w:t>3.4</w:t>
        </w:r>
        <w:r w:rsidR="000A6BD1">
          <w:rPr>
            <w:rFonts w:asciiTheme="minorHAnsi" w:eastAsiaTheme="minorEastAsia" w:hAnsiTheme="minorHAnsi" w:cstheme="minorBidi"/>
            <w:smallCaps w:val="0"/>
            <w:noProof/>
            <w:sz w:val="22"/>
            <w:szCs w:val="22"/>
          </w:rPr>
          <w:tab/>
        </w:r>
        <w:r w:rsidR="000A6BD1" w:rsidRPr="00F248F2">
          <w:rPr>
            <w:rStyle w:val="Hyperlink"/>
            <w:noProof/>
          </w:rPr>
          <w:t>Trends in Recurrent and Development Expenditures</w:t>
        </w:r>
        <w:r w:rsidR="000A6BD1">
          <w:rPr>
            <w:noProof/>
            <w:webHidden/>
          </w:rPr>
          <w:tab/>
        </w:r>
        <w:r w:rsidR="000A6BD1">
          <w:rPr>
            <w:noProof/>
            <w:webHidden/>
          </w:rPr>
          <w:fldChar w:fldCharType="begin"/>
        </w:r>
        <w:r w:rsidR="000A6BD1">
          <w:rPr>
            <w:noProof/>
            <w:webHidden/>
          </w:rPr>
          <w:instrText xml:space="preserve"> PAGEREF _Toc488423253 \h </w:instrText>
        </w:r>
        <w:r w:rsidR="000A6BD1">
          <w:rPr>
            <w:noProof/>
            <w:webHidden/>
          </w:rPr>
        </w:r>
        <w:r w:rsidR="000A6BD1">
          <w:rPr>
            <w:noProof/>
            <w:webHidden/>
          </w:rPr>
          <w:fldChar w:fldCharType="separate"/>
        </w:r>
        <w:r w:rsidR="000A6BD1">
          <w:rPr>
            <w:noProof/>
            <w:webHidden/>
          </w:rPr>
          <w:t>11</w:t>
        </w:r>
        <w:r w:rsidR="000A6BD1">
          <w:rPr>
            <w:noProof/>
            <w:webHidden/>
          </w:rPr>
          <w:fldChar w:fldCharType="end"/>
        </w:r>
      </w:hyperlink>
    </w:p>
    <w:p w14:paraId="11DBFE2A" w14:textId="77777777" w:rsidR="000A6BD1" w:rsidRDefault="00934881">
      <w:pPr>
        <w:pStyle w:val="TOC2"/>
        <w:tabs>
          <w:tab w:val="left" w:pos="720"/>
          <w:tab w:val="right" w:leader="dot" w:pos="9016"/>
        </w:tabs>
        <w:rPr>
          <w:rFonts w:asciiTheme="minorHAnsi" w:eastAsiaTheme="minorEastAsia" w:hAnsiTheme="minorHAnsi" w:cstheme="minorBidi"/>
          <w:smallCaps w:val="0"/>
          <w:noProof/>
          <w:sz w:val="22"/>
          <w:szCs w:val="22"/>
        </w:rPr>
      </w:pPr>
      <w:hyperlink w:anchor="_Toc488423254" w:history="1">
        <w:r w:rsidR="000A6BD1" w:rsidRPr="00F248F2">
          <w:rPr>
            <w:rStyle w:val="Hyperlink"/>
            <w:noProof/>
          </w:rPr>
          <w:t>3.5</w:t>
        </w:r>
        <w:r w:rsidR="000A6BD1">
          <w:rPr>
            <w:rFonts w:asciiTheme="minorHAnsi" w:eastAsiaTheme="minorEastAsia" w:hAnsiTheme="minorHAnsi" w:cstheme="minorBidi"/>
            <w:smallCaps w:val="0"/>
            <w:noProof/>
            <w:sz w:val="22"/>
            <w:szCs w:val="22"/>
          </w:rPr>
          <w:tab/>
        </w:r>
        <w:r w:rsidR="000A6BD1" w:rsidRPr="00F248F2">
          <w:rPr>
            <w:rStyle w:val="Hyperlink"/>
            <w:noProof/>
          </w:rPr>
          <w:t>Performance of the Health Sector Budget</w:t>
        </w:r>
        <w:r w:rsidR="000A6BD1">
          <w:rPr>
            <w:noProof/>
            <w:webHidden/>
          </w:rPr>
          <w:tab/>
        </w:r>
        <w:r w:rsidR="000A6BD1">
          <w:rPr>
            <w:noProof/>
            <w:webHidden/>
          </w:rPr>
          <w:fldChar w:fldCharType="begin"/>
        </w:r>
        <w:r w:rsidR="000A6BD1">
          <w:rPr>
            <w:noProof/>
            <w:webHidden/>
          </w:rPr>
          <w:instrText xml:space="preserve"> PAGEREF _Toc488423254 \h </w:instrText>
        </w:r>
        <w:r w:rsidR="000A6BD1">
          <w:rPr>
            <w:noProof/>
            <w:webHidden/>
          </w:rPr>
        </w:r>
        <w:r w:rsidR="000A6BD1">
          <w:rPr>
            <w:noProof/>
            <w:webHidden/>
          </w:rPr>
          <w:fldChar w:fldCharType="separate"/>
        </w:r>
        <w:r w:rsidR="000A6BD1">
          <w:rPr>
            <w:noProof/>
            <w:webHidden/>
          </w:rPr>
          <w:t>13</w:t>
        </w:r>
        <w:r w:rsidR="000A6BD1">
          <w:rPr>
            <w:noProof/>
            <w:webHidden/>
          </w:rPr>
          <w:fldChar w:fldCharType="end"/>
        </w:r>
      </w:hyperlink>
    </w:p>
    <w:p w14:paraId="3FB2487B" w14:textId="77777777" w:rsidR="000A6BD1" w:rsidRDefault="00934881">
      <w:pPr>
        <w:pStyle w:val="TOC2"/>
        <w:tabs>
          <w:tab w:val="left" w:pos="720"/>
          <w:tab w:val="right" w:leader="dot" w:pos="9016"/>
        </w:tabs>
        <w:rPr>
          <w:rFonts w:asciiTheme="minorHAnsi" w:eastAsiaTheme="minorEastAsia" w:hAnsiTheme="minorHAnsi" w:cstheme="minorBidi"/>
          <w:smallCaps w:val="0"/>
          <w:noProof/>
          <w:sz w:val="22"/>
          <w:szCs w:val="22"/>
        </w:rPr>
      </w:pPr>
      <w:hyperlink w:anchor="_Toc488423255" w:history="1">
        <w:r w:rsidR="000A6BD1" w:rsidRPr="00F248F2">
          <w:rPr>
            <w:rStyle w:val="Hyperlink"/>
            <w:noProof/>
          </w:rPr>
          <w:t>3.6</w:t>
        </w:r>
        <w:r w:rsidR="000A6BD1">
          <w:rPr>
            <w:rFonts w:asciiTheme="minorHAnsi" w:eastAsiaTheme="minorEastAsia" w:hAnsiTheme="minorHAnsi" w:cstheme="minorBidi"/>
            <w:smallCaps w:val="0"/>
            <w:noProof/>
            <w:sz w:val="22"/>
            <w:szCs w:val="22"/>
          </w:rPr>
          <w:tab/>
        </w:r>
        <w:r w:rsidR="000A6BD1" w:rsidRPr="00F248F2">
          <w:rPr>
            <w:rStyle w:val="Hyperlink"/>
            <w:noProof/>
          </w:rPr>
          <w:t>Health Sector Budget and Expenditure by Levels of Government</w:t>
        </w:r>
        <w:r w:rsidR="000A6BD1">
          <w:rPr>
            <w:noProof/>
            <w:webHidden/>
          </w:rPr>
          <w:tab/>
        </w:r>
        <w:r w:rsidR="000A6BD1">
          <w:rPr>
            <w:noProof/>
            <w:webHidden/>
          </w:rPr>
          <w:fldChar w:fldCharType="begin"/>
        </w:r>
        <w:r w:rsidR="000A6BD1">
          <w:rPr>
            <w:noProof/>
            <w:webHidden/>
          </w:rPr>
          <w:instrText xml:space="preserve"> PAGEREF _Toc488423255 \h </w:instrText>
        </w:r>
        <w:r w:rsidR="000A6BD1">
          <w:rPr>
            <w:noProof/>
            <w:webHidden/>
          </w:rPr>
        </w:r>
        <w:r w:rsidR="000A6BD1">
          <w:rPr>
            <w:noProof/>
            <w:webHidden/>
          </w:rPr>
          <w:fldChar w:fldCharType="separate"/>
        </w:r>
        <w:r w:rsidR="000A6BD1">
          <w:rPr>
            <w:noProof/>
            <w:webHidden/>
          </w:rPr>
          <w:t>15</w:t>
        </w:r>
        <w:r w:rsidR="000A6BD1">
          <w:rPr>
            <w:noProof/>
            <w:webHidden/>
          </w:rPr>
          <w:fldChar w:fldCharType="end"/>
        </w:r>
      </w:hyperlink>
    </w:p>
    <w:p w14:paraId="35936B81" w14:textId="77777777" w:rsidR="000A6BD1" w:rsidRDefault="00934881">
      <w:pPr>
        <w:pStyle w:val="TOC1"/>
        <w:tabs>
          <w:tab w:val="left" w:pos="480"/>
          <w:tab w:val="right" w:leader="dot" w:pos="9016"/>
        </w:tabs>
        <w:rPr>
          <w:rFonts w:asciiTheme="minorHAnsi" w:eastAsiaTheme="minorEastAsia" w:hAnsiTheme="minorHAnsi" w:cstheme="minorBidi"/>
          <w:b w:val="0"/>
          <w:bCs w:val="0"/>
          <w:caps w:val="0"/>
          <w:noProof/>
          <w:sz w:val="22"/>
          <w:szCs w:val="22"/>
        </w:rPr>
      </w:pPr>
      <w:hyperlink w:anchor="_Toc488423256" w:history="1">
        <w:r w:rsidR="000A6BD1" w:rsidRPr="00F248F2">
          <w:rPr>
            <w:rStyle w:val="Hyperlink"/>
            <w:noProof/>
          </w:rPr>
          <w:t>4.0</w:t>
        </w:r>
        <w:r w:rsidR="000A6BD1">
          <w:rPr>
            <w:rFonts w:asciiTheme="minorHAnsi" w:eastAsiaTheme="minorEastAsia" w:hAnsiTheme="minorHAnsi" w:cstheme="minorBidi"/>
            <w:b w:val="0"/>
            <w:bCs w:val="0"/>
            <w:caps w:val="0"/>
            <w:noProof/>
            <w:sz w:val="22"/>
            <w:szCs w:val="22"/>
          </w:rPr>
          <w:tab/>
        </w:r>
        <w:r w:rsidR="000A6BD1" w:rsidRPr="00F248F2">
          <w:rPr>
            <w:rStyle w:val="Hyperlink"/>
            <w:noProof/>
          </w:rPr>
          <w:t>Complementary Health Financing</w:t>
        </w:r>
        <w:r w:rsidR="000A6BD1">
          <w:rPr>
            <w:noProof/>
            <w:webHidden/>
          </w:rPr>
          <w:tab/>
        </w:r>
        <w:r w:rsidR="000A6BD1">
          <w:rPr>
            <w:noProof/>
            <w:webHidden/>
          </w:rPr>
          <w:fldChar w:fldCharType="begin"/>
        </w:r>
        <w:r w:rsidR="000A6BD1">
          <w:rPr>
            <w:noProof/>
            <w:webHidden/>
          </w:rPr>
          <w:instrText xml:space="preserve"> PAGEREF _Toc488423256 \h </w:instrText>
        </w:r>
        <w:r w:rsidR="000A6BD1">
          <w:rPr>
            <w:noProof/>
            <w:webHidden/>
          </w:rPr>
        </w:r>
        <w:r w:rsidR="000A6BD1">
          <w:rPr>
            <w:noProof/>
            <w:webHidden/>
          </w:rPr>
          <w:fldChar w:fldCharType="separate"/>
        </w:r>
        <w:r w:rsidR="000A6BD1">
          <w:rPr>
            <w:noProof/>
            <w:webHidden/>
          </w:rPr>
          <w:t>17</w:t>
        </w:r>
        <w:r w:rsidR="000A6BD1">
          <w:rPr>
            <w:noProof/>
            <w:webHidden/>
          </w:rPr>
          <w:fldChar w:fldCharType="end"/>
        </w:r>
      </w:hyperlink>
    </w:p>
    <w:p w14:paraId="738FFF03" w14:textId="77777777" w:rsidR="000A6BD1" w:rsidRDefault="00934881">
      <w:pPr>
        <w:pStyle w:val="TOC2"/>
        <w:tabs>
          <w:tab w:val="left" w:pos="720"/>
          <w:tab w:val="right" w:leader="dot" w:pos="9016"/>
        </w:tabs>
        <w:rPr>
          <w:rFonts w:asciiTheme="minorHAnsi" w:eastAsiaTheme="minorEastAsia" w:hAnsiTheme="minorHAnsi" w:cstheme="minorBidi"/>
          <w:smallCaps w:val="0"/>
          <w:noProof/>
          <w:sz w:val="22"/>
          <w:szCs w:val="22"/>
        </w:rPr>
      </w:pPr>
      <w:hyperlink w:anchor="_Toc488423257" w:history="1">
        <w:r w:rsidR="000A6BD1" w:rsidRPr="00F248F2">
          <w:rPr>
            <w:rStyle w:val="Hyperlink"/>
            <w:noProof/>
          </w:rPr>
          <w:t>4.1</w:t>
        </w:r>
        <w:r w:rsidR="000A6BD1">
          <w:rPr>
            <w:rFonts w:asciiTheme="minorHAnsi" w:eastAsiaTheme="minorEastAsia" w:hAnsiTheme="minorHAnsi" w:cstheme="minorBidi"/>
            <w:smallCaps w:val="0"/>
            <w:noProof/>
            <w:sz w:val="22"/>
            <w:szCs w:val="22"/>
          </w:rPr>
          <w:tab/>
        </w:r>
        <w:r w:rsidR="000A6BD1" w:rsidRPr="00F248F2">
          <w:rPr>
            <w:rStyle w:val="Hyperlink"/>
            <w:noProof/>
          </w:rPr>
          <w:t>Introduction</w:t>
        </w:r>
        <w:r w:rsidR="000A6BD1">
          <w:rPr>
            <w:noProof/>
            <w:webHidden/>
          </w:rPr>
          <w:tab/>
        </w:r>
        <w:r w:rsidR="000A6BD1">
          <w:rPr>
            <w:noProof/>
            <w:webHidden/>
          </w:rPr>
          <w:fldChar w:fldCharType="begin"/>
        </w:r>
        <w:r w:rsidR="000A6BD1">
          <w:rPr>
            <w:noProof/>
            <w:webHidden/>
          </w:rPr>
          <w:instrText xml:space="preserve"> PAGEREF _Toc488423257 \h </w:instrText>
        </w:r>
        <w:r w:rsidR="000A6BD1">
          <w:rPr>
            <w:noProof/>
            <w:webHidden/>
          </w:rPr>
        </w:r>
        <w:r w:rsidR="000A6BD1">
          <w:rPr>
            <w:noProof/>
            <w:webHidden/>
          </w:rPr>
          <w:fldChar w:fldCharType="separate"/>
        </w:r>
        <w:r w:rsidR="000A6BD1">
          <w:rPr>
            <w:noProof/>
            <w:webHidden/>
          </w:rPr>
          <w:t>17</w:t>
        </w:r>
        <w:r w:rsidR="000A6BD1">
          <w:rPr>
            <w:noProof/>
            <w:webHidden/>
          </w:rPr>
          <w:fldChar w:fldCharType="end"/>
        </w:r>
      </w:hyperlink>
    </w:p>
    <w:p w14:paraId="76371D68" w14:textId="77777777" w:rsidR="000A6BD1" w:rsidRDefault="00934881">
      <w:pPr>
        <w:pStyle w:val="TOC2"/>
        <w:tabs>
          <w:tab w:val="left" w:pos="720"/>
          <w:tab w:val="right" w:leader="dot" w:pos="9016"/>
        </w:tabs>
        <w:rPr>
          <w:rFonts w:asciiTheme="minorHAnsi" w:eastAsiaTheme="minorEastAsia" w:hAnsiTheme="minorHAnsi" w:cstheme="minorBidi"/>
          <w:smallCaps w:val="0"/>
          <w:noProof/>
          <w:sz w:val="22"/>
          <w:szCs w:val="22"/>
        </w:rPr>
      </w:pPr>
      <w:hyperlink w:anchor="_Toc488423258" w:history="1">
        <w:r w:rsidR="000A6BD1" w:rsidRPr="00F248F2">
          <w:rPr>
            <w:rStyle w:val="Hyperlink"/>
            <w:noProof/>
          </w:rPr>
          <w:t>4.2</w:t>
        </w:r>
        <w:r w:rsidR="000A6BD1">
          <w:rPr>
            <w:rFonts w:asciiTheme="minorHAnsi" w:eastAsiaTheme="minorEastAsia" w:hAnsiTheme="minorHAnsi" w:cstheme="minorBidi"/>
            <w:smallCaps w:val="0"/>
            <w:noProof/>
            <w:sz w:val="22"/>
            <w:szCs w:val="22"/>
          </w:rPr>
          <w:tab/>
        </w:r>
        <w:r w:rsidR="000A6BD1" w:rsidRPr="00F248F2">
          <w:rPr>
            <w:rStyle w:val="Hyperlink"/>
            <w:noProof/>
          </w:rPr>
          <w:t>Health Services Fund</w:t>
        </w:r>
        <w:r w:rsidR="000A6BD1">
          <w:rPr>
            <w:noProof/>
            <w:webHidden/>
          </w:rPr>
          <w:tab/>
        </w:r>
        <w:r w:rsidR="000A6BD1">
          <w:rPr>
            <w:noProof/>
            <w:webHidden/>
          </w:rPr>
          <w:fldChar w:fldCharType="begin"/>
        </w:r>
        <w:r w:rsidR="000A6BD1">
          <w:rPr>
            <w:noProof/>
            <w:webHidden/>
          </w:rPr>
          <w:instrText xml:space="preserve"> PAGEREF _Toc488423258 \h </w:instrText>
        </w:r>
        <w:r w:rsidR="000A6BD1">
          <w:rPr>
            <w:noProof/>
            <w:webHidden/>
          </w:rPr>
        </w:r>
        <w:r w:rsidR="000A6BD1">
          <w:rPr>
            <w:noProof/>
            <w:webHidden/>
          </w:rPr>
          <w:fldChar w:fldCharType="separate"/>
        </w:r>
        <w:r w:rsidR="000A6BD1">
          <w:rPr>
            <w:noProof/>
            <w:webHidden/>
          </w:rPr>
          <w:t>17</w:t>
        </w:r>
        <w:r w:rsidR="000A6BD1">
          <w:rPr>
            <w:noProof/>
            <w:webHidden/>
          </w:rPr>
          <w:fldChar w:fldCharType="end"/>
        </w:r>
      </w:hyperlink>
    </w:p>
    <w:p w14:paraId="3B7020C8" w14:textId="77777777" w:rsidR="000A6BD1" w:rsidRDefault="00934881">
      <w:pPr>
        <w:pStyle w:val="TOC2"/>
        <w:tabs>
          <w:tab w:val="left" w:pos="720"/>
          <w:tab w:val="right" w:leader="dot" w:pos="9016"/>
        </w:tabs>
        <w:rPr>
          <w:rFonts w:asciiTheme="minorHAnsi" w:eastAsiaTheme="minorEastAsia" w:hAnsiTheme="minorHAnsi" w:cstheme="minorBidi"/>
          <w:smallCaps w:val="0"/>
          <w:noProof/>
          <w:sz w:val="22"/>
          <w:szCs w:val="22"/>
        </w:rPr>
      </w:pPr>
      <w:hyperlink w:anchor="_Toc488423259" w:history="1">
        <w:r w:rsidR="000A6BD1" w:rsidRPr="00F248F2">
          <w:rPr>
            <w:rStyle w:val="Hyperlink"/>
            <w:noProof/>
          </w:rPr>
          <w:t>4.3</w:t>
        </w:r>
        <w:r w:rsidR="000A6BD1">
          <w:rPr>
            <w:rFonts w:asciiTheme="minorHAnsi" w:eastAsiaTheme="minorEastAsia" w:hAnsiTheme="minorHAnsi" w:cstheme="minorBidi"/>
            <w:smallCaps w:val="0"/>
            <w:noProof/>
            <w:sz w:val="22"/>
            <w:szCs w:val="22"/>
          </w:rPr>
          <w:tab/>
        </w:r>
        <w:r w:rsidR="000A6BD1" w:rsidRPr="00F248F2">
          <w:rPr>
            <w:rStyle w:val="Hyperlink"/>
            <w:noProof/>
          </w:rPr>
          <w:t>The National Health Insurance Fund</w:t>
        </w:r>
        <w:r w:rsidR="000A6BD1">
          <w:rPr>
            <w:noProof/>
            <w:webHidden/>
          </w:rPr>
          <w:tab/>
        </w:r>
        <w:r w:rsidR="000A6BD1">
          <w:rPr>
            <w:noProof/>
            <w:webHidden/>
          </w:rPr>
          <w:fldChar w:fldCharType="begin"/>
        </w:r>
        <w:r w:rsidR="000A6BD1">
          <w:rPr>
            <w:noProof/>
            <w:webHidden/>
          </w:rPr>
          <w:instrText xml:space="preserve"> PAGEREF _Toc488423259 \h </w:instrText>
        </w:r>
        <w:r w:rsidR="000A6BD1">
          <w:rPr>
            <w:noProof/>
            <w:webHidden/>
          </w:rPr>
        </w:r>
        <w:r w:rsidR="000A6BD1">
          <w:rPr>
            <w:noProof/>
            <w:webHidden/>
          </w:rPr>
          <w:fldChar w:fldCharType="separate"/>
        </w:r>
        <w:r w:rsidR="000A6BD1">
          <w:rPr>
            <w:noProof/>
            <w:webHidden/>
          </w:rPr>
          <w:t>17</w:t>
        </w:r>
        <w:r w:rsidR="000A6BD1">
          <w:rPr>
            <w:noProof/>
            <w:webHidden/>
          </w:rPr>
          <w:fldChar w:fldCharType="end"/>
        </w:r>
      </w:hyperlink>
    </w:p>
    <w:p w14:paraId="57A67830" w14:textId="77777777" w:rsidR="000A6BD1" w:rsidRDefault="00934881">
      <w:pPr>
        <w:pStyle w:val="TOC3"/>
        <w:tabs>
          <w:tab w:val="left" w:pos="1200"/>
          <w:tab w:val="right" w:leader="dot" w:pos="9016"/>
        </w:tabs>
        <w:rPr>
          <w:rFonts w:asciiTheme="minorHAnsi" w:eastAsiaTheme="minorEastAsia" w:hAnsiTheme="minorHAnsi" w:cstheme="minorBidi"/>
          <w:i w:val="0"/>
          <w:iCs w:val="0"/>
          <w:noProof/>
          <w:sz w:val="22"/>
          <w:szCs w:val="22"/>
        </w:rPr>
      </w:pPr>
      <w:hyperlink w:anchor="_Toc488423260" w:history="1">
        <w:r w:rsidR="000A6BD1" w:rsidRPr="00F248F2">
          <w:rPr>
            <w:rStyle w:val="Hyperlink"/>
            <w:noProof/>
            <w:lang w:val="en-GB" w:eastAsia="en-GB"/>
          </w:rPr>
          <w:t>4.3.1</w:t>
        </w:r>
        <w:r w:rsidR="000A6BD1">
          <w:rPr>
            <w:rFonts w:asciiTheme="minorHAnsi" w:eastAsiaTheme="minorEastAsia" w:hAnsiTheme="minorHAnsi" w:cstheme="minorBidi"/>
            <w:i w:val="0"/>
            <w:iCs w:val="0"/>
            <w:noProof/>
            <w:sz w:val="22"/>
            <w:szCs w:val="22"/>
          </w:rPr>
          <w:tab/>
        </w:r>
        <w:r w:rsidR="000A6BD1" w:rsidRPr="00F248F2">
          <w:rPr>
            <w:rStyle w:val="Hyperlink"/>
            <w:noProof/>
          </w:rPr>
          <w:t>Membership and Utilization of Health Services</w:t>
        </w:r>
        <w:r w:rsidR="000A6BD1">
          <w:rPr>
            <w:noProof/>
            <w:webHidden/>
          </w:rPr>
          <w:tab/>
        </w:r>
        <w:r w:rsidR="000A6BD1">
          <w:rPr>
            <w:noProof/>
            <w:webHidden/>
          </w:rPr>
          <w:fldChar w:fldCharType="begin"/>
        </w:r>
        <w:r w:rsidR="000A6BD1">
          <w:rPr>
            <w:noProof/>
            <w:webHidden/>
          </w:rPr>
          <w:instrText xml:space="preserve"> PAGEREF _Toc488423260 \h </w:instrText>
        </w:r>
        <w:r w:rsidR="000A6BD1">
          <w:rPr>
            <w:noProof/>
            <w:webHidden/>
          </w:rPr>
        </w:r>
        <w:r w:rsidR="000A6BD1">
          <w:rPr>
            <w:noProof/>
            <w:webHidden/>
          </w:rPr>
          <w:fldChar w:fldCharType="separate"/>
        </w:r>
        <w:r w:rsidR="000A6BD1">
          <w:rPr>
            <w:noProof/>
            <w:webHidden/>
          </w:rPr>
          <w:t>17</w:t>
        </w:r>
        <w:r w:rsidR="000A6BD1">
          <w:rPr>
            <w:noProof/>
            <w:webHidden/>
          </w:rPr>
          <w:fldChar w:fldCharType="end"/>
        </w:r>
      </w:hyperlink>
    </w:p>
    <w:p w14:paraId="285DB9FB" w14:textId="77777777" w:rsidR="000A6BD1" w:rsidRDefault="00934881">
      <w:pPr>
        <w:pStyle w:val="TOC3"/>
        <w:tabs>
          <w:tab w:val="left" w:pos="1200"/>
          <w:tab w:val="right" w:leader="dot" w:pos="9016"/>
        </w:tabs>
        <w:rPr>
          <w:rFonts w:asciiTheme="minorHAnsi" w:eastAsiaTheme="minorEastAsia" w:hAnsiTheme="minorHAnsi" w:cstheme="minorBidi"/>
          <w:i w:val="0"/>
          <w:iCs w:val="0"/>
          <w:noProof/>
          <w:sz w:val="22"/>
          <w:szCs w:val="22"/>
        </w:rPr>
      </w:pPr>
      <w:hyperlink w:anchor="_Toc488423261" w:history="1">
        <w:r w:rsidR="000A6BD1" w:rsidRPr="00F248F2">
          <w:rPr>
            <w:rStyle w:val="Hyperlink"/>
            <w:noProof/>
          </w:rPr>
          <w:t>4.3.2</w:t>
        </w:r>
        <w:r w:rsidR="000A6BD1">
          <w:rPr>
            <w:rFonts w:asciiTheme="minorHAnsi" w:eastAsiaTheme="minorEastAsia" w:hAnsiTheme="minorHAnsi" w:cstheme="minorBidi"/>
            <w:i w:val="0"/>
            <w:iCs w:val="0"/>
            <w:noProof/>
            <w:sz w:val="22"/>
            <w:szCs w:val="22"/>
          </w:rPr>
          <w:tab/>
        </w:r>
        <w:r w:rsidR="000A6BD1" w:rsidRPr="00F248F2">
          <w:rPr>
            <w:rStyle w:val="Hyperlink"/>
            <w:noProof/>
          </w:rPr>
          <w:t>Income and Expenditure</w:t>
        </w:r>
        <w:r w:rsidR="000A6BD1">
          <w:rPr>
            <w:noProof/>
            <w:webHidden/>
          </w:rPr>
          <w:tab/>
        </w:r>
        <w:r w:rsidR="000A6BD1">
          <w:rPr>
            <w:noProof/>
            <w:webHidden/>
          </w:rPr>
          <w:fldChar w:fldCharType="begin"/>
        </w:r>
        <w:r w:rsidR="000A6BD1">
          <w:rPr>
            <w:noProof/>
            <w:webHidden/>
          </w:rPr>
          <w:instrText xml:space="preserve"> PAGEREF _Toc488423261 \h </w:instrText>
        </w:r>
        <w:r w:rsidR="000A6BD1">
          <w:rPr>
            <w:noProof/>
            <w:webHidden/>
          </w:rPr>
        </w:r>
        <w:r w:rsidR="000A6BD1">
          <w:rPr>
            <w:noProof/>
            <w:webHidden/>
          </w:rPr>
          <w:fldChar w:fldCharType="separate"/>
        </w:r>
        <w:r w:rsidR="000A6BD1">
          <w:rPr>
            <w:noProof/>
            <w:webHidden/>
          </w:rPr>
          <w:t>18</w:t>
        </w:r>
        <w:r w:rsidR="000A6BD1">
          <w:rPr>
            <w:noProof/>
            <w:webHidden/>
          </w:rPr>
          <w:fldChar w:fldCharType="end"/>
        </w:r>
      </w:hyperlink>
    </w:p>
    <w:p w14:paraId="2EB4A548" w14:textId="77777777" w:rsidR="000A6BD1" w:rsidRDefault="00934881">
      <w:pPr>
        <w:pStyle w:val="TOC3"/>
        <w:tabs>
          <w:tab w:val="left" w:pos="1200"/>
          <w:tab w:val="right" w:leader="dot" w:pos="9016"/>
        </w:tabs>
        <w:rPr>
          <w:rFonts w:asciiTheme="minorHAnsi" w:eastAsiaTheme="minorEastAsia" w:hAnsiTheme="minorHAnsi" w:cstheme="minorBidi"/>
          <w:i w:val="0"/>
          <w:iCs w:val="0"/>
          <w:noProof/>
          <w:sz w:val="22"/>
          <w:szCs w:val="22"/>
        </w:rPr>
      </w:pPr>
      <w:hyperlink w:anchor="_Toc488423262" w:history="1">
        <w:r w:rsidR="000A6BD1" w:rsidRPr="00F248F2">
          <w:rPr>
            <w:rStyle w:val="Hyperlink"/>
            <w:noProof/>
          </w:rPr>
          <w:t>4.3.3</w:t>
        </w:r>
        <w:r w:rsidR="000A6BD1">
          <w:rPr>
            <w:rFonts w:asciiTheme="minorHAnsi" w:eastAsiaTheme="minorEastAsia" w:hAnsiTheme="minorHAnsi" w:cstheme="minorBidi"/>
            <w:i w:val="0"/>
            <w:iCs w:val="0"/>
            <w:noProof/>
            <w:sz w:val="22"/>
            <w:szCs w:val="22"/>
          </w:rPr>
          <w:tab/>
        </w:r>
        <w:r w:rsidR="000A6BD1" w:rsidRPr="00F248F2">
          <w:rPr>
            <w:rStyle w:val="Hyperlink"/>
            <w:noProof/>
          </w:rPr>
          <w:t>NHIF Spending by Ownership of Facilities</w:t>
        </w:r>
        <w:r w:rsidR="000A6BD1">
          <w:rPr>
            <w:noProof/>
            <w:webHidden/>
          </w:rPr>
          <w:tab/>
        </w:r>
        <w:r w:rsidR="000A6BD1">
          <w:rPr>
            <w:noProof/>
            <w:webHidden/>
          </w:rPr>
          <w:fldChar w:fldCharType="begin"/>
        </w:r>
        <w:r w:rsidR="000A6BD1">
          <w:rPr>
            <w:noProof/>
            <w:webHidden/>
          </w:rPr>
          <w:instrText xml:space="preserve"> PAGEREF _Toc488423262 \h </w:instrText>
        </w:r>
        <w:r w:rsidR="000A6BD1">
          <w:rPr>
            <w:noProof/>
            <w:webHidden/>
          </w:rPr>
        </w:r>
        <w:r w:rsidR="000A6BD1">
          <w:rPr>
            <w:noProof/>
            <w:webHidden/>
          </w:rPr>
          <w:fldChar w:fldCharType="separate"/>
        </w:r>
        <w:r w:rsidR="000A6BD1">
          <w:rPr>
            <w:noProof/>
            <w:webHidden/>
          </w:rPr>
          <w:t>18</w:t>
        </w:r>
        <w:r w:rsidR="000A6BD1">
          <w:rPr>
            <w:noProof/>
            <w:webHidden/>
          </w:rPr>
          <w:fldChar w:fldCharType="end"/>
        </w:r>
      </w:hyperlink>
    </w:p>
    <w:p w14:paraId="63357F7D" w14:textId="77777777" w:rsidR="000A6BD1" w:rsidRDefault="00934881">
      <w:pPr>
        <w:pStyle w:val="TOC3"/>
        <w:tabs>
          <w:tab w:val="left" w:pos="1200"/>
          <w:tab w:val="right" w:leader="dot" w:pos="9016"/>
        </w:tabs>
        <w:rPr>
          <w:rFonts w:asciiTheme="minorHAnsi" w:eastAsiaTheme="minorEastAsia" w:hAnsiTheme="minorHAnsi" w:cstheme="minorBidi"/>
          <w:i w:val="0"/>
          <w:iCs w:val="0"/>
          <w:noProof/>
          <w:sz w:val="22"/>
          <w:szCs w:val="22"/>
        </w:rPr>
      </w:pPr>
      <w:hyperlink w:anchor="_Toc488423263" w:history="1">
        <w:r w:rsidR="000A6BD1" w:rsidRPr="00F248F2">
          <w:rPr>
            <w:rStyle w:val="Hyperlink"/>
            <w:noProof/>
          </w:rPr>
          <w:t>4.3.4</w:t>
        </w:r>
        <w:r w:rsidR="000A6BD1">
          <w:rPr>
            <w:rFonts w:asciiTheme="minorHAnsi" w:eastAsiaTheme="minorEastAsia" w:hAnsiTheme="minorHAnsi" w:cstheme="minorBidi"/>
            <w:i w:val="0"/>
            <w:iCs w:val="0"/>
            <w:noProof/>
            <w:sz w:val="22"/>
            <w:szCs w:val="22"/>
          </w:rPr>
          <w:tab/>
        </w:r>
        <w:r w:rsidR="000A6BD1" w:rsidRPr="00F248F2">
          <w:rPr>
            <w:rStyle w:val="Hyperlink"/>
            <w:noProof/>
          </w:rPr>
          <w:t>NHIF Spending by Levels of Health System</w:t>
        </w:r>
        <w:r w:rsidR="000A6BD1">
          <w:rPr>
            <w:noProof/>
            <w:webHidden/>
          </w:rPr>
          <w:tab/>
        </w:r>
        <w:r w:rsidR="000A6BD1">
          <w:rPr>
            <w:noProof/>
            <w:webHidden/>
          </w:rPr>
          <w:fldChar w:fldCharType="begin"/>
        </w:r>
        <w:r w:rsidR="000A6BD1">
          <w:rPr>
            <w:noProof/>
            <w:webHidden/>
          </w:rPr>
          <w:instrText xml:space="preserve"> PAGEREF _Toc488423263 \h </w:instrText>
        </w:r>
        <w:r w:rsidR="000A6BD1">
          <w:rPr>
            <w:noProof/>
            <w:webHidden/>
          </w:rPr>
        </w:r>
        <w:r w:rsidR="000A6BD1">
          <w:rPr>
            <w:noProof/>
            <w:webHidden/>
          </w:rPr>
          <w:fldChar w:fldCharType="separate"/>
        </w:r>
        <w:r w:rsidR="000A6BD1">
          <w:rPr>
            <w:noProof/>
            <w:webHidden/>
          </w:rPr>
          <w:t>19</w:t>
        </w:r>
        <w:r w:rsidR="000A6BD1">
          <w:rPr>
            <w:noProof/>
            <w:webHidden/>
          </w:rPr>
          <w:fldChar w:fldCharType="end"/>
        </w:r>
      </w:hyperlink>
    </w:p>
    <w:p w14:paraId="1668D16E" w14:textId="77777777" w:rsidR="000A6BD1" w:rsidRDefault="00934881">
      <w:pPr>
        <w:pStyle w:val="TOC3"/>
        <w:tabs>
          <w:tab w:val="left" w:pos="1200"/>
          <w:tab w:val="right" w:leader="dot" w:pos="9016"/>
        </w:tabs>
        <w:rPr>
          <w:rFonts w:asciiTheme="minorHAnsi" w:eastAsiaTheme="minorEastAsia" w:hAnsiTheme="minorHAnsi" w:cstheme="minorBidi"/>
          <w:i w:val="0"/>
          <w:iCs w:val="0"/>
          <w:noProof/>
          <w:sz w:val="22"/>
          <w:szCs w:val="22"/>
        </w:rPr>
      </w:pPr>
      <w:hyperlink w:anchor="_Toc488423264" w:history="1">
        <w:r w:rsidR="000A6BD1" w:rsidRPr="00F248F2">
          <w:rPr>
            <w:rStyle w:val="Hyperlink"/>
            <w:noProof/>
          </w:rPr>
          <w:t>4.3.5</w:t>
        </w:r>
        <w:r w:rsidR="000A6BD1">
          <w:rPr>
            <w:rFonts w:asciiTheme="minorHAnsi" w:eastAsiaTheme="minorEastAsia" w:hAnsiTheme="minorHAnsi" w:cstheme="minorBidi"/>
            <w:i w:val="0"/>
            <w:iCs w:val="0"/>
            <w:noProof/>
            <w:sz w:val="22"/>
            <w:szCs w:val="22"/>
          </w:rPr>
          <w:tab/>
        </w:r>
        <w:r w:rsidR="000A6BD1" w:rsidRPr="00F248F2">
          <w:rPr>
            <w:rStyle w:val="Hyperlink"/>
            <w:noProof/>
          </w:rPr>
          <w:t>NHIF Spending by Regions</w:t>
        </w:r>
        <w:r w:rsidR="000A6BD1">
          <w:rPr>
            <w:noProof/>
            <w:webHidden/>
          </w:rPr>
          <w:tab/>
        </w:r>
        <w:r w:rsidR="000A6BD1">
          <w:rPr>
            <w:noProof/>
            <w:webHidden/>
          </w:rPr>
          <w:fldChar w:fldCharType="begin"/>
        </w:r>
        <w:r w:rsidR="000A6BD1">
          <w:rPr>
            <w:noProof/>
            <w:webHidden/>
          </w:rPr>
          <w:instrText xml:space="preserve"> PAGEREF _Toc488423264 \h </w:instrText>
        </w:r>
        <w:r w:rsidR="000A6BD1">
          <w:rPr>
            <w:noProof/>
            <w:webHidden/>
          </w:rPr>
        </w:r>
        <w:r w:rsidR="000A6BD1">
          <w:rPr>
            <w:noProof/>
            <w:webHidden/>
          </w:rPr>
          <w:fldChar w:fldCharType="separate"/>
        </w:r>
        <w:r w:rsidR="000A6BD1">
          <w:rPr>
            <w:noProof/>
            <w:webHidden/>
          </w:rPr>
          <w:t>20</w:t>
        </w:r>
        <w:r w:rsidR="000A6BD1">
          <w:rPr>
            <w:noProof/>
            <w:webHidden/>
          </w:rPr>
          <w:fldChar w:fldCharType="end"/>
        </w:r>
      </w:hyperlink>
    </w:p>
    <w:p w14:paraId="4E371578" w14:textId="77777777" w:rsidR="000A6BD1" w:rsidRDefault="00934881">
      <w:pPr>
        <w:pStyle w:val="TOC2"/>
        <w:tabs>
          <w:tab w:val="left" w:pos="720"/>
          <w:tab w:val="right" w:leader="dot" w:pos="9016"/>
        </w:tabs>
        <w:rPr>
          <w:rFonts w:asciiTheme="minorHAnsi" w:eastAsiaTheme="minorEastAsia" w:hAnsiTheme="minorHAnsi" w:cstheme="minorBidi"/>
          <w:smallCaps w:val="0"/>
          <w:noProof/>
          <w:sz w:val="22"/>
          <w:szCs w:val="22"/>
        </w:rPr>
      </w:pPr>
      <w:hyperlink w:anchor="_Toc488423265" w:history="1">
        <w:r w:rsidR="000A6BD1" w:rsidRPr="00F248F2">
          <w:rPr>
            <w:rStyle w:val="Hyperlink"/>
            <w:noProof/>
          </w:rPr>
          <w:t>4.4</w:t>
        </w:r>
        <w:r w:rsidR="000A6BD1">
          <w:rPr>
            <w:rFonts w:asciiTheme="minorHAnsi" w:eastAsiaTheme="minorEastAsia" w:hAnsiTheme="minorHAnsi" w:cstheme="minorBidi"/>
            <w:smallCaps w:val="0"/>
            <w:noProof/>
            <w:sz w:val="22"/>
            <w:szCs w:val="22"/>
          </w:rPr>
          <w:tab/>
        </w:r>
        <w:r w:rsidR="000A6BD1" w:rsidRPr="00F248F2">
          <w:rPr>
            <w:rStyle w:val="Hyperlink"/>
            <w:noProof/>
          </w:rPr>
          <w:t>Community Health Fund</w:t>
        </w:r>
        <w:r w:rsidR="000A6BD1">
          <w:rPr>
            <w:noProof/>
            <w:webHidden/>
          </w:rPr>
          <w:tab/>
        </w:r>
        <w:r w:rsidR="000A6BD1">
          <w:rPr>
            <w:noProof/>
            <w:webHidden/>
          </w:rPr>
          <w:fldChar w:fldCharType="begin"/>
        </w:r>
        <w:r w:rsidR="000A6BD1">
          <w:rPr>
            <w:noProof/>
            <w:webHidden/>
          </w:rPr>
          <w:instrText xml:space="preserve"> PAGEREF _Toc488423265 \h </w:instrText>
        </w:r>
        <w:r w:rsidR="000A6BD1">
          <w:rPr>
            <w:noProof/>
            <w:webHidden/>
          </w:rPr>
        </w:r>
        <w:r w:rsidR="000A6BD1">
          <w:rPr>
            <w:noProof/>
            <w:webHidden/>
          </w:rPr>
          <w:fldChar w:fldCharType="separate"/>
        </w:r>
        <w:r w:rsidR="000A6BD1">
          <w:rPr>
            <w:noProof/>
            <w:webHidden/>
          </w:rPr>
          <w:t>22</w:t>
        </w:r>
        <w:r w:rsidR="000A6BD1">
          <w:rPr>
            <w:noProof/>
            <w:webHidden/>
          </w:rPr>
          <w:fldChar w:fldCharType="end"/>
        </w:r>
      </w:hyperlink>
    </w:p>
    <w:p w14:paraId="323F7263" w14:textId="77777777" w:rsidR="000A6BD1" w:rsidRDefault="00934881">
      <w:pPr>
        <w:pStyle w:val="TOC2"/>
        <w:tabs>
          <w:tab w:val="left" w:pos="720"/>
          <w:tab w:val="right" w:leader="dot" w:pos="9016"/>
        </w:tabs>
        <w:rPr>
          <w:rFonts w:asciiTheme="minorHAnsi" w:eastAsiaTheme="minorEastAsia" w:hAnsiTheme="minorHAnsi" w:cstheme="minorBidi"/>
          <w:smallCaps w:val="0"/>
          <w:noProof/>
          <w:sz w:val="22"/>
          <w:szCs w:val="22"/>
        </w:rPr>
      </w:pPr>
      <w:hyperlink w:anchor="_Toc488423266" w:history="1">
        <w:r w:rsidR="000A6BD1" w:rsidRPr="00F248F2">
          <w:rPr>
            <w:rStyle w:val="Hyperlink"/>
            <w:noProof/>
          </w:rPr>
          <w:t>4.5</w:t>
        </w:r>
        <w:r w:rsidR="000A6BD1">
          <w:rPr>
            <w:rFonts w:asciiTheme="minorHAnsi" w:eastAsiaTheme="minorEastAsia" w:hAnsiTheme="minorHAnsi" w:cstheme="minorBidi"/>
            <w:smallCaps w:val="0"/>
            <w:noProof/>
            <w:sz w:val="22"/>
            <w:szCs w:val="22"/>
          </w:rPr>
          <w:tab/>
        </w:r>
        <w:r w:rsidR="000A6BD1" w:rsidRPr="00F248F2">
          <w:rPr>
            <w:rStyle w:val="Hyperlink"/>
            <w:noProof/>
          </w:rPr>
          <w:t>CHF Revenues and Matching Funds</w:t>
        </w:r>
        <w:r w:rsidR="000A6BD1">
          <w:rPr>
            <w:noProof/>
            <w:webHidden/>
          </w:rPr>
          <w:tab/>
        </w:r>
        <w:r w:rsidR="000A6BD1">
          <w:rPr>
            <w:noProof/>
            <w:webHidden/>
          </w:rPr>
          <w:fldChar w:fldCharType="begin"/>
        </w:r>
        <w:r w:rsidR="000A6BD1">
          <w:rPr>
            <w:noProof/>
            <w:webHidden/>
          </w:rPr>
          <w:instrText xml:space="preserve"> PAGEREF _Toc488423266 \h </w:instrText>
        </w:r>
        <w:r w:rsidR="000A6BD1">
          <w:rPr>
            <w:noProof/>
            <w:webHidden/>
          </w:rPr>
        </w:r>
        <w:r w:rsidR="000A6BD1">
          <w:rPr>
            <w:noProof/>
            <w:webHidden/>
          </w:rPr>
          <w:fldChar w:fldCharType="separate"/>
        </w:r>
        <w:r w:rsidR="000A6BD1">
          <w:rPr>
            <w:noProof/>
            <w:webHidden/>
          </w:rPr>
          <w:t>24</w:t>
        </w:r>
        <w:r w:rsidR="000A6BD1">
          <w:rPr>
            <w:noProof/>
            <w:webHidden/>
          </w:rPr>
          <w:fldChar w:fldCharType="end"/>
        </w:r>
      </w:hyperlink>
    </w:p>
    <w:p w14:paraId="471418FB" w14:textId="77777777" w:rsidR="000A6BD1" w:rsidRDefault="00934881">
      <w:pPr>
        <w:pStyle w:val="TOC1"/>
        <w:tabs>
          <w:tab w:val="left" w:pos="480"/>
          <w:tab w:val="right" w:leader="dot" w:pos="9016"/>
        </w:tabs>
        <w:rPr>
          <w:rFonts w:asciiTheme="minorHAnsi" w:eastAsiaTheme="minorEastAsia" w:hAnsiTheme="minorHAnsi" w:cstheme="minorBidi"/>
          <w:b w:val="0"/>
          <w:bCs w:val="0"/>
          <w:caps w:val="0"/>
          <w:noProof/>
          <w:sz w:val="22"/>
          <w:szCs w:val="22"/>
        </w:rPr>
      </w:pPr>
      <w:hyperlink w:anchor="_Toc488423267" w:history="1">
        <w:r w:rsidR="000A6BD1" w:rsidRPr="00F248F2">
          <w:rPr>
            <w:rStyle w:val="Hyperlink"/>
            <w:noProof/>
          </w:rPr>
          <w:t>5.0</w:t>
        </w:r>
        <w:r w:rsidR="000A6BD1">
          <w:rPr>
            <w:rFonts w:asciiTheme="minorHAnsi" w:eastAsiaTheme="minorEastAsia" w:hAnsiTheme="minorHAnsi" w:cstheme="minorBidi"/>
            <w:b w:val="0"/>
            <w:bCs w:val="0"/>
            <w:caps w:val="0"/>
            <w:noProof/>
            <w:sz w:val="22"/>
            <w:szCs w:val="22"/>
          </w:rPr>
          <w:tab/>
        </w:r>
        <w:r w:rsidR="000A6BD1" w:rsidRPr="00F248F2">
          <w:rPr>
            <w:rStyle w:val="Hyperlink"/>
            <w:noProof/>
          </w:rPr>
          <w:t>Local Government Health Sector Spending</w:t>
        </w:r>
        <w:r w:rsidR="000A6BD1">
          <w:rPr>
            <w:noProof/>
            <w:webHidden/>
          </w:rPr>
          <w:tab/>
        </w:r>
        <w:r w:rsidR="000A6BD1">
          <w:rPr>
            <w:noProof/>
            <w:webHidden/>
          </w:rPr>
          <w:fldChar w:fldCharType="begin"/>
        </w:r>
        <w:r w:rsidR="000A6BD1">
          <w:rPr>
            <w:noProof/>
            <w:webHidden/>
          </w:rPr>
          <w:instrText xml:space="preserve"> PAGEREF _Toc488423267 \h </w:instrText>
        </w:r>
        <w:r w:rsidR="000A6BD1">
          <w:rPr>
            <w:noProof/>
            <w:webHidden/>
          </w:rPr>
        </w:r>
        <w:r w:rsidR="000A6BD1">
          <w:rPr>
            <w:noProof/>
            <w:webHidden/>
          </w:rPr>
          <w:fldChar w:fldCharType="separate"/>
        </w:r>
        <w:r w:rsidR="000A6BD1">
          <w:rPr>
            <w:noProof/>
            <w:webHidden/>
          </w:rPr>
          <w:t>25</w:t>
        </w:r>
        <w:r w:rsidR="000A6BD1">
          <w:rPr>
            <w:noProof/>
            <w:webHidden/>
          </w:rPr>
          <w:fldChar w:fldCharType="end"/>
        </w:r>
      </w:hyperlink>
    </w:p>
    <w:p w14:paraId="690F26EE" w14:textId="77777777" w:rsidR="000A6BD1" w:rsidRDefault="00934881">
      <w:pPr>
        <w:pStyle w:val="TOC2"/>
        <w:tabs>
          <w:tab w:val="left" w:pos="720"/>
          <w:tab w:val="right" w:leader="dot" w:pos="9016"/>
        </w:tabs>
        <w:rPr>
          <w:rFonts w:asciiTheme="minorHAnsi" w:eastAsiaTheme="minorEastAsia" w:hAnsiTheme="minorHAnsi" w:cstheme="minorBidi"/>
          <w:smallCaps w:val="0"/>
          <w:noProof/>
          <w:sz w:val="22"/>
          <w:szCs w:val="22"/>
        </w:rPr>
      </w:pPr>
      <w:hyperlink w:anchor="_Toc488423268" w:history="1">
        <w:r w:rsidR="000A6BD1" w:rsidRPr="00F248F2">
          <w:rPr>
            <w:rStyle w:val="Hyperlink"/>
            <w:noProof/>
          </w:rPr>
          <w:t>5.1</w:t>
        </w:r>
        <w:r w:rsidR="000A6BD1">
          <w:rPr>
            <w:rFonts w:asciiTheme="minorHAnsi" w:eastAsiaTheme="minorEastAsia" w:hAnsiTheme="minorHAnsi" w:cstheme="minorBidi"/>
            <w:smallCaps w:val="0"/>
            <w:noProof/>
            <w:sz w:val="22"/>
            <w:szCs w:val="22"/>
          </w:rPr>
          <w:tab/>
        </w:r>
        <w:r w:rsidR="000A6BD1" w:rsidRPr="00F248F2">
          <w:rPr>
            <w:rStyle w:val="Hyperlink"/>
            <w:noProof/>
          </w:rPr>
          <w:t>Introduction</w:t>
        </w:r>
        <w:r w:rsidR="000A6BD1">
          <w:rPr>
            <w:noProof/>
            <w:webHidden/>
          </w:rPr>
          <w:tab/>
        </w:r>
        <w:r w:rsidR="000A6BD1">
          <w:rPr>
            <w:noProof/>
            <w:webHidden/>
          </w:rPr>
          <w:fldChar w:fldCharType="begin"/>
        </w:r>
        <w:r w:rsidR="000A6BD1">
          <w:rPr>
            <w:noProof/>
            <w:webHidden/>
          </w:rPr>
          <w:instrText xml:space="preserve"> PAGEREF _Toc488423268 \h </w:instrText>
        </w:r>
        <w:r w:rsidR="000A6BD1">
          <w:rPr>
            <w:noProof/>
            <w:webHidden/>
          </w:rPr>
        </w:r>
        <w:r w:rsidR="000A6BD1">
          <w:rPr>
            <w:noProof/>
            <w:webHidden/>
          </w:rPr>
          <w:fldChar w:fldCharType="separate"/>
        </w:r>
        <w:r w:rsidR="000A6BD1">
          <w:rPr>
            <w:noProof/>
            <w:webHidden/>
          </w:rPr>
          <w:t>25</w:t>
        </w:r>
        <w:r w:rsidR="000A6BD1">
          <w:rPr>
            <w:noProof/>
            <w:webHidden/>
          </w:rPr>
          <w:fldChar w:fldCharType="end"/>
        </w:r>
      </w:hyperlink>
    </w:p>
    <w:p w14:paraId="055558D3" w14:textId="77777777" w:rsidR="000A6BD1" w:rsidRDefault="00934881">
      <w:pPr>
        <w:pStyle w:val="TOC2"/>
        <w:tabs>
          <w:tab w:val="left" w:pos="720"/>
          <w:tab w:val="right" w:leader="dot" w:pos="9016"/>
        </w:tabs>
        <w:rPr>
          <w:rFonts w:asciiTheme="minorHAnsi" w:eastAsiaTheme="minorEastAsia" w:hAnsiTheme="minorHAnsi" w:cstheme="minorBidi"/>
          <w:smallCaps w:val="0"/>
          <w:noProof/>
          <w:sz w:val="22"/>
          <w:szCs w:val="22"/>
        </w:rPr>
      </w:pPr>
      <w:hyperlink w:anchor="_Toc488423269" w:history="1">
        <w:r w:rsidR="000A6BD1" w:rsidRPr="00F248F2">
          <w:rPr>
            <w:rStyle w:val="Hyperlink"/>
            <w:noProof/>
          </w:rPr>
          <w:t>5.2</w:t>
        </w:r>
        <w:r w:rsidR="000A6BD1">
          <w:rPr>
            <w:rFonts w:asciiTheme="minorHAnsi" w:eastAsiaTheme="minorEastAsia" w:hAnsiTheme="minorHAnsi" w:cstheme="minorBidi"/>
            <w:smallCaps w:val="0"/>
            <w:noProof/>
            <w:sz w:val="22"/>
            <w:szCs w:val="22"/>
          </w:rPr>
          <w:tab/>
        </w:r>
        <w:r w:rsidR="000A6BD1" w:rsidRPr="00F248F2">
          <w:rPr>
            <w:rStyle w:val="Hyperlink"/>
            <w:noProof/>
          </w:rPr>
          <w:t>LGAs Budget and Expenditure by Source of Funds</w:t>
        </w:r>
        <w:r w:rsidR="000A6BD1">
          <w:rPr>
            <w:noProof/>
            <w:webHidden/>
          </w:rPr>
          <w:tab/>
        </w:r>
        <w:r w:rsidR="000A6BD1">
          <w:rPr>
            <w:noProof/>
            <w:webHidden/>
          </w:rPr>
          <w:fldChar w:fldCharType="begin"/>
        </w:r>
        <w:r w:rsidR="000A6BD1">
          <w:rPr>
            <w:noProof/>
            <w:webHidden/>
          </w:rPr>
          <w:instrText xml:space="preserve"> PAGEREF _Toc488423269 \h </w:instrText>
        </w:r>
        <w:r w:rsidR="000A6BD1">
          <w:rPr>
            <w:noProof/>
            <w:webHidden/>
          </w:rPr>
        </w:r>
        <w:r w:rsidR="000A6BD1">
          <w:rPr>
            <w:noProof/>
            <w:webHidden/>
          </w:rPr>
          <w:fldChar w:fldCharType="separate"/>
        </w:r>
        <w:r w:rsidR="000A6BD1">
          <w:rPr>
            <w:noProof/>
            <w:webHidden/>
          </w:rPr>
          <w:t>25</w:t>
        </w:r>
        <w:r w:rsidR="000A6BD1">
          <w:rPr>
            <w:noProof/>
            <w:webHidden/>
          </w:rPr>
          <w:fldChar w:fldCharType="end"/>
        </w:r>
      </w:hyperlink>
    </w:p>
    <w:p w14:paraId="363D3A65" w14:textId="77777777" w:rsidR="000A6BD1" w:rsidRDefault="00934881">
      <w:pPr>
        <w:pStyle w:val="TOC2"/>
        <w:tabs>
          <w:tab w:val="left" w:pos="720"/>
          <w:tab w:val="right" w:leader="dot" w:pos="9016"/>
        </w:tabs>
        <w:rPr>
          <w:rFonts w:asciiTheme="minorHAnsi" w:eastAsiaTheme="minorEastAsia" w:hAnsiTheme="minorHAnsi" w:cstheme="minorBidi"/>
          <w:smallCaps w:val="0"/>
          <w:noProof/>
          <w:sz w:val="22"/>
          <w:szCs w:val="22"/>
        </w:rPr>
      </w:pPr>
      <w:hyperlink w:anchor="_Toc488423270" w:history="1">
        <w:r w:rsidR="000A6BD1" w:rsidRPr="00F248F2">
          <w:rPr>
            <w:rStyle w:val="Hyperlink"/>
            <w:noProof/>
          </w:rPr>
          <w:t>5.3</w:t>
        </w:r>
        <w:r w:rsidR="000A6BD1">
          <w:rPr>
            <w:rFonts w:asciiTheme="minorHAnsi" w:eastAsiaTheme="minorEastAsia" w:hAnsiTheme="minorHAnsi" w:cstheme="minorBidi"/>
            <w:smallCaps w:val="0"/>
            <w:noProof/>
            <w:sz w:val="22"/>
            <w:szCs w:val="22"/>
          </w:rPr>
          <w:tab/>
        </w:r>
        <w:r w:rsidR="000A6BD1" w:rsidRPr="00F248F2">
          <w:rPr>
            <w:rStyle w:val="Hyperlink"/>
            <w:noProof/>
          </w:rPr>
          <w:t>Recurrent and Development Spending at LGA</w:t>
        </w:r>
        <w:r w:rsidR="000A6BD1">
          <w:rPr>
            <w:noProof/>
            <w:webHidden/>
          </w:rPr>
          <w:tab/>
        </w:r>
        <w:r w:rsidR="000A6BD1">
          <w:rPr>
            <w:noProof/>
            <w:webHidden/>
          </w:rPr>
          <w:fldChar w:fldCharType="begin"/>
        </w:r>
        <w:r w:rsidR="000A6BD1">
          <w:rPr>
            <w:noProof/>
            <w:webHidden/>
          </w:rPr>
          <w:instrText xml:space="preserve"> PAGEREF _Toc488423270 \h </w:instrText>
        </w:r>
        <w:r w:rsidR="000A6BD1">
          <w:rPr>
            <w:noProof/>
            <w:webHidden/>
          </w:rPr>
        </w:r>
        <w:r w:rsidR="000A6BD1">
          <w:rPr>
            <w:noProof/>
            <w:webHidden/>
          </w:rPr>
          <w:fldChar w:fldCharType="separate"/>
        </w:r>
        <w:r w:rsidR="000A6BD1">
          <w:rPr>
            <w:noProof/>
            <w:webHidden/>
          </w:rPr>
          <w:t>27</w:t>
        </w:r>
        <w:r w:rsidR="000A6BD1">
          <w:rPr>
            <w:noProof/>
            <w:webHidden/>
          </w:rPr>
          <w:fldChar w:fldCharType="end"/>
        </w:r>
      </w:hyperlink>
    </w:p>
    <w:p w14:paraId="65F600D1" w14:textId="77777777" w:rsidR="000A6BD1" w:rsidRDefault="00934881">
      <w:pPr>
        <w:pStyle w:val="TOC2"/>
        <w:tabs>
          <w:tab w:val="left" w:pos="720"/>
          <w:tab w:val="right" w:leader="dot" w:pos="9016"/>
        </w:tabs>
        <w:rPr>
          <w:rFonts w:asciiTheme="minorHAnsi" w:eastAsiaTheme="minorEastAsia" w:hAnsiTheme="minorHAnsi" w:cstheme="minorBidi"/>
          <w:smallCaps w:val="0"/>
          <w:noProof/>
          <w:sz w:val="22"/>
          <w:szCs w:val="22"/>
        </w:rPr>
      </w:pPr>
      <w:hyperlink w:anchor="_Toc488423271" w:history="1">
        <w:r w:rsidR="000A6BD1" w:rsidRPr="00F248F2">
          <w:rPr>
            <w:rStyle w:val="Hyperlink"/>
            <w:noProof/>
          </w:rPr>
          <w:t>5.4</w:t>
        </w:r>
        <w:r w:rsidR="000A6BD1">
          <w:rPr>
            <w:rFonts w:asciiTheme="minorHAnsi" w:eastAsiaTheme="minorEastAsia" w:hAnsiTheme="minorHAnsi" w:cstheme="minorBidi"/>
            <w:smallCaps w:val="0"/>
            <w:noProof/>
            <w:sz w:val="22"/>
            <w:szCs w:val="22"/>
          </w:rPr>
          <w:tab/>
        </w:r>
        <w:r w:rsidR="000A6BD1" w:rsidRPr="00F248F2">
          <w:rPr>
            <w:rStyle w:val="Hyperlink"/>
            <w:noProof/>
          </w:rPr>
          <w:t>Budget and Expenditure by LGAs Sub-Votes</w:t>
        </w:r>
        <w:r w:rsidR="000A6BD1">
          <w:rPr>
            <w:noProof/>
            <w:webHidden/>
          </w:rPr>
          <w:tab/>
        </w:r>
        <w:r w:rsidR="000A6BD1">
          <w:rPr>
            <w:noProof/>
            <w:webHidden/>
          </w:rPr>
          <w:fldChar w:fldCharType="begin"/>
        </w:r>
        <w:r w:rsidR="000A6BD1">
          <w:rPr>
            <w:noProof/>
            <w:webHidden/>
          </w:rPr>
          <w:instrText xml:space="preserve"> PAGEREF _Toc488423271 \h </w:instrText>
        </w:r>
        <w:r w:rsidR="000A6BD1">
          <w:rPr>
            <w:noProof/>
            <w:webHidden/>
          </w:rPr>
        </w:r>
        <w:r w:rsidR="000A6BD1">
          <w:rPr>
            <w:noProof/>
            <w:webHidden/>
          </w:rPr>
          <w:fldChar w:fldCharType="separate"/>
        </w:r>
        <w:r w:rsidR="000A6BD1">
          <w:rPr>
            <w:noProof/>
            <w:webHidden/>
          </w:rPr>
          <w:t>29</w:t>
        </w:r>
        <w:r w:rsidR="000A6BD1">
          <w:rPr>
            <w:noProof/>
            <w:webHidden/>
          </w:rPr>
          <w:fldChar w:fldCharType="end"/>
        </w:r>
      </w:hyperlink>
    </w:p>
    <w:p w14:paraId="298A40BF" w14:textId="77777777" w:rsidR="000A6BD1" w:rsidRDefault="00934881">
      <w:pPr>
        <w:pStyle w:val="TOC2"/>
        <w:tabs>
          <w:tab w:val="left" w:pos="720"/>
          <w:tab w:val="right" w:leader="dot" w:pos="9016"/>
        </w:tabs>
        <w:rPr>
          <w:rFonts w:asciiTheme="minorHAnsi" w:eastAsiaTheme="minorEastAsia" w:hAnsiTheme="minorHAnsi" w:cstheme="minorBidi"/>
          <w:smallCaps w:val="0"/>
          <w:noProof/>
          <w:sz w:val="22"/>
          <w:szCs w:val="22"/>
        </w:rPr>
      </w:pPr>
      <w:hyperlink w:anchor="_Toc488423272" w:history="1">
        <w:r w:rsidR="000A6BD1" w:rsidRPr="00F248F2">
          <w:rPr>
            <w:rStyle w:val="Hyperlink"/>
            <w:noProof/>
          </w:rPr>
          <w:t>5.5</w:t>
        </w:r>
        <w:r w:rsidR="000A6BD1">
          <w:rPr>
            <w:rFonts w:asciiTheme="minorHAnsi" w:eastAsiaTheme="minorEastAsia" w:hAnsiTheme="minorHAnsi" w:cstheme="minorBidi"/>
            <w:smallCaps w:val="0"/>
            <w:noProof/>
            <w:sz w:val="22"/>
            <w:szCs w:val="22"/>
          </w:rPr>
          <w:tab/>
        </w:r>
        <w:r w:rsidR="000A6BD1" w:rsidRPr="00F248F2">
          <w:rPr>
            <w:rStyle w:val="Hyperlink"/>
            <w:noProof/>
          </w:rPr>
          <w:t>Budget Performance at LGA Level</w:t>
        </w:r>
        <w:r w:rsidR="000A6BD1">
          <w:rPr>
            <w:noProof/>
            <w:webHidden/>
          </w:rPr>
          <w:tab/>
        </w:r>
        <w:r w:rsidR="000A6BD1">
          <w:rPr>
            <w:noProof/>
            <w:webHidden/>
          </w:rPr>
          <w:fldChar w:fldCharType="begin"/>
        </w:r>
        <w:r w:rsidR="000A6BD1">
          <w:rPr>
            <w:noProof/>
            <w:webHidden/>
          </w:rPr>
          <w:instrText xml:space="preserve"> PAGEREF _Toc488423272 \h </w:instrText>
        </w:r>
        <w:r w:rsidR="000A6BD1">
          <w:rPr>
            <w:noProof/>
            <w:webHidden/>
          </w:rPr>
        </w:r>
        <w:r w:rsidR="000A6BD1">
          <w:rPr>
            <w:noProof/>
            <w:webHidden/>
          </w:rPr>
          <w:fldChar w:fldCharType="separate"/>
        </w:r>
        <w:r w:rsidR="000A6BD1">
          <w:rPr>
            <w:noProof/>
            <w:webHidden/>
          </w:rPr>
          <w:t>29</w:t>
        </w:r>
        <w:r w:rsidR="000A6BD1">
          <w:rPr>
            <w:noProof/>
            <w:webHidden/>
          </w:rPr>
          <w:fldChar w:fldCharType="end"/>
        </w:r>
      </w:hyperlink>
    </w:p>
    <w:p w14:paraId="37E2ABAA" w14:textId="77777777" w:rsidR="000A6BD1" w:rsidRDefault="00934881">
      <w:pPr>
        <w:pStyle w:val="TOC1"/>
        <w:tabs>
          <w:tab w:val="left" w:pos="480"/>
          <w:tab w:val="right" w:leader="dot" w:pos="9016"/>
        </w:tabs>
        <w:rPr>
          <w:rFonts w:asciiTheme="minorHAnsi" w:eastAsiaTheme="minorEastAsia" w:hAnsiTheme="minorHAnsi" w:cstheme="minorBidi"/>
          <w:b w:val="0"/>
          <w:bCs w:val="0"/>
          <w:caps w:val="0"/>
          <w:noProof/>
          <w:sz w:val="22"/>
          <w:szCs w:val="22"/>
        </w:rPr>
      </w:pPr>
      <w:hyperlink w:anchor="_Toc488423273" w:history="1">
        <w:r w:rsidR="000A6BD1" w:rsidRPr="00F248F2">
          <w:rPr>
            <w:rStyle w:val="Hyperlink"/>
            <w:noProof/>
          </w:rPr>
          <w:t>6.0</w:t>
        </w:r>
        <w:r w:rsidR="000A6BD1">
          <w:rPr>
            <w:rFonts w:asciiTheme="minorHAnsi" w:eastAsiaTheme="minorEastAsia" w:hAnsiTheme="minorHAnsi" w:cstheme="minorBidi"/>
            <w:b w:val="0"/>
            <w:bCs w:val="0"/>
            <w:caps w:val="0"/>
            <w:noProof/>
            <w:sz w:val="22"/>
            <w:szCs w:val="22"/>
          </w:rPr>
          <w:tab/>
        </w:r>
        <w:r w:rsidR="000A6BD1" w:rsidRPr="00F248F2">
          <w:rPr>
            <w:rStyle w:val="Hyperlink"/>
            <w:noProof/>
          </w:rPr>
          <w:t>Conclusions and Recommendations</w:t>
        </w:r>
        <w:r w:rsidR="000A6BD1">
          <w:rPr>
            <w:noProof/>
            <w:webHidden/>
          </w:rPr>
          <w:tab/>
        </w:r>
        <w:r w:rsidR="000A6BD1">
          <w:rPr>
            <w:noProof/>
            <w:webHidden/>
          </w:rPr>
          <w:fldChar w:fldCharType="begin"/>
        </w:r>
        <w:r w:rsidR="000A6BD1">
          <w:rPr>
            <w:noProof/>
            <w:webHidden/>
          </w:rPr>
          <w:instrText xml:space="preserve"> PAGEREF _Toc488423273 \h </w:instrText>
        </w:r>
        <w:r w:rsidR="000A6BD1">
          <w:rPr>
            <w:noProof/>
            <w:webHidden/>
          </w:rPr>
        </w:r>
        <w:r w:rsidR="000A6BD1">
          <w:rPr>
            <w:noProof/>
            <w:webHidden/>
          </w:rPr>
          <w:fldChar w:fldCharType="separate"/>
        </w:r>
        <w:r w:rsidR="000A6BD1">
          <w:rPr>
            <w:noProof/>
            <w:webHidden/>
          </w:rPr>
          <w:t>31</w:t>
        </w:r>
        <w:r w:rsidR="000A6BD1">
          <w:rPr>
            <w:noProof/>
            <w:webHidden/>
          </w:rPr>
          <w:fldChar w:fldCharType="end"/>
        </w:r>
      </w:hyperlink>
    </w:p>
    <w:p w14:paraId="0DE06F27" w14:textId="77777777" w:rsidR="000A6BD1" w:rsidRDefault="00934881">
      <w:pPr>
        <w:pStyle w:val="TOC2"/>
        <w:tabs>
          <w:tab w:val="left" w:pos="720"/>
          <w:tab w:val="right" w:leader="dot" w:pos="9016"/>
        </w:tabs>
        <w:rPr>
          <w:rFonts w:asciiTheme="minorHAnsi" w:eastAsiaTheme="minorEastAsia" w:hAnsiTheme="minorHAnsi" w:cstheme="minorBidi"/>
          <w:smallCaps w:val="0"/>
          <w:noProof/>
          <w:sz w:val="22"/>
          <w:szCs w:val="22"/>
        </w:rPr>
      </w:pPr>
      <w:hyperlink w:anchor="_Toc488423274" w:history="1">
        <w:r w:rsidR="000A6BD1" w:rsidRPr="00F248F2">
          <w:rPr>
            <w:rStyle w:val="Hyperlink"/>
            <w:noProof/>
          </w:rPr>
          <w:t>6.1</w:t>
        </w:r>
        <w:r w:rsidR="000A6BD1">
          <w:rPr>
            <w:rFonts w:asciiTheme="minorHAnsi" w:eastAsiaTheme="minorEastAsia" w:hAnsiTheme="minorHAnsi" w:cstheme="minorBidi"/>
            <w:smallCaps w:val="0"/>
            <w:noProof/>
            <w:sz w:val="22"/>
            <w:szCs w:val="22"/>
          </w:rPr>
          <w:tab/>
        </w:r>
        <w:r w:rsidR="000A6BD1" w:rsidRPr="00F248F2">
          <w:rPr>
            <w:rStyle w:val="Hyperlink"/>
            <w:noProof/>
          </w:rPr>
          <w:t>Health Financing</w:t>
        </w:r>
        <w:r w:rsidR="000A6BD1">
          <w:rPr>
            <w:noProof/>
            <w:webHidden/>
          </w:rPr>
          <w:tab/>
        </w:r>
        <w:r w:rsidR="000A6BD1">
          <w:rPr>
            <w:noProof/>
            <w:webHidden/>
          </w:rPr>
          <w:fldChar w:fldCharType="begin"/>
        </w:r>
        <w:r w:rsidR="000A6BD1">
          <w:rPr>
            <w:noProof/>
            <w:webHidden/>
          </w:rPr>
          <w:instrText xml:space="preserve"> PAGEREF _Toc488423274 \h </w:instrText>
        </w:r>
        <w:r w:rsidR="000A6BD1">
          <w:rPr>
            <w:noProof/>
            <w:webHidden/>
          </w:rPr>
        </w:r>
        <w:r w:rsidR="000A6BD1">
          <w:rPr>
            <w:noProof/>
            <w:webHidden/>
          </w:rPr>
          <w:fldChar w:fldCharType="separate"/>
        </w:r>
        <w:r w:rsidR="000A6BD1">
          <w:rPr>
            <w:noProof/>
            <w:webHidden/>
          </w:rPr>
          <w:t>31</w:t>
        </w:r>
        <w:r w:rsidR="000A6BD1">
          <w:rPr>
            <w:noProof/>
            <w:webHidden/>
          </w:rPr>
          <w:fldChar w:fldCharType="end"/>
        </w:r>
      </w:hyperlink>
    </w:p>
    <w:p w14:paraId="7614EF33" w14:textId="77777777" w:rsidR="000A6BD1" w:rsidRDefault="00934881">
      <w:pPr>
        <w:pStyle w:val="TOC2"/>
        <w:tabs>
          <w:tab w:val="left" w:pos="720"/>
          <w:tab w:val="right" w:leader="dot" w:pos="9016"/>
        </w:tabs>
        <w:rPr>
          <w:rFonts w:asciiTheme="minorHAnsi" w:eastAsiaTheme="minorEastAsia" w:hAnsiTheme="minorHAnsi" w:cstheme="minorBidi"/>
          <w:smallCaps w:val="0"/>
          <w:noProof/>
          <w:sz w:val="22"/>
          <w:szCs w:val="22"/>
        </w:rPr>
      </w:pPr>
      <w:hyperlink w:anchor="_Toc488423275" w:history="1">
        <w:r w:rsidR="000A6BD1" w:rsidRPr="00F248F2">
          <w:rPr>
            <w:rStyle w:val="Hyperlink"/>
            <w:noProof/>
          </w:rPr>
          <w:t>6.2</w:t>
        </w:r>
        <w:r w:rsidR="000A6BD1">
          <w:rPr>
            <w:rFonts w:asciiTheme="minorHAnsi" w:eastAsiaTheme="minorEastAsia" w:hAnsiTheme="minorHAnsi" w:cstheme="minorBidi"/>
            <w:smallCaps w:val="0"/>
            <w:noProof/>
            <w:sz w:val="22"/>
            <w:szCs w:val="22"/>
          </w:rPr>
          <w:tab/>
        </w:r>
        <w:r w:rsidR="000A6BD1" w:rsidRPr="00F248F2">
          <w:rPr>
            <w:rStyle w:val="Hyperlink"/>
            <w:noProof/>
          </w:rPr>
          <w:t>Recommendations</w:t>
        </w:r>
        <w:r w:rsidR="000A6BD1">
          <w:rPr>
            <w:noProof/>
            <w:webHidden/>
          </w:rPr>
          <w:tab/>
        </w:r>
        <w:r w:rsidR="000A6BD1">
          <w:rPr>
            <w:noProof/>
            <w:webHidden/>
          </w:rPr>
          <w:fldChar w:fldCharType="begin"/>
        </w:r>
        <w:r w:rsidR="000A6BD1">
          <w:rPr>
            <w:noProof/>
            <w:webHidden/>
          </w:rPr>
          <w:instrText xml:space="preserve"> PAGEREF _Toc488423275 \h </w:instrText>
        </w:r>
        <w:r w:rsidR="000A6BD1">
          <w:rPr>
            <w:noProof/>
            <w:webHidden/>
          </w:rPr>
        </w:r>
        <w:r w:rsidR="000A6BD1">
          <w:rPr>
            <w:noProof/>
            <w:webHidden/>
          </w:rPr>
          <w:fldChar w:fldCharType="separate"/>
        </w:r>
        <w:r w:rsidR="000A6BD1">
          <w:rPr>
            <w:noProof/>
            <w:webHidden/>
          </w:rPr>
          <w:t>34</w:t>
        </w:r>
        <w:r w:rsidR="000A6BD1">
          <w:rPr>
            <w:noProof/>
            <w:webHidden/>
          </w:rPr>
          <w:fldChar w:fldCharType="end"/>
        </w:r>
      </w:hyperlink>
    </w:p>
    <w:p w14:paraId="1C297509" w14:textId="77777777" w:rsidR="000A6BD1" w:rsidRDefault="00934881">
      <w:pPr>
        <w:pStyle w:val="TOC1"/>
        <w:tabs>
          <w:tab w:val="right" w:leader="dot" w:pos="9016"/>
        </w:tabs>
        <w:rPr>
          <w:rFonts w:asciiTheme="minorHAnsi" w:eastAsiaTheme="minorEastAsia" w:hAnsiTheme="minorHAnsi" w:cstheme="minorBidi"/>
          <w:b w:val="0"/>
          <w:bCs w:val="0"/>
          <w:caps w:val="0"/>
          <w:noProof/>
          <w:sz w:val="22"/>
          <w:szCs w:val="22"/>
        </w:rPr>
      </w:pPr>
      <w:hyperlink w:anchor="_Toc488423276" w:history="1">
        <w:r w:rsidR="000A6BD1" w:rsidRPr="00F248F2">
          <w:rPr>
            <w:rStyle w:val="Hyperlink"/>
            <w:noProof/>
          </w:rPr>
          <w:t>ANNEXES</w:t>
        </w:r>
        <w:r w:rsidR="000A6BD1">
          <w:rPr>
            <w:noProof/>
            <w:webHidden/>
          </w:rPr>
          <w:tab/>
        </w:r>
        <w:r w:rsidR="000A6BD1">
          <w:rPr>
            <w:noProof/>
            <w:webHidden/>
          </w:rPr>
          <w:fldChar w:fldCharType="begin"/>
        </w:r>
        <w:r w:rsidR="000A6BD1">
          <w:rPr>
            <w:noProof/>
            <w:webHidden/>
          </w:rPr>
          <w:instrText xml:space="preserve"> PAGEREF _Toc488423276 \h </w:instrText>
        </w:r>
        <w:r w:rsidR="000A6BD1">
          <w:rPr>
            <w:noProof/>
            <w:webHidden/>
          </w:rPr>
        </w:r>
        <w:r w:rsidR="000A6BD1">
          <w:rPr>
            <w:noProof/>
            <w:webHidden/>
          </w:rPr>
          <w:fldChar w:fldCharType="separate"/>
        </w:r>
        <w:r w:rsidR="000A6BD1">
          <w:rPr>
            <w:noProof/>
            <w:webHidden/>
          </w:rPr>
          <w:t>35</w:t>
        </w:r>
        <w:r w:rsidR="000A6BD1">
          <w:rPr>
            <w:noProof/>
            <w:webHidden/>
          </w:rPr>
          <w:fldChar w:fldCharType="end"/>
        </w:r>
      </w:hyperlink>
    </w:p>
    <w:p w14:paraId="7D7B9755" w14:textId="77777777" w:rsidR="000A6BD1" w:rsidRDefault="00934881">
      <w:pPr>
        <w:pStyle w:val="TOC2"/>
        <w:tabs>
          <w:tab w:val="left" w:pos="1200"/>
          <w:tab w:val="right" w:leader="dot" w:pos="9016"/>
        </w:tabs>
        <w:rPr>
          <w:rFonts w:asciiTheme="minorHAnsi" w:eastAsiaTheme="minorEastAsia" w:hAnsiTheme="minorHAnsi" w:cstheme="minorBidi"/>
          <w:smallCaps w:val="0"/>
          <w:noProof/>
          <w:sz w:val="22"/>
          <w:szCs w:val="22"/>
        </w:rPr>
      </w:pPr>
      <w:hyperlink w:anchor="_Toc488423277" w:history="1">
        <w:r w:rsidR="000A6BD1" w:rsidRPr="00F248F2">
          <w:rPr>
            <w:rStyle w:val="Hyperlink"/>
            <w:noProof/>
          </w:rPr>
          <w:t>Annex A:</w:t>
        </w:r>
        <w:r w:rsidR="000A6BD1">
          <w:rPr>
            <w:rFonts w:asciiTheme="minorHAnsi" w:eastAsiaTheme="minorEastAsia" w:hAnsiTheme="minorHAnsi" w:cstheme="minorBidi"/>
            <w:smallCaps w:val="0"/>
            <w:noProof/>
            <w:sz w:val="22"/>
            <w:szCs w:val="22"/>
          </w:rPr>
          <w:tab/>
        </w:r>
        <w:r w:rsidR="000A6BD1" w:rsidRPr="00F248F2">
          <w:rPr>
            <w:rStyle w:val="Hyperlink"/>
            <w:noProof/>
          </w:rPr>
          <w:t>Aggregate Data Used For Analysis (Tzs Million)</w:t>
        </w:r>
        <w:r w:rsidR="000A6BD1">
          <w:rPr>
            <w:noProof/>
            <w:webHidden/>
          </w:rPr>
          <w:tab/>
        </w:r>
        <w:r w:rsidR="000A6BD1">
          <w:rPr>
            <w:noProof/>
            <w:webHidden/>
          </w:rPr>
          <w:fldChar w:fldCharType="begin"/>
        </w:r>
        <w:r w:rsidR="000A6BD1">
          <w:rPr>
            <w:noProof/>
            <w:webHidden/>
          </w:rPr>
          <w:instrText xml:space="preserve"> PAGEREF _Toc488423277 \h </w:instrText>
        </w:r>
        <w:r w:rsidR="000A6BD1">
          <w:rPr>
            <w:noProof/>
            <w:webHidden/>
          </w:rPr>
        </w:r>
        <w:r w:rsidR="000A6BD1">
          <w:rPr>
            <w:noProof/>
            <w:webHidden/>
          </w:rPr>
          <w:fldChar w:fldCharType="separate"/>
        </w:r>
        <w:r w:rsidR="000A6BD1">
          <w:rPr>
            <w:noProof/>
            <w:webHidden/>
          </w:rPr>
          <w:t>36</w:t>
        </w:r>
        <w:r w:rsidR="000A6BD1">
          <w:rPr>
            <w:noProof/>
            <w:webHidden/>
          </w:rPr>
          <w:fldChar w:fldCharType="end"/>
        </w:r>
      </w:hyperlink>
    </w:p>
    <w:p w14:paraId="09699982" w14:textId="77777777" w:rsidR="000A6BD1" w:rsidRDefault="00934881">
      <w:pPr>
        <w:pStyle w:val="TOC2"/>
        <w:tabs>
          <w:tab w:val="left" w:pos="1200"/>
          <w:tab w:val="right" w:leader="dot" w:pos="9016"/>
        </w:tabs>
        <w:rPr>
          <w:rFonts w:asciiTheme="minorHAnsi" w:eastAsiaTheme="minorEastAsia" w:hAnsiTheme="minorHAnsi" w:cstheme="minorBidi"/>
          <w:smallCaps w:val="0"/>
          <w:noProof/>
          <w:sz w:val="22"/>
          <w:szCs w:val="22"/>
        </w:rPr>
      </w:pPr>
      <w:hyperlink w:anchor="_Toc488423278" w:history="1">
        <w:r w:rsidR="000A6BD1" w:rsidRPr="00F248F2">
          <w:rPr>
            <w:rStyle w:val="Hyperlink"/>
            <w:noProof/>
          </w:rPr>
          <w:t>Annex B:</w:t>
        </w:r>
        <w:r w:rsidR="000A6BD1">
          <w:rPr>
            <w:rFonts w:asciiTheme="minorHAnsi" w:eastAsiaTheme="minorEastAsia" w:hAnsiTheme="minorHAnsi" w:cstheme="minorBidi"/>
            <w:smallCaps w:val="0"/>
            <w:noProof/>
            <w:sz w:val="22"/>
            <w:szCs w:val="22"/>
          </w:rPr>
          <w:tab/>
        </w:r>
        <w:r w:rsidR="000A6BD1" w:rsidRPr="00F248F2">
          <w:rPr>
            <w:rStyle w:val="Hyperlink"/>
            <w:noProof/>
          </w:rPr>
          <w:t>CHF Enrollment Per Region</w:t>
        </w:r>
        <w:r w:rsidR="000A6BD1">
          <w:rPr>
            <w:noProof/>
            <w:webHidden/>
          </w:rPr>
          <w:tab/>
        </w:r>
        <w:r w:rsidR="000A6BD1">
          <w:rPr>
            <w:noProof/>
            <w:webHidden/>
          </w:rPr>
          <w:fldChar w:fldCharType="begin"/>
        </w:r>
        <w:r w:rsidR="000A6BD1">
          <w:rPr>
            <w:noProof/>
            <w:webHidden/>
          </w:rPr>
          <w:instrText xml:space="preserve"> PAGEREF _Toc488423278 \h </w:instrText>
        </w:r>
        <w:r w:rsidR="000A6BD1">
          <w:rPr>
            <w:noProof/>
            <w:webHidden/>
          </w:rPr>
        </w:r>
        <w:r w:rsidR="000A6BD1">
          <w:rPr>
            <w:noProof/>
            <w:webHidden/>
          </w:rPr>
          <w:fldChar w:fldCharType="separate"/>
        </w:r>
        <w:r w:rsidR="000A6BD1">
          <w:rPr>
            <w:noProof/>
            <w:webHidden/>
          </w:rPr>
          <w:t>37</w:t>
        </w:r>
        <w:r w:rsidR="000A6BD1">
          <w:rPr>
            <w:noProof/>
            <w:webHidden/>
          </w:rPr>
          <w:fldChar w:fldCharType="end"/>
        </w:r>
      </w:hyperlink>
    </w:p>
    <w:p w14:paraId="3332CCFF" w14:textId="77777777" w:rsidR="00E56537" w:rsidRDefault="00F96C11" w:rsidP="00AC460C">
      <w:pPr>
        <w:pStyle w:val="Heading1"/>
      </w:pPr>
      <w:r>
        <w:fldChar w:fldCharType="end"/>
      </w:r>
      <w:r w:rsidR="00E56537">
        <w:br w:type="page"/>
      </w:r>
      <w:bookmarkStart w:id="2" w:name="_Toc488423243"/>
      <w:r w:rsidR="00E56537">
        <w:lastRenderedPageBreak/>
        <w:t>List of Tables</w:t>
      </w:r>
      <w:bookmarkEnd w:id="2"/>
    </w:p>
    <w:p w14:paraId="3EEF1207" w14:textId="77777777" w:rsidR="00F13FB7" w:rsidRPr="00D666D0" w:rsidRDefault="00F13FB7" w:rsidP="00D666D0">
      <w:pPr>
        <w:pStyle w:val="Heading1"/>
        <w:spacing w:line="360" w:lineRule="auto"/>
        <w:rPr>
          <w:sz w:val="20"/>
        </w:rPr>
      </w:pPr>
    </w:p>
    <w:p w14:paraId="749363A4" w14:textId="77777777" w:rsidR="000A6BD1" w:rsidRDefault="00F13FB7" w:rsidP="000A6BD1">
      <w:pPr>
        <w:pStyle w:val="TableofFigures"/>
        <w:tabs>
          <w:tab w:val="left" w:pos="1200"/>
          <w:tab w:val="right" w:leader="dot" w:pos="9016"/>
        </w:tabs>
        <w:spacing w:line="360" w:lineRule="auto"/>
        <w:rPr>
          <w:noProof/>
        </w:rPr>
      </w:pPr>
      <w:r w:rsidRPr="00D666D0">
        <w:fldChar w:fldCharType="begin"/>
      </w:r>
      <w:r w:rsidRPr="00D666D0">
        <w:instrText xml:space="preserve"> TOC \f F \h \z \t "Caption" \c </w:instrText>
      </w:r>
      <w:r w:rsidRPr="00D666D0">
        <w:fldChar w:fldCharType="separate"/>
      </w:r>
      <w:hyperlink w:anchor="_Toc488423279" w:history="1">
        <w:r w:rsidR="000A6BD1" w:rsidRPr="00E81112">
          <w:rPr>
            <w:rStyle w:val="Hyperlink"/>
            <w:noProof/>
          </w:rPr>
          <w:t>Table 2.1:</w:t>
        </w:r>
        <w:r w:rsidR="000A6BD1">
          <w:rPr>
            <w:rFonts w:asciiTheme="minorHAnsi" w:eastAsiaTheme="minorEastAsia" w:hAnsiTheme="minorHAnsi" w:cstheme="minorBidi"/>
            <w:smallCaps w:val="0"/>
            <w:noProof/>
            <w:sz w:val="22"/>
            <w:szCs w:val="22"/>
          </w:rPr>
          <w:tab/>
        </w:r>
        <w:r w:rsidR="000A6BD1" w:rsidRPr="00E81112">
          <w:rPr>
            <w:rStyle w:val="Hyperlink"/>
            <w:noProof/>
          </w:rPr>
          <w:t>Summary of PER FY2014/15 Recommendations and Actions Taken</w:t>
        </w:r>
        <w:r w:rsidR="000A6BD1">
          <w:rPr>
            <w:noProof/>
            <w:webHidden/>
          </w:rPr>
          <w:tab/>
        </w:r>
        <w:r w:rsidR="000A6BD1">
          <w:rPr>
            <w:noProof/>
            <w:webHidden/>
          </w:rPr>
          <w:fldChar w:fldCharType="begin"/>
        </w:r>
        <w:r w:rsidR="000A6BD1">
          <w:rPr>
            <w:noProof/>
            <w:webHidden/>
          </w:rPr>
          <w:instrText xml:space="preserve"> PAGEREF _Toc488423279 \h </w:instrText>
        </w:r>
        <w:r w:rsidR="000A6BD1">
          <w:rPr>
            <w:noProof/>
            <w:webHidden/>
          </w:rPr>
        </w:r>
        <w:r w:rsidR="000A6BD1">
          <w:rPr>
            <w:noProof/>
            <w:webHidden/>
          </w:rPr>
          <w:fldChar w:fldCharType="separate"/>
        </w:r>
        <w:r w:rsidR="000A6BD1">
          <w:rPr>
            <w:noProof/>
            <w:webHidden/>
          </w:rPr>
          <w:t>3</w:t>
        </w:r>
        <w:r w:rsidR="000A6BD1">
          <w:rPr>
            <w:noProof/>
            <w:webHidden/>
          </w:rPr>
          <w:fldChar w:fldCharType="end"/>
        </w:r>
      </w:hyperlink>
    </w:p>
    <w:p w14:paraId="55628742" w14:textId="77777777" w:rsidR="00E573F2" w:rsidRPr="00E573F2" w:rsidRDefault="00E573F2" w:rsidP="00E573F2">
      <w:pPr>
        <w:rPr>
          <w:rFonts w:eastAsiaTheme="minorEastAsia"/>
          <w:sz w:val="18"/>
          <w:szCs w:val="18"/>
        </w:rPr>
      </w:pPr>
      <w:r w:rsidRPr="00E573F2">
        <w:rPr>
          <w:rFonts w:eastAsiaTheme="minorEastAsia"/>
          <w:sz w:val="18"/>
          <w:szCs w:val="18"/>
        </w:rPr>
        <w:t>T</w:t>
      </w:r>
      <w:r>
        <w:rPr>
          <w:rFonts w:eastAsiaTheme="minorEastAsia"/>
          <w:sz w:val="18"/>
          <w:szCs w:val="18"/>
        </w:rPr>
        <w:t xml:space="preserve">ABLE </w:t>
      </w:r>
      <w:r w:rsidRPr="00E573F2">
        <w:rPr>
          <w:rFonts w:eastAsiaTheme="minorEastAsia"/>
          <w:sz w:val="18"/>
          <w:szCs w:val="18"/>
        </w:rPr>
        <w:t>3.</w:t>
      </w:r>
      <w:r>
        <w:rPr>
          <w:rFonts w:eastAsiaTheme="minorEastAsia"/>
          <w:sz w:val="18"/>
          <w:szCs w:val="18"/>
        </w:rPr>
        <w:t>1</w:t>
      </w:r>
      <w:r w:rsidRPr="00E573F2">
        <w:rPr>
          <w:rFonts w:eastAsiaTheme="minorEastAsia"/>
          <w:sz w:val="18"/>
          <w:szCs w:val="18"/>
        </w:rPr>
        <w:t>:</w:t>
      </w:r>
      <w:r>
        <w:rPr>
          <w:rFonts w:eastAsiaTheme="minorEastAsia"/>
          <w:sz w:val="18"/>
          <w:szCs w:val="18"/>
        </w:rPr>
        <w:t xml:space="preserve">          INDICATORS OF PUBLIC </w:t>
      </w:r>
      <w:r w:rsidRPr="00E573F2">
        <w:rPr>
          <w:rFonts w:eastAsiaTheme="minorEastAsia"/>
          <w:sz w:val="18"/>
          <w:szCs w:val="18"/>
        </w:rPr>
        <w:t xml:space="preserve">HEALTH FINANCING </w:t>
      </w:r>
      <w:r>
        <w:rPr>
          <w:rFonts w:eastAsiaTheme="minorEastAsia"/>
          <w:sz w:val="18"/>
          <w:szCs w:val="18"/>
        </w:rPr>
        <w:t>…………………………………………………………………………………………….9</w:t>
      </w:r>
    </w:p>
    <w:p w14:paraId="3FEBD268"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280" w:history="1">
        <w:r w:rsidR="000A6BD1" w:rsidRPr="00E81112">
          <w:rPr>
            <w:rStyle w:val="Hyperlink"/>
            <w:noProof/>
          </w:rPr>
          <w:t>Table 3.2:</w:t>
        </w:r>
        <w:r w:rsidR="000A6BD1">
          <w:rPr>
            <w:rFonts w:asciiTheme="minorHAnsi" w:eastAsiaTheme="minorEastAsia" w:hAnsiTheme="minorHAnsi" w:cstheme="minorBidi"/>
            <w:smallCaps w:val="0"/>
            <w:noProof/>
            <w:sz w:val="22"/>
            <w:szCs w:val="22"/>
          </w:rPr>
          <w:tab/>
        </w:r>
        <w:r w:rsidR="000A6BD1" w:rsidRPr="00E81112">
          <w:rPr>
            <w:rStyle w:val="Hyperlink"/>
            <w:noProof/>
          </w:rPr>
          <w:t>Sources of Health Financing (BN TZS)</w:t>
        </w:r>
        <w:r w:rsidR="000A6BD1">
          <w:rPr>
            <w:noProof/>
            <w:webHidden/>
          </w:rPr>
          <w:tab/>
        </w:r>
        <w:r w:rsidR="000A6BD1">
          <w:rPr>
            <w:noProof/>
            <w:webHidden/>
          </w:rPr>
          <w:fldChar w:fldCharType="begin"/>
        </w:r>
        <w:r w:rsidR="000A6BD1">
          <w:rPr>
            <w:noProof/>
            <w:webHidden/>
          </w:rPr>
          <w:instrText xml:space="preserve"> PAGEREF _Toc488423280 \h </w:instrText>
        </w:r>
        <w:r w:rsidR="000A6BD1">
          <w:rPr>
            <w:noProof/>
            <w:webHidden/>
          </w:rPr>
        </w:r>
        <w:r w:rsidR="000A6BD1">
          <w:rPr>
            <w:noProof/>
            <w:webHidden/>
          </w:rPr>
          <w:fldChar w:fldCharType="separate"/>
        </w:r>
        <w:r w:rsidR="000A6BD1">
          <w:rPr>
            <w:noProof/>
            <w:webHidden/>
          </w:rPr>
          <w:t>10</w:t>
        </w:r>
        <w:r w:rsidR="000A6BD1">
          <w:rPr>
            <w:noProof/>
            <w:webHidden/>
          </w:rPr>
          <w:fldChar w:fldCharType="end"/>
        </w:r>
      </w:hyperlink>
    </w:p>
    <w:p w14:paraId="54F3BB0B"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281" w:history="1">
        <w:r w:rsidR="000A6BD1" w:rsidRPr="00E81112">
          <w:rPr>
            <w:rStyle w:val="Hyperlink"/>
            <w:noProof/>
          </w:rPr>
          <w:t>Table 3.3:</w:t>
        </w:r>
        <w:r w:rsidR="000A6BD1">
          <w:rPr>
            <w:rFonts w:asciiTheme="minorHAnsi" w:eastAsiaTheme="minorEastAsia" w:hAnsiTheme="minorHAnsi" w:cstheme="minorBidi"/>
            <w:smallCaps w:val="0"/>
            <w:noProof/>
            <w:sz w:val="22"/>
            <w:szCs w:val="22"/>
          </w:rPr>
          <w:tab/>
        </w:r>
        <w:r w:rsidR="000A6BD1" w:rsidRPr="00E81112">
          <w:rPr>
            <w:rStyle w:val="Hyperlink"/>
            <w:noProof/>
          </w:rPr>
          <w:t>Summary of Recurrent and Development Budget and Expenditures (BN TZS)</w:t>
        </w:r>
        <w:r w:rsidR="000A6BD1">
          <w:rPr>
            <w:noProof/>
            <w:webHidden/>
          </w:rPr>
          <w:tab/>
        </w:r>
        <w:r w:rsidR="000A6BD1">
          <w:rPr>
            <w:noProof/>
            <w:webHidden/>
          </w:rPr>
          <w:fldChar w:fldCharType="begin"/>
        </w:r>
        <w:r w:rsidR="000A6BD1">
          <w:rPr>
            <w:noProof/>
            <w:webHidden/>
          </w:rPr>
          <w:instrText xml:space="preserve"> PAGEREF _Toc488423281 \h </w:instrText>
        </w:r>
        <w:r w:rsidR="000A6BD1">
          <w:rPr>
            <w:noProof/>
            <w:webHidden/>
          </w:rPr>
        </w:r>
        <w:r w:rsidR="000A6BD1">
          <w:rPr>
            <w:noProof/>
            <w:webHidden/>
          </w:rPr>
          <w:fldChar w:fldCharType="separate"/>
        </w:r>
        <w:r w:rsidR="000A6BD1">
          <w:rPr>
            <w:noProof/>
            <w:webHidden/>
          </w:rPr>
          <w:t>11</w:t>
        </w:r>
        <w:r w:rsidR="000A6BD1">
          <w:rPr>
            <w:noProof/>
            <w:webHidden/>
          </w:rPr>
          <w:fldChar w:fldCharType="end"/>
        </w:r>
      </w:hyperlink>
    </w:p>
    <w:p w14:paraId="255B77FA"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282" w:history="1">
        <w:r w:rsidR="000A6BD1" w:rsidRPr="00E81112">
          <w:rPr>
            <w:rStyle w:val="Hyperlink"/>
            <w:noProof/>
          </w:rPr>
          <w:t>Table 3.4:</w:t>
        </w:r>
        <w:r w:rsidR="000A6BD1">
          <w:rPr>
            <w:rFonts w:asciiTheme="minorHAnsi" w:eastAsiaTheme="minorEastAsia" w:hAnsiTheme="minorHAnsi" w:cstheme="minorBidi"/>
            <w:smallCaps w:val="0"/>
            <w:noProof/>
            <w:sz w:val="22"/>
            <w:szCs w:val="22"/>
          </w:rPr>
          <w:tab/>
        </w:r>
        <w:r w:rsidR="000A6BD1" w:rsidRPr="00E81112">
          <w:rPr>
            <w:rStyle w:val="Hyperlink"/>
            <w:noProof/>
          </w:rPr>
          <w:t>Health Spending by Levels of Government (BN TZS)</w:t>
        </w:r>
        <w:r w:rsidR="000A6BD1">
          <w:rPr>
            <w:noProof/>
            <w:webHidden/>
          </w:rPr>
          <w:tab/>
        </w:r>
        <w:r w:rsidR="000A6BD1">
          <w:rPr>
            <w:noProof/>
            <w:webHidden/>
          </w:rPr>
          <w:fldChar w:fldCharType="begin"/>
        </w:r>
        <w:r w:rsidR="000A6BD1">
          <w:rPr>
            <w:noProof/>
            <w:webHidden/>
          </w:rPr>
          <w:instrText xml:space="preserve"> PAGEREF _Toc488423282 \h </w:instrText>
        </w:r>
        <w:r w:rsidR="000A6BD1">
          <w:rPr>
            <w:noProof/>
            <w:webHidden/>
          </w:rPr>
        </w:r>
        <w:r w:rsidR="000A6BD1">
          <w:rPr>
            <w:noProof/>
            <w:webHidden/>
          </w:rPr>
          <w:fldChar w:fldCharType="separate"/>
        </w:r>
        <w:r w:rsidR="000A6BD1">
          <w:rPr>
            <w:noProof/>
            <w:webHidden/>
          </w:rPr>
          <w:t>16</w:t>
        </w:r>
        <w:r w:rsidR="000A6BD1">
          <w:rPr>
            <w:noProof/>
            <w:webHidden/>
          </w:rPr>
          <w:fldChar w:fldCharType="end"/>
        </w:r>
      </w:hyperlink>
    </w:p>
    <w:p w14:paraId="411689A3"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283" w:history="1">
        <w:r w:rsidR="000A6BD1" w:rsidRPr="00E81112">
          <w:rPr>
            <w:rStyle w:val="Hyperlink"/>
            <w:noProof/>
          </w:rPr>
          <w:t>Table 4.1:</w:t>
        </w:r>
        <w:r w:rsidR="000A6BD1">
          <w:rPr>
            <w:rFonts w:asciiTheme="minorHAnsi" w:eastAsiaTheme="minorEastAsia" w:hAnsiTheme="minorHAnsi" w:cstheme="minorBidi"/>
            <w:smallCaps w:val="0"/>
            <w:noProof/>
            <w:sz w:val="22"/>
            <w:szCs w:val="22"/>
          </w:rPr>
          <w:tab/>
        </w:r>
        <w:r w:rsidR="000A6BD1" w:rsidRPr="00E81112">
          <w:rPr>
            <w:rStyle w:val="Hyperlink"/>
            <w:noProof/>
          </w:rPr>
          <w:t>HSF Revenues and Expenditures, FY2012/13 – FY2015/16</w:t>
        </w:r>
        <w:r w:rsidR="000A6BD1">
          <w:rPr>
            <w:noProof/>
            <w:webHidden/>
          </w:rPr>
          <w:tab/>
        </w:r>
        <w:r w:rsidR="000A6BD1">
          <w:rPr>
            <w:noProof/>
            <w:webHidden/>
          </w:rPr>
          <w:fldChar w:fldCharType="begin"/>
        </w:r>
        <w:r w:rsidR="000A6BD1">
          <w:rPr>
            <w:noProof/>
            <w:webHidden/>
          </w:rPr>
          <w:instrText xml:space="preserve"> PAGEREF _Toc488423283 \h </w:instrText>
        </w:r>
        <w:r w:rsidR="000A6BD1">
          <w:rPr>
            <w:noProof/>
            <w:webHidden/>
          </w:rPr>
        </w:r>
        <w:r w:rsidR="000A6BD1">
          <w:rPr>
            <w:noProof/>
            <w:webHidden/>
          </w:rPr>
          <w:fldChar w:fldCharType="separate"/>
        </w:r>
        <w:r w:rsidR="000A6BD1">
          <w:rPr>
            <w:noProof/>
            <w:webHidden/>
          </w:rPr>
          <w:t>17</w:t>
        </w:r>
        <w:r w:rsidR="000A6BD1">
          <w:rPr>
            <w:noProof/>
            <w:webHidden/>
          </w:rPr>
          <w:fldChar w:fldCharType="end"/>
        </w:r>
      </w:hyperlink>
    </w:p>
    <w:p w14:paraId="18AB0790"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284" w:history="1">
        <w:r w:rsidR="000A6BD1" w:rsidRPr="00E81112">
          <w:rPr>
            <w:rStyle w:val="Hyperlink"/>
            <w:noProof/>
          </w:rPr>
          <w:t xml:space="preserve">Table 4.2: </w:t>
        </w:r>
        <w:r w:rsidR="000A6BD1">
          <w:rPr>
            <w:rFonts w:asciiTheme="minorHAnsi" w:eastAsiaTheme="minorEastAsia" w:hAnsiTheme="minorHAnsi" w:cstheme="minorBidi"/>
            <w:smallCaps w:val="0"/>
            <w:noProof/>
            <w:sz w:val="22"/>
            <w:szCs w:val="22"/>
          </w:rPr>
          <w:tab/>
        </w:r>
        <w:r w:rsidR="000A6BD1" w:rsidRPr="00E81112">
          <w:rPr>
            <w:rStyle w:val="Hyperlink"/>
            <w:noProof/>
          </w:rPr>
          <w:t>Basic Data on NHIF Membership and Utilization of Health Services, FY2012/13 – FY2015/16</w:t>
        </w:r>
        <w:r w:rsidR="000A6BD1">
          <w:rPr>
            <w:noProof/>
            <w:webHidden/>
          </w:rPr>
          <w:tab/>
        </w:r>
        <w:r w:rsidR="000A6BD1">
          <w:rPr>
            <w:noProof/>
            <w:webHidden/>
          </w:rPr>
          <w:fldChar w:fldCharType="begin"/>
        </w:r>
        <w:r w:rsidR="000A6BD1">
          <w:rPr>
            <w:noProof/>
            <w:webHidden/>
          </w:rPr>
          <w:instrText xml:space="preserve"> PAGEREF _Toc488423284 \h </w:instrText>
        </w:r>
        <w:r w:rsidR="000A6BD1">
          <w:rPr>
            <w:noProof/>
            <w:webHidden/>
          </w:rPr>
        </w:r>
        <w:r w:rsidR="000A6BD1">
          <w:rPr>
            <w:noProof/>
            <w:webHidden/>
          </w:rPr>
          <w:fldChar w:fldCharType="separate"/>
        </w:r>
        <w:r w:rsidR="000A6BD1">
          <w:rPr>
            <w:noProof/>
            <w:webHidden/>
          </w:rPr>
          <w:t>18</w:t>
        </w:r>
        <w:r w:rsidR="000A6BD1">
          <w:rPr>
            <w:noProof/>
            <w:webHidden/>
          </w:rPr>
          <w:fldChar w:fldCharType="end"/>
        </w:r>
      </w:hyperlink>
    </w:p>
    <w:p w14:paraId="744DCE84"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285" w:history="1">
        <w:r w:rsidR="000A6BD1" w:rsidRPr="00E81112">
          <w:rPr>
            <w:rStyle w:val="Hyperlink"/>
            <w:noProof/>
          </w:rPr>
          <w:t>Table 4.3:</w:t>
        </w:r>
        <w:r w:rsidR="000A6BD1">
          <w:rPr>
            <w:rFonts w:asciiTheme="minorHAnsi" w:eastAsiaTheme="minorEastAsia" w:hAnsiTheme="minorHAnsi" w:cstheme="minorBidi"/>
            <w:smallCaps w:val="0"/>
            <w:noProof/>
            <w:sz w:val="22"/>
            <w:szCs w:val="22"/>
          </w:rPr>
          <w:tab/>
        </w:r>
        <w:r w:rsidR="000A6BD1" w:rsidRPr="00E81112">
          <w:rPr>
            <w:rStyle w:val="Hyperlink"/>
            <w:noProof/>
          </w:rPr>
          <w:t>Basic Data on NHIF Income and Expenditure, FY2012/13 – 2015/16, (MN TZS)</w:t>
        </w:r>
        <w:r w:rsidR="000A6BD1">
          <w:rPr>
            <w:noProof/>
            <w:webHidden/>
          </w:rPr>
          <w:tab/>
        </w:r>
        <w:r w:rsidR="000A6BD1">
          <w:rPr>
            <w:noProof/>
            <w:webHidden/>
          </w:rPr>
          <w:fldChar w:fldCharType="begin"/>
        </w:r>
        <w:r w:rsidR="000A6BD1">
          <w:rPr>
            <w:noProof/>
            <w:webHidden/>
          </w:rPr>
          <w:instrText xml:space="preserve"> PAGEREF _Toc488423285 \h </w:instrText>
        </w:r>
        <w:r w:rsidR="000A6BD1">
          <w:rPr>
            <w:noProof/>
            <w:webHidden/>
          </w:rPr>
        </w:r>
        <w:r w:rsidR="000A6BD1">
          <w:rPr>
            <w:noProof/>
            <w:webHidden/>
          </w:rPr>
          <w:fldChar w:fldCharType="separate"/>
        </w:r>
        <w:r w:rsidR="000A6BD1">
          <w:rPr>
            <w:noProof/>
            <w:webHidden/>
          </w:rPr>
          <w:t>18</w:t>
        </w:r>
        <w:r w:rsidR="000A6BD1">
          <w:rPr>
            <w:noProof/>
            <w:webHidden/>
          </w:rPr>
          <w:fldChar w:fldCharType="end"/>
        </w:r>
      </w:hyperlink>
    </w:p>
    <w:p w14:paraId="67F8886D"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286" w:history="1">
        <w:r w:rsidR="000A6BD1" w:rsidRPr="00E81112">
          <w:rPr>
            <w:rStyle w:val="Hyperlink"/>
            <w:noProof/>
          </w:rPr>
          <w:t>Table 4.4:</w:t>
        </w:r>
        <w:r w:rsidR="000A6BD1">
          <w:rPr>
            <w:rFonts w:asciiTheme="minorHAnsi" w:eastAsiaTheme="minorEastAsia" w:hAnsiTheme="minorHAnsi" w:cstheme="minorBidi"/>
            <w:smallCaps w:val="0"/>
            <w:noProof/>
            <w:sz w:val="22"/>
            <w:szCs w:val="22"/>
          </w:rPr>
          <w:tab/>
        </w:r>
        <w:r w:rsidR="000A6BD1" w:rsidRPr="00E81112">
          <w:rPr>
            <w:rStyle w:val="Hyperlink"/>
            <w:noProof/>
          </w:rPr>
          <w:t>NHIF Claims by Region, 2015/16</w:t>
        </w:r>
        <w:r w:rsidR="000A6BD1">
          <w:rPr>
            <w:noProof/>
            <w:webHidden/>
          </w:rPr>
          <w:tab/>
        </w:r>
        <w:r w:rsidR="000A6BD1">
          <w:rPr>
            <w:noProof/>
            <w:webHidden/>
          </w:rPr>
          <w:fldChar w:fldCharType="begin"/>
        </w:r>
        <w:r w:rsidR="000A6BD1">
          <w:rPr>
            <w:noProof/>
            <w:webHidden/>
          </w:rPr>
          <w:instrText xml:space="preserve"> PAGEREF _Toc488423286 \h </w:instrText>
        </w:r>
        <w:r w:rsidR="000A6BD1">
          <w:rPr>
            <w:noProof/>
            <w:webHidden/>
          </w:rPr>
        </w:r>
        <w:r w:rsidR="000A6BD1">
          <w:rPr>
            <w:noProof/>
            <w:webHidden/>
          </w:rPr>
          <w:fldChar w:fldCharType="separate"/>
        </w:r>
        <w:r w:rsidR="000A6BD1">
          <w:rPr>
            <w:noProof/>
            <w:webHidden/>
          </w:rPr>
          <w:t>21</w:t>
        </w:r>
        <w:r w:rsidR="000A6BD1">
          <w:rPr>
            <w:noProof/>
            <w:webHidden/>
          </w:rPr>
          <w:fldChar w:fldCharType="end"/>
        </w:r>
      </w:hyperlink>
    </w:p>
    <w:p w14:paraId="44969BC8"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287" w:history="1">
        <w:r w:rsidR="000A6BD1" w:rsidRPr="00E81112">
          <w:rPr>
            <w:rStyle w:val="Hyperlink"/>
            <w:noProof/>
          </w:rPr>
          <w:t>Table 4.5:</w:t>
        </w:r>
        <w:r w:rsidR="000A6BD1">
          <w:rPr>
            <w:rFonts w:asciiTheme="minorHAnsi" w:eastAsiaTheme="minorEastAsia" w:hAnsiTheme="minorHAnsi" w:cstheme="minorBidi"/>
            <w:smallCaps w:val="0"/>
            <w:noProof/>
            <w:sz w:val="22"/>
            <w:szCs w:val="22"/>
          </w:rPr>
          <w:tab/>
        </w:r>
        <w:r w:rsidR="000A6BD1" w:rsidRPr="00E81112">
          <w:rPr>
            <w:rStyle w:val="Hyperlink"/>
            <w:noProof/>
          </w:rPr>
          <w:t>NHIF Data on Matching Grant Funding Received and Paid Out, 2012/13 – 2015/16</w:t>
        </w:r>
        <w:r w:rsidR="000A6BD1">
          <w:rPr>
            <w:noProof/>
            <w:webHidden/>
          </w:rPr>
          <w:tab/>
        </w:r>
        <w:r w:rsidR="000A6BD1">
          <w:rPr>
            <w:noProof/>
            <w:webHidden/>
          </w:rPr>
          <w:fldChar w:fldCharType="begin"/>
        </w:r>
        <w:r w:rsidR="000A6BD1">
          <w:rPr>
            <w:noProof/>
            <w:webHidden/>
          </w:rPr>
          <w:instrText xml:space="preserve"> PAGEREF _Toc488423287 \h </w:instrText>
        </w:r>
        <w:r w:rsidR="000A6BD1">
          <w:rPr>
            <w:noProof/>
            <w:webHidden/>
          </w:rPr>
        </w:r>
        <w:r w:rsidR="000A6BD1">
          <w:rPr>
            <w:noProof/>
            <w:webHidden/>
          </w:rPr>
          <w:fldChar w:fldCharType="separate"/>
        </w:r>
        <w:r w:rsidR="000A6BD1">
          <w:rPr>
            <w:noProof/>
            <w:webHidden/>
          </w:rPr>
          <w:t>24</w:t>
        </w:r>
        <w:r w:rsidR="000A6BD1">
          <w:rPr>
            <w:noProof/>
            <w:webHidden/>
          </w:rPr>
          <w:fldChar w:fldCharType="end"/>
        </w:r>
      </w:hyperlink>
    </w:p>
    <w:p w14:paraId="60E32DDB"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288" w:history="1">
        <w:r w:rsidR="000A6BD1" w:rsidRPr="00E81112">
          <w:rPr>
            <w:rStyle w:val="Hyperlink"/>
            <w:noProof/>
          </w:rPr>
          <w:t>Table 5.1:</w:t>
        </w:r>
        <w:r w:rsidR="000A6BD1">
          <w:rPr>
            <w:rFonts w:asciiTheme="minorHAnsi" w:eastAsiaTheme="minorEastAsia" w:hAnsiTheme="minorHAnsi" w:cstheme="minorBidi"/>
            <w:smallCaps w:val="0"/>
            <w:noProof/>
            <w:sz w:val="22"/>
            <w:szCs w:val="22"/>
          </w:rPr>
          <w:tab/>
        </w:r>
        <w:r w:rsidR="000A6BD1" w:rsidRPr="00E81112">
          <w:rPr>
            <w:rStyle w:val="Hyperlink"/>
            <w:noProof/>
          </w:rPr>
          <w:t>LGA Budget and Expenditure by Source (MN TZS)</w:t>
        </w:r>
        <w:r w:rsidR="000A6BD1">
          <w:rPr>
            <w:noProof/>
            <w:webHidden/>
          </w:rPr>
          <w:tab/>
        </w:r>
        <w:r w:rsidR="000A6BD1">
          <w:rPr>
            <w:noProof/>
            <w:webHidden/>
          </w:rPr>
          <w:fldChar w:fldCharType="begin"/>
        </w:r>
        <w:r w:rsidR="000A6BD1">
          <w:rPr>
            <w:noProof/>
            <w:webHidden/>
          </w:rPr>
          <w:instrText xml:space="preserve"> PAGEREF _Toc488423288 \h </w:instrText>
        </w:r>
        <w:r w:rsidR="000A6BD1">
          <w:rPr>
            <w:noProof/>
            <w:webHidden/>
          </w:rPr>
        </w:r>
        <w:r w:rsidR="000A6BD1">
          <w:rPr>
            <w:noProof/>
            <w:webHidden/>
          </w:rPr>
          <w:fldChar w:fldCharType="separate"/>
        </w:r>
        <w:r w:rsidR="000A6BD1">
          <w:rPr>
            <w:noProof/>
            <w:webHidden/>
          </w:rPr>
          <w:t>26</w:t>
        </w:r>
        <w:r w:rsidR="000A6BD1">
          <w:rPr>
            <w:noProof/>
            <w:webHidden/>
          </w:rPr>
          <w:fldChar w:fldCharType="end"/>
        </w:r>
      </w:hyperlink>
    </w:p>
    <w:p w14:paraId="06632179"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289" w:history="1">
        <w:r w:rsidR="000A6BD1" w:rsidRPr="00E81112">
          <w:rPr>
            <w:rStyle w:val="Hyperlink"/>
            <w:noProof/>
          </w:rPr>
          <w:t xml:space="preserve">Table 5.2: </w:t>
        </w:r>
        <w:r w:rsidR="000A6BD1">
          <w:rPr>
            <w:rFonts w:asciiTheme="minorHAnsi" w:eastAsiaTheme="minorEastAsia" w:hAnsiTheme="minorHAnsi" w:cstheme="minorBidi"/>
            <w:smallCaps w:val="0"/>
            <w:noProof/>
            <w:sz w:val="22"/>
            <w:szCs w:val="22"/>
          </w:rPr>
          <w:tab/>
        </w:r>
        <w:r w:rsidR="000A6BD1" w:rsidRPr="00E81112">
          <w:rPr>
            <w:rStyle w:val="Hyperlink"/>
            <w:noProof/>
          </w:rPr>
          <w:t>Government Recurrent and Development Budget and Expenditures at LGAs, FY 2014/15</w:t>
        </w:r>
        <w:r w:rsidR="000A6BD1">
          <w:rPr>
            <w:noProof/>
            <w:webHidden/>
          </w:rPr>
          <w:tab/>
        </w:r>
        <w:r w:rsidR="000A6BD1">
          <w:rPr>
            <w:noProof/>
            <w:webHidden/>
          </w:rPr>
          <w:fldChar w:fldCharType="begin"/>
        </w:r>
        <w:r w:rsidR="000A6BD1">
          <w:rPr>
            <w:noProof/>
            <w:webHidden/>
          </w:rPr>
          <w:instrText xml:space="preserve"> PAGEREF _Toc488423289 \h </w:instrText>
        </w:r>
        <w:r w:rsidR="000A6BD1">
          <w:rPr>
            <w:noProof/>
            <w:webHidden/>
          </w:rPr>
        </w:r>
        <w:r w:rsidR="000A6BD1">
          <w:rPr>
            <w:noProof/>
            <w:webHidden/>
          </w:rPr>
          <w:fldChar w:fldCharType="separate"/>
        </w:r>
        <w:r w:rsidR="000A6BD1">
          <w:rPr>
            <w:noProof/>
            <w:webHidden/>
          </w:rPr>
          <w:t>28</w:t>
        </w:r>
        <w:r w:rsidR="000A6BD1">
          <w:rPr>
            <w:noProof/>
            <w:webHidden/>
          </w:rPr>
          <w:fldChar w:fldCharType="end"/>
        </w:r>
      </w:hyperlink>
    </w:p>
    <w:p w14:paraId="2407DC8D"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290" w:history="1">
        <w:r w:rsidR="000A6BD1" w:rsidRPr="00E81112">
          <w:rPr>
            <w:rStyle w:val="Hyperlink"/>
            <w:noProof/>
          </w:rPr>
          <w:t>Table 5.3:</w:t>
        </w:r>
        <w:r w:rsidR="000A6BD1">
          <w:rPr>
            <w:rFonts w:asciiTheme="minorHAnsi" w:eastAsiaTheme="minorEastAsia" w:hAnsiTheme="minorHAnsi" w:cstheme="minorBidi"/>
            <w:smallCaps w:val="0"/>
            <w:noProof/>
            <w:sz w:val="22"/>
            <w:szCs w:val="22"/>
          </w:rPr>
          <w:tab/>
        </w:r>
        <w:r w:rsidR="000A6BD1" w:rsidRPr="00E81112">
          <w:rPr>
            <w:rStyle w:val="Hyperlink"/>
            <w:noProof/>
          </w:rPr>
          <w:t>Budget and Expenditure by LGAs Sub-Votes</w:t>
        </w:r>
        <w:r w:rsidR="000A6BD1">
          <w:rPr>
            <w:noProof/>
            <w:webHidden/>
          </w:rPr>
          <w:tab/>
        </w:r>
        <w:r w:rsidR="000A6BD1">
          <w:rPr>
            <w:noProof/>
            <w:webHidden/>
          </w:rPr>
          <w:fldChar w:fldCharType="begin"/>
        </w:r>
        <w:r w:rsidR="000A6BD1">
          <w:rPr>
            <w:noProof/>
            <w:webHidden/>
          </w:rPr>
          <w:instrText xml:space="preserve"> PAGEREF _Toc488423290 \h </w:instrText>
        </w:r>
        <w:r w:rsidR="000A6BD1">
          <w:rPr>
            <w:noProof/>
            <w:webHidden/>
          </w:rPr>
        </w:r>
        <w:r w:rsidR="000A6BD1">
          <w:rPr>
            <w:noProof/>
            <w:webHidden/>
          </w:rPr>
          <w:fldChar w:fldCharType="separate"/>
        </w:r>
        <w:r w:rsidR="000A6BD1">
          <w:rPr>
            <w:noProof/>
            <w:webHidden/>
          </w:rPr>
          <w:t>29</w:t>
        </w:r>
        <w:r w:rsidR="000A6BD1">
          <w:rPr>
            <w:noProof/>
            <w:webHidden/>
          </w:rPr>
          <w:fldChar w:fldCharType="end"/>
        </w:r>
      </w:hyperlink>
    </w:p>
    <w:p w14:paraId="5CA4CC89" w14:textId="77777777" w:rsidR="00E56537" w:rsidRDefault="00F13FB7" w:rsidP="000A6BD1">
      <w:pPr>
        <w:pStyle w:val="Heading1"/>
        <w:spacing w:line="360" w:lineRule="auto"/>
      </w:pPr>
      <w:r w:rsidRPr="00D666D0">
        <w:rPr>
          <w:sz w:val="20"/>
        </w:rPr>
        <w:fldChar w:fldCharType="end"/>
      </w:r>
      <w:r w:rsidR="00E56537">
        <w:br w:type="page"/>
      </w:r>
      <w:bookmarkStart w:id="3" w:name="_Toc488423244"/>
      <w:r w:rsidR="00E56537">
        <w:lastRenderedPageBreak/>
        <w:t>List of Figures</w:t>
      </w:r>
      <w:bookmarkEnd w:id="3"/>
    </w:p>
    <w:p w14:paraId="39479044" w14:textId="77777777" w:rsidR="00DF4EDD" w:rsidRDefault="00DF4EDD">
      <w:pPr>
        <w:pStyle w:val="TableofFigures"/>
        <w:tabs>
          <w:tab w:val="left" w:pos="1200"/>
          <w:tab w:val="right" w:leader="dot" w:pos="9016"/>
        </w:tabs>
      </w:pPr>
    </w:p>
    <w:p w14:paraId="09765B25" w14:textId="77777777" w:rsidR="000A6BD1" w:rsidRDefault="00DF4EDD"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r w:rsidRPr="00F13FB7">
        <w:rPr>
          <w:sz w:val="22"/>
          <w:szCs w:val="22"/>
        </w:rPr>
        <w:fldChar w:fldCharType="begin"/>
      </w:r>
      <w:r w:rsidRPr="00F13FB7">
        <w:rPr>
          <w:sz w:val="22"/>
          <w:szCs w:val="22"/>
        </w:rPr>
        <w:instrText xml:space="preserve"> TOC \h \z \t "Caption 1" \c </w:instrText>
      </w:r>
      <w:r w:rsidRPr="00F13FB7">
        <w:rPr>
          <w:sz w:val="22"/>
          <w:szCs w:val="22"/>
        </w:rPr>
        <w:fldChar w:fldCharType="separate"/>
      </w:r>
      <w:hyperlink w:anchor="_Toc488423291" w:history="1">
        <w:r w:rsidR="000A6BD1" w:rsidRPr="00344112">
          <w:rPr>
            <w:rStyle w:val="Hyperlink"/>
            <w:noProof/>
          </w:rPr>
          <w:t>Figure 3.1a:</w:t>
        </w:r>
        <w:r w:rsidR="000A6BD1">
          <w:rPr>
            <w:rFonts w:asciiTheme="minorHAnsi" w:eastAsiaTheme="minorEastAsia" w:hAnsiTheme="minorHAnsi" w:cstheme="minorBidi"/>
            <w:smallCaps w:val="0"/>
            <w:noProof/>
            <w:sz w:val="22"/>
            <w:szCs w:val="22"/>
          </w:rPr>
          <w:tab/>
        </w:r>
        <w:r w:rsidR="000A6BD1" w:rsidRPr="00344112">
          <w:rPr>
            <w:rStyle w:val="Hyperlink"/>
            <w:noProof/>
          </w:rPr>
          <w:t>Public Health Budget Trends (BN TZS)</w:t>
        </w:r>
        <w:r w:rsidR="000A6BD1">
          <w:rPr>
            <w:noProof/>
            <w:webHidden/>
          </w:rPr>
          <w:tab/>
        </w:r>
        <w:r w:rsidR="000A6BD1">
          <w:rPr>
            <w:noProof/>
            <w:webHidden/>
          </w:rPr>
          <w:fldChar w:fldCharType="begin"/>
        </w:r>
        <w:r w:rsidR="000A6BD1">
          <w:rPr>
            <w:noProof/>
            <w:webHidden/>
          </w:rPr>
          <w:instrText xml:space="preserve"> PAGEREF _Toc488423291 \h </w:instrText>
        </w:r>
        <w:r w:rsidR="000A6BD1">
          <w:rPr>
            <w:noProof/>
            <w:webHidden/>
          </w:rPr>
        </w:r>
        <w:r w:rsidR="000A6BD1">
          <w:rPr>
            <w:noProof/>
            <w:webHidden/>
          </w:rPr>
          <w:fldChar w:fldCharType="separate"/>
        </w:r>
        <w:r w:rsidR="000A6BD1">
          <w:rPr>
            <w:noProof/>
            <w:webHidden/>
          </w:rPr>
          <w:t>6</w:t>
        </w:r>
        <w:r w:rsidR="000A6BD1">
          <w:rPr>
            <w:noProof/>
            <w:webHidden/>
          </w:rPr>
          <w:fldChar w:fldCharType="end"/>
        </w:r>
      </w:hyperlink>
    </w:p>
    <w:p w14:paraId="1C935723"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292" w:history="1">
        <w:r w:rsidR="000A6BD1" w:rsidRPr="00344112">
          <w:rPr>
            <w:rStyle w:val="Hyperlink"/>
            <w:noProof/>
          </w:rPr>
          <w:t>Figure 3.1b:</w:t>
        </w:r>
        <w:r w:rsidR="000A6BD1">
          <w:rPr>
            <w:rFonts w:asciiTheme="minorHAnsi" w:eastAsiaTheme="minorEastAsia" w:hAnsiTheme="minorHAnsi" w:cstheme="minorBidi"/>
            <w:smallCaps w:val="0"/>
            <w:noProof/>
            <w:sz w:val="22"/>
            <w:szCs w:val="22"/>
          </w:rPr>
          <w:tab/>
        </w:r>
        <w:r w:rsidR="000A6BD1" w:rsidRPr="00344112">
          <w:rPr>
            <w:rStyle w:val="Hyperlink"/>
            <w:noProof/>
          </w:rPr>
          <w:t>Public Health Expenditure Trends (BN TZS)</w:t>
        </w:r>
        <w:r w:rsidR="000A6BD1">
          <w:rPr>
            <w:noProof/>
            <w:webHidden/>
          </w:rPr>
          <w:tab/>
        </w:r>
        <w:r w:rsidR="000A6BD1">
          <w:rPr>
            <w:noProof/>
            <w:webHidden/>
          </w:rPr>
          <w:fldChar w:fldCharType="begin"/>
        </w:r>
        <w:r w:rsidR="000A6BD1">
          <w:rPr>
            <w:noProof/>
            <w:webHidden/>
          </w:rPr>
          <w:instrText xml:space="preserve"> PAGEREF _Toc488423292 \h </w:instrText>
        </w:r>
        <w:r w:rsidR="000A6BD1">
          <w:rPr>
            <w:noProof/>
            <w:webHidden/>
          </w:rPr>
        </w:r>
        <w:r w:rsidR="000A6BD1">
          <w:rPr>
            <w:noProof/>
            <w:webHidden/>
          </w:rPr>
          <w:fldChar w:fldCharType="separate"/>
        </w:r>
        <w:r w:rsidR="000A6BD1">
          <w:rPr>
            <w:noProof/>
            <w:webHidden/>
          </w:rPr>
          <w:t>7</w:t>
        </w:r>
        <w:r w:rsidR="000A6BD1">
          <w:rPr>
            <w:noProof/>
            <w:webHidden/>
          </w:rPr>
          <w:fldChar w:fldCharType="end"/>
        </w:r>
      </w:hyperlink>
    </w:p>
    <w:p w14:paraId="5B829222"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293" w:history="1">
        <w:r w:rsidR="000A6BD1" w:rsidRPr="00344112">
          <w:rPr>
            <w:rStyle w:val="Hyperlink"/>
            <w:noProof/>
            <w:lang w:val="en-GB" w:eastAsia="en-GB"/>
          </w:rPr>
          <w:t>Figure 3.2a:</w:t>
        </w:r>
        <w:r w:rsidR="000A6BD1">
          <w:rPr>
            <w:rFonts w:asciiTheme="minorHAnsi" w:eastAsiaTheme="minorEastAsia" w:hAnsiTheme="minorHAnsi" w:cstheme="minorBidi"/>
            <w:smallCaps w:val="0"/>
            <w:noProof/>
            <w:sz w:val="22"/>
            <w:szCs w:val="22"/>
          </w:rPr>
          <w:tab/>
        </w:r>
        <w:r w:rsidR="000A6BD1" w:rsidRPr="00344112">
          <w:rPr>
            <w:rStyle w:val="Hyperlink"/>
            <w:noProof/>
            <w:lang w:val="en-GB" w:eastAsia="en-GB"/>
          </w:rPr>
          <w:t>Health Spending as % of Government Budget</w:t>
        </w:r>
        <w:r w:rsidR="000A6BD1">
          <w:rPr>
            <w:noProof/>
            <w:webHidden/>
          </w:rPr>
          <w:tab/>
        </w:r>
        <w:r w:rsidR="000A6BD1">
          <w:rPr>
            <w:noProof/>
            <w:webHidden/>
          </w:rPr>
          <w:fldChar w:fldCharType="begin"/>
        </w:r>
        <w:r w:rsidR="000A6BD1">
          <w:rPr>
            <w:noProof/>
            <w:webHidden/>
          </w:rPr>
          <w:instrText xml:space="preserve"> PAGEREF _Toc488423293 \h </w:instrText>
        </w:r>
        <w:r w:rsidR="000A6BD1">
          <w:rPr>
            <w:noProof/>
            <w:webHidden/>
          </w:rPr>
        </w:r>
        <w:r w:rsidR="000A6BD1">
          <w:rPr>
            <w:noProof/>
            <w:webHidden/>
          </w:rPr>
          <w:fldChar w:fldCharType="separate"/>
        </w:r>
        <w:r w:rsidR="000A6BD1">
          <w:rPr>
            <w:noProof/>
            <w:webHidden/>
          </w:rPr>
          <w:t>7</w:t>
        </w:r>
        <w:r w:rsidR="000A6BD1">
          <w:rPr>
            <w:noProof/>
            <w:webHidden/>
          </w:rPr>
          <w:fldChar w:fldCharType="end"/>
        </w:r>
      </w:hyperlink>
    </w:p>
    <w:p w14:paraId="3B2D19F0"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294" w:history="1">
        <w:r w:rsidR="000A6BD1" w:rsidRPr="00344112">
          <w:rPr>
            <w:rStyle w:val="Hyperlink"/>
            <w:noProof/>
            <w:lang w:val="en-GB" w:eastAsia="en-GB"/>
          </w:rPr>
          <w:t>Figure 3.2b:</w:t>
        </w:r>
        <w:r w:rsidR="000A6BD1">
          <w:rPr>
            <w:rFonts w:asciiTheme="minorHAnsi" w:eastAsiaTheme="minorEastAsia" w:hAnsiTheme="minorHAnsi" w:cstheme="minorBidi"/>
            <w:smallCaps w:val="0"/>
            <w:noProof/>
            <w:sz w:val="22"/>
            <w:szCs w:val="22"/>
          </w:rPr>
          <w:tab/>
        </w:r>
        <w:r w:rsidR="000A6BD1" w:rsidRPr="00344112">
          <w:rPr>
            <w:rStyle w:val="Hyperlink"/>
            <w:noProof/>
            <w:lang w:val="en-GB" w:eastAsia="en-GB"/>
          </w:rPr>
          <w:t>Actual Health Spending as % of Government Spending</w:t>
        </w:r>
        <w:r w:rsidR="000A6BD1">
          <w:rPr>
            <w:noProof/>
            <w:webHidden/>
          </w:rPr>
          <w:tab/>
        </w:r>
        <w:r w:rsidR="000A6BD1">
          <w:rPr>
            <w:noProof/>
            <w:webHidden/>
          </w:rPr>
          <w:fldChar w:fldCharType="begin"/>
        </w:r>
        <w:r w:rsidR="000A6BD1">
          <w:rPr>
            <w:noProof/>
            <w:webHidden/>
          </w:rPr>
          <w:instrText xml:space="preserve"> PAGEREF _Toc488423294 \h </w:instrText>
        </w:r>
        <w:r w:rsidR="000A6BD1">
          <w:rPr>
            <w:noProof/>
            <w:webHidden/>
          </w:rPr>
        </w:r>
        <w:r w:rsidR="000A6BD1">
          <w:rPr>
            <w:noProof/>
            <w:webHidden/>
          </w:rPr>
          <w:fldChar w:fldCharType="separate"/>
        </w:r>
        <w:r w:rsidR="000A6BD1">
          <w:rPr>
            <w:noProof/>
            <w:webHidden/>
          </w:rPr>
          <w:t>8</w:t>
        </w:r>
        <w:r w:rsidR="000A6BD1">
          <w:rPr>
            <w:noProof/>
            <w:webHidden/>
          </w:rPr>
          <w:fldChar w:fldCharType="end"/>
        </w:r>
      </w:hyperlink>
    </w:p>
    <w:p w14:paraId="4C48E221"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295" w:history="1">
        <w:r w:rsidR="000A6BD1" w:rsidRPr="00344112">
          <w:rPr>
            <w:rStyle w:val="Hyperlink"/>
            <w:noProof/>
          </w:rPr>
          <w:t>Figure 3.3a:</w:t>
        </w:r>
        <w:r w:rsidR="000A6BD1">
          <w:rPr>
            <w:rFonts w:asciiTheme="minorHAnsi" w:eastAsiaTheme="minorEastAsia" w:hAnsiTheme="minorHAnsi" w:cstheme="minorBidi"/>
            <w:smallCaps w:val="0"/>
            <w:noProof/>
            <w:sz w:val="22"/>
            <w:szCs w:val="22"/>
          </w:rPr>
          <w:tab/>
        </w:r>
        <w:r w:rsidR="000A6BD1" w:rsidRPr="00344112">
          <w:rPr>
            <w:rStyle w:val="Hyperlink"/>
            <w:noProof/>
          </w:rPr>
          <w:t>Trends of Per Capita Public Health Budget</w:t>
        </w:r>
        <w:r w:rsidR="000A6BD1">
          <w:rPr>
            <w:noProof/>
            <w:webHidden/>
          </w:rPr>
          <w:tab/>
        </w:r>
        <w:r w:rsidR="000A6BD1">
          <w:rPr>
            <w:noProof/>
            <w:webHidden/>
          </w:rPr>
          <w:fldChar w:fldCharType="begin"/>
        </w:r>
        <w:r w:rsidR="000A6BD1">
          <w:rPr>
            <w:noProof/>
            <w:webHidden/>
          </w:rPr>
          <w:instrText xml:space="preserve"> PAGEREF _Toc488423295 \h </w:instrText>
        </w:r>
        <w:r w:rsidR="000A6BD1">
          <w:rPr>
            <w:noProof/>
            <w:webHidden/>
          </w:rPr>
        </w:r>
        <w:r w:rsidR="000A6BD1">
          <w:rPr>
            <w:noProof/>
            <w:webHidden/>
          </w:rPr>
          <w:fldChar w:fldCharType="separate"/>
        </w:r>
        <w:r w:rsidR="000A6BD1">
          <w:rPr>
            <w:noProof/>
            <w:webHidden/>
          </w:rPr>
          <w:t>8</w:t>
        </w:r>
        <w:r w:rsidR="000A6BD1">
          <w:rPr>
            <w:noProof/>
            <w:webHidden/>
          </w:rPr>
          <w:fldChar w:fldCharType="end"/>
        </w:r>
      </w:hyperlink>
    </w:p>
    <w:p w14:paraId="2317F2F1"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296" w:history="1">
        <w:r w:rsidR="000A6BD1" w:rsidRPr="00344112">
          <w:rPr>
            <w:rStyle w:val="Hyperlink"/>
            <w:noProof/>
          </w:rPr>
          <w:t>Figure 3.3b:</w:t>
        </w:r>
        <w:r w:rsidR="000A6BD1">
          <w:rPr>
            <w:rFonts w:asciiTheme="minorHAnsi" w:eastAsiaTheme="minorEastAsia" w:hAnsiTheme="minorHAnsi" w:cstheme="minorBidi"/>
            <w:smallCaps w:val="0"/>
            <w:noProof/>
            <w:sz w:val="22"/>
            <w:szCs w:val="22"/>
          </w:rPr>
          <w:tab/>
        </w:r>
        <w:r w:rsidR="000A6BD1" w:rsidRPr="00344112">
          <w:rPr>
            <w:rStyle w:val="Hyperlink"/>
            <w:noProof/>
          </w:rPr>
          <w:t>Trends of Per Capita Public Health  Expenditure</w:t>
        </w:r>
        <w:r w:rsidR="000A6BD1">
          <w:rPr>
            <w:noProof/>
            <w:webHidden/>
          </w:rPr>
          <w:tab/>
        </w:r>
        <w:r w:rsidR="000A6BD1">
          <w:rPr>
            <w:noProof/>
            <w:webHidden/>
          </w:rPr>
          <w:fldChar w:fldCharType="begin"/>
        </w:r>
        <w:r w:rsidR="000A6BD1">
          <w:rPr>
            <w:noProof/>
            <w:webHidden/>
          </w:rPr>
          <w:instrText xml:space="preserve"> PAGEREF _Toc488423296 \h </w:instrText>
        </w:r>
        <w:r w:rsidR="000A6BD1">
          <w:rPr>
            <w:noProof/>
            <w:webHidden/>
          </w:rPr>
        </w:r>
        <w:r w:rsidR="000A6BD1">
          <w:rPr>
            <w:noProof/>
            <w:webHidden/>
          </w:rPr>
          <w:fldChar w:fldCharType="separate"/>
        </w:r>
        <w:r w:rsidR="000A6BD1">
          <w:rPr>
            <w:noProof/>
            <w:webHidden/>
          </w:rPr>
          <w:t>9</w:t>
        </w:r>
        <w:r w:rsidR="000A6BD1">
          <w:rPr>
            <w:noProof/>
            <w:webHidden/>
          </w:rPr>
          <w:fldChar w:fldCharType="end"/>
        </w:r>
      </w:hyperlink>
    </w:p>
    <w:p w14:paraId="68CFD10E"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297" w:history="1">
        <w:r w:rsidR="000A6BD1" w:rsidRPr="00344112">
          <w:rPr>
            <w:rStyle w:val="Hyperlink"/>
            <w:noProof/>
          </w:rPr>
          <w:t>Figure 3.4:</w:t>
        </w:r>
        <w:r w:rsidR="000A6BD1">
          <w:rPr>
            <w:rFonts w:asciiTheme="minorHAnsi" w:eastAsiaTheme="minorEastAsia" w:hAnsiTheme="minorHAnsi" w:cstheme="minorBidi"/>
            <w:smallCaps w:val="0"/>
            <w:noProof/>
            <w:sz w:val="22"/>
            <w:szCs w:val="22"/>
          </w:rPr>
          <w:tab/>
        </w:r>
        <w:r w:rsidR="000A6BD1" w:rsidRPr="00344112">
          <w:rPr>
            <w:rStyle w:val="Hyperlink"/>
            <w:noProof/>
            <w:lang w:eastAsia="en-GB"/>
          </w:rPr>
          <w:t>Government and Foreign Contribution to Health Expenditures</w:t>
        </w:r>
        <w:r w:rsidR="000A6BD1">
          <w:rPr>
            <w:noProof/>
            <w:webHidden/>
          </w:rPr>
          <w:tab/>
        </w:r>
        <w:r w:rsidR="000A6BD1">
          <w:rPr>
            <w:noProof/>
            <w:webHidden/>
          </w:rPr>
          <w:fldChar w:fldCharType="begin"/>
        </w:r>
        <w:r w:rsidR="000A6BD1">
          <w:rPr>
            <w:noProof/>
            <w:webHidden/>
          </w:rPr>
          <w:instrText xml:space="preserve"> PAGEREF _Toc488423297 \h </w:instrText>
        </w:r>
        <w:r w:rsidR="000A6BD1">
          <w:rPr>
            <w:noProof/>
            <w:webHidden/>
          </w:rPr>
        </w:r>
        <w:r w:rsidR="000A6BD1">
          <w:rPr>
            <w:noProof/>
            <w:webHidden/>
          </w:rPr>
          <w:fldChar w:fldCharType="separate"/>
        </w:r>
        <w:r w:rsidR="000A6BD1">
          <w:rPr>
            <w:noProof/>
            <w:webHidden/>
          </w:rPr>
          <w:t>10</w:t>
        </w:r>
        <w:r w:rsidR="000A6BD1">
          <w:rPr>
            <w:noProof/>
            <w:webHidden/>
          </w:rPr>
          <w:fldChar w:fldCharType="end"/>
        </w:r>
      </w:hyperlink>
    </w:p>
    <w:p w14:paraId="0793E732"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298" w:history="1">
        <w:r w:rsidR="000A6BD1" w:rsidRPr="00344112">
          <w:rPr>
            <w:rStyle w:val="Hyperlink"/>
            <w:noProof/>
          </w:rPr>
          <w:t>Figure 3.5:</w:t>
        </w:r>
        <w:r w:rsidR="000A6BD1">
          <w:rPr>
            <w:rFonts w:asciiTheme="minorHAnsi" w:eastAsiaTheme="minorEastAsia" w:hAnsiTheme="minorHAnsi" w:cstheme="minorBidi"/>
            <w:smallCaps w:val="0"/>
            <w:noProof/>
            <w:sz w:val="22"/>
            <w:szCs w:val="22"/>
          </w:rPr>
          <w:tab/>
        </w:r>
        <w:r w:rsidR="000A6BD1" w:rsidRPr="00344112">
          <w:rPr>
            <w:rStyle w:val="Hyperlink"/>
            <w:noProof/>
          </w:rPr>
          <w:t>T</w:t>
        </w:r>
        <w:r w:rsidR="000A6BD1" w:rsidRPr="00344112">
          <w:rPr>
            <w:rStyle w:val="Hyperlink"/>
            <w:noProof/>
            <w:lang w:eastAsia="en-GB"/>
          </w:rPr>
          <w:t>rend of Shares of Recurrent and Development Budget and Expenditures</w:t>
        </w:r>
        <w:r w:rsidR="000A6BD1">
          <w:rPr>
            <w:noProof/>
            <w:webHidden/>
          </w:rPr>
          <w:tab/>
        </w:r>
        <w:r w:rsidR="000A6BD1">
          <w:rPr>
            <w:noProof/>
            <w:webHidden/>
          </w:rPr>
          <w:fldChar w:fldCharType="begin"/>
        </w:r>
        <w:r w:rsidR="000A6BD1">
          <w:rPr>
            <w:noProof/>
            <w:webHidden/>
          </w:rPr>
          <w:instrText xml:space="preserve"> PAGEREF _Toc488423298 \h </w:instrText>
        </w:r>
        <w:r w:rsidR="000A6BD1">
          <w:rPr>
            <w:noProof/>
            <w:webHidden/>
          </w:rPr>
        </w:r>
        <w:r w:rsidR="000A6BD1">
          <w:rPr>
            <w:noProof/>
            <w:webHidden/>
          </w:rPr>
          <w:fldChar w:fldCharType="separate"/>
        </w:r>
        <w:r w:rsidR="000A6BD1">
          <w:rPr>
            <w:noProof/>
            <w:webHidden/>
          </w:rPr>
          <w:t>13</w:t>
        </w:r>
        <w:r w:rsidR="000A6BD1">
          <w:rPr>
            <w:noProof/>
            <w:webHidden/>
          </w:rPr>
          <w:fldChar w:fldCharType="end"/>
        </w:r>
      </w:hyperlink>
    </w:p>
    <w:p w14:paraId="50192C39"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299" w:history="1">
        <w:r w:rsidR="000A6BD1" w:rsidRPr="00344112">
          <w:rPr>
            <w:rStyle w:val="Hyperlink"/>
            <w:noProof/>
          </w:rPr>
          <w:t>Figure 3.6a:</w:t>
        </w:r>
        <w:r w:rsidR="000A6BD1">
          <w:rPr>
            <w:rFonts w:asciiTheme="minorHAnsi" w:eastAsiaTheme="minorEastAsia" w:hAnsiTheme="minorHAnsi" w:cstheme="minorBidi"/>
            <w:smallCaps w:val="0"/>
            <w:noProof/>
            <w:sz w:val="22"/>
            <w:szCs w:val="22"/>
          </w:rPr>
          <w:tab/>
        </w:r>
        <w:r w:rsidR="000A6BD1" w:rsidRPr="00344112">
          <w:rPr>
            <w:rStyle w:val="Hyperlink"/>
            <w:noProof/>
          </w:rPr>
          <w:t>Overal B</w:t>
        </w:r>
        <w:r w:rsidR="000A6BD1" w:rsidRPr="00344112">
          <w:rPr>
            <w:rStyle w:val="Hyperlink"/>
            <w:noProof/>
            <w:lang w:eastAsia="en-GB"/>
          </w:rPr>
          <w:t>udget Execution</w:t>
        </w:r>
        <w:r w:rsidR="000A6BD1">
          <w:rPr>
            <w:noProof/>
            <w:webHidden/>
          </w:rPr>
          <w:tab/>
        </w:r>
        <w:r w:rsidR="000A6BD1">
          <w:rPr>
            <w:noProof/>
            <w:webHidden/>
          </w:rPr>
          <w:fldChar w:fldCharType="begin"/>
        </w:r>
        <w:r w:rsidR="000A6BD1">
          <w:rPr>
            <w:noProof/>
            <w:webHidden/>
          </w:rPr>
          <w:instrText xml:space="preserve"> PAGEREF _Toc488423299 \h </w:instrText>
        </w:r>
        <w:r w:rsidR="000A6BD1">
          <w:rPr>
            <w:noProof/>
            <w:webHidden/>
          </w:rPr>
        </w:r>
        <w:r w:rsidR="000A6BD1">
          <w:rPr>
            <w:noProof/>
            <w:webHidden/>
          </w:rPr>
          <w:fldChar w:fldCharType="separate"/>
        </w:r>
        <w:r w:rsidR="000A6BD1">
          <w:rPr>
            <w:noProof/>
            <w:webHidden/>
          </w:rPr>
          <w:t>13</w:t>
        </w:r>
        <w:r w:rsidR="000A6BD1">
          <w:rPr>
            <w:noProof/>
            <w:webHidden/>
          </w:rPr>
          <w:fldChar w:fldCharType="end"/>
        </w:r>
      </w:hyperlink>
    </w:p>
    <w:p w14:paraId="70C27659"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300" w:history="1">
        <w:r w:rsidR="000A6BD1" w:rsidRPr="00344112">
          <w:rPr>
            <w:rStyle w:val="Hyperlink"/>
            <w:noProof/>
          </w:rPr>
          <w:t>Figure 3.6b:</w:t>
        </w:r>
        <w:r w:rsidR="000A6BD1">
          <w:rPr>
            <w:rFonts w:asciiTheme="minorHAnsi" w:eastAsiaTheme="minorEastAsia" w:hAnsiTheme="minorHAnsi" w:cstheme="minorBidi"/>
            <w:smallCaps w:val="0"/>
            <w:noProof/>
            <w:sz w:val="22"/>
            <w:szCs w:val="22"/>
          </w:rPr>
          <w:tab/>
        </w:r>
        <w:r w:rsidR="000A6BD1" w:rsidRPr="00344112">
          <w:rPr>
            <w:rStyle w:val="Hyperlink"/>
            <w:noProof/>
          </w:rPr>
          <w:t>Local Funding Budget Execution</w:t>
        </w:r>
        <w:r w:rsidR="000A6BD1">
          <w:rPr>
            <w:noProof/>
            <w:webHidden/>
          </w:rPr>
          <w:tab/>
        </w:r>
        <w:r w:rsidR="000A6BD1">
          <w:rPr>
            <w:noProof/>
            <w:webHidden/>
          </w:rPr>
          <w:fldChar w:fldCharType="begin"/>
        </w:r>
        <w:r w:rsidR="000A6BD1">
          <w:rPr>
            <w:noProof/>
            <w:webHidden/>
          </w:rPr>
          <w:instrText xml:space="preserve"> PAGEREF _Toc488423300 \h </w:instrText>
        </w:r>
        <w:r w:rsidR="000A6BD1">
          <w:rPr>
            <w:noProof/>
            <w:webHidden/>
          </w:rPr>
        </w:r>
        <w:r w:rsidR="000A6BD1">
          <w:rPr>
            <w:noProof/>
            <w:webHidden/>
          </w:rPr>
          <w:fldChar w:fldCharType="separate"/>
        </w:r>
        <w:r w:rsidR="000A6BD1">
          <w:rPr>
            <w:noProof/>
            <w:webHidden/>
          </w:rPr>
          <w:t>14</w:t>
        </w:r>
        <w:r w:rsidR="000A6BD1">
          <w:rPr>
            <w:noProof/>
            <w:webHidden/>
          </w:rPr>
          <w:fldChar w:fldCharType="end"/>
        </w:r>
      </w:hyperlink>
    </w:p>
    <w:p w14:paraId="6F4326E5"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301" w:history="1">
        <w:r w:rsidR="000A6BD1" w:rsidRPr="00344112">
          <w:rPr>
            <w:rStyle w:val="Hyperlink"/>
            <w:noProof/>
          </w:rPr>
          <w:t>Figure 3.6c:</w:t>
        </w:r>
        <w:r w:rsidR="000A6BD1">
          <w:rPr>
            <w:rFonts w:asciiTheme="minorHAnsi" w:eastAsiaTheme="minorEastAsia" w:hAnsiTheme="minorHAnsi" w:cstheme="minorBidi"/>
            <w:smallCaps w:val="0"/>
            <w:noProof/>
            <w:sz w:val="22"/>
            <w:szCs w:val="22"/>
          </w:rPr>
          <w:tab/>
        </w:r>
        <w:r w:rsidR="000A6BD1" w:rsidRPr="00344112">
          <w:rPr>
            <w:rStyle w:val="Hyperlink"/>
            <w:noProof/>
          </w:rPr>
          <w:t>Foreign Funding Budget Execution</w:t>
        </w:r>
        <w:r w:rsidR="000A6BD1">
          <w:rPr>
            <w:noProof/>
            <w:webHidden/>
          </w:rPr>
          <w:tab/>
        </w:r>
        <w:r w:rsidR="000A6BD1">
          <w:rPr>
            <w:noProof/>
            <w:webHidden/>
          </w:rPr>
          <w:fldChar w:fldCharType="begin"/>
        </w:r>
        <w:r w:rsidR="000A6BD1">
          <w:rPr>
            <w:noProof/>
            <w:webHidden/>
          </w:rPr>
          <w:instrText xml:space="preserve"> PAGEREF _Toc488423301 \h </w:instrText>
        </w:r>
        <w:r w:rsidR="000A6BD1">
          <w:rPr>
            <w:noProof/>
            <w:webHidden/>
          </w:rPr>
        </w:r>
        <w:r w:rsidR="000A6BD1">
          <w:rPr>
            <w:noProof/>
            <w:webHidden/>
          </w:rPr>
          <w:fldChar w:fldCharType="separate"/>
        </w:r>
        <w:r w:rsidR="000A6BD1">
          <w:rPr>
            <w:noProof/>
            <w:webHidden/>
          </w:rPr>
          <w:t>14</w:t>
        </w:r>
        <w:r w:rsidR="000A6BD1">
          <w:rPr>
            <w:noProof/>
            <w:webHidden/>
          </w:rPr>
          <w:fldChar w:fldCharType="end"/>
        </w:r>
      </w:hyperlink>
    </w:p>
    <w:p w14:paraId="7E38150D"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302" w:history="1">
        <w:r w:rsidR="000A6BD1" w:rsidRPr="00344112">
          <w:rPr>
            <w:rStyle w:val="Hyperlink"/>
            <w:noProof/>
          </w:rPr>
          <w:t>Figure 3.6d:</w:t>
        </w:r>
        <w:r w:rsidR="000A6BD1">
          <w:rPr>
            <w:rFonts w:asciiTheme="minorHAnsi" w:eastAsiaTheme="minorEastAsia" w:hAnsiTheme="minorHAnsi" w:cstheme="minorBidi"/>
            <w:smallCaps w:val="0"/>
            <w:noProof/>
            <w:sz w:val="22"/>
            <w:szCs w:val="22"/>
          </w:rPr>
          <w:tab/>
        </w:r>
        <w:r w:rsidR="000A6BD1" w:rsidRPr="00344112">
          <w:rPr>
            <w:rStyle w:val="Hyperlink"/>
            <w:noProof/>
          </w:rPr>
          <w:t>Budget Execution by MoHCDGEC Department, 2015/16</w:t>
        </w:r>
        <w:r w:rsidR="000A6BD1">
          <w:rPr>
            <w:noProof/>
            <w:webHidden/>
          </w:rPr>
          <w:tab/>
        </w:r>
        <w:r w:rsidR="000A6BD1">
          <w:rPr>
            <w:noProof/>
            <w:webHidden/>
          </w:rPr>
          <w:fldChar w:fldCharType="begin"/>
        </w:r>
        <w:r w:rsidR="000A6BD1">
          <w:rPr>
            <w:noProof/>
            <w:webHidden/>
          </w:rPr>
          <w:instrText xml:space="preserve"> PAGEREF _Toc488423302 \h </w:instrText>
        </w:r>
        <w:r w:rsidR="000A6BD1">
          <w:rPr>
            <w:noProof/>
            <w:webHidden/>
          </w:rPr>
        </w:r>
        <w:r w:rsidR="000A6BD1">
          <w:rPr>
            <w:noProof/>
            <w:webHidden/>
          </w:rPr>
          <w:fldChar w:fldCharType="separate"/>
        </w:r>
        <w:r w:rsidR="000A6BD1">
          <w:rPr>
            <w:noProof/>
            <w:webHidden/>
          </w:rPr>
          <w:t>15</w:t>
        </w:r>
        <w:r w:rsidR="000A6BD1">
          <w:rPr>
            <w:noProof/>
            <w:webHidden/>
          </w:rPr>
          <w:fldChar w:fldCharType="end"/>
        </w:r>
      </w:hyperlink>
    </w:p>
    <w:p w14:paraId="488C8949"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303" w:history="1">
        <w:r w:rsidR="000A6BD1" w:rsidRPr="00344112">
          <w:rPr>
            <w:rStyle w:val="Hyperlink"/>
            <w:noProof/>
          </w:rPr>
          <w:t>Figure 3.7:</w:t>
        </w:r>
        <w:r w:rsidR="000A6BD1">
          <w:rPr>
            <w:rFonts w:asciiTheme="minorHAnsi" w:eastAsiaTheme="minorEastAsia" w:hAnsiTheme="minorHAnsi" w:cstheme="minorBidi"/>
            <w:smallCaps w:val="0"/>
            <w:noProof/>
            <w:sz w:val="22"/>
            <w:szCs w:val="22"/>
          </w:rPr>
          <w:tab/>
        </w:r>
        <w:r w:rsidR="000A6BD1" w:rsidRPr="00344112">
          <w:rPr>
            <w:rStyle w:val="Hyperlink"/>
            <w:noProof/>
            <w:lang w:eastAsia="en-GB"/>
          </w:rPr>
          <w:t>Shares of Health Resources to the Different Levels of Government</w:t>
        </w:r>
        <w:r w:rsidR="000A6BD1">
          <w:rPr>
            <w:noProof/>
            <w:webHidden/>
          </w:rPr>
          <w:tab/>
        </w:r>
        <w:r w:rsidR="000A6BD1">
          <w:rPr>
            <w:noProof/>
            <w:webHidden/>
          </w:rPr>
          <w:fldChar w:fldCharType="begin"/>
        </w:r>
        <w:r w:rsidR="000A6BD1">
          <w:rPr>
            <w:noProof/>
            <w:webHidden/>
          </w:rPr>
          <w:instrText xml:space="preserve"> PAGEREF _Toc488423303 \h </w:instrText>
        </w:r>
        <w:r w:rsidR="000A6BD1">
          <w:rPr>
            <w:noProof/>
            <w:webHidden/>
          </w:rPr>
        </w:r>
        <w:r w:rsidR="000A6BD1">
          <w:rPr>
            <w:noProof/>
            <w:webHidden/>
          </w:rPr>
          <w:fldChar w:fldCharType="separate"/>
        </w:r>
        <w:r w:rsidR="000A6BD1">
          <w:rPr>
            <w:noProof/>
            <w:webHidden/>
          </w:rPr>
          <w:t>16</w:t>
        </w:r>
        <w:r w:rsidR="000A6BD1">
          <w:rPr>
            <w:noProof/>
            <w:webHidden/>
          </w:rPr>
          <w:fldChar w:fldCharType="end"/>
        </w:r>
      </w:hyperlink>
    </w:p>
    <w:p w14:paraId="527B8F35"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304" w:history="1">
        <w:r w:rsidR="000A6BD1" w:rsidRPr="00344112">
          <w:rPr>
            <w:rStyle w:val="Hyperlink"/>
            <w:noProof/>
          </w:rPr>
          <w:t xml:space="preserve">Figure 4.1: </w:t>
        </w:r>
        <w:r w:rsidR="000A6BD1">
          <w:rPr>
            <w:rFonts w:asciiTheme="minorHAnsi" w:eastAsiaTheme="minorEastAsia" w:hAnsiTheme="minorHAnsi" w:cstheme="minorBidi"/>
            <w:smallCaps w:val="0"/>
            <w:noProof/>
            <w:sz w:val="22"/>
            <w:szCs w:val="22"/>
          </w:rPr>
          <w:tab/>
        </w:r>
        <w:r w:rsidR="000A6BD1" w:rsidRPr="00344112">
          <w:rPr>
            <w:rStyle w:val="Hyperlink"/>
            <w:noProof/>
          </w:rPr>
          <w:t>NHIF Payments by Facility Ownership Type, FY 2012/13 – 2015/16</w:t>
        </w:r>
        <w:r w:rsidR="000A6BD1">
          <w:rPr>
            <w:noProof/>
            <w:webHidden/>
          </w:rPr>
          <w:tab/>
        </w:r>
        <w:r w:rsidR="000A6BD1">
          <w:rPr>
            <w:noProof/>
            <w:webHidden/>
          </w:rPr>
          <w:fldChar w:fldCharType="begin"/>
        </w:r>
        <w:r w:rsidR="000A6BD1">
          <w:rPr>
            <w:noProof/>
            <w:webHidden/>
          </w:rPr>
          <w:instrText xml:space="preserve"> PAGEREF _Toc488423304 \h </w:instrText>
        </w:r>
        <w:r w:rsidR="000A6BD1">
          <w:rPr>
            <w:noProof/>
            <w:webHidden/>
          </w:rPr>
        </w:r>
        <w:r w:rsidR="000A6BD1">
          <w:rPr>
            <w:noProof/>
            <w:webHidden/>
          </w:rPr>
          <w:fldChar w:fldCharType="separate"/>
        </w:r>
        <w:r w:rsidR="000A6BD1">
          <w:rPr>
            <w:noProof/>
            <w:webHidden/>
          </w:rPr>
          <w:t>19</w:t>
        </w:r>
        <w:r w:rsidR="000A6BD1">
          <w:rPr>
            <w:noProof/>
            <w:webHidden/>
          </w:rPr>
          <w:fldChar w:fldCharType="end"/>
        </w:r>
      </w:hyperlink>
    </w:p>
    <w:p w14:paraId="6931CE5A"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305" w:history="1">
        <w:r w:rsidR="000A6BD1" w:rsidRPr="00344112">
          <w:rPr>
            <w:rStyle w:val="Hyperlink"/>
            <w:noProof/>
          </w:rPr>
          <w:t>Figure 4.2:</w:t>
        </w:r>
        <w:r w:rsidR="000A6BD1">
          <w:rPr>
            <w:rFonts w:asciiTheme="minorHAnsi" w:eastAsiaTheme="minorEastAsia" w:hAnsiTheme="minorHAnsi" w:cstheme="minorBidi"/>
            <w:smallCaps w:val="0"/>
            <w:noProof/>
            <w:sz w:val="22"/>
            <w:szCs w:val="22"/>
          </w:rPr>
          <w:tab/>
        </w:r>
        <w:r w:rsidR="000A6BD1" w:rsidRPr="00344112">
          <w:rPr>
            <w:rStyle w:val="Hyperlink"/>
            <w:noProof/>
          </w:rPr>
          <w:t>NHIF Spending by Type of Facility, 2014/15</w:t>
        </w:r>
        <w:r w:rsidR="000A6BD1">
          <w:rPr>
            <w:noProof/>
            <w:webHidden/>
          </w:rPr>
          <w:tab/>
        </w:r>
        <w:r w:rsidR="000A6BD1">
          <w:rPr>
            <w:noProof/>
            <w:webHidden/>
          </w:rPr>
          <w:fldChar w:fldCharType="begin"/>
        </w:r>
        <w:r w:rsidR="000A6BD1">
          <w:rPr>
            <w:noProof/>
            <w:webHidden/>
          </w:rPr>
          <w:instrText xml:space="preserve"> PAGEREF _Toc488423305 \h </w:instrText>
        </w:r>
        <w:r w:rsidR="000A6BD1">
          <w:rPr>
            <w:noProof/>
            <w:webHidden/>
          </w:rPr>
        </w:r>
        <w:r w:rsidR="000A6BD1">
          <w:rPr>
            <w:noProof/>
            <w:webHidden/>
          </w:rPr>
          <w:fldChar w:fldCharType="separate"/>
        </w:r>
        <w:r w:rsidR="000A6BD1">
          <w:rPr>
            <w:noProof/>
            <w:webHidden/>
          </w:rPr>
          <w:t>20</w:t>
        </w:r>
        <w:r w:rsidR="000A6BD1">
          <w:rPr>
            <w:noProof/>
            <w:webHidden/>
          </w:rPr>
          <w:fldChar w:fldCharType="end"/>
        </w:r>
      </w:hyperlink>
    </w:p>
    <w:p w14:paraId="36C63454"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306" w:history="1">
        <w:r w:rsidR="000A6BD1" w:rsidRPr="00344112">
          <w:rPr>
            <w:rStyle w:val="Hyperlink"/>
            <w:noProof/>
          </w:rPr>
          <w:t>Figure 4.3:</w:t>
        </w:r>
        <w:r w:rsidR="000A6BD1">
          <w:rPr>
            <w:rFonts w:asciiTheme="minorHAnsi" w:eastAsiaTheme="minorEastAsia" w:hAnsiTheme="minorHAnsi" w:cstheme="minorBidi"/>
            <w:smallCaps w:val="0"/>
            <w:noProof/>
            <w:sz w:val="22"/>
            <w:szCs w:val="22"/>
          </w:rPr>
          <w:tab/>
        </w:r>
        <w:r w:rsidR="000A6BD1" w:rsidRPr="00344112">
          <w:rPr>
            <w:rStyle w:val="Hyperlink"/>
            <w:noProof/>
          </w:rPr>
          <w:t>NHIF Value Cost by Region, 2015/16</w:t>
        </w:r>
        <w:r w:rsidR="000A6BD1">
          <w:rPr>
            <w:noProof/>
            <w:webHidden/>
          </w:rPr>
          <w:tab/>
        </w:r>
        <w:r w:rsidR="000A6BD1">
          <w:rPr>
            <w:noProof/>
            <w:webHidden/>
          </w:rPr>
          <w:fldChar w:fldCharType="begin"/>
        </w:r>
        <w:r w:rsidR="000A6BD1">
          <w:rPr>
            <w:noProof/>
            <w:webHidden/>
          </w:rPr>
          <w:instrText xml:space="preserve"> PAGEREF _Toc488423306 \h </w:instrText>
        </w:r>
        <w:r w:rsidR="000A6BD1">
          <w:rPr>
            <w:noProof/>
            <w:webHidden/>
          </w:rPr>
        </w:r>
        <w:r w:rsidR="000A6BD1">
          <w:rPr>
            <w:noProof/>
            <w:webHidden/>
          </w:rPr>
          <w:fldChar w:fldCharType="separate"/>
        </w:r>
        <w:r w:rsidR="000A6BD1">
          <w:rPr>
            <w:noProof/>
            <w:webHidden/>
          </w:rPr>
          <w:t>22</w:t>
        </w:r>
        <w:r w:rsidR="000A6BD1">
          <w:rPr>
            <w:noProof/>
            <w:webHidden/>
          </w:rPr>
          <w:fldChar w:fldCharType="end"/>
        </w:r>
      </w:hyperlink>
    </w:p>
    <w:p w14:paraId="6CD247FD"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307" w:history="1">
        <w:r w:rsidR="000A6BD1" w:rsidRPr="00344112">
          <w:rPr>
            <w:rStyle w:val="Hyperlink"/>
            <w:noProof/>
          </w:rPr>
          <w:t>Figure 4.4:</w:t>
        </w:r>
        <w:r w:rsidR="000A6BD1">
          <w:rPr>
            <w:rFonts w:asciiTheme="minorHAnsi" w:eastAsiaTheme="minorEastAsia" w:hAnsiTheme="minorHAnsi" w:cstheme="minorBidi"/>
            <w:smallCaps w:val="0"/>
            <w:noProof/>
            <w:sz w:val="22"/>
            <w:szCs w:val="22"/>
          </w:rPr>
          <w:tab/>
        </w:r>
        <w:r w:rsidR="000A6BD1" w:rsidRPr="00344112">
          <w:rPr>
            <w:rStyle w:val="Hyperlink"/>
            <w:noProof/>
          </w:rPr>
          <w:t>CHF Coverage and Membership, 2012/13 – 2015/16</w:t>
        </w:r>
        <w:r w:rsidR="000A6BD1">
          <w:rPr>
            <w:noProof/>
            <w:webHidden/>
          </w:rPr>
          <w:tab/>
        </w:r>
        <w:r w:rsidR="000A6BD1">
          <w:rPr>
            <w:noProof/>
            <w:webHidden/>
          </w:rPr>
          <w:fldChar w:fldCharType="begin"/>
        </w:r>
        <w:r w:rsidR="000A6BD1">
          <w:rPr>
            <w:noProof/>
            <w:webHidden/>
          </w:rPr>
          <w:instrText xml:space="preserve"> PAGEREF _Toc488423307 \h </w:instrText>
        </w:r>
        <w:r w:rsidR="000A6BD1">
          <w:rPr>
            <w:noProof/>
            <w:webHidden/>
          </w:rPr>
        </w:r>
        <w:r w:rsidR="000A6BD1">
          <w:rPr>
            <w:noProof/>
            <w:webHidden/>
          </w:rPr>
          <w:fldChar w:fldCharType="separate"/>
        </w:r>
        <w:r w:rsidR="000A6BD1">
          <w:rPr>
            <w:noProof/>
            <w:webHidden/>
          </w:rPr>
          <w:t>22</w:t>
        </w:r>
        <w:r w:rsidR="000A6BD1">
          <w:rPr>
            <w:noProof/>
            <w:webHidden/>
          </w:rPr>
          <w:fldChar w:fldCharType="end"/>
        </w:r>
      </w:hyperlink>
    </w:p>
    <w:p w14:paraId="5A20AE11"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308" w:history="1">
        <w:r w:rsidR="000A6BD1" w:rsidRPr="00344112">
          <w:rPr>
            <w:rStyle w:val="Hyperlink"/>
            <w:noProof/>
          </w:rPr>
          <w:t>Figure 4.5:</w:t>
        </w:r>
        <w:r w:rsidR="000A6BD1">
          <w:rPr>
            <w:rFonts w:asciiTheme="minorHAnsi" w:eastAsiaTheme="minorEastAsia" w:hAnsiTheme="minorHAnsi" w:cstheme="minorBidi"/>
            <w:smallCaps w:val="0"/>
            <w:noProof/>
            <w:sz w:val="22"/>
            <w:szCs w:val="22"/>
          </w:rPr>
          <w:tab/>
        </w:r>
        <w:r w:rsidR="000A6BD1" w:rsidRPr="00344112">
          <w:rPr>
            <w:rStyle w:val="Hyperlink"/>
            <w:noProof/>
          </w:rPr>
          <w:t>Estimated CHF Coverage by Regions, 2015/16</w:t>
        </w:r>
        <w:r w:rsidR="000A6BD1">
          <w:rPr>
            <w:noProof/>
            <w:webHidden/>
          </w:rPr>
          <w:tab/>
        </w:r>
        <w:r w:rsidR="000A6BD1">
          <w:rPr>
            <w:noProof/>
            <w:webHidden/>
          </w:rPr>
          <w:fldChar w:fldCharType="begin"/>
        </w:r>
        <w:r w:rsidR="000A6BD1">
          <w:rPr>
            <w:noProof/>
            <w:webHidden/>
          </w:rPr>
          <w:instrText xml:space="preserve"> PAGEREF _Toc488423308 \h </w:instrText>
        </w:r>
        <w:r w:rsidR="000A6BD1">
          <w:rPr>
            <w:noProof/>
            <w:webHidden/>
          </w:rPr>
        </w:r>
        <w:r w:rsidR="000A6BD1">
          <w:rPr>
            <w:noProof/>
            <w:webHidden/>
          </w:rPr>
          <w:fldChar w:fldCharType="separate"/>
        </w:r>
        <w:r w:rsidR="000A6BD1">
          <w:rPr>
            <w:noProof/>
            <w:webHidden/>
          </w:rPr>
          <w:t>23</w:t>
        </w:r>
        <w:r w:rsidR="000A6BD1">
          <w:rPr>
            <w:noProof/>
            <w:webHidden/>
          </w:rPr>
          <w:fldChar w:fldCharType="end"/>
        </w:r>
      </w:hyperlink>
    </w:p>
    <w:p w14:paraId="32C2B771"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309" w:history="1">
        <w:r w:rsidR="000A6BD1" w:rsidRPr="00344112">
          <w:rPr>
            <w:rStyle w:val="Hyperlink"/>
            <w:noProof/>
          </w:rPr>
          <w:t>Figure 5.1:</w:t>
        </w:r>
        <w:r w:rsidR="000A6BD1">
          <w:rPr>
            <w:rFonts w:asciiTheme="minorHAnsi" w:eastAsiaTheme="minorEastAsia" w:hAnsiTheme="minorHAnsi" w:cstheme="minorBidi"/>
            <w:smallCaps w:val="0"/>
            <w:noProof/>
            <w:sz w:val="22"/>
            <w:szCs w:val="22"/>
          </w:rPr>
          <w:tab/>
        </w:r>
        <w:r w:rsidR="000A6BD1" w:rsidRPr="00344112">
          <w:rPr>
            <w:rStyle w:val="Hyperlink"/>
            <w:noProof/>
          </w:rPr>
          <w:t>LGA Budget and Expenditure by Source</w:t>
        </w:r>
        <w:r w:rsidR="000A6BD1">
          <w:rPr>
            <w:noProof/>
            <w:webHidden/>
          </w:rPr>
          <w:tab/>
        </w:r>
        <w:r w:rsidR="000A6BD1">
          <w:rPr>
            <w:noProof/>
            <w:webHidden/>
          </w:rPr>
          <w:fldChar w:fldCharType="begin"/>
        </w:r>
        <w:r w:rsidR="000A6BD1">
          <w:rPr>
            <w:noProof/>
            <w:webHidden/>
          </w:rPr>
          <w:instrText xml:space="preserve"> PAGEREF _Toc488423309 \h </w:instrText>
        </w:r>
        <w:r w:rsidR="000A6BD1">
          <w:rPr>
            <w:noProof/>
            <w:webHidden/>
          </w:rPr>
        </w:r>
        <w:r w:rsidR="000A6BD1">
          <w:rPr>
            <w:noProof/>
            <w:webHidden/>
          </w:rPr>
          <w:fldChar w:fldCharType="separate"/>
        </w:r>
        <w:r w:rsidR="000A6BD1">
          <w:rPr>
            <w:noProof/>
            <w:webHidden/>
          </w:rPr>
          <w:t>27</w:t>
        </w:r>
        <w:r w:rsidR="000A6BD1">
          <w:rPr>
            <w:noProof/>
            <w:webHidden/>
          </w:rPr>
          <w:fldChar w:fldCharType="end"/>
        </w:r>
      </w:hyperlink>
    </w:p>
    <w:p w14:paraId="730427CA"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310" w:history="1">
        <w:r w:rsidR="000A6BD1" w:rsidRPr="00344112">
          <w:rPr>
            <w:rStyle w:val="Hyperlink"/>
            <w:noProof/>
          </w:rPr>
          <w:t>Figure 5.2:</w:t>
        </w:r>
        <w:r w:rsidR="000A6BD1">
          <w:rPr>
            <w:rFonts w:asciiTheme="minorHAnsi" w:eastAsiaTheme="minorEastAsia" w:hAnsiTheme="minorHAnsi" w:cstheme="minorBidi"/>
            <w:smallCaps w:val="0"/>
            <w:noProof/>
            <w:sz w:val="22"/>
            <w:szCs w:val="22"/>
          </w:rPr>
          <w:tab/>
        </w:r>
        <w:r w:rsidR="000A6BD1" w:rsidRPr="00344112">
          <w:rPr>
            <w:rStyle w:val="Hyperlink"/>
            <w:noProof/>
          </w:rPr>
          <w:t>Government Recurrent and Development Spending at LGA</w:t>
        </w:r>
        <w:r w:rsidR="000A6BD1">
          <w:rPr>
            <w:noProof/>
            <w:webHidden/>
          </w:rPr>
          <w:tab/>
        </w:r>
        <w:r w:rsidR="000A6BD1">
          <w:rPr>
            <w:noProof/>
            <w:webHidden/>
          </w:rPr>
          <w:fldChar w:fldCharType="begin"/>
        </w:r>
        <w:r w:rsidR="000A6BD1">
          <w:rPr>
            <w:noProof/>
            <w:webHidden/>
          </w:rPr>
          <w:instrText xml:space="preserve"> PAGEREF _Toc488423310 \h </w:instrText>
        </w:r>
        <w:r w:rsidR="000A6BD1">
          <w:rPr>
            <w:noProof/>
            <w:webHidden/>
          </w:rPr>
        </w:r>
        <w:r w:rsidR="000A6BD1">
          <w:rPr>
            <w:noProof/>
            <w:webHidden/>
          </w:rPr>
          <w:fldChar w:fldCharType="separate"/>
        </w:r>
        <w:r w:rsidR="000A6BD1">
          <w:rPr>
            <w:noProof/>
            <w:webHidden/>
          </w:rPr>
          <w:t>28</w:t>
        </w:r>
        <w:r w:rsidR="000A6BD1">
          <w:rPr>
            <w:noProof/>
            <w:webHidden/>
          </w:rPr>
          <w:fldChar w:fldCharType="end"/>
        </w:r>
      </w:hyperlink>
    </w:p>
    <w:p w14:paraId="01776400" w14:textId="77777777" w:rsidR="000A6BD1" w:rsidRDefault="00934881" w:rsidP="000A6BD1">
      <w:pPr>
        <w:pStyle w:val="TableofFigures"/>
        <w:tabs>
          <w:tab w:val="left" w:pos="1200"/>
          <w:tab w:val="right" w:leader="dot" w:pos="9016"/>
        </w:tabs>
        <w:spacing w:line="360" w:lineRule="auto"/>
        <w:rPr>
          <w:rFonts w:asciiTheme="minorHAnsi" w:eastAsiaTheme="minorEastAsia" w:hAnsiTheme="minorHAnsi" w:cstheme="minorBidi"/>
          <w:smallCaps w:val="0"/>
          <w:noProof/>
          <w:sz w:val="22"/>
          <w:szCs w:val="22"/>
        </w:rPr>
      </w:pPr>
      <w:hyperlink w:anchor="_Toc488423311" w:history="1">
        <w:r w:rsidR="000A6BD1" w:rsidRPr="00344112">
          <w:rPr>
            <w:rStyle w:val="Hyperlink"/>
            <w:noProof/>
          </w:rPr>
          <w:t xml:space="preserve">Figure 5.3: </w:t>
        </w:r>
        <w:r w:rsidR="000A6BD1">
          <w:rPr>
            <w:rFonts w:asciiTheme="minorHAnsi" w:eastAsiaTheme="minorEastAsia" w:hAnsiTheme="minorHAnsi" w:cstheme="minorBidi"/>
            <w:smallCaps w:val="0"/>
            <w:noProof/>
            <w:sz w:val="22"/>
            <w:szCs w:val="22"/>
          </w:rPr>
          <w:tab/>
        </w:r>
        <w:r w:rsidR="000A6BD1" w:rsidRPr="00344112">
          <w:rPr>
            <w:rStyle w:val="Hyperlink"/>
            <w:noProof/>
          </w:rPr>
          <w:t>Budget Performance at LGA, 2012/13-2014/15</w:t>
        </w:r>
        <w:r w:rsidR="000A6BD1">
          <w:rPr>
            <w:noProof/>
            <w:webHidden/>
          </w:rPr>
          <w:tab/>
        </w:r>
        <w:r w:rsidR="000A6BD1">
          <w:rPr>
            <w:noProof/>
            <w:webHidden/>
          </w:rPr>
          <w:fldChar w:fldCharType="begin"/>
        </w:r>
        <w:r w:rsidR="000A6BD1">
          <w:rPr>
            <w:noProof/>
            <w:webHidden/>
          </w:rPr>
          <w:instrText xml:space="preserve"> PAGEREF _Toc488423311 \h </w:instrText>
        </w:r>
        <w:r w:rsidR="000A6BD1">
          <w:rPr>
            <w:noProof/>
            <w:webHidden/>
          </w:rPr>
        </w:r>
        <w:r w:rsidR="000A6BD1">
          <w:rPr>
            <w:noProof/>
            <w:webHidden/>
          </w:rPr>
          <w:fldChar w:fldCharType="separate"/>
        </w:r>
        <w:r w:rsidR="000A6BD1">
          <w:rPr>
            <w:noProof/>
            <w:webHidden/>
          </w:rPr>
          <w:t>30</w:t>
        </w:r>
        <w:r w:rsidR="000A6BD1">
          <w:rPr>
            <w:noProof/>
            <w:webHidden/>
          </w:rPr>
          <w:fldChar w:fldCharType="end"/>
        </w:r>
      </w:hyperlink>
    </w:p>
    <w:p w14:paraId="5C4411F7" w14:textId="77777777" w:rsidR="003737A9" w:rsidRPr="004D7EDB" w:rsidRDefault="00DF4EDD" w:rsidP="000A6BD1">
      <w:pPr>
        <w:pStyle w:val="Heading1"/>
        <w:spacing w:line="360" w:lineRule="auto"/>
      </w:pPr>
      <w:r w:rsidRPr="00F13FB7">
        <w:rPr>
          <w:sz w:val="22"/>
          <w:szCs w:val="22"/>
        </w:rPr>
        <w:fldChar w:fldCharType="end"/>
      </w:r>
      <w:r w:rsidR="00E56537">
        <w:br w:type="page"/>
      </w:r>
      <w:bookmarkStart w:id="4" w:name="_Toc488423245"/>
      <w:r w:rsidR="003737A9" w:rsidRPr="004D7EDB">
        <w:lastRenderedPageBreak/>
        <w:t>List of Abbreviations</w:t>
      </w:r>
      <w:bookmarkEnd w:id="4"/>
    </w:p>
    <w:p w14:paraId="3A7212E3" w14:textId="77777777" w:rsidR="003737A9" w:rsidRPr="004D7EDB" w:rsidRDefault="003737A9" w:rsidP="009461DA">
      <w:pPr>
        <w:spacing w:line="336" w:lineRule="auto"/>
        <w:rPr>
          <w:b/>
        </w:rPr>
      </w:pPr>
    </w:p>
    <w:p w14:paraId="454B71D2" w14:textId="77777777" w:rsidR="003737A9" w:rsidRPr="004D7EDB" w:rsidRDefault="003737A9" w:rsidP="009461DA">
      <w:pPr>
        <w:spacing w:line="336" w:lineRule="auto"/>
        <w:rPr>
          <w:color w:val="000000"/>
          <w:lang w:val="en-GB" w:eastAsia="en-GB"/>
        </w:rPr>
      </w:pPr>
      <w:r w:rsidRPr="004D7EDB">
        <w:rPr>
          <w:color w:val="000000"/>
          <w:lang w:val="en-GB" w:eastAsia="en-GB"/>
        </w:rPr>
        <w:t>ADDOs</w:t>
      </w:r>
      <w:r w:rsidRPr="004D7EDB">
        <w:rPr>
          <w:color w:val="000000"/>
          <w:lang w:val="en-GB" w:eastAsia="en-GB"/>
        </w:rPr>
        <w:tab/>
      </w:r>
      <w:r w:rsidRPr="004D7EDB">
        <w:rPr>
          <w:color w:val="000000"/>
          <w:lang w:val="en-GB" w:eastAsia="en-GB"/>
        </w:rPr>
        <w:tab/>
        <w:t>Accredited Drug Dispensing Outlets</w:t>
      </w:r>
    </w:p>
    <w:p w14:paraId="7A5A5995" w14:textId="77777777" w:rsidR="003737A9" w:rsidRPr="004D7EDB" w:rsidRDefault="003737A9" w:rsidP="009461DA">
      <w:pPr>
        <w:spacing w:line="336" w:lineRule="auto"/>
        <w:rPr>
          <w:color w:val="000000"/>
          <w:lang w:val="en-GB" w:eastAsia="en-GB"/>
        </w:rPr>
      </w:pPr>
      <w:r w:rsidRPr="004D7EDB">
        <w:rPr>
          <w:color w:val="000000"/>
          <w:lang w:val="en-GB" w:eastAsia="en-GB"/>
        </w:rPr>
        <w:t>CCHPs</w:t>
      </w:r>
      <w:r w:rsidRPr="004D7EDB">
        <w:rPr>
          <w:color w:val="000000"/>
          <w:lang w:val="en-GB" w:eastAsia="en-GB"/>
        </w:rPr>
        <w:tab/>
      </w:r>
      <w:r w:rsidRPr="004D7EDB">
        <w:rPr>
          <w:color w:val="000000"/>
          <w:lang w:val="en-GB" w:eastAsia="en-GB"/>
        </w:rPr>
        <w:tab/>
        <w:t>Comprehensive Council Health Plans</w:t>
      </w:r>
    </w:p>
    <w:p w14:paraId="772B903A" w14:textId="77777777" w:rsidR="003737A9" w:rsidRPr="004D7EDB" w:rsidRDefault="003737A9" w:rsidP="009461DA">
      <w:pPr>
        <w:spacing w:line="336" w:lineRule="auto"/>
        <w:rPr>
          <w:color w:val="000000"/>
          <w:lang w:val="en-GB" w:eastAsia="en-GB"/>
        </w:rPr>
      </w:pPr>
      <w:r w:rsidRPr="004D7EDB">
        <w:rPr>
          <w:color w:val="000000"/>
          <w:lang w:val="en-GB" w:eastAsia="en-GB"/>
        </w:rPr>
        <w:t>CFS</w:t>
      </w:r>
      <w:r w:rsidRPr="004D7EDB">
        <w:rPr>
          <w:color w:val="000000"/>
          <w:lang w:val="en-GB" w:eastAsia="en-GB"/>
        </w:rPr>
        <w:tab/>
      </w:r>
      <w:r w:rsidRPr="004D7EDB">
        <w:rPr>
          <w:color w:val="000000"/>
          <w:lang w:val="en-GB" w:eastAsia="en-GB"/>
        </w:rPr>
        <w:tab/>
        <w:t xml:space="preserve">Consolidated Fund Services </w:t>
      </w:r>
    </w:p>
    <w:p w14:paraId="5D48FEE0" w14:textId="77777777" w:rsidR="003737A9" w:rsidRPr="004D7EDB" w:rsidRDefault="003737A9" w:rsidP="009461DA">
      <w:pPr>
        <w:spacing w:line="336" w:lineRule="auto"/>
      </w:pPr>
      <w:r w:rsidRPr="004D7EDB">
        <w:t>CHF</w:t>
      </w:r>
      <w:r w:rsidRPr="004D7EDB">
        <w:tab/>
      </w:r>
      <w:r w:rsidRPr="004D7EDB">
        <w:tab/>
        <w:t>Community Health Fund</w:t>
      </w:r>
    </w:p>
    <w:p w14:paraId="5466B050" w14:textId="77777777" w:rsidR="003737A9" w:rsidRPr="004D7EDB" w:rsidRDefault="003737A9" w:rsidP="009461DA">
      <w:pPr>
        <w:spacing w:line="336" w:lineRule="auto"/>
      </w:pPr>
      <w:r w:rsidRPr="004D7EDB">
        <w:t>CHMT</w:t>
      </w:r>
      <w:r w:rsidRPr="004D7EDB">
        <w:tab/>
      </w:r>
      <w:r w:rsidRPr="004D7EDB">
        <w:tab/>
        <w:t>Council Health Management Team</w:t>
      </w:r>
    </w:p>
    <w:p w14:paraId="0286DE35" w14:textId="77777777" w:rsidR="003737A9" w:rsidRPr="003737A9" w:rsidRDefault="003737A9" w:rsidP="009461DA">
      <w:pPr>
        <w:spacing w:line="336" w:lineRule="auto"/>
        <w:rPr>
          <w:color w:val="000000"/>
        </w:rPr>
      </w:pPr>
      <w:r w:rsidRPr="003737A9">
        <w:rPr>
          <w:color w:val="000000"/>
        </w:rPr>
        <w:t>DHIS2</w:t>
      </w:r>
      <w:r w:rsidRPr="003737A9">
        <w:rPr>
          <w:color w:val="000000"/>
        </w:rPr>
        <w:tab/>
      </w:r>
      <w:r w:rsidRPr="003737A9">
        <w:rPr>
          <w:color w:val="000000"/>
        </w:rPr>
        <w:tab/>
        <w:t>District Health Information 2</w:t>
      </w:r>
    </w:p>
    <w:p w14:paraId="0B07555F" w14:textId="77777777" w:rsidR="003737A9" w:rsidRPr="004D7EDB" w:rsidRDefault="003737A9" w:rsidP="009461DA">
      <w:pPr>
        <w:spacing w:line="336" w:lineRule="auto"/>
      </w:pPr>
      <w:r w:rsidRPr="003737A9">
        <w:t>FFARS</w:t>
      </w:r>
      <w:r w:rsidRPr="003737A9">
        <w:tab/>
      </w:r>
      <w:r w:rsidRPr="003737A9">
        <w:tab/>
        <w:t>Facility Financing, Accounting, and Reporting System</w:t>
      </w:r>
    </w:p>
    <w:p w14:paraId="3362E73F" w14:textId="77777777" w:rsidR="003737A9" w:rsidRPr="004D7EDB" w:rsidRDefault="003737A9" w:rsidP="009461DA">
      <w:pPr>
        <w:spacing w:line="336" w:lineRule="auto"/>
      </w:pPr>
      <w:r w:rsidRPr="004D7EDB">
        <w:t>FY</w:t>
      </w:r>
      <w:r w:rsidRPr="004D7EDB">
        <w:tab/>
      </w:r>
      <w:r w:rsidRPr="004D7EDB">
        <w:tab/>
        <w:t>Financial Year</w:t>
      </w:r>
    </w:p>
    <w:p w14:paraId="744E1C2A" w14:textId="77777777" w:rsidR="003737A9" w:rsidRPr="004D7EDB" w:rsidRDefault="003737A9" w:rsidP="009461DA">
      <w:pPr>
        <w:spacing w:line="336" w:lineRule="auto"/>
      </w:pPr>
      <w:r w:rsidRPr="004D7EDB">
        <w:t>GoT</w:t>
      </w:r>
      <w:r w:rsidRPr="004D7EDB">
        <w:tab/>
      </w:r>
      <w:r w:rsidRPr="004D7EDB">
        <w:tab/>
        <w:t>Government of Tanzania</w:t>
      </w:r>
    </w:p>
    <w:p w14:paraId="739B625D" w14:textId="77777777" w:rsidR="003737A9" w:rsidRPr="004D7EDB" w:rsidRDefault="003737A9" w:rsidP="009461DA">
      <w:pPr>
        <w:spacing w:line="336" w:lineRule="auto"/>
      </w:pPr>
      <w:r w:rsidRPr="004D7EDB">
        <w:t>HBF</w:t>
      </w:r>
      <w:r w:rsidRPr="004D7EDB">
        <w:tab/>
      </w:r>
      <w:r w:rsidRPr="004D7EDB">
        <w:tab/>
        <w:t>Health Basket Fund</w:t>
      </w:r>
    </w:p>
    <w:p w14:paraId="2B198FFC" w14:textId="77777777" w:rsidR="003737A9" w:rsidRPr="004D7EDB" w:rsidRDefault="003737A9" w:rsidP="009461DA">
      <w:pPr>
        <w:spacing w:line="336" w:lineRule="auto"/>
        <w:rPr>
          <w:color w:val="000000"/>
          <w:lang w:val="en-GB" w:eastAsia="en-GB"/>
        </w:rPr>
      </w:pPr>
      <w:r w:rsidRPr="004D7EDB">
        <w:t>HPSS</w:t>
      </w:r>
      <w:r w:rsidRPr="004D7EDB">
        <w:tab/>
      </w:r>
      <w:r w:rsidRPr="004D7EDB">
        <w:tab/>
        <w:t>Health Promotion and Systems Strengthening</w:t>
      </w:r>
    </w:p>
    <w:p w14:paraId="0EB57650" w14:textId="77777777" w:rsidR="003737A9" w:rsidRPr="004D7EDB" w:rsidRDefault="003737A9" w:rsidP="009461DA">
      <w:pPr>
        <w:spacing w:line="336" w:lineRule="auto"/>
      </w:pPr>
      <w:r w:rsidRPr="004D7EDB">
        <w:rPr>
          <w:color w:val="000000"/>
          <w:lang w:val="en-GB" w:eastAsia="en-GB"/>
        </w:rPr>
        <w:t>HSF</w:t>
      </w:r>
      <w:r w:rsidRPr="004D7EDB">
        <w:rPr>
          <w:color w:val="000000"/>
          <w:lang w:val="en-GB" w:eastAsia="en-GB"/>
        </w:rPr>
        <w:tab/>
      </w:r>
      <w:r w:rsidRPr="004D7EDB">
        <w:rPr>
          <w:color w:val="000000"/>
          <w:lang w:val="en-GB" w:eastAsia="en-GB"/>
        </w:rPr>
        <w:tab/>
        <w:t xml:space="preserve">Health Services Fund </w:t>
      </w:r>
    </w:p>
    <w:p w14:paraId="6288A4A4" w14:textId="77777777" w:rsidR="003737A9" w:rsidRPr="004D7EDB" w:rsidRDefault="003737A9" w:rsidP="009461DA">
      <w:pPr>
        <w:spacing w:line="336" w:lineRule="auto"/>
      </w:pPr>
      <w:r w:rsidRPr="004D7EDB">
        <w:t>HSSPs</w:t>
      </w:r>
      <w:r w:rsidRPr="004D7EDB">
        <w:tab/>
      </w:r>
      <w:r w:rsidRPr="004D7EDB">
        <w:tab/>
        <w:t>Health Sector Strategic Plan</w:t>
      </w:r>
    </w:p>
    <w:p w14:paraId="2F210FA8" w14:textId="77777777" w:rsidR="003737A9" w:rsidRPr="004D7EDB" w:rsidRDefault="003737A9" w:rsidP="009461DA">
      <w:pPr>
        <w:spacing w:line="336" w:lineRule="auto"/>
      </w:pPr>
      <w:r w:rsidRPr="004D7EDB">
        <w:rPr>
          <w:color w:val="000000"/>
          <w:lang w:val="en-GB" w:eastAsia="en-GB"/>
        </w:rPr>
        <w:t>ICT</w:t>
      </w:r>
      <w:r w:rsidRPr="004D7EDB">
        <w:rPr>
          <w:color w:val="000000"/>
          <w:lang w:val="en-GB" w:eastAsia="en-GB"/>
        </w:rPr>
        <w:tab/>
      </w:r>
      <w:r w:rsidRPr="004D7EDB">
        <w:rPr>
          <w:color w:val="000000"/>
          <w:lang w:val="en-GB" w:eastAsia="en-GB"/>
        </w:rPr>
        <w:tab/>
        <w:t>Information, Community, and Technology</w:t>
      </w:r>
    </w:p>
    <w:p w14:paraId="22625EF9" w14:textId="77777777" w:rsidR="003737A9" w:rsidRPr="004D7EDB" w:rsidRDefault="003737A9" w:rsidP="009461DA">
      <w:pPr>
        <w:spacing w:line="336" w:lineRule="auto"/>
      </w:pPr>
      <w:r w:rsidRPr="004D7EDB">
        <w:t>LGAs</w:t>
      </w:r>
      <w:r w:rsidRPr="004D7EDB">
        <w:tab/>
      </w:r>
      <w:r w:rsidRPr="004D7EDB">
        <w:tab/>
        <w:t xml:space="preserve">Local Government Authorities </w:t>
      </w:r>
    </w:p>
    <w:p w14:paraId="32E2401D" w14:textId="77777777" w:rsidR="003737A9" w:rsidRPr="004D7EDB" w:rsidRDefault="003737A9" w:rsidP="009461DA">
      <w:pPr>
        <w:spacing w:line="336" w:lineRule="auto"/>
      </w:pPr>
      <w:r w:rsidRPr="004D7EDB">
        <w:t>MDGs</w:t>
      </w:r>
      <w:r w:rsidRPr="004D7EDB">
        <w:tab/>
      </w:r>
      <w:r w:rsidRPr="004D7EDB">
        <w:tab/>
        <w:t>Millennium Development Goals</w:t>
      </w:r>
    </w:p>
    <w:p w14:paraId="2CC26138" w14:textId="77777777" w:rsidR="003737A9" w:rsidRPr="004D7EDB" w:rsidRDefault="003737A9" w:rsidP="009461DA">
      <w:pPr>
        <w:spacing w:line="336" w:lineRule="auto"/>
      </w:pPr>
      <w:r w:rsidRPr="004D7EDB">
        <w:t>MoFP</w:t>
      </w:r>
      <w:r w:rsidRPr="004D7EDB">
        <w:tab/>
      </w:r>
      <w:r w:rsidRPr="004D7EDB">
        <w:tab/>
        <w:t>Ministry of Finance and Planning</w:t>
      </w:r>
    </w:p>
    <w:p w14:paraId="38185C2A" w14:textId="77777777" w:rsidR="003737A9" w:rsidRPr="004D7EDB" w:rsidRDefault="003737A9" w:rsidP="009461DA">
      <w:pPr>
        <w:spacing w:line="336" w:lineRule="auto"/>
        <w:ind w:left="1440" w:hanging="1440"/>
      </w:pPr>
      <w:r w:rsidRPr="004D7EDB">
        <w:t>MoHCDGEC</w:t>
      </w:r>
      <w:r w:rsidRPr="004D7EDB">
        <w:tab/>
        <w:t>Ministry of Health, Community Development, Gender, Elderly and Children</w:t>
      </w:r>
    </w:p>
    <w:p w14:paraId="1994814A" w14:textId="77777777" w:rsidR="003737A9" w:rsidRPr="004D7EDB" w:rsidRDefault="003737A9" w:rsidP="009461DA">
      <w:pPr>
        <w:spacing w:line="336" w:lineRule="auto"/>
      </w:pPr>
      <w:r w:rsidRPr="004D7EDB">
        <w:t>MN</w:t>
      </w:r>
      <w:r w:rsidRPr="004D7EDB">
        <w:tab/>
      </w:r>
      <w:r w:rsidRPr="004D7EDB">
        <w:tab/>
        <w:t>Million</w:t>
      </w:r>
    </w:p>
    <w:p w14:paraId="7130B90A" w14:textId="77777777" w:rsidR="003737A9" w:rsidRPr="004D7EDB" w:rsidRDefault="003737A9" w:rsidP="009461DA">
      <w:pPr>
        <w:spacing w:line="336" w:lineRule="auto"/>
      </w:pPr>
      <w:r w:rsidRPr="004D7EDB">
        <w:t>NHIF</w:t>
      </w:r>
      <w:r w:rsidRPr="004D7EDB">
        <w:tab/>
      </w:r>
      <w:r w:rsidRPr="004D7EDB">
        <w:tab/>
        <w:t>National Health Insurance Fund</w:t>
      </w:r>
    </w:p>
    <w:p w14:paraId="7537A792" w14:textId="77777777" w:rsidR="003737A9" w:rsidRPr="004D7EDB" w:rsidRDefault="003737A9" w:rsidP="009461DA">
      <w:pPr>
        <w:spacing w:line="336" w:lineRule="auto"/>
      </w:pPr>
      <w:r w:rsidRPr="004D7EDB">
        <w:t>OC</w:t>
      </w:r>
      <w:r w:rsidRPr="004D7EDB">
        <w:tab/>
      </w:r>
      <w:r w:rsidRPr="004D7EDB">
        <w:tab/>
        <w:t>Other Charges</w:t>
      </w:r>
    </w:p>
    <w:p w14:paraId="73247E74" w14:textId="77777777" w:rsidR="003737A9" w:rsidRPr="004D7EDB" w:rsidRDefault="003737A9" w:rsidP="009461DA">
      <w:pPr>
        <w:spacing w:line="336" w:lineRule="auto"/>
      </w:pPr>
      <w:r w:rsidRPr="004D7EDB">
        <w:t>PE</w:t>
      </w:r>
      <w:r w:rsidRPr="004D7EDB">
        <w:tab/>
      </w:r>
      <w:r w:rsidRPr="004D7EDB">
        <w:tab/>
        <w:t>Personal Emoluments</w:t>
      </w:r>
    </w:p>
    <w:p w14:paraId="5A141011" w14:textId="77777777" w:rsidR="003737A9" w:rsidRPr="004D7EDB" w:rsidRDefault="003737A9" w:rsidP="009461DA">
      <w:pPr>
        <w:spacing w:line="336" w:lineRule="auto"/>
      </w:pPr>
      <w:r w:rsidRPr="004D7EDB">
        <w:t>PER</w:t>
      </w:r>
      <w:r w:rsidRPr="004D7EDB">
        <w:tab/>
      </w:r>
      <w:r w:rsidRPr="004D7EDB">
        <w:tab/>
        <w:t>Public Expenditure Review</w:t>
      </w:r>
    </w:p>
    <w:p w14:paraId="4EB9339E" w14:textId="77777777" w:rsidR="003737A9" w:rsidRPr="004D7EDB" w:rsidRDefault="003737A9" w:rsidP="009461DA">
      <w:pPr>
        <w:spacing w:line="336" w:lineRule="auto"/>
      </w:pPr>
      <w:r w:rsidRPr="004D7EDB">
        <w:t>PO-RALG</w:t>
      </w:r>
      <w:r w:rsidRPr="004D7EDB">
        <w:tab/>
        <w:t>President’s Office - Regional Administration and Local Government</w:t>
      </w:r>
    </w:p>
    <w:p w14:paraId="31FE0D44" w14:textId="77777777" w:rsidR="003737A9" w:rsidRPr="004D7EDB" w:rsidRDefault="003737A9" w:rsidP="009461DA">
      <w:pPr>
        <w:spacing w:line="336" w:lineRule="auto"/>
      </w:pPr>
      <w:r w:rsidRPr="004D7EDB">
        <w:t>PRSP</w:t>
      </w:r>
      <w:r w:rsidRPr="004D7EDB">
        <w:tab/>
      </w:r>
      <w:r w:rsidRPr="004D7EDB">
        <w:tab/>
        <w:t>Poverty Reduction Strategy Paper</w:t>
      </w:r>
    </w:p>
    <w:p w14:paraId="7A4FAD83" w14:textId="77777777" w:rsidR="003737A9" w:rsidRPr="004D7EDB" w:rsidRDefault="003737A9" w:rsidP="009461DA">
      <w:pPr>
        <w:spacing w:line="336" w:lineRule="auto"/>
      </w:pPr>
      <w:r w:rsidRPr="004D7EDB">
        <w:t>PS3</w:t>
      </w:r>
      <w:r w:rsidRPr="004D7EDB">
        <w:tab/>
      </w:r>
      <w:r w:rsidRPr="004D7EDB">
        <w:tab/>
        <w:t xml:space="preserve">Public Sector Systems Strengthening </w:t>
      </w:r>
    </w:p>
    <w:p w14:paraId="5DC06330" w14:textId="77777777" w:rsidR="003737A9" w:rsidRPr="004D7EDB" w:rsidRDefault="003737A9" w:rsidP="009461DA">
      <w:pPr>
        <w:spacing w:line="336" w:lineRule="auto"/>
      </w:pPr>
      <w:r w:rsidRPr="004D7EDB">
        <w:t>SDGs</w:t>
      </w:r>
      <w:r w:rsidRPr="004D7EDB">
        <w:tab/>
      </w:r>
      <w:r w:rsidRPr="004D7EDB">
        <w:tab/>
        <w:t>Sustainable Development Goals</w:t>
      </w:r>
    </w:p>
    <w:p w14:paraId="38AA1828" w14:textId="77777777" w:rsidR="003737A9" w:rsidRPr="004D7EDB" w:rsidRDefault="003737A9" w:rsidP="009461DA">
      <w:pPr>
        <w:spacing w:line="336" w:lineRule="auto"/>
      </w:pPr>
      <w:r w:rsidRPr="004D7EDB">
        <w:t>UHC</w:t>
      </w:r>
      <w:r w:rsidRPr="004D7EDB">
        <w:tab/>
      </w:r>
      <w:r w:rsidRPr="004D7EDB">
        <w:tab/>
        <w:t xml:space="preserve">Universal Health Coverage  </w:t>
      </w:r>
    </w:p>
    <w:p w14:paraId="706D89B3" w14:textId="77777777" w:rsidR="003737A9" w:rsidRPr="004D7EDB" w:rsidRDefault="003737A9" w:rsidP="009461DA">
      <w:pPr>
        <w:spacing w:line="336" w:lineRule="auto"/>
      </w:pPr>
      <w:r w:rsidRPr="004D7EDB">
        <w:t>TZS</w:t>
      </w:r>
      <w:r w:rsidRPr="004D7EDB">
        <w:tab/>
      </w:r>
      <w:r w:rsidRPr="004D7EDB">
        <w:tab/>
        <w:t>Tanzanian Shillings</w:t>
      </w:r>
    </w:p>
    <w:p w14:paraId="354889B2" w14:textId="77777777" w:rsidR="003737A9" w:rsidRPr="00A41DC3" w:rsidRDefault="003737A9" w:rsidP="009461DA">
      <w:pPr>
        <w:spacing w:line="336" w:lineRule="auto"/>
      </w:pPr>
      <w:r w:rsidRPr="004D7EDB">
        <w:rPr>
          <w:color w:val="000000"/>
          <w:lang w:val="en-GB" w:eastAsia="en-GB"/>
        </w:rPr>
        <w:t>WHO</w:t>
      </w:r>
      <w:r w:rsidRPr="004D7EDB">
        <w:rPr>
          <w:color w:val="000000"/>
          <w:lang w:val="en-GB" w:eastAsia="en-GB"/>
        </w:rPr>
        <w:tab/>
      </w:r>
      <w:r w:rsidRPr="004D7EDB">
        <w:rPr>
          <w:color w:val="000000"/>
          <w:lang w:val="en-GB" w:eastAsia="en-GB"/>
        </w:rPr>
        <w:tab/>
        <w:t>World Health Organization</w:t>
      </w:r>
    </w:p>
    <w:p w14:paraId="3AD73A45" w14:textId="77777777" w:rsidR="003737A9" w:rsidRDefault="003737A9" w:rsidP="003737A9"/>
    <w:p w14:paraId="6DE34347" w14:textId="77777777" w:rsidR="003737A9" w:rsidRPr="00915658" w:rsidRDefault="00FF2D02" w:rsidP="00876EF5">
      <w:pPr>
        <w:pStyle w:val="Heading1"/>
      </w:pPr>
      <w:r w:rsidRPr="001170AC">
        <w:rPr>
          <w:highlight w:val="yellow"/>
        </w:rPr>
        <w:br w:type="page"/>
      </w:r>
      <w:bookmarkStart w:id="5" w:name="_Toc488423246"/>
      <w:bookmarkEnd w:id="1"/>
      <w:r w:rsidR="003737A9" w:rsidRPr="00915658">
        <w:lastRenderedPageBreak/>
        <w:t>Executive Summary</w:t>
      </w:r>
      <w:bookmarkEnd w:id="5"/>
    </w:p>
    <w:p w14:paraId="4298EF4E" w14:textId="77777777" w:rsidR="003737A9" w:rsidRPr="00915658" w:rsidRDefault="003737A9" w:rsidP="003737A9">
      <w:pPr>
        <w:rPr>
          <w:lang w:val="en-GB"/>
        </w:rPr>
      </w:pPr>
    </w:p>
    <w:p w14:paraId="00216E90" w14:textId="77777777" w:rsidR="003737A9" w:rsidRPr="00915658" w:rsidRDefault="003737A9" w:rsidP="003737A9">
      <w:pPr>
        <w:pStyle w:val="NoSpacing"/>
        <w:spacing w:line="276" w:lineRule="auto"/>
      </w:pPr>
      <w:r w:rsidRPr="00915658">
        <w:t>The Health Sector PER for 2015/16 Financial Year sets out to assess the budgetary allocations and expenditures to inform stakeholders about progress made in key health financing milestones over the 2012/13–2016/17 period. Specifically, the PER FY15/16 provides:</w:t>
      </w:r>
    </w:p>
    <w:p w14:paraId="1D9B3B05" w14:textId="77777777" w:rsidR="003737A9" w:rsidRPr="00915658" w:rsidRDefault="003737A9" w:rsidP="003737A9">
      <w:pPr>
        <w:pStyle w:val="NoSpacing"/>
        <w:numPr>
          <w:ilvl w:val="0"/>
          <w:numId w:val="21"/>
        </w:numPr>
        <w:spacing w:line="276" w:lineRule="auto"/>
      </w:pPr>
      <w:r w:rsidRPr="00915658">
        <w:t>A review of PER FY14/15 findings and actions taken by the sector in response to those findings, indicating unaccomplished/pending actions, and identifying follow-up actions.</w:t>
      </w:r>
    </w:p>
    <w:p w14:paraId="6733E4D7" w14:textId="77777777" w:rsidR="003737A9" w:rsidRPr="00915658" w:rsidRDefault="003737A9" w:rsidP="003737A9">
      <w:pPr>
        <w:pStyle w:val="NoSpacing"/>
        <w:numPr>
          <w:ilvl w:val="0"/>
          <w:numId w:val="21"/>
        </w:numPr>
        <w:spacing w:line="276" w:lineRule="auto"/>
      </w:pPr>
      <w:r w:rsidRPr="00915658">
        <w:t>Analysis of the trends in the sources of funding for the health sector for the past five fiscal years.</w:t>
      </w:r>
    </w:p>
    <w:p w14:paraId="4CDEF2E8" w14:textId="77777777" w:rsidR="003737A9" w:rsidRPr="00915658" w:rsidRDefault="003737A9" w:rsidP="003737A9">
      <w:pPr>
        <w:pStyle w:val="NoSpacing"/>
        <w:numPr>
          <w:ilvl w:val="0"/>
          <w:numId w:val="21"/>
        </w:numPr>
        <w:spacing w:line="276" w:lineRule="auto"/>
      </w:pPr>
      <w:r w:rsidRPr="00915658">
        <w:t>Analysis of the trend of recurrent and development budget and expenditures for the past five fiscal years.</w:t>
      </w:r>
    </w:p>
    <w:p w14:paraId="20199037" w14:textId="77777777" w:rsidR="003737A9" w:rsidRPr="00915658" w:rsidRDefault="003737A9" w:rsidP="003737A9">
      <w:pPr>
        <w:pStyle w:val="NoSpacing"/>
        <w:numPr>
          <w:ilvl w:val="0"/>
          <w:numId w:val="21"/>
        </w:numPr>
        <w:spacing w:line="276" w:lineRule="auto"/>
      </w:pPr>
      <w:r w:rsidRPr="00915658">
        <w:t>Analysis of budget and expenditure trends for the different sectoral and sub-sectoral levels including the central-local government split.</w:t>
      </w:r>
    </w:p>
    <w:p w14:paraId="0FBE50F8" w14:textId="77777777" w:rsidR="003737A9" w:rsidRPr="00915658" w:rsidRDefault="003737A9" w:rsidP="003737A9">
      <w:pPr>
        <w:pStyle w:val="NoSpacing"/>
        <w:numPr>
          <w:ilvl w:val="0"/>
          <w:numId w:val="21"/>
        </w:numPr>
        <w:spacing w:line="276" w:lineRule="auto"/>
      </w:pPr>
      <w:r w:rsidRPr="00915658">
        <w:t>Assessment of budget performance (allocation versus actual spending) by classification (development and recurrent), funding sources (government funding and foreign funding), and different levels (central and local).</w:t>
      </w:r>
    </w:p>
    <w:p w14:paraId="1334FC69" w14:textId="77777777" w:rsidR="003737A9" w:rsidRPr="00915658" w:rsidRDefault="003737A9" w:rsidP="003737A9">
      <w:pPr>
        <w:pStyle w:val="NoSpacing"/>
        <w:spacing w:line="276" w:lineRule="auto"/>
        <w:ind w:left="720"/>
      </w:pPr>
    </w:p>
    <w:p w14:paraId="72C3F21A" w14:textId="77777777" w:rsidR="003737A9" w:rsidRPr="00915658" w:rsidRDefault="003737A9" w:rsidP="003737A9">
      <w:pPr>
        <w:rPr>
          <w:b/>
          <w:lang w:val="en-GB"/>
        </w:rPr>
      </w:pPr>
      <w:r w:rsidRPr="00915658">
        <w:rPr>
          <w:b/>
          <w:lang w:val="en-GB"/>
        </w:rPr>
        <w:t>Key PER Findings</w:t>
      </w:r>
    </w:p>
    <w:p w14:paraId="622BC4DB" w14:textId="77777777" w:rsidR="003737A9" w:rsidRPr="00915658" w:rsidRDefault="003737A9" w:rsidP="003737A9">
      <w:pPr>
        <w:pStyle w:val="1-DocText"/>
        <w:spacing w:before="0" w:after="0" w:line="276" w:lineRule="auto"/>
        <w:jc w:val="both"/>
        <w:rPr>
          <w:rFonts w:ascii="Calibri" w:hAnsi="Calibri"/>
          <w:b/>
          <w:i/>
          <w:color w:val="000000"/>
          <w:sz w:val="24"/>
          <w:szCs w:val="24"/>
          <w:lang w:val="en-GB" w:eastAsia="en-GB"/>
        </w:rPr>
      </w:pPr>
    </w:p>
    <w:p w14:paraId="442BF7AD" w14:textId="77777777" w:rsidR="003737A9" w:rsidRPr="00915658" w:rsidRDefault="003737A9" w:rsidP="003737A9">
      <w:pPr>
        <w:pStyle w:val="1-DocText"/>
        <w:spacing w:before="0" w:after="0" w:line="276" w:lineRule="auto"/>
        <w:jc w:val="both"/>
        <w:rPr>
          <w:rFonts w:ascii="Calibri" w:hAnsi="Calibri"/>
          <w:b/>
          <w:color w:val="000000"/>
          <w:sz w:val="24"/>
          <w:szCs w:val="24"/>
          <w:lang w:val="en-GB" w:eastAsia="en-GB"/>
        </w:rPr>
      </w:pPr>
      <w:r w:rsidRPr="00915658">
        <w:rPr>
          <w:rFonts w:ascii="Calibri" w:hAnsi="Calibri"/>
          <w:b/>
          <w:color w:val="000000"/>
          <w:sz w:val="24"/>
          <w:szCs w:val="24"/>
          <w:lang w:val="en-GB" w:eastAsia="en-GB"/>
        </w:rPr>
        <w:t>(a) General Trend in Health Financing</w:t>
      </w:r>
    </w:p>
    <w:p w14:paraId="65C973D3" w14:textId="77777777" w:rsidR="003737A9" w:rsidRPr="00915658" w:rsidRDefault="003737A9" w:rsidP="003737A9">
      <w:pPr>
        <w:rPr>
          <w:b/>
          <w:i/>
          <w:color w:val="000000"/>
          <w:lang w:val="en-GB" w:eastAsia="en-GB"/>
        </w:rPr>
      </w:pPr>
    </w:p>
    <w:p w14:paraId="7C6D4688" w14:textId="77777777" w:rsidR="003737A9" w:rsidRDefault="003737A9" w:rsidP="003737A9">
      <w:pPr>
        <w:rPr>
          <w:b/>
          <w:i/>
          <w:color w:val="000000"/>
          <w:lang w:val="en-GB" w:eastAsia="en-GB"/>
        </w:rPr>
      </w:pPr>
      <w:r w:rsidRPr="00915658">
        <w:rPr>
          <w:b/>
          <w:i/>
          <w:color w:val="000000"/>
          <w:lang w:val="en-GB" w:eastAsia="en-GB"/>
        </w:rPr>
        <w:t xml:space="preserve">The share of government actual spending to the health sector has not kept pace with general government spending between 2012/13 and 2015/16 – it has declined with and without Consolidated Fund Services (CFS):   </w:t>
      </w:r>
    </w:p>
    <w:p w14:paraId="0737CA4B" w14:textId="77777777" w:rsidR="00876EF5" w:rsidRPr="00915658" w:rsidRDefault="00876EF5" w:rsidP="003737A9">
      <w:pPr>
        <w:rPr>
          <w:b/>
          <w:i/>
          <w:color w:val="000000"/>
          <w:lang w:val="en-GB" w:eastAsia="en-GB"/>
        </w:rPr>
      </w:pPr>
    </w:p>
    <w:p w14:paraId="02584E88" w14:textId="77777777" w:rsidR="003737A9" w:rsidRPr="00915658" w:rsidRDefault="003737A9" w:rsidP="003737A9">
      <w:pPr>
        <w:pStyle w:val="1-DocText"/>
        <w:spacing w:before="0" w:after="0" w:line="276" w:lineRule="auto"/>
        <w:jc w:val="both"/>
        <w:rPr>
          <w:rFonts w:ascii="Calibri" w:hAnsi="Calibri"/>
          <w:color w:val="000000"/>
          <w:sz w:val="24"/>
          <w:szCs w:val="24"/>
          <w:lang w:val="en-GB" w:eastAsia="en-GB"/>
        </w:rPr>
      </w:pPr>
      <w:r w:rsidRPr="00915658">
        <w:rPr>
          <w:rFonts w:ascii="Calibri" w:hAnsi="Calibri"/>
          <w:color w:val="000000"/>
          <w:sz w:val="24"/>
          <w:szCs w:val="24"/>
          <w:lang w:val="en-GB" w:eastAsia="en-GB"/>
        </w:rPr>
        <w:t>Although the total public health budget in both nominal and real terms increased significantly from 2012/13 to 2015/16 (94.1% and 67.3% increase respectively), the actual health spending in both nominal and real terms showed a modest increase (37.1% and 17% increase respectively). However, the share of actual health spending in total government spending (excluding CFS) declined from 9.2% in 2012/13 to 7.3% in 2015/16, while with CFS included the decline in the share of health spending was from 8.7% in 2012/13 to 8.0 in 2015/16.</w:t>
      </w:r>
    </w:p>
    <w:p w14:paraId="10C95C20" w14:textId="77777777" w:rsidR="003737A9" w:rsidRPr="00915658" w:rsidRDefault="003737A9" w:rsidP="003737A9">
      <w:pPr>
        <w:pStyle w:val="1-DocText"/>
        <w:spacing w:before="0" w:after="0" w:line="276" w:lineRule="auto"/>
        <w:jc w:val="both"/>
        <w:rPr>
          <w:rFonts w:ascii="Calibri" w:hAnsi="Calibri"/>
          <w:color w:val="000000"/>
          <w:sz w:val="24"/>
          <w:szCs w:val="24"/>
          <w:lang w:val="en-GB" w:eastAsia="en-GB"/>
        </w:rPr>
      </w:pPr>
    </w:p>
    <w:p w14:paraId="17DFEB41" w14:textId="77777777" w:rsidR="003737A9" w:rsidRDefault="003737A9" w:rsidP="003737A9">
      <w:pPr>
        <w:pStyle w:val="1-DocText"/>
        <w:spacing w:before="0" w:after="0" w:line="276" w:lineRule="auto"/>
        <w:jc w:val="both"/>
        <w:rPr>
          <w:rFonts w:ascii="Calibri" w:hAnsi="Calibri"/>
          <w:b/>
          <w:i/>
          <w:color w:val="000000"/>
          <w:sz w:val="24"/>
          <w:szCs w:val="24"/>
          <w:lang w:val="en-GB" w:eastAsia="en-GB"/>
        </w:rPr>
      </w:pPr>
      <w:r w:rsidRPr="00915658">
        <w:rPr>
          <w:rFonts w:ascii="Calibri" w:hAnsi="Calibri"/>
          <w:b/>
          <w:i/>
          <w:color w:val="000000"/>
          <w:sz w:val="24"/>
          <w:szCs w:val="24"/>
          <w:lang w:val="en-GB" w:eastAsia="en-GB"/>
        </w:rPr>
        <w:t>Despite the increase in the public health spending overtime, it has not kept pace with the population growth thus leaving just a modest amount to be spent per capita:</w:t>
      </w:r>
    </w:p>
    <w:p w14:paraId="0450ECDE" w14:textId="77777777" w:rsidR="00876EF5" w:rsidRPr="00915658" w:rsidRDefault="00876EF5" w:rsidP="003737A9">
      <w:pPr>
        <w:pStyle w:val="1-DocText"/>
        <w:spacing w:before="0" w:after="0" w:line="276" w:lineRule="auto"/>
        <w:jc w:val="both"/>
        <w:rPr>
          <w:rFonts w:ascii="Calibri" w:hAnsi="Calibri"/>
          <w:b/>
          <w:i/>
          <w:sz w:val="24"/>
          <w:szCs w:val="24"/>
        </w:rPr>
      </w:pPr>
    </w:p>
    <w:p w14:paraId="2F9BA25E" w14:textId="77777777" w:rsidR="003737A9" w:rsidRPr="00915658" w:rsidRDefault="003737A9" w:rsidP="003737A9">
      <w:pPr>
        <w:pStyle w:val="1-DocText"/>
        <w:spacing w:before="0" w:after="0" w:line="276" w:lineRule="auto"/>
        <w:jc w:val="both"/>
        <w:rPr>
          <w:rFonts w:ascii="Calibri" w:hAnsi="Calibri"/>
          <w:color w:val="000000"/>
          <w:sz w:val="24"/>
          <w:szCs w:val="24"/>
          <w:lang w:val="en-GB" w:eastAsia="en-GB"/>
        </w:rPr>
      </w:pPr>
      <w:r w:rsidRPr="00915658">
        <w:rPr>
          <w:rFonts w:ascii="Calibri" w:hAnsi="Calibri"/>
          <w:color w:val="000000"/>
          <w:sz w:val="24"/>
          <w:szCs w:val="24"/>
          <w:lang w:val="en-GB" w:eastAsia="en-GB"/>
        </w:rPr>
        <w:t xml:space="preserve">In real terms, there is an upward trend for both per capital budget allocation and actual expenditure – increase from TZS 16,228 (USD 10.27) in 2012/13 to TZS 18,315 (USD 10.59) in 2015/16 and TZS 13,480 (USD 8.53) in 2012/13 to TZS 14,540 (USD 8.41) in 2015/16 respectively. Because of population growth, domestic inflation and depreciation of the shilling, the estimated per capita health expenditures in real terms have consistently </w:t>
      </w:r>
      <w:r w:rsidRPr="00915658">
        <w:rPr>
          <w:rFonts w:ascii="Calibri" w:hAnsi="Calibri"/>
          <w:color w:val="000000"/>
          <w:sz w:val="24"/>
          <w:szCs w:val="24"/>
          <w:lang w:val="en-GB" w:eastAsia="en-GB"/>
        </w:rPr>
        <w:lastRenderedPageBreak/>
        <w:t xml:space="preserve">remained below USD 10 throughout the review period which is shot of USD 54 recommended by the World Health Organization (WHO). </w:t>
      </w:r>
    </w:p>
    <w:p w14:paraId="00B0BFF4" w14:textId="77777777" w:rsidR="003737A9" w:rsidRPr="00915658" w:rsidRDefault="003737A9" w:rsidP="003737A9">
      <w:pPr>
        <w:pStyle w:val="1-DocText"/>
        <w:spacing w:before="0" w:after="0" w:line="276" w:lineRule="auto"/>
        <w:jc w:val="both"/>
        <w:rPr>
          <w:rFonts w:ascii="Calibri" w:hAnsi="Calibri"/>
          <w:color w:val="000000"/>
          <w:sz w:val="24"/>
          <w:szCs w:val="24"/>
          <w:lang w:val="en-GB" w:eastAsia="en-GB"/>
        </w:rPr>
      </w:pPr>
    </w:p>
    <w:p w14:paraId="17C091EA" w14:textId="77777777" w:rsidR="003737A9" w:rsidRPr="00915658" w:rsidRDefault="003737A9" w:rsidP="003737A9">
      <w:pPr>
        <w:pStyle w:val="1-DocText"/>
        <w:spacing w:before="0" w:after="0" w:line="276" w:lineRule="auto"/>
        <w:jc w:val="both"/>
        <w:rPr>
          <w:rFonts w:ascii="Calibri" w:hAnsi="Calibri"/>
          <w:b/>
          <w:color w:val="000000"/>
          <w:sz w:val="24"/>
          <w:szCs w:val="24"/>
          <w:lang w:val="en-GB" w:eastAsia="en-GB"/>
        </w:rPr>
      </w:pPr>
      <w:r w:rsidRPr="00915658">
        <w:rPr>
          <w:rFonts w:ascii="Calibri" w:hAnsi="Calibri"/>
          <w:b/>
          <w:color w:val="000000"/>
          <w:sz w:val="24"/>
          <w:szCs w:val="24"/>
          <w:lang w:val="en-GB" w:eastAsia="en-GB"/>
        </w:rPr>
        <w:t>(B) Sources of Financing</w:t>
      </w:r>
    </w:p>
    <w:p w14:paraId="51AA802B" w14:textId="77777777" w:rsidR="003737A9" w:rsidRPr="00915658" w:rsidRDefault="003737A9" w:rsidP="003737A9">
      <w:pPr>
        <w:pStyle w:val="1-DocText"/>
        <w:spacing w:before="0" w:after="0" w:line="276" w:lineRule="auto"/>
        <w:jc w:val="both"/>
        <w:rPr>
          <w:rFonts w:ascii="Calibri" w:hAnsi="Calibri"/>
          <w:color w:val="000000"/>
          <w:sz w:val="24"/>
          <w:szCs w:val="24"/>
          <w:lang w:val="en-GB" w:eastAsia="en-GB"/>
        </w:rPr>
      </w:pPr>
    </w:p>
    <w:p w14:paraId="1503E5E0" w14:textId="77777777" w:rsidR="003737A9" w:rsidRPr="00915658" w:rsidRDefault="003737A9" w:rsidP="003737A9">
      <w:pPr>
        <w:pStyle w:val="1-DocText"/>
        <w:spacing w:before="0" w:after="0" w:line="276" w:lineRule="auto"/>
        <w:jc w:val="both"/>
        <w:rPr>
          <w:rFonts w:ascii="Calibri" w:hAnsi="Calibri"/>
          <w:color w:val="000000"/>
          <w:sz w:val="24"/>
          <w:szCs w:val="24"/>
          <w:lang w:val="en-GB" w:eastAsia="en-GB"/>
        </w:rPr>
      </w:pPr>
      <w:r w:rsidRPr="00915658">
        <w:rPr>
          <w:rFonts w:ascii="Calibri" w:hAnsi="Calibri"/>
          <w:b/>
          <w:i/>
          <w:color w:val="000000"/>
          <w:sz w:val="24"/>
          <w:szCs w:val="24"/>
          <w:lang w:val="en-GB" w:eastAsia="en-GB"/>
        </w:rPr>
        <w:t>Government funding remains the dominant source of public health financing. The donor funding has been unpredictable especially the non-basket source:</w:t>
      </w:r>
      <w:r w:rsidRPr="00915658">
        <w:rPr>
          <w:rFonts w:ascii="Calibri" w:hAnsi="Calibri"/>
          <w:color w:val="000000"/>
          <w:sz w:val="24"/>
          <w:szCs w:val="24"/>
          <w:lang w:val="en-GB" w:eastAsia="en-GB"/>
        </w:rPr>
        <w:t xml:space="preserve"> </w:t>
      </w:r>
    </w:p>
    <w:p w14:paraId="519681EA" w14:textId="77777777" w:rsidR="00713B7C" w:rsidRDefault="00713B7C" w:rsidP="003737A9">
      <w:pPr>
        <w:pStyle w:val="1-DocText"/>
        <w:spacing w:before="0" w:after="0" w:line="276" w:lineRule="auto"/>
        <w:jc w:val="both"/>
        <w:rPr>
          <w:rFonts w:ascii="Calibri" w:hAnsi="Calibri"/>
          <w:color w:val="000000"/>
          <w:sz w:val="24"/>
          <w:szCs w:val="24"/>
          <w:lang w:val="en-GB" w:eastAsia="en-GB"/>
        </w:rPr>
      </w:pPr>
    </w:p>
    <w:p w14:paraId="1602C90C" w14:textId="77777777" w:rsidR="003737A9" w:rsidRPr="00915658" w:rsidRDefault="003737A9" w:rsidP="003737A9">
      <w:pPr>
        <w:pStyle w:val="1-DocText"/>
        <w:spacing w:before="0" w:after="0" w:line="276" w:lineRule="auto"/>
        <w:jc w:val="both"/>
        <w:rPr>
          <w:rFonts w:ascii="Calibri" w:hAnsi="Calibri"/>
          <w:color w:val="000000"/>
          <w:sz w:val="24"/>
          <w:szCs w:val="24"/>
          <w:lang w:val="en-GB" w:eastAsia="en-GB"/>
        </w:rPr>
      </w:pPr>
      <w:r w:rsidRPr="00915658">
        <w:rPr>
          <w:rFonts w:ascii="Calibri" w:hAnsi="Calibri"/>
          <w:color w:val="000000"/>
          <w:sz w:val="24"/>
          <w:szCs w:val="24"/>
          <w:lang w:val="en-GB" w:eastAsia="en-GB"/>
        </w:rPr>
        <w:t xml:space="preserve">The actual government spending increased from TZS 765.3 billion in 2012/13 to TZS 1,260.8 billion in 2015/16 which is a 64.7% increase while the actual expenditure for foreign funds declined from TZS 289.9 billion in 2012/13 to TZS 190.4 billion in 2015/16 which is a 52.3% decline. The expenditure from health basket in particular, declined by 24% from TZS 142.8 billion in 2012/13 to TZS 96.9 billion in 2015/16. Comparing the non-basket funds approved estimates for 2015/16 with the actual expenditure there is a significant difference – TZS 419,350 billion, meaning that only 18% of the approved estimate was released.  </w:t>
      </w:r>
    </w:p>
    <w:p w14:paraId="03E79F70" w14:textId="77777777" w:rsidR="003737A9" w:rsidRPr="00915658" w:rsidRDefault="003737A9" w:rsidP="003737A9">
      <w:pPr>
        <w:pStyle w:val="1-DocText"/>
        <w:spacing w:before="0" w:after="0" w:line="276" w:lineRule="auto"/>
        <w:jc w:val="both"/>
        <w:rPr>
          <w:rFonts w:ascii="Calibri" w:hAnsi="Calibri"/>
          <w:color w:val="000000"/>
          <w:sz w:val="24"/>
          <w:szCs w:val="24"/>
          <w:lang w:val="en-GB" w:eastAsia="en-GB"/>
        </w:rPr>
      </w:pPr>
    </w:p>
    <w:p w14:paraId="67DC4980" w14:textId="77777777" w:rsidR="003737A9" w:rsidRPr="00915658" w:rsidRDefault="003737A9" w:rsidP="003737A9">
      <w:pPr>
        <w:pStyle w:val="NoSpacing"/>
        <w:spacing w:line="276" w:lineRule="auto"/>
        <w:rPr>
          <w:b/>
        </w:rPr>
      </w:pPr>
      <w:r w:rsidRPr="00915658">
        <w:rPr>
          <w:b/>
        </w:rPr>
        <w:t>(C) Recurrent and Development Expenditures</w:t>
      </w:r>
    </w:p>
    <w:p w14:paraId="08FCAE16" w14:textId="77777777" w:rsidR="003737A9" w:rsidRPr="00915658" w:rsidRDefault="003737A9" w:rsidP="003737A9">
      <w:pPr>
        <w:pStyle w:val="1-DocText"/>
        <w:spacing w:before="0" w:after="0" w:line="276" w:lineRule="auto"/>
        <w:jc w:val="both"/>
        <w:rPr>
          <w:rFonts w:ascii="Calibri" w:hAnsi="Calibri"/>
          <w:color w:val="000000"/>
          <w:sz w:val="24"/>
          <w:szCs w:val="24"/>
          <w:lang w:val="en-GB" w:eastAsia="en-GB"/>
        </w:rPr>
      </w:pPr>
    </w:p>
    <w:p w14:paraId="60AF3BC3" w14:textId="77777777" w:rsidR="003737A9" w:rsidRPr="00915658" w:rsidRDefault="003737A9" w:rsidP="003737A9">
      <w:pPr>
        <w:pStyle w:val="1-DocText"/>
        <w:spacing w:before="0" w:after="0" w:line="276" w:lineRule="auto"/>
        <w:jc w:val="both"/>
        <w:rPr>
          <w:rFonts w:ascii="Calibri" w:hAnsi="Calibri"/>
          <w:b/>
          <w:i/>
          <w:color w:val="000000"/>
          <w:sz w:val="24"/>
          <w:szCs w:val="24"/>
          <w:lang w:val="en-GB" w:eastAsia="en-GB"/>
        </w:rPr>
      </w:pPr>
      <w:r w:rsidRPr="00915658">
        <w:rPr>
          <w:rFonts w:ascii="Calibri" w:hAnsi="Calibri"/>
          <w:b/>
          <w:i/>
          <w:color w:val="000000"/>
          <w:sz w:val="24"/>
          <w:szCs w:val="24"/>
          <w:lang w:val="en-GB" w:eastAsia="en-GB"/>
        </w:rPr>
        <w:t>Dwindling development expenditure is a concern given the need to improve health facility infrastructure especially in the rural areas:</w:t>
      </w:r>
    </w:p>
    <w:p w14:paraId="3D948367" w14:textId="77777777" w:rsidR="00713B7C" w:rsidRDefault="00713B7C" w:rsidP="003737A9">
      <w:pPr>
        <w:pStyle w:val="1-DocText"/>
        <w:spacing w:before="0" w:after="0" w:line="276" w:lineRule="auto"/>
        <w:jc w:val="both"/>
        <w:rPr>
          <w:rFonts w:ascii="Calibri" w:hAnsi="Calibri"/>
          <w:color w:val="000000"/>
          <w:sz w:val="24"/>
          <w:szCs w:val="24"/>
          <w:lang w:val="en-GB" w:eastAsia="en-GB"/>
        </w:rPr>
      </w:pPr>
    </w:p>
    <w:p w14:paraId="0581DEEA" w14:textId="77777777" w:rsidR="003737A9" w:rsidRPr="00915658" w:rsidRDefault="003737A9" w:rsidP="003737A9">
      <w:pPr>
        <w:pStyle w:val="1-DocText"/>
        <w:spacing w:before="0" w:after="0" w:line="276" w:lineRule="auto"/>
        <w:jc w:val="both"/>
        <w:rPr>
          <w:rFonts w:ascii="Calibri" w:hAnsi="Calibri"/>
          <w:color w:val="000000"/>
          <w:sz w:val="24"/>
          <w:szCs w:val="24"/>
          <w:lang w:val="en-GB" w:eastAsia="en-GB"/>
        </w:rPr>
      </w:pPr>
      <w:r w:rsidRPr="00915658">
        <w:rPr>
          <w:rFonts w:ascii="Calibri" w:hAnsi="Calibri"/>
          <w:color w:val="000000"/>
          <w:sz w:val="24"/>
          <w:szCs w:val="24"/>
          <w:lang w:val="en-GB" w:eastAsia="en-GB"/>
        </w:rPr>
        <w:t>The share of actual recurrent expenditure increased significantly from 64% in 2012/13 to 87% in 2015/16.  However, actual development expenditure decreased by 41%, from TZS 324.3 billion, in 2012/13 to TZS 191.4 in 2015/16. Throughout the review period, development expenditure has been consistently low than the recurrent expenditure.</w:t>
      </w:r>
    </w:p>
    <w:p w14:paraId="625157F9" w14:textId="77777777" w:rsidR="003737A9" w:rsidRPr="00915658" w:rsidRDefault="003737A9" w:rsidP="003737A9">
      <w:pPr>
        <w:pStyle w:val="1-DocText"/>
        <w:spacing w:before="0" w:after="0" w:line="276" w:lineRule="auto"/>
        <w:jc w:val="both"/>
        <w:rPr>
          <w:rFonts w:ascii="Calibri" w:hAnsi="Calibri"/>
          <w:color w:val="000000"/>
          <w:sz w:val="24"/>
          <w:szCs w:val="24"/>
          <w:lang w:val="en-GB" w:eastAsia="en-GB"/>
        </w:rPr>
      </w:pPr>
    </w:p>
    <w:p w14:paraId="65A8E8A9" w14:textId="77777777" w:rsidR="003737A9" w:rsidRPr="00915658" w:rsidRDefault="003737A9" w:rsidP="003737A9">
      <w:pPr>
        <w:rPr>
          <w:b/>
        </w:rPr>
      </w:pPr>
      <w:r w:rsidRPr="00915658">
        <w:rPr>
          <w:b/>
        </w:rPr>
        <w:t>(D) Budget Performance</w:t>
      </w:r>
    </w:p>
    <w:p w14:paraId="1BF2893E" w14:textId="77777777" w:rsidR="003737A9" w:rsidRPr="00915658" w:rsidRDefault="003737A9" w:rsidP="003737A9"/>
    <w:p w14:paraId="4287CDF0" w14:textId="77777777" w:rsidR="003737A9" w:rsidRPr="00915658" w:rsidRDefault="003737A9" w:rsidP="003737A9">
      <w:pPr>
        <w:rPr>
          <w:b/>
          <w:i/>
        </w:rPr>
      </w:pPr>
      <w:r w:rsidRPr="00915658">
        <w:rPr>
          <w:b/>
          <w:i/>
          <w:color w:val="000000"/>
          <w:lang w:val="en-GB" w:eastAsia="en-GB"/>
        </w:rPr>
        <w:t xml:space="preserve">There is inconsistency in budget performance which is detrimental to service delivery. </w:t>
      </w:r>
      <w:r w:rsidRPr="00915658">
        <w:rPr>
          <w:b/>
          <w:i/>
        </w:rPr>
        <w:t xml:space="preserve">At the Ministry of Health level, the </w:t>
      </w:r>
      <w:r w:rsidRPr="00915658">
        <w:rPr>
          <w:b/>
          <w:i/>
          <w:color w:val="000000"/>
          <w:lang w:val="en-GB" w:eastAsia="en-GB"/>
        </w:rPr>
        <w:t>Preventive Services Department has worse performance (9%). This is a concern given the importance of protecting communities from infections through properly designed health prevention programs:</w:t>
      </w:r>
    </w:p>
    <w:p w14:paraId="6EF455CA" w14:textId="77777777" w:rsidR="00713B7C" w:rsidRDefault="00713B7C" w:rsidP="003737A9">
      <w:pPr>
        <w:rPr>
          <w:color w:val="000000"/>
          <w:lang w:val="en-GB" w:eastAsia="en-GB"/>
        </w:rPr>
      </w:pPr>
    </w:p>
    <w:p w14:paraId="2E8C0BE9" w14:textId="77777777" w:rsidR="003737A9" w:rsidRPr="00915658" w:rsidRDefault="003737A9" w:rsidP="003737A9">
      <w:pPr>
        <w:rPr>
          <w:color w:val="000000"/>
          <w:lang w:val="en-GB" w:eastAsia="en-GB"/>
        </w:rPr>
      </w:pPr>
      <w:r w:rsidRPr="00915658">
        <w:rPr>
          <w:color w:val="000000"/>
          <w:lang w:val="en-GB" w:eastAsia="en-GB"/>
        </w:rPr>
        <w:t xml:space="preserve">Overall, the execution of the total budget was consistently high (above 80%) from 2011/12 but it experienced a significant decline in 2015/16; declined to 70%. The performance of the basket fund is consistently high – above 89% for each year in the review period. Execution of non-basked funding is the lowest. Although the performance was 82% in 2013/14 it declined to 41% in 2014/15 and as low as 18% in 2015/16. </w:t>
      </w:r>
    </w:p>
    <w:p w14:paraId="4DB1C847" w14:textId="77777777" w:rsidR="003737A9" w:rsidRPr="00915658" w:rsidRDefault="003737A9" w:rsidP="003737A9">
      <w:pPr>
        <w:pStyle w:val="NoSpacing"/>
        <w:spacing w:line="276" w:lineRule="auto"/>
        <w:rPr>
          <w:b/>
          <w:i/>
          <w:color w:val="000000"/>
          <w:lang w:val="en-GB" w:eastAsia="en-GB"/>
        </w:rPr>
      </w:pPr>
    </w:p>
    <w:p w14:paraId="385D3571" w14:textId="77777777" w:rsidR="003737A9" w:rsidRDefault="00197026" w:rsidP="00F13FB7">
      <w:pPr>
        <w:spacing w:line="240" w:lineRule="auto"/>
        <w:jc w:val="left"/>
        <w:rPr>
          <w:b/>
        </w:rPr>
      </w:pPr>
      <w:r>
        <w:rPr>
          <w:b/>
        </w:rPr>
        <w:br w:type="page"/>
      </w:r>
      <w:r w:rsidR="003737A9" w:rsidRPr="00915658">
        <w:rPr>
          <w:b/>
        </w:rPr>
        <w:lastRenderedPageBreak/>
        <w:t>(E) Budget and Expenditure by Levels of Government</w:t>
      </w:r>
    </w:p>
    <w:p w14:paraId="6AD80E3C" w14:textId="77777777" w:rsidR="00F13FB7" w:rsidRPr="00915658" w:rsidRDefault="00F13FB7" w:rsidP="00F13FB7">
      <w:pPr>
        <w:spacing w:line="240" w:lineRule="auto"/>
        <w:jc w:val="left"/>
        <w:rPr>
          <w:b/>
        </w:rPr>
      </w:pPr>
    </w:p>
    <w:p w14:paraId="7DA6F9FF" w14:textId="77777777" w:rsidR="003737A9" w:rsidRDefault="003737A9" w:rsidP="003737A9">
      <w:pPr>
        <w:pStyle w:val="NoSpacing"/>
        <w:spacing w:line="276" w:lineRule="auto"/>
        <w:rPr>
          <w:b/>
          <w:i/>
          <w:color w:val="000000"/>
          <w:lang w:val="en-GB" w:eastAsia="en-GB"/>
        </w:rPr>
      </w:pPr>
      <w:r w:rsidRPr="00915658">
        <w:rPr>
          <w:b/>
          <w:i/>
          <w:color w:val="000000"/>
          <w:lang w:val="en-GB" w:eastAsia="en-GB"/>
        </w:rPr>
        <w:t>There is a significant change of shares of resources among levels of government with more resources directed to the LGAs. This increase reflects the efforts of the current Government to channel resources to the local level where poverty levels are high:</w:t>
      </w:r>
    </w:p>
    <w:p w14:paraId="09D1A28D" w14:textId="77777777" w:rsidR="00197026" w:rsidRPr="00915658" w:rsidRDefault="00197026" w:rsidP="003737A9">
      <w:pPr>
        <w:pStyle w:val="NoSpacing"/>
        <w:spacing w:line="276" w:lineRule="auto"/>
        <w:rPr>
          <w:b/>
          <w:i/>
          <w:color w:val="000000"/>
          <w:lang w:val="en-GB" w:eastAsia="en-GB"/>
        </w:rPr>
      </w:pPr>
    </w:p>
    <w:p w14:paraId="4A55B8E3" w14:textId="77777777" w:rsidR="003737A9" w:rsidRPr="00915658" w:rsidRDefault="003737A9" w:rsidP="003737A9">
      <w:pPr>
        <w:pStyle w:val="NoSpacing"/>
        <w:spacing w:line="276" w:lineRule="auto"/>
        <w:rPr>
          <w:color w:val="000000"/>
          <w:lang w:val="en-GB" w:eastAsia="en-GB"/>
        </w:rPr>
      </w:pPr>
      <w:r w:rsidRPr="00915658">
        <w:rPr>
          <w:color w:val="000000"/>
          <w:lang w:val="en-GB" w:eastAsia="en-GB"/>
        </w:rPr>
        <w:t xml:space="preserve">The share of centrally controlled budgeted resources declined from 50% in 2012/13 to 42% in 2015/16. The actual expenditure also decreased from 50% in 2012/13 to 29% in 2015/16. The share of budgeted resources going to LGAs increased from 42% of the budget in 2012/13 to 58% in 2016/17 while the actual spending increased from 41% in 2012/13 to 49% 2015/16. </w:t>
      </w:r>
    </w:p>
    <w:p w14:paraId="55A2C91C" w14:textId="77777777" w:rsidR="003737A9" w:rsidRPr="00915658" w:rsidRDefault="003737A9" w:rsidP="003737A9">
      <w:pPr>
        <w:pStyle w:val="NoSpacing"/>
        <w:spacing w:line="276" w:lineRule="auto"/>
        <w:rPr>
          <w:color w:val="000000"/>
          <w:lang w:val="en-GB" w:eastAsia="en-GB"/>
        </w:rPr>
      </w:pPr>
    </w:p>
    <w:p w14:paraId="610A1F8C" w14:textId="77777777" w:rsidR="003737A9" w:rsidRPr="00915658" w:rsidRDefault="003737A9" w:rsidP="003737A9">
      <w:pPr>
        <w:pStyle w:val="NoSpacing"/>
        <w:spacing w:line="276" w:lineRule="auto"/>
        <w:rPr>
          <w:b/>
          <w:color w:val="000000"/>
          <w:lang w:val="en-GB" w:eastAsia="en-GB"/>
        </w:rPr>
      </w:pPr>
      <w:r w:rsidRPr="00915658">
        <w:rPr>
          <w:b/>
          <w:color w:val="000000"/>
          <w:lang w:val="en-GB" w:eastAsia="en-GB"/>
        </w:rPr>
        <w:t>(F) Complementary Financing</w:t>
      </w:r>
    </w:p>
    <w:p w14:paraId="5C6918AC" w14:textId="77777777" w:rsidR="003737A9" w:rsidRPr="00915658" w:rsidRDefault="003737A9" w:rsidP="003737A9">
      <w:pPr>
        <w:pStyle w:val="NoSpacing"/>
        <w:spacing w:line="276" w:lineRule="auto"/>
        <w:rPr>
          <w:color w:val="000000"/>
          <w:lang w:val="en-GB" w:eastAsia="en-GB"/>
        </w:rPr>
      </w:pPr>
    </w:p>
    <w:p w14:paraId="46E45E05" w14:textId="77777777" w:rsidR="003737A9" w:rsidRDefault="003737A9" w:rsidP="003737A9">
      <w:pPr>
        <w:pStyle w:val="NoSpacing"/>
        <w:spacing w:line="276" w:lineRule="auto"/>
        <w:rPr>
          <w:b/>
          <w:i/>
          <w:color w:val="000000"/>
          <w:lang w:val="en-GB" w:eastAsia="en-GB"/>
        </w:rPr>
      </w:pPr>
      <w:r w:rsidRPr="00915658">
        <w:rPr>
          <w:b/>
          <w:i/>
          <w:color w:val="000000"/>
          <w:lang w:val="en-GB" w:eastAsia="en-GB"/>
        </w:rPr>
        <w:t>There is significant increase in NHIF revenue and decline in surplus which is commendable. The increase in the contribution and decline in the surplus signify the contribution NHIF is making in financing health services:</w:t>
      </w:r>
    </w:p>
    <w:p w14:paraId="41F7AFFF" w14:textId="77777777" w:rsidR="00197026" w:rsidRPr="00915658" w:rsidRDefault="00197026" w:rsidP="003737A9">
      <w:pPr>
        <w:pStyle w:val="NoSpacing"/>
        <w:spacing w:line="276" w:lineRule="auto"/>
        <w:rPr>
          <w:b/>
          <w:i/>
          <w:color w:val="000000"/>
          <w:lang w:val="en-GB" w:eastAsia="en-GB"/>
        </w:rPr>
      </w:pPr>
    </w:p>
    <w:p w14:paraId="56279CBB" w14:textId="77777777" w:rsidR="003737A9" w:rsidRPr="00915658" w:rsidRDefault="003737A9" w:rsidP="003737A9">
      <w:pPr>
        <w:rPr>
          <w:color w:val="000000"/>
          <w:lang w:val="en-GB" w:eastAsia="en-GB"/>
        </w:rPr>
      </w:pPr>
      <w:r w:rsidRPr="00915658">
        <w:rPr>
          <w:color w:val="000000"/>
          <w:lang w:val="en-GB" w:eastAsia="en-GB"/>
        </w:rPr>
        <w:t>A comparison of figures from 2012/13 and 2015/16 indicates an increase in the total revenue from TZS 256,959 million to TZS 453,997 million which is a 77% increase. The NHIF surplus declined from 51% in 2012/13 to 37% in 2016/17, addressing the concern raised in previous PERs on huge unspent balances. Despite this progress:</w:t>
      </w:r>
    </w:p>
    <w:p w14:paraId="48B49CA2" w14:textId="77777777" w:rsidR="003737A9" w:rsidRPr="00915658" w:rsidRDefault="003737A9" w:rsidP="003737A9">
      <w:pPr>
        <w:pStyle w:val="ListParagraph"/>
        <w:widowControl/>
        <w:numPr>
          <w:ilvl w:val="0"/>
          <w:numId w:val="32"/>
        </w:numPr>
        <w:overflowPunct/>
        <w:adjustRightInd/>
        <w:spacing w:line="276" w:lineRule="auto"/>
        <w:contextualSpacing/>
        <w:jc w:val="both"/>
        <w:rPr>
          <w:rFonts w:ascii="Calibri" w:hAnsi="Calibri"/>
          <w:color w:val="000000"/>
          <w:lang w:val="en-GB" w:eastAsia="en-GB"/>
        </w:rPr>
      </w:pPr>
      <w:r w:rsidRPr="00915658">
        <w:rPr>
          <w:rFonts w:ascii="Calibri" w:hAnsi="Calibri"/>
          <w:color w:val="000000"/>
          <w:lang w:val="en-GB" w:eastAsia="en-GB"/>
        </w:rPr>
        <w:t>Government health facilities continue to receive low and constant total reimbursement which is a concern given the fact that they provide more services than faith-based and private for-profit health facilities.</w:t>
      </w:r>
    </w:p>
    <w:p w14:paraId="53E9BF81" w14:textId="77777777" w:rsidR="003737A9" w:rsidRPr="00915658" w:rsidRDefault="003737A9" w:rsidP="003737A9">
      <w:pPr>
        <w:pStyle w:val="ListParagraph"/>
        <w:widowControl/>
        <w:numPr>
          <w:ilvl w:val="0"/>
          <w:numId w:val="32"/>
        </w:numPr>
        <w:overflowPunct/>
        <w:adjustRightInd/>
        <w:spacing w:line="276" w:lineRule="auto"/>
        <w:contextualSpacing/>
        <w:jc w:val="both"/>
        <w:rPr>
          <w:rFonts w:ascii="Calibri" w:hAnsi="Calibri"/>
          <w:color w:val="000000"/>
          <w:lang w:val="en-GB" w:eastAsia="en-GB"/>
        </w:rPr>
      </w:pPr>
      <w:r w:rsidRPr="00915658">
        <w:rPr>
          <w:rFonts w:ascii="Calibri" w:hAnsi="Calibri"/>
        </w:rPr>
        <w:t>Some regions raised claims but these were not honored, e.g. Lindi, Rukwa Geita, Njombe and Katavi. Unfortunately, these are some of the remote and marginalized regions.</w:t>
      </w:r>
    </w:p>
    <w:p w14:paraId="49648ABC" w14:textId="77777777" w:rsidR="003737A9" w:rsidRPr="00915658" w:rsidRDefault="003737A9" w:rsidP="003737A9">
      <w:pPr>
        <w:pStyle w:val="NoSpacing"/>
        <w:spacing w:line="276" w:lineRule="auto"/>
        <w:rPr>
          <w:b/>
          <w:i/>
        </w:rPr>
      </w:pPr>
    </w:p>
    <w:p w14:paraId="312B2417" w14:textId="77777777" w:rsidR="003737A9" w:rsidRDefault="003737A9" w:rsidP="003737A9">
      <w:pPr>
        <w:pStyle w:val="NoSpacing"/>
        <w:spacing w:line="276" w:lineRule="auto"/>
        <w:rPr>
          <w:b/>
          <w:i/>
        </w:rPr>
      </w:pPr>
      <w:r w:rsidRPr="00915658">
        <w:rPr>
          <w:b/>
          <w:i/>
        </w:rPr>
        <w:t>Although there is progress in CHF expansions, the coverage is still low leaving huge population in rural areas unprotected. This means that the country is very far away from reaching the Universal Health Coverage goals:</w:t>
      </w:r>
    </w:p>
    <w:p w14:paraId="5F145F5E" w14:textId="77777777" w:rsidR="00197026" w:rsidRPr="00915658" w:rsidRDefault="00197026" w:rsidP="003737A9">
      <w:pPr>
        <w:pStyle w:val="NoSpacing"/>
        <w:spacing w:line="276" w:lineRule="auto"/>
        <w:rPr>
          <w:b/>
          <w:i/>
          <w:color w:val="000000"/>
          <w:lang w:val="en-GB" w:eastAsia="en-GB"/>
        </w:rPr>
      </w:pPr>
    </w:p>
    <w:p w14:paraId="2B9B9143" w14:textId="77777777" w:rsidR="003737A9" w:rsidRPr="00915658" w:rsidRDefault="003737A9" w:rsidP="003737A9">
      <w:pPr>
        <w:pStyle w:val="NoSpacing"/>
        <w:spacing w:line="276" w:lineRule="auto"/>
      </w:pPr>
      <w:r w:rsidRPr="00915658">
        <w:t xml:space="preserve">There is improvement in estimated CHF population coverage from 7% in 2012/13 to 14% in 2014/15 and 18% in 2015/16. Singida region has the highest CHF enrollment followed by Tanga and Mbeya regions. The low figures for Dodoma, Morogoro, and Shinyanga are surprising given the presence of Health Promotion and System Strengthening (HPSS) Project. </w:t>
      </w:r>
    </w:p>
    <w:p w14:paraId="0A207157" w14:textId="77777777" w:rsidR="003737A9" w:rsidRPr="00915658" w:rsidRDefault="003737A9" w:rsidP="003737A9">
      <w:pPr>
        <w:pStyle w:val="NoSpacing"/>
        <w:spacing w:line="276" w:lineRule="auto"/>
        <w:rPr>
          <w:b/>
        </w:rPr>
      </w:pPr>
      <w:r w:rsidRPr="00915658">
        <w:br w:type="page"/>
      </w:r>
      <w:r w:rsidRPr="00915658">
        <w:rPr>
          <w:b/>
        </w:rPr>
        <w:lastRenderedPageBreak/>
        <w:t>(G) Expenditures at the Local Government Authorities (LGAs) Level</w:t>
      </w:r>
    </w:p>
    <w:p w14:paraId="19A8BA59" w14:textId="77777777" w:rsidR="003737A9" w:rsidRPr="00915658" w:rsidRDefault="003737A9" w:rsidP="003737A9">
      <w:r w:rsidRPr="00915658">
        <w:t xml:space="preserve">  </w:t>
      </w:r>
    </w:p>
    <w:p w14:paraId="7901B475" w14:textId="77777777" w:rsidR="003737A9" w:rsidRDefault="003737A9" w:rsidP="003737A9">
      <w:pPr>
        <w:rPr>
          <w:b/>
          <w:i/>
        </w:rPr>
      </w:pPr>
      <w:r w:rsidRPr="00915658">
        <w:rPr>
          <w:b/>
          <w:i/>
        </w:rPr>
        <w:t xml:space="preserve">Block grant continues to be the major source of funds at LGAs level: </w:t>
      </w:r>
    </w:p>
    <w:p w14:paraId="5174DB52" w14:textId="77777777" w:rsidR="00197026" w:rsidRPr="00915658" w:rsidRDefault="00197026" w:rsidP="003737A9">
      <w:pPr>
        <w:rPr>
          <w:b/>
          <w:i/>
        </w:rPr>
      </w:pPr>
    </w:p>
    <w:p w14:paraId="0B0ECB82" w14:textId="77777777" w:rsidR="003737A9" w:rsidRPr="00915658" w:rsidRDefault="003737A9" w:rsidP="003737A9">
      <w:r w:rsidRPr="00915658">
        <w:t xml:space="preserve">In terms of actual spending, the share of block grant increased from 70% in 2012/13 to 74% in 2015/16 while the basket fund expenditure decreased from 20% in 2012/13 to 14% in 2015/16. Expenditures from Council Own Source are broadly similar across years, at 3% - 4% of the total expenditure. Expenditures from own sources may decrease even further in the future given the current move of moving some of the revenue sources to the central level. This implies that the block grant has to increase even further to cover the gap left by declining own resource revenue. </w:t>
      </w:r>
    </w:p>
    <w:p w14:paraId="51A1F139" w14:textId="77777777" w:rsidR="003737A9" w:rsidRPr="00915658" w:rsidRDefault="003737A9" w:rsidP="003737A9"/>
    <w:p w14:paraId="4CAFFDFC" w14:textId="77777777" w:rsidR="00197026" w:rsidRDefault="003737A9" w:rsidP="003737A9">
      <w:pPr>
        <w:rPr>
          <w:b/>
          <w:i/>
        </w:rPr>
      </w:pPr>
      <w:r w:rsidRPr="00915658">
        <w:rPr>
          <w:b/>
          <w:i/>
        </w:rPr>
        <w:t xml:space="preserve">There is a reversal in spending with Council Health Management Teams (CHMTs) having higher expenditures than dispensaries. This is a concern given the need to channel resources at the health services delivery points:  </w:t>
      </w:r>
    </w:p>
    <w:p w14:paraId="16AF8411" w14:textId="77777777" w:rsidR="003737A9" w:rsidRPr="00915658" w:rsidRDefault="003737A9" w:rsidP="003737A9">
      <w:r w:rsidRPr="00915658">
        <w:rPr>
          <w:b/>
          <w:i/>
        </w:rPr>
        <w:t xml:space="preserve"> </w:t>
      </w:r>
    </w:p>
    <w:p w14:paraId="666A39A5" w14:textId="77777777" w:rsidR="003737A9" w:rsidRPr="00915658" w:rsidRDefault="003737A9" w:rsidP="003737A9">
      <w:r w:rsidRPr="00915658">
        <w:t xml:space="preserve">For the 2012/13 and 2013/14 financial years, Sub-vote 508E (Dispensaries) had the highest expenditures followed by Sub-vote 508A (CHMT). This trend was reversed in the 2014/15 and 2015/16 financial years with CHMT having higher expenditures than Dispensaries.    </w:t>
      </w:r>
    </w:p>
    <w:p w14:paraId="143254FF" w14:textId="77777777" w:rsidR="003737A9" w:rsidRPr="00915658" w:rsidRDefault="003737A9" w:rsidP="003737A9"/>
    <w:p w14:paraId="69F37D3F" w14:textId="77777777" w:rsidR="003737A9" w:rsidRPr="00915658" w:rsidRDefault="003737A9" w:rsidP="003737A9">
      <w:pPr>
        <w:rPr>
          <w:b/>
          <w:color w:val="000000"/>
        </w:rPr>
      </w:pPr>
      <w:r w:rsidRPr="00915658">
        <w:rPr>
          <w:b/>
          <w:color w:val="000000"/>
        </w:rPr>
        <w:t>Recommendations</w:t>
      </w:r>
    </w:p>
    <w:p w14:paraId="3D18C615" w14:textId="77777777" w:rsidR="003737A9" w:rsidRPr="00915658" w:rsidRDefault="003737A9" w:rsidP="003737A9">
      <w:pPr>
        <w:rPr>
          <w:color w:val="000000"/>
        </w:rPr>
      </w:pPr>
    </w:p>
    <w:p w14:paraId="7A73F88E" w14:textId="77777777" w:rsidR="003737A9" w:rsidRPr="00915658" w:rsidRDefault="003737A9" w:rsidP="003737A9">
      <w:pPr>
        <w:pStyle w:val="1-DocText"/>
        <w:numPr>
          <w:ilvl w:val="0"/>
          <w:numId w:val="31"/>
        </w:numPr>
        <w:spacing w:before="0" w:after="0" w:line="276" w:lineRule="auto"/>
        <w:jc w:val="both"/>
        <w:rPr>
          <w:rFonts w:ascii="Calibri" w:hAnsi="Calibri"/>
          <w:color w:val="000000"/>
          <w:sz w:val="24"/>
          <w:szCs w:val="24"/>
          <w:lang w:val="en-GB" w:eastAsia="en-GB"/>
        </w:rPr>
      </w:pPr>
      <w:r w:rsidRPr="00915658">
        <w:rPr>
          <w:rFonts w:ascii="Calibri" w:hAnsi="Calibri"/>
          <w:color w:val="000000"/>
          <w:sz w:val="24"/>
          <w:szCs w:val="24"/>
          <w:lang w:val="en-GB" w:eastAsia="en-GB"/>
        </w:rPr>
        <w:t xml:space="preserve">Given the unpredictability of donor funding, the government is urged to develop sustainable health financing strategies to curb the unexpected future budget deficits. </w:t>
      </w:r>
    </w:p>
    <w:p w14:paraId="4E135320" w14:textId="77777777" w:rsidR="003737A9" w:rsidRPr="00915658" w:rsidRDefault="003737A9" w:rsidP="003737A9">
      <w:pPr>
        <w:pStyle w:val="ListParagraph"/>
        <w:widowControl/>
        <w:numPr>
          <w:ilvl w:val="0"/>
          <w:numId w:val="31"/>
        </w:numPr>
        <w:overflowPunct/>
        <w:adjustRightInd/>
        <w:spacing w:line="276" w:lineRule="auto"/>
        <w:contextualSpacing/>
        <w:jc w:val="both"/>
        <w:rPr>
          <w:rFonts w:ascii="Calibri" w:hAnsi="Calibri"/>
        </w:rPr>
      </w:pPr>
      <w:r w:rsidRPr="00915658">
        <w:rPr>
          <w:rFonts w:ascii="Calibri" w:hAnsi="Calibri"/>
        </w:rPr>
        <w:t xml:space="preserve">NHIF should commission a study that will provide an analysis of the factors responsible for the delays in disbursement of matching fund.  </w:t>
      </w:r>
    </w:p>
    <w:p w14:paraId="5668D00F" w14:textId="77777777" w:rsidR="003737A9" w:rsidRPr="00915658" w:rsidRDefault="003737A9" w:rsidP="003737A9">
      <w:pPr>
        <w:pStyle w:val="ListParagraph"/>
        <w:widowControl/>
        <w:numPr>
          <w:ilvl w:val="0"/>
          <w:numId w:val="31"/>
        </w:numPr>
        <w:overflowPunct/>
        <w:adjustRightInd/>
        <w:spacing w:line="276" w:lineRule="auto"/>
        <w:contextualSpacing/>
        <w:jc w:val="both"/>
        <w:rPr>
          <w:rFonts w:ascii="Calibri" w:hAnsi="Calibri"/>
        </w:rPr>
      </w:pPr>
      <w:r w:rsidRPr="00915658">
        <w:rPr>
          <w:rFonts w:ascii="Calibri" w:hAnsi="Calibri"/>
        </w:rPr>
        <w:t xml:space="preserve">NHIF should install the e-claim system in all health facilities in order to smoothen the claiming and process. Clarification on how e-claim solved the claiming problems should be provided. </w:t>
      </w:r>
    </w:p>
    <w:p w14:paraId="0E02BCB3" w14:textId="77777777" w:rsidR="003737A9" w:rsidRPr="00915658" w:rsidRDefault="003737A9" w:rsidP="003737A9">
      <w:pPr>
        <w:pStyle w:val="ListParagraph"/>
        <w:widowControl/>
        <w:numPr>
          <w:ilvl w:val="0"/>
          <w:numId w:val="31"/>
        </w:numPr>
        <w:overflowPunct/>
        <w:adjustRightInd/>
        <w:spacing w:line="276" w:lineRule="auto"/>
        <w:contextualSpacing/>
        <w:jc w:val="both"/>
        <w:rPr>
          <w:rFonts w:ascii="Calibri" w:hAnsi="Calibri"/>
        </w:rPr>
      </w:pPr>
      <w:r w:rsidRPr="00915658">
        <w:rPr>
          <w:rFonts w:ascii="Calibri" w:hAnsi="Calibri"/>
          <w:color w:val="000000"/>
          <w:lang w:val="en-GB" w:eastAsia="en-GB"/>
        </w:rPr>
        <w:t xml:space="preserve">NHIF to explore the possibility of using Accredited Drug Dispensing Outlets (ADDOs) to reach the poor and marginalized communities through the use of CHF contributions. </w:t>
      </w:r>
    </w:p>
    <w:p w14:paraId="1A0DCC10" w14:textId="77777777" w:rsidR="003737A9" w:rsidRPr="00915658" w:rsidRDefault="003737A9" w:rsidP="003737A9">
      <w:pPr>
        <w:pStyle w:val="ListParagraph"/>
        <w:widowControl/>
        <w:numPr>
          <w:ilvl w:val="0"/>
          <w:numId w:val="31"/>
        </w:numPr>
        <w:overflowPunct/>
        <w:adjustRightInd/>
        <w:spacing w:line="276" w:lineRule="auto"/>
        <w:contextualSpacing/>
        <w:jc w:val="both"/>
        <w:rPr>
          <w:rFonts w:ascii="Calibri" w:hAnsi="Calibri"/>
        </w:rPr>
      </w:pPr>
      <w:r w:rsidRPr="00915658">
        <w:rPr>
          <w:rFonts w:ascii="Calibri" w:hAnsi="Calibri"/>
        </w:rPr>
        <w:t xml:space="preserve">Explore and address the reasons for the decline of the matching funds received from the Ministry of Health to LGAs.  </w:t>
      </w:r>
    </w:p>
    <w:p w14:paraId="1E5A3BA9" w14:textId="77777777" w:rsidR="003737A9" w:rsidRPr="003737A9" w:rsidRDefault="003737A9" w:rsidP="003737A9">
      <w:pPr>
        <w:pStyle w:val="ListParagraph"/>
        <w:widowControl/>
        <w:numPr>
          <w:ilvl w:val="0"/>
          <w:numId w:val="31"/>
        </w:numPr>
        <w:overflowPunct/>
        <w:adjustRightInd/>
        <w:spacing w:line="276" w:lineRule="auto"/>
        <w:contextualSpacing/>
        <w:jc w:val="both"/>
        <w:rPr>
          <w:color w:val="000000"/>
        </w:rPr>
      </w:pPr>
      <w:r w:rsidRPr="00915658">
        <w:rPr>
          <w:rFonts w:ascii="Calibri" w:hAnsi="Calibri"/>
          <w:color w:val="000000"/>
        </w:rPr>
        <w:t>Explore the possibility of addressing data inconsistencies through District Health Information System 2 (DHIS2) and the redesigned PlanRep</w:t>
      </w:r>
      <w:r w:rsidRPr="003737A9">
        <w:rPr>
          <w:color w:val="000000"/>
        </w:rPr>
        <w:t xml:space="preserve">. </w:t>
      </w:r>
    </w:p>
    <w:p w14:paraId="06AF7E91" w14:textId="77777777" w:rsidR="003737A9" w:rsidRPr="003737A9" w:rsidRDefault="003737A9" w:rsidP="003737A9"/>
    <w:p w14:paraId="15972EAF" w14:textId="77777777" w:rsidR="003737A9" w:rsidRPr="003737A9" w:rsidRDefault="003737A9" w:rsidP="003737A9">
      <w:pPr>
        <w:pStyle w:val="NoSpacing"/>
        <w:sectPr w:rsidR="003737A9" w:rsidRPr="003737A9" w:rsidSect="00F13FB7">
          <w:headerReference w:type="default" r:id="rId9"/>
          <w:footerReference w:type="default" r:id="rId10"/>
          <w:pgSz w:w="11906" w:h="16838" w:code="9"/>
          <w:pgMar w:top="1440" w:right="1440" w:bottom="1440" w:left="1440" w:header="706" w:footer="706" w:gutter="0"/>
          <w:pgNumType w:fmt="lowerRoman" w:start="1"/>
          <w:cols w:space="720"/>
          <w:titlePg/>
          <w:docGrid w:linePitch="326"/>
        </w:sectPr>
      </w:pPr>
    </w:p>
    <w:p w14:paraId="63E6B747" w14:textId="77777777" w:rsidR="00F511C7" w:rsidRPr="001170AC" w:rsidRDefault="00197026" w:rsidP="00197026">
      <w:pPr>
        <w:pStyle w:val="Heading1"/>
      </w:pPr>
      <w:bookmarkStart w:id="6" w:name="_Toc488423247"/>
      <w:bookmarkStart w:id="7" w:name="_Toc398555960"/>
      <w:bookmarkStart w:id="8" w:name="_Toc327143900"/>
      <w:bookmarkStart w:id="9" w:name="_Toc323525994"/>
      <w:bookmarkStart w:id="10" w:name="_Toc422287318"/>
      <w:r>
        <w:lastRenderedPageBreak/>
        <w:t>1.0</w:t>
      </w:r>
      <w:r>
        <w:tab/>
      </w:r>
      <w:r w:rsidR="00F511C7" w:rsidRPr="001170AC">
        <w:t>I</w:t>
      </w:r>
      <w:r w:rsidR="00EF3BA6" w:rsidRPr="001170AC">
        <w:t>ntroduction</w:t>
      </w:r>
      <w:bookmarkEnd w:id="6"/>
      <w:r w:rsidR="00EF3BA6" w:rsidRPr="001170AC">
        <w:t xml:space="preserve"> </w:t>
      </w:r>
      <w:bookmarkEnd w:id="7"/>
      <w:bookmarkEnd w:id="8"/>
      <w:bookmarkEnd w:id="9"/>
      <w:bookmarkEnd w:id="10"/>
    </w:p>
    <w:p w14:paraId="2512187A" w14:textId="77777777" w:rsidR="00CB0287" w:rsidRDefault="00CB0287" w:rsidP="00670B35"/>
    <w:p w14:paraId="4241D98F" w14:textId="77777777" w:rsidR="00B34421" w:rsidRDefault="00B34421" w:rsidP="00B34421">
      <w:pPr>
        <w:autoSpaceDE w:val="0"/>
        <w:autoSpaceDN w:val="0"/>
        <w:adjustRightInd w:val="0"/>
      </w:pPr>
      <w:r w:rsidRPr="00B34421">
        <w:rPr>
          <w:rFonts w:cs="TTE19DB438t00"/>
        </w:rPr>
        <w:t>Health care financing is increasingly becoming an impo</w:t>
      </w:r>
      <w:r>
        <w:rPr>
          <w:rFonts w:cs="TTE19DB438t00"/>
        </w:rPr>
        <w:t xml:space="preserve">rtant policy issue in Tanzania. The </w:t>
      </w:r>
      <w:r w:rsidRPr="00B34421">
        <w:rPr>
          <w:rFonts w:cs="TTE19DB438t00"/>
        </w:rPr>
        <w:t xml:space="preserve">government has </w:t>
      </w:r>
      <w:r>
        <w:rPr>
          <w:rFonts w:cs="TTE19DB438t00"/>
        </w:rPr>
        <w:t xml:space="preserve">created an enabling environment to develop the health sector through various national </w:t>
      </w:r>
      <w:r w:rsidRPr="00B34421">
        <w:rPr>
          <w:rFonts w:cs="TTE19DB438t00"/>
        </w:rPr>
        <w:t>polic</w:t>
      </w:r>
      <w:r>
        <w:rPr>
          <w:rFonts w:cs="TTE19DB438t00"/>
        </w:rPr>
        <w:t xml:space="preserve">y frameworks including the Tanzania Development </w:t>
      </w:r>
      <w:r w:rsidRPr="00B34421">
        <w:rPr>
          <w:rFonts w:cs="TTE19DB438t00"/>
        </w:rPr>
        <w:t xml:space="preserve">Vision 2025, the </w:t>
      </w:r>
      <w:r>
        <w:rPr>
          <w:rFonts w:cs="TTE19DB438t00"/>
        </w:rPr>
        <w:t xml:space="preserve">Poverty Reduction Strategy Paper (PRSP), the </w:t>
      </w:r>
      <w:r w:rsidRPr="00B34421">
        <w:rPr>
          <w:rFonts w:cs="TTE19DB438t00"/>
        </w:rPr>
        <w:t>National Strategy</w:t>
      </w:r>
      <w:r>
        <w:rPr>
          <w:rFonts w:cs="TTE19DB438t00"/>
        </w:rPr>
        <w:t xml:space="preserve"> </w:t>
      </w:r>
      <w:r w:rsidRPr="00B34421">
        <w:rPr>
          <w:rFonts w:cs="TTE19DB438t00"/>
        </w:rPr>
        <w:t>for Growth and Reduc</w:t>
      </w:r>
      <w:r>
        <w:rPr>
          <w:rFonts w:cs="TTE19DB438t00"/>
        </w:rPr>
        <w:t xml:space="preserve">tion of Poverty (MKUKUTA I &amp; II), National </w:t>
      </w:r>
      <w:r w:rsidRPr="00B34421">
        <w:rPr>
          <w:rFonts w:cs="TTE19DB438t00"/>
        </w:rPr>
        <w:t>Five Year Development Plan</w:t>
      </w:r>
      <w:r>
        <w:rPr>
          <w:rFonts w:cs="TTE19DB438t00"/>
        </w:rPr>
        <w:t xml:space="preserve">s, among others. The Health Policy of 2003 has translated the overarching national policy frameworks into sector specific issues and it has been implemented through various </w:t>
      </w:r>
      <w:r w:rsidRPr="00B34421">
        <w:rPr>
          <w:rFonts w:cs="TTE19DB438t00"/>
        </w:rPr>
        <w:t>Health Sector Strategic Plan</w:t>
      </w:r>
      <w:r>
        <w:rPr>
          <w:rFonts w:cs="TTE19DB438t00"/>
        </w:rPr>
        <w:t>s</w:t>
      </w:r>
      <w:r w:rsidRPr="00B34421">
        <w:rPr>
          <w:rFonts w:cs="TTE19DB438t00"/>
        </w:rPr>
        <w:t xml:space="preserve"> </w:t>
      </w:r>
      <w:r>
        <w:rPr>
          <w:rFonts w:cs="TTE19DB438t00"/>
        </w:rPr>
        <w:t>(</w:t>
      </w:r>
      <w:r w:rsidRPr="00B34421">
        <w:rPr>
          <w:rFonts w:cs="TTE19DB438t00"/>
        </w:rPr>
        <w:t>HSSP</w:t>
      </w:r>
      <w:r>
        <w:rPr>
          <w:rFonts w:cs="TTE19DB438t00"/>
        </w:rPr>
        <w:t>s</w:t>
      </w:r>
      <w:r w:rsidRPr="00B34421">
        <w:rPr>
          <w:rFonts w:cs="TTE19DB438t00"/>
        </w:rPr>
        <w:t>).</w:t>
      </w:r>
      <w:r w:rsidRPr="00B46B49">
        <w:t xml:space="preserve"> </w:t>
      </w:r>
      <w:r w:rsidRPr="00B34421">
        <w:t xml:space="preserve">The health budget has been allocated in line with the priorities outlined in </w:t>
      </w:r>
      <w:r>
        <w:t>HSSPs</w:t>
      </w:r>
      <w:r w:rsidRPr="00B34421">
        <w:t xml:space="preserve"> (in particular HSSP III and HSSP IV) and the Government’s </w:t>
      </w:r>
      <w:r w:rsidR="00100466">
        <w:t xml:space="preserve">development and </w:t>
      </w:r>
      <w:r w:rsidR="008F6D90">
        <w:t>poverty reduction</w:t>
      </w:r>
      <w:r w:rsidRPr="00B34421">
        <w:t xml:space="preserve"> plan</w:t>
      </w:r>
      <w:r w:rsidR="008F6D90">
        <w:t>s</w:t>
      </w:r>
      <w:r w:rsidRPr="00B34421">
        <w:t>.</w:t>
      </w:r>
      <w:r>
        <w:rPr>
          <w:rFonts w:cs="TTE19DB438t00"/>
        </w:rPr>
        <w:t xml:space="preserve"> The health sector priorities are also in line with the international conventions </w:t>
      </w:r>
      <w:r w:rsidR="008F6D90">
        <w:rPr>
          <w:rFonts w:cs="TTE19DB438t00"/>
        </w:rPr>
        <w:t xml:space="preserve">and declarations </w:t>
      </w:r>
      <w:r>
        <w:rPr>
          <w:rFonts w:cs="TTE19DB438t00"/>
        </w:rPr>
        <w:t xml:space="preserve">that the country has ratified including various </w:t>
      </w:r>
      <w:r w:rsidR="008F6D90">
        <w:rPr>
          <w:rFonts w:cs="TTE19DB438t00"/>
        </w:rPr>
        <w:t>World Health Organization (</w:t>
      </w:r>
      <w:r>
        <w:rPr>
          <w:rFonts w:cs="TTE19DB438t00"/>
        </w:rPr>
        <w:t>WHO</w:t>
      </w:r>
      <w:r w:rsidR="008F6D90">
        <w:rPr>
          <w:rFonts w:cs="TTE19DB438t00"/>
        </w:rPr>
        <w:t>)</w:t>
      </w:r>
      <w:r>
        <w:rPr>
          <w:rFonts w:cs="TTE19DB438t00"/>
        </w:rPr>
        <w:t xml:space="preserve"> conventions, the Millennium Development Goals (MDGs) and the </w:t>
      </w:r>
      <w:r w:rsidRPr="00B34421">
        <w:t>Sustainable Development Goals (SDGs)</w:t>
      </w:r>
      <w:r w:rsidR="008F6D90">
        <w:t xml:space="preserve">. SGDs </w:t>
      </w:r>
      <w:r>
        <w:t xml:space="preserve">were </w:t>
      </w:r>
      <w:r w:rsidRPr="00B34421">
        <w:t xml:space="preserve">recently adopted by the United Nations member States </w:t>
      </w:r>
      <w:r w:rsidR="008F6D90">
        <w:t xml:space="preserve">and Goal 3 </w:t>
      </w:r>
      <w:r w:rsidRPr="00B34421">
        <w:t>in particular (ensure healthy lives and promote well-being for all at all ages)</w:t>
      </w:r>
      <w:r>
        <w:t xml:space="preserve"> push</w:t>
      </w:r>
      <w:r w:rsidR="008F6D90">
        <w:t xml:space="preserve">es </w:t>
      </w:r>
      <w:r>
        <w:t>f</w:t>
      </w:r>
      <w:r w:rsidR="008F6D90">
        <w:t xml:space="preserve">urther the </w:t>
      </w:r>
      <w:r w:rsidRPr="00B34421">
        <w:t>Universal Health Coverage (UHC</w:t>
      </w:r>
      <w:r>
        <w:t xml:space="preserve">) </w:t>
      </w:r>
      <w:r w:rsidR="008F6D90">
        <w:t xml:space="preserve">agenda. </w:t>
      </w:r>
      <w:r>
        <w:t xml:space="preserve"> </w:t>
      </w:r>
    </w:p>
    <w:p w14:paraId="73442999" w14:textId="77777777" w:rsidR="00B34421" w:rsidRDefault="00B34421" w:rsidP="00B34421">
      <w:pPr>
        <w:autoSpaceDE w:val="0"/>
        <w:autoSpaceDN w:val="0"/>
        <w:adjustRightInd w:val="0"/>
        <w:rPr>
          <w:rFonts w:cs="TTE19DB438t00"/>
        </w:rPr>
      </w:pPr>
    </w:p>
    <w:p w14:paraId="18FCCCF1" w14:textId="77777777" w:rsidR="003445D6" w:rsidRPr="00100466" w:rsidRDefault="00B34421" w:rsidP="008F6D90">
      <w:pPr>
        <w:autoSpaceDE w:val="0"/>
        <w:autoSpaceDN w:val="0"/>
        <w:adjustRightInd w:val="0"/>
      </w:pPr>
      <w:r>
        <w:rPr>
          <w:rFonts w:cs="TTE19DB438t00"/>
        </w:rPr>
        <w:t xml:space="preserve">Overtime, </w:t>
      </w:r>
      <w:r w:rsidRPr="00B34421">
        <w:rPr>
          <w:rFonts w:cs="TTE19DB438t00"/>
        </w:rPr>
        <w:t>HSSP</w:t>
      </w:r>
      <w:r>
        <w:rPr>
          <w:rFonts w:cs="TTE19DB438t00"/>
        </w:rPr>
        <w:t xml:space="preserve">s have been seen as </w:t>
      </w:r>
      <w:r w:rsidRPr="00B34421">
        <w:rPr>
          <w:rFonts w:cs="TTE19DB438t00"/>
        </w:rPr>
        <w:t>blueprint</w:t>
      </w:r>
      <w:r w:rsidR="008F6D90">
        <w:rPr>
          <w:rFonts w:cs="TTE19DB438t00"/>
        </w:rPr>
        <w:t>s</w:t>
      </w:r>
      <w:r w:rsidRPr="00B34421">
        <w:rPr>
          <w:rFonts w:cs="TTE19DB438t00"/>
        </w:rPr>
        <w:t xml:space="preserve"> for the health sector</w:t>
      </w:r>
      <w:r>
        <w:rPr>
          <w:rFonts w:cs="TTE19DB438t00"/>
        </w:rPr>
        <w:t xml:space="preserve"> that </w:t>
      </w:r>
      <w:r w:rsidRPr="00B34421">
        <w:rPr>
          <w:rFonts w:cs="TTE19DB438t00"/>
        </w:rPr>
        <w:t xml:space="preserve">aims at enabling the Ministry </w:t>
      </w:r>
      <w:r w:rsidR="008F6D90">
        <w:rPr>
          <w:rFonts w:cs="TTE19DB438t00"/>
        </w:rPr>
        <w:t xml:space="preserve">responsible for </w:t>
      </w:r>
      <w:r w:rsidRPr="00B34421">
        <w:rPr>
          <w:rFonts w:cs="TTE19DB438t00"/>
        </w:rPr>
        <w:t>Health</w:t>
      </w:r>
      <w:r w:rsidR="008F6D90">
        <w:rPr>
          <w:rFonts w:cs="TTE19DB438t00"/>
        </w:rPr>
        <w:t xml:space="preserve"> </w:t>
      </w:r>
      <w:r w:rsidRPr="00B34421">
        <w:rPr>
          <w:rFonts w:cs="TTE19DB438t00"/>
        </w:rPr>
        <w:t>to critic</w:t>
      </w:r>
      <w:r w:rsidR="00100466">
        <w:rPr>
          <w:rFonts w:cs="TTE19DB438t00"/>
        </w:rPr>
        <w:t xml:space="preserve">ally examine and identify areas </w:t>
      </w:r>
      <w:r w:rsidRPr="00B34421">
        <w:rPr>
          <w:rFonts w:cs="TTE19DB438t00"/>
        </w:rPr>
        <w:t xml:space="preserve">that are core to </w:t>
      </w:r>
      <w:r>
        <w:rPr>
          <w:rFonts w:cs="TTE19DB438t00"/>
        </w:rPr>
        <w:t xml:space="preserve">the Ministry and as </w:t>
      </w:r>
      <w:r w:rsidRPr="00B34421">
        <w:rPr>
          <w:rFonts w:cs="TTE19DB438t00"/>
        </w:rPr>
        <w:t>stipulated by its mandate, and strategically allocate the limited resources to priority areas where</w:t>
      </w:r>
      <w:r>
        <w:rPr>
          <w:rFonts w:cs="TTE19DB438t00"/>
        </w:rPr>
        <w:t xml:space="preserve"> </w:t>
      </w:r>
      <w:r w:rsidRPr="00B34421">
        <w:rPr>
          <w:rFonts w:cs="TTE19DB438t00"/>
        </w:rPr>
        <w:t xml:space="preserve">they will have the most impact, in line with </w:t>
      </w:r>
      <w:r>
        <w:rPr>
          <w:rFonts w:cs="TTE19DB438t00"/>
        </w:rPr>
        <w:t xml:space="preserve">national </w:t>
      </w:r>
      <w:r w:rsidR="00100466">
        <w:rPr>
          <w:rFonts w:cs="TTE19DB438t00"/>
        </w:rPr>
        <w:t xml:space="preserve">development </w:t>
      </w:r>
      <w:r>
        <w:rPr>
          <w:rFonts w:cs="TTE19DB438t00"/>
        </w:rPr>
        <w:t>and poverty reduction framework</w:t>
      </w:r>
      <w:r w:rsidR="008F6D90">
        <w:rPr>
          <w:rFonts w:cs="TTE19DB438t00"/>
        </w:rPr>
        <w:t xml:space="preserve">s. </w:t>
      </w:r>
      <w:r w:rsidR="003445D6" w:rsidRPr="001170AC">
        <w:t xml:space="preserve">The Public Expenditure Review </w:t>
      </w:r>
      <w:r w:rsidR="00CB0287" w:rsidRPr="001170AC">
        <w:t xml:space="preserve">(PER) </w:t>
      </w:r>
      <w:r w:rsidR="003445D6" w:rsidRPr="001170AC">
        <w:t xml:space="preserve">aims at monitoring the trend of health spending that passes though the exchequer system and complementary funding, and provides policy recommendations </w:t>
      </w:r>
      <w:r w:rsidR="00100466">
        <w:t xml:space="preserve">relevant for achieving HSSPs objectives. </w:t>
      </w:r>
      <w:r w:rsidR="003445D6" w:rsidRPr="001170AC">
        <w:t xml:space="preserve">Financing sources which pass through exchequer system include public funds which are specified as block grant specifically allocated for </w:t>
      </w:r>
      <w:r w:rsidR="0053107D" w:rsidRPr="001170AC">
        <w:t>Personal Emoluments (</w:t>
      </w:r>
      <w:r w:rsidR="003445D6" w:rsidRPr="001170AC">
        <w:t>PE</w:t>
      </w:r>
      <w:r w:rsidR="0053107D" w:rsidRPr="001170AC">
        <w:t>)</w:t>
      </w:r>
      <w:r w:rsidR="003445D6" w:rsidRPr="001170AC">
        <w:t xml:space="preserve"> and </w:t>
      </w:r>
      <w:r w:rsidR="0053107D" w:rsidRPr="001170AC">
        <w:t>Other Charges (</w:t>
      </w:r>
      <w:r w:rsidR="003445D6" w:rsidRPr="001170AC">
        <w:t>OC</w:t>
      </w:r>
      <w:r w:rsidR="0053107D" w:rsidRPr="001170AC">
        <w:t>)</w:t>
      </w:r>
      <w:r w:rsidR="003445D6" w:rsidRPr="001170AC">
        <w:t xml:space="preserve">, and </w:t>
      </w:r>
      <w:r w:rsidR="0053107D" w:rsidRPr="001170AC">
        <w:t>external/</w:t>
      </w:r>
      <w:r w:rsidR="003445D6" w:rsidRPr="001170AC">
        <w:t xml:space="preserve">donor funding, distinguishing between the pooled Health Basket Fund </w:t>
      </w:r>
      <w:r w:rsidR="0053107D" w:rsidRPr="001170AC">
        <w:t xml:space="preserve">(HBF) </w:t>
      </w:r>
      <w:r w:rsidR="003445D6" w:rsidRPr="001170AC">
        <w:t xml:space="preserve">and </w:t>
      </w:r>
      <w:r w:rsidR="0053107D" w:rsidRPr="001170AC">
        <w:t>other non-b</w:t>
      </w:r>
      <w:r w:rsidR="003445D6" w:rsidRPr="001170AC">
        <w:t xml:space="preserve">asket sources. </w:t>
      </w:r>
    </w:p>
    <w:p w14:paraId="354F04DB" w14:textId="77777777" w:rsidR="0053107D" w:rsidRPr="001170AC" w:rsidRDefault="0053107D" w:rsidP="00670B35"/>
    <w:p w14:paraId="337A0E17" w14:textId="77777777" w:rsidR="0053107D" w:rsidRPr="001170AC" w:rsidRDefault="0053107D" w:rsidP="00670B35">
      <w:pPr>
        <w:pStyle w:val="NoSpacing"/>
        <w:spacing w:line="276" w:lineRule="auto"/>
      </w:pPr>
      <w:r w:rsidRPr="001170AC">
        <w:t xml:space="preserve">The Health Sector PER </w:t>
      </w:r>
      <w:r w:rsidR="00CC2528" w:rsidRPr="001170AC">
        <w:t>for 20</w:t>
      </w:r>
      <w:r w:rsidRPr="001170AC">
        <w:t>1</w:t>
      </w:r>
      <w:r w:rsidR="006A54B5">
        <w:t>5</w:t>
      </w:r>
      <w:r w:rsidRPr="001170AC">
        <w:t>/1</w:t>
      </w:r>
      <w:r w:rsidR="006A54B5">
        <w:t>6</w:t>
      </w:r>
      <w:r w:rsidRPr="001170AC">
        <w:t xml:space="preserve"> </w:t>
      </w:r>
      <w:r w:rsidR="00CC2528" w:rsidRPr="001170AC">
        <w:t xml:space="preserve">Financial Year (FY) </w:t>
      </w:r>
      <w:r w:rsidRPr="001170AC">
        <w:t>sets out to assess the budgetary allocations and expenditures to inform stakeholders about progress made in key health financing milestones over the 201</w:t>
      </w:r>
      <w:r w:rsidR="006A54B5">
        <w:t>2</w:t>
      </w:r>
      <w:r w:rsidRPr="001170AC">
        <w:t>/1</w:t>
      </w:r>
      <w:r w:rsidR="006A54B5">
        <w:t>3</w:t>
      </w:r>
      <w:r w:rsidRPr="001170AC">
        <w:t>–201</w:t>
      </w:r>
      <w:r w:rsidR="006A54B5">
        <w:t>6</w:t>
      </w:r>
      <w:r w:rsidRPr="001170AC">
        <w:t>/1</w:t>
      </w:r>
      <w:r w:rsidR="006A54B5">
        <w:t>7</w:t>
      </w:r>
      <w:r w:rsidRPr="001170AC">
        <w:t xml:space="preserve"> period. Specifically, the PER FY1</w:t>
      </w:r>
      <w:r w:rsidR="006A54B5">
        <w:t>5</w:t>
      </w:r>
      <w:r w:rsidRPr="001170AC">
        <w:t>/1</w:t>
      </w:r>
      <w:r w:rsidR="006A54B5">
        <w:t>6</w:t>
      </w:r>
      <w:r w:rsidRPr="001170AC">
        <w:t xml:space="preserve"> provides:</w:t>
      </w:r>
    </w:p>
    <w:p w14:paraId="6C7B5B99" w14:textId="77777777" w:rsidR="006C1438" w:rsidRPr="001170AC" w:rsidRDefault="0053107D" w:rsidP="00670B35">
      <w:pPr>
        <w:pStyle w:val="NoSpacing"/>
        <w:numPr>
          <w:ilvl w:val="0"/>
          <w:numId w:val="21"/>
        </w:numPr>
        <w:spacing w:line="276" w:lineRule="auto"/>
      </w:pPr>
      <w:r w:rsidRPr="001170AC">
        <w:t>A review of PER FY1</w:t>
      </w:r>
      <w:r w:rsidR="006A54B5">
        <w:t>4</w:t>
      </w:r>
      <w:r w:rsidR="006C1438" w:rsidRPr="001170AC">
        <w:t>/1</w:t>
      </w:r>
      <w:r w:rsidR="006A54B5">
        <w:t>5</w:t>
      </w:r>
      <w:r w:rsidR="006C1438" w:rsidRPr="001170AC">
        <w:t xml:space="preserve"> </w:t>
      </w:r>
      <w:r w:rsidRPr="001170AC">
        <w:t>findings and actions taken by the sector in response to those findings, indicating unaccomplished/pending actions, and identifying follow-up actions</w:t>
      </w:r>
      <w:r w:rsidR="006C1438" w:rsidRPr="001170AC">
        <w:t>.</w:t>
      </w:r>
    </w:p>
    <w:p w14:paraId="5375F537" w14:textId="77777777" w:rsidR="00670B35" w:rsidRPr="001170AC" w:rsidRDefault="00670B35" w:rsidP="00670B35">
      <w:pPr>
        <w:pStyle w:val="NoSpacing"/>
        <w:numPr>
          <w:ilvl w:val="0"/>
          <w:numId w:val="21"/>
        </w:numPr>
        <w:spacing w:line="276" w:lineRule="auto"/>
      </w:pPr>
      <w:r w:rsidRPr="001170AC">
        <w:t>Analysis of the trends in the sources of funding for the health sector for the past five fiscal years.</w:t>
      </w:r>
    </w:p>
    <w:p w14:paraId="6F4D29E7" w14:textId="77777777" w:rsidR="006C1438" w:rsidRPr="001170AC" w:rsidRDefault="0053107D" w:rsidP="00670B35">
      <w:pPr>
        <w:pStyle w:val="NoSpacing"/>
        <w:numPr>
          <w:ilvl w:val="0"/>
          <w:numId w:val="21"/>
        </w:numPr>
        <w:spacing w:line="276" w:lineRule="auto"/>
      </w:pPr>
      <w:r w:rsidRPr="001170AC">
        <w:t>Analysis of the trend of recurrent and development budget and expenditures for the past five fiscal years</w:t>
      </w:r>
      <w:r w:rsidR="00CC2528" w:rsidRPr="001170AC">
        <w:t>.</w:t>
      </w:r>
    </w:p>
    <w:p w14:paraId="7E4D6479" w14:textId="77777777" w:rsidR="006C1438" w:rsidRPr="001170AC" w:rsidRDefault="0053107D" w:rsidP="00670B35">
      <w:pPr>
        <w:pStyle w:val="NoSpacing"/>
        <w:numPr>
          <w:ilvl w:val="0"/>
          <w:numId w:val="21"/>
        </w:numPr>
        <w:spacing w:line="276" w:lineRule="auto"/>
      </w:pPr>
      <w:r w:rsidRPr="001170AC">
        <w:lastRenderedPageBreak/>
        <w:t>Analysis of budget and expenditure trends for the different sectoral and sub</w:t>
      </w:r>
      <w:r w:rsidR="006C1438" w:rsidRPr="001170AC">
        <w:t>-</w:t>
      </w:r>
      <w:r w:rsidRPr="001170AC">
        <w:t>sectoral levels including the central-local government split</w:t>
      </w:r>
      <w:r w:rsidR="00670B35" w:rsidRPr="001170AC">
        <w:t>.</w:t>
      </w:r>
    </w:p>
    <w:p w14:paraId="7A1462F9" w14:textId="77777777" w:rsidR="0053107D" w:rsidRPr="001170AC" w:rsidRDefault="0053107D" w:rsidP="003A357D">
      <w:pPr>
        <w:pStyle w:val="NoSpacing"/>
        <w:numPr>
          <w:ilvl w:val="0"/>
          <w:numId w:val="21"/>
        </w:numPr>
        <w:spacing w:line="276" w:lineRule="auto"/>
      </w:pPr>
      <w:r w:rsidRPr="001170AC">
        <w:t>Assessment of budget performance (allocation versus actual spending) by classification (development and recurrent), funding sources (government funding and foreign funding), and different levels (central and local)</w:t>
      </w:r>
      <w:r w:rsidR="00670B35" w:rsidRPr="001170AC">
        <w:t>.</w:t>
      </w:r>
    </w:p>
    <w:p w14:paraId="7B25F5BF" w14:textId="77777777" w:rsidR="00670B35" w:rsidRPr="001170AC" w:rsidRDefault="00670B35" w:rsidP="00670B35">
      <w:pPr>
        <w:pStyle w:val="NoSpacing"/>
        <w:spacing w:line="276" w:lineRule="auto"/>
        <w:ind w:left="720"/>
      </w:pPr>
    </w:p>
    <w:p w14:paraId="7A5193FF" w14:textId="77777777" w:rsidR="006C1438" w:rsidRDefault="0053107D" w:rsidP="00670B35">
      <w:pPr>
        <w:pStyle w:val="NoSpacing"/>
        <w:spacing w:line="276" w:lineRule="auto"/>
      </w:pPr>
      <w:r w:rsidRPr="00413C67">
        <w:t xml:space="preserve">This </w:t>
      </w:r>
      <w:r w:rsidR="00670B35" w:rsidRPr="00413C67">
        <w:t xml:space="preserve">PER </w:t>
      </w:r>
      <w:r w:rsidRPr="00413C67">
        <w:t>is informed by data collected from both the central-level institutions and Local Government Authorities (LGAs).</w:t>
      </w:r>
      <w:r w:rsidRPr="001170AC">
        <w:t xml:space="preserve"> The central-level institutions include: the Ministry of Finance </w:t>
      </w:r>
      <w:r w:rsidR="00670B35" w:rsidRPr="001170AC">
        <w:t xml:space="preserve">and Planning </w:t>
      </w:r>
      <w:r w:rsidRPr="001170AC">
        <w:t>(MoF</w:t>
      </w:r>
      <w:r w:rsidR="00670B35" w:rsidRPr="001170AC">
        <w:t>P</w:t>
      </w:r>
      <w:r w:rsidRPr="001170AC">
        <w:t xml:space="preserve">); the </w:t>
      </w:r>
      <w:r w:rsidR="006C1438" w:rsidRPr="001170AC">
        <w:t>Ministry of Health, Community Development, Gender, Elderly and Children (</w:t>
      </w:r>
      <w:r w:rsidRPr="001170AC">
        <w:t>MoH</w:t>
      </w:r>
      <w:r w:rsidR="006C1438" w:rsidRPr="001170AC">
        <w:t>CDGEC)</w:t>
      </w:r>
      <w:r w:rsidRPr="001170AC">
        <w:t>; the Pr</w:t>
      </w:r>
      <w:r w:rsidR="006C1438" w:rsidRPr="001170AC">
        <w:t xml:space="preserve">esident’s </w:t>
      </w:r>
      <w:r w:rsidRPr="001170AC">
        <w:t>Office, Regional Adminis</w:t>
      </w:r>
      <w:r w:rsidR="00670B35" w:rsidRPr="001170AC">
        <w:t>tration and Local Government (P</w:t>
      </w:r>
      <w:r w:rsidRPr="001170AC">
        <w:t xml:space="preserve">O-RALG), and the National Health Insurance Fund (NHIF). </w:t>
      </w:r>
      <w:r w:rsidRPr="00295916">
        <w:t xml:space="preserve">Data from the LGAs were collected </w:t>
      </w:r>
      <w:r w:rsidR="00295916">
        <w:t xml:space="preserve">mainly </w:t>
      </w:r>
      <w:r w:rsidRPr="00295916">
        <w:t>from</w:t>
      </w:r>
      <w:r w:rsidR="00295916">
        <w:t xml:space="preserve"> Epicor and PlanRep.</w:t>
      </w:r>
      <w:r w:rsidRPr="00295916">
        <w:t xml:space="preserve"> </w:t>
      </w:r>
    </w:p>
    <w:p w14:paraId="26A7A855" w14:textId="77777777" w:rsidR="00C540EB" w:rsidRPr="001170AC" w:rsidRDefault="00C540EB" w:rsidP="00670B35">
      <w:pPr>
        <w:pStyle w:val="NoSpacing"/>
        <w:spacing w:line="276" w:lineRule="auto"/>
      </w:pPr>
    </w:p>
    <w:p w14:paraId="08F180C0" w14:textId="77777777" w:rsidR="0053107D" w:rsidRPr="001170AC" w:rsidRDefault="0053107D" w:rsidP="00670B35">
      <w:pPr>
        <w:pStyle w:val="NoSpacing"/>
        <w:spacing w:line="276" w:lineRule="auto"/>
      </w:pPr>
      <w:r w:rsidRPr="00AE1AF2">
        <w:t>The PER FY1</w:t>
      </w:r>
      <w:r w:rsidR="00AE1AF2">
        <w:t>5</w:t>
      </w:r>
      <w:r w:rsidR="006C1438" w:rsidRPr="00AE1AF2">
        <w:t>/1</w:t>
      </w:r>
      <w:r w:rsidR="00AE1AF2">
        <w:t>6</w:t>
      </w:r>
      <w:r w:rsidR="006C1438" w:rsidRPr="00AE1AF2">
        <w:t xml:space="preserve"> </w:t>
      </w:r>
      <w:r w:rsidRPr="00AE1AF2">
        <w:t>is organized in six chapters. After the introduction in Chapter 1, the second chapter presents a review of PER FY1</w:t>
      </w:r>
      <w:r w:rsidR="00AE1AF2">
        <w:t>4</w:t>
      </w:r>
      <w:r w:rsidR="006C1438" w:rsidRPr="00AE1AF2">
        <w:t>/1</w:t>
      </w:r>
      <w:r w:rsidR="00AE1AF2">
        <w:t>5</w:t>
      </w:r>
      <w:r w:rsidRPr="00AE1AF2">
        <w:t xml:space="preserve"> recommendations and follow-up actions. Chapter 3 summarizes trends in overall public health spending (trends in the total public health budget and expenditures) and various subsector trends, with some detailed analysis of particular recurrent expenditure items and the development budget.</w:t>
      </w:r>
      <w:r w:rsidR="00C540EB" w:rsidRPr="00AE1AF2">
        <w:t xml:space="preserve"> Share of expenditure at different levels and b</w:t>
      </w:r>
      <w:r w:rsidRPr="00AE1AF2">
        <w:t xml:space="preserve">udget execution </w:t>
      </w:r>
      <w:r w:rsidR="00C540EB" w:rsidRPr="00AE1AF2">
        <w:t xml:space="preserve">of various sources of funds and by MoHCDGEC </w:t>
      </w:r>
      <w:r w:rsidRPr="00AE1AF2">
        <w:t>departments</w:t>
      </w:r>
      <w:r w:rsidR="00C540EB" w:rsidRPr="00AE1AF2">
        <w:t xml:space="preserve"> has also been presented. </w:t>
      </w:r>
      <w:r w:rsidRPr="00AE1AF2">
        <w:t>Analysis of the contribution of complementary f</w:t>
      </w:r>
      <w:r w:rsidR="00295916">
        <w:t xml:space="preserve">unds </w:t>
      </w:r>
      <w:r w:rsidRPr="00AE1AF2">
        <w:t xml:space="preserve">in health care financing is presented in Chapter 4. </w:t>
      </w:r>
      <w:r w:rsidRPr="003222CA">
        <w:t xml:space="preserve">Chapter 5 gives an overview of budgets and expenditures in </w:t>
      </w:r>
      <w:r w:rsidR="00C540EB" w:rsidRPr="003222CA">
        <w:t>LGAs using information from PlanRep and Epicor</w:t>
      </w:r>
      <w:r w:rsidR="003222CA">
        <w:t xml:space="preserve"> and </w:t>
      </w:r>
      <w:r w:rsidRPr="00AE1AF2">
        <w:t>Chapter 6 points out key messages from the analysis and provides recommendations for the way forward.</w:t>
      </w:r>
    </w:p>
    <w:p w14:paraId="33E4FE3F" w14:textId="77777777" w:rsidR="006C1438" w:rsidRPr="001170AC" w:rsidRDefault="006C1438" w:rsidP="00670B35">
      <w:pPr>
        <w:pStyle w:val="NoSpacing"/>
        <w:spacing w:line="276" w:lineRule="auto"/>
      </w:pPr>
    </w:p>
    <w:p w14:paraId="72FA8F13" w14:textId="77777777" w:rsidR="0053107D" w:rsidRPr="001170AC" w:rsidRDefault="0053107D" w:rsidP="00670B35"/>
    <w:p w14:paraId="114FC417" w14:textId="77777777" w:rsidR="001809AC" w:rsidRPr="001170AC" w:rsidRDefault="003445D6" w:rsidP="00197026">
      <w:pPr>
        <w:pStyle w:val="Heading1"/>
      </w:pPr>
      <w:bookmarkStart w:id="11" w:name="_Toc242075424"/>
      <w:bookmarkStart w:id="12" w:name="_Toc296596560"/>
      <w:bookmarkStart w:id="13" w:name="_Toc323525995"/>
      <w:bookmarkStart w:id="14" w:name="_Toc327143901"/>
      <w:bookmarkStart w:id="15" w:name="_Toc408467886"/>
      <w:bookmarkStart w:id="16" w:name="_Toc422287319"/>
      <w:r w:rsidRPr="001170AC">
        <w:br w:type="page"/>
      </w:r>
      <w:bookmarkStart w:id="17" w:name="_Toc488423248"/>
      <w:r w:rsidR="00197026">
        <w:lastRenderedPageBreak/>
        <w:t>2.0</w:t>
      </w:r>
      <w:r w:rsidR="00197026">
        <w:tab/>
      </w:r>
      <w:r w:rsidR="001809AC" w:rsidRPr="001170AC">
        <w:t>Review of PER FY</w:t>
      </w:r>
      <w:r w:rsidR="00E3426F" w:rsidRPr="001170AC">
        <w:rPr>
          <w:lang w:val="en-GB"/>
        </w:rPr>
        <w:t>201</w:t>
      </w:r>
      <w:r w:rsidR="006A54B5">
        <w:rPr>
          <w:lang w:val="en-GB"/>
        </w:rPr>
        <w:t>4</w:t>
      </w:r>
      <w:r w:rsidR="00E3426F" w:rsidRPr="001170AC">
        <w:rPr>
          <w:lang w:val="en-GB"/>
        </w:rPr>
        <w:t>/1</w:t>
      </w:r>
      <w:r w:rsidR="006A54B5">
        <w:rPr>
          <w:lang w:val="en-GB"/>
        </w:rPr>
        <w:t>5</w:t>
      </w:r>
      <w:r w:rsidR="00E3426F" w:rsidRPr="001170AC">
        <w:rPr>
          <w:lang w:val="en-GB"/>
        </w:rPr>
        <w:t xml:space="preserve"> </w:t>
      </w:r>
      <w:r w:rsidR="001809AC" w:rsidRPr="001170AC">
        <w:t>Recommendations and Actions Taken</w:t>
      </w:r>
      <w:bookmarkEnd w:id="11"/>
      <w:bookmarkEnd w:id="12"/>
      <w:bookmarkEnd w:id="13"/>
      <w:bookmarkEnd w:id="14"/>
      <w:bookmarkEnd w:id="15"/>
      <w:bookmarkEnd w:id="16"/>
      <w:bookmarkEnd w:id="17"/>
    </w:p>
    <w:p w14:paraId="3C226752" w14:textId="77777777" w:rsidR="006C1438" w:rsidRPr="001170AC" w:rsidRDefault="006C1438" w:rsidP="00670B35"/>
    <w:p w14:paraId="0EE27AC7" w14:textId="77777777" w:rsidR="00C36D4F" w:rsidRPr="001170AC" w:rsidRDefault="001809AC" w:rsidP="00670B35">
      <w:r w:rsidRPr="001170AC">
        <w:t>The main recommendations of the PER FY</w:t>
      </w:r>
      <w:r w:rsidR="00ED328D" w:rsidRPr="001170AC">
        <w:t>201</w:t>
      </w:r>
      <w:r w:rsidR="006A54B5">
        <w:t>4</w:t>
      </w:r>
      <w:r w:rsidR="00E3426F" w:rsidRPr="001170AC">
        <w:t>/1</w:t>
      </w:r>
      <w:r w:rsidR="006A54B5">
        <w:t>5</w:t>
      </w:r>
      <w:r w:rsidRPr="001170AC">
        <w:t xml:space="preserve">, together with actions </w:t>
      </w:r>
      <w:r w:rsidR="008556E3" w:rsidRPr="001170AC">
        <w:t>taken during FY 201</w:t>
      </w:r>
      <w:r w:rsidR="006A54B5">
        <w:t>5</w:t>
      </w:r>
      <w:r w:rsidR="008556E3" w:rsidRPr="001170AC">
        <w:t>/1</w:t>
      </w:r>
      <w:r w:rsidR="006A54B5">
        <w:t>6</w:t>
      </w:r>
      <w:r w:rsidR="008556E3" w:rsidRPr="001170AC">
        <w:t xml:space="preserve"> or planned</w:t>
      </w:r>
      <w:r w:rsidRPr="001170AC">
        <w:t xml:space="preserve">, are presented in Table </w:t>
      </w:r>
      <w:r w:rsidR="00C36D4F" w:rsidRPr="001170AC">
        <w:t>2.</w:t>
      </w:r>
      <w:r w:rsidRPr="001170AC">
        <w:t xml:space="preserve">1 below.  </w:t>
      </w:r>
    </w:p>
    <w:p w14:paraId="218CCA6F" w14:textId="77777777" w:rsidR="001809AC" w:rsidRPr="001170AC" w:rsidRDefault="001809AC" w:rsidP="00670B35">
      <w:r w:rsidRPr="001170AC">
        <w:t xml:space="preserve">  </w:t>
      </w:r>
    </w:p>
    <w:p w14:paraId="313EC942" w14:textId="77777777" w:rsidR="001809AC" w:rsidRPr="001170AC" w:rsidRDefault="00C36D4F" w:rsidP="00462CBE">
      <w:pPr>
        <w:pStyle w:val="Caption"/>
      </w:pPr>
      <w:bookmarkStart w:id="18" w:name="_Toc488423279"/>
      <w:r w:rsidRPr="001170AC">
        <w:t>Table 2.1:</w:t>
      </w:r>
      <w:r w:rsidR="00462CBE">
        <w:tab/>
      </w:r>
      <w:r w:rsidR="001809AC" w:rsidRPr="001170AC">
        <w:t>Summary of PER FY</w:t>
      </w:r>
      <w:r w:rsidR="00ED328D" w:rsidRPr="001170AC">
        <w:t>201</w:t>
      </w:r>
      <w:r w:rsidR="006A54B5">
        <w:t>4</w:t>
      </w:r>
      <w:r w:rsidR="00E3426F" w:rsidRPr="001170AC">
        <w:t>/1</w:t>
      </w:r>
      <w:r w:rsidR="006A54B5">
        <w:t>5</w:t>
      </w:r>
      <w:r w:rsidRPr="001170AC">
        <w:t xml:space="preserve"> Recommendations and Actions T</w:t>
      </w:r>
      <w:r w:rsidR="001809AC" w:rsidRPr="001170AC">
        <w:t>aken</w:t>
      </w:r>
      <w:bookmarkEnd w:id="18"/>
    </w:p>
    <w:tbl>
      <w:tblPr>
        <w:tblW w:w="5444" w:type="pct"/>
        <w:tblBorders>
          <w:top w:val="double" w:sz="4" w:space="0" w:color="3333FF"/>
          <w:left w:val="double" w:sz="4" w:space="0" w:color="3333FF"/>
          <w:bottom w:val="double" w:sz="4" w:space="0" w:color="3333FF"/>
          <w:right w:val="double" w:sz="4" w:space="0" w:color="3333FF"/>
          <w:insideH w:val="single" w:sz="4" w:space="0" w:color="auto"/>
          <w:insideV w:val="single" w:sz="4" w:space="0" w:color="auto"/>
        </w:tblBorders>
        <w:tblLook w:val="04A0" w:firstRow="1" w:lastRow="0" w:firstColumn="1" w:lastColumn="0" w:noHBand="0" w:noVBand="1"/>
      </w:tblPr>
      <w:tblGrid>
        <w:gridCol w:w="3585"/>
        <w:gridCol w:w="3060"/>
        <w:gridCol w:w="3150"/>
      </w:tblGrid>
      <w:tr w:rsidR="00F30100" w:rsidRPr="00DF4EDD" w14:paraId="62CF8EFD" w14:textId="77777777" w:rsidTr="00F30100">
        <w:trPr>
          <w:tblHeader/>
        </w:trPr>
        <w:tc>
          <w:tcPr>
            <w:tcW w:w="1830" w:type="pct"/>
            <w:shd w:val="clear" w:color="auto" w:fill="C2D69B" w:themeFill="accent3" w:themeFillTint="99"/>
          </w:tcPr>
          <w:p w14:paraId="50BBC703" w14:textId="77777777" w:rsidR="00F30100" w:rsidRPr="00DF4EDD" w:rsidRDefault="00F30100" w:rsidP="003222CA">
            <w:pPr>
              <w:spacing w:line="240" w:lineRule="auto"/>
              <w:rPr>
                <w:b/>
                <w:lang w:val="en-GB" w:eastAsia="en-GB"/>
              </w:rPr>
            </w:pPr>
            <w:r w:rsidRPr="00DF4EDD">
              <w:rPr>
                <w:b/>
                <w:color w:val="000000"/>
              </w:rPr>
              <w:t>Issue</w:t>
            </w:r>
          </w:p>
        </w:tc>
        <w:tc>
          <w:tcPr>
            <w:tcW w:w="1562" w:type="pct"/>
            <w:shd w:val="clear" w:color="auto" w:fill="C2D69B" w:themeFill="accent3" w:themeFillTint="99"/>
          </w:tcPr>
          <w:p w14:paraId="4ECE965B" w14:textId="77777777" w:rsidR="00F30100" w:rsidRPr="00DF4EDD" w:rsidRDefault="00F30100" w:rsidP="003222CA">
            <w:pPr>
              <w:spacing w:line="240" w:lineRule="auto"/>
              <w:rPr>
                <w:b/>
                <w:lang w:val="en-GB" w:eastAsia="en-GB"/>
              </w:rPr>
            </w:pPr>
            <w:r w:rsidRPr="00DF4EDD">
              <w:rPr>
                <w:b/>
                <w:color w:val="000000"/>
              </w:rPr>
              <w:t>Recommendations</w:t>
            </w:r>
          </w:p>
        </w:tc>
        <w:tc>
          <w:tcPr>
            <w:tcW w:w="1608" w:type="pct"/>
            <w:shd w:val="clear" w:color="auto" w:fill="C2D69B" w:themeFill="accent3" w:themeFillTint="99"/>
          </w:tcPr>
          <w:p w14:paraId="666AF9D9" w14:textId="77777777" w:rsidR="00F30100" w:rsidRPr="00DF4EDD" w:rsidRDefault="00F30100" w:rsidP="003222CA">
            <w:pPr>
              <w:spacing w:line="240" w:lineRule="auto"/>
              <w:rPr>
                <w:b/>
                <w:lang w:val="en-GB" w:eastAsia="en-GB"/>
              </w:rPr>
            </w:pPr>
            <w:r w:rsidRPr="00DF4EDD">
              <w:rPr>
                <w:b/>
              </w:rPr>
              <w:t>Actions Taken</w:t>
            </w:r>
          </w:p>
        </w:tc>
      </w:tr>
      <w:tr w:rsidR="00F30100" w:rsidRPr="00197026" w14:paraId="04FD5ABE" w14:textId="77777777" w:rsidTr="00F30100">
        <w:tc>
          <w:tcPr>
            <w:tcW w:w="1830" w:type="pct"/>
            <w:shd w:val="clear" w:color="auto" w:fill="auto"/>
          </w:tcPr>
          <w:p w14:paraId="4FAD6F41" w14:textId="77777777" w:rsidR="00F30100" w:rsidRPr="00197026" w:rsidRDefault="00F30100" w:rsidP="00DD76E3">
            <w:pPr>
              <w:spacing w:line="240" w:lineRule="auto"/>
              <w:rPr>
                <w:sz w:val="22"/>
                <w:szCs w:val="22"/>
                <w:lang w:val="en-GB" w:eastAsia="en-GB"/>
              </w:rPr>
            </w:pPr>
            <w:r w:rsidRPr="00197026">
              <w:rPr>
                <w:color w:val="000000"/>
                <w:sz w:val="22"/>
                <w:szCs w:val="22"/>
              </w:rPr>
              <w:t xml:space="preserve">NHIF provided directives on funding request in every months but the reimbursement is not done every month. Also there is no feedback mechanism on unpaid claims.  </w:t>
            </w:r>
          </w:p>
        </w:tc>
        <w:tc>
          <w:tcPr>
            <w:tcW w:w="1562" w:type="pct"/>
            <w:shd w:val="clear" w:color="auto" w:fill="auto"/>
          </w:tcPr>
          <w:p w14:paraId="4B91E74E" w14:textId="77777777" w:rsidR="00F30100" w:rsidRPr="00197026" w:rsidRDefault="00F30100" w:rsidP="003222CA">
            <w:pPr>
              <w:spacing w:line="240" w:lineRule="auto"/>
              <w:contextualSpacing/>
              <w:rPr>
                <w:color w:val="000000"/>
                <w:sz w:val="22"/>
                <w:szCs w:val="22"/>
              </w:rPr>
            </w:pPr>
            <w:r w:rsidRPr="00197026">
              <w:rPr>
                <w:color w:val="000000"/>
                <w:sz w:val="22"/>
                <w:szCs w:val="22"/>
              </w:rPr>
              <w:t xml:space="preserve">Feedback mechanism for the unpaid claims and matching fund should be strengthened. </w:t>
            </w:r>
          </w:p>
          <w:p w14:paraId="37637B3F" w14:textId="77777777" w:rsidR="00F30100" w:rsidRPr="00197026" w:rsidRDefault="00F30100" w:rsidP="003222CA">
            <w:pPr>
              <w:spacing w:line="240" w:lineRule="auto"/>
              <w:rPr>
                <w:sz w:val="22"/>
                <w:szCs w:val="22"/>
                <w:lang w:val="en-GB" w:eastAsia="en-GB"/>
              </w:rPr>
            </w:pPr>
          </w:p>
        </w:tc>
        <w:tc>
          <w:tcPr>
            <w:tcW w:w="1608" w:type="pct"/>
            <w:shd w:val="clear" w:color="auto" w:fill="auto"/>
          </w:tcPr>
          <w:p w14:paraId="7E7BE68A" w14:textId="6BD43A0F" w:rsidR="00F30100" w:rsidRPr="00197026" w:rsidRDefault="00F30100" w:rsidP="00DD76E3">
            <w:pPr>
              <w:spacing w:line="240" w:lineRule="auto"/>
              <w:rPr>
                <w:sz w:val="22"/>
                <w:szCs w:val="22"/>
              </w:rPr>
            </w:pPr>
            <w:r w:rsidRPr="00197026">
              <w:rPr>
                <w:sz w:val="22"/>
                <w:szCs w:val="22"/>
              </w:rPr>
              <w:t>It was reported that NHIF has established e-claim system which has been installed in</w:t>
            </w:r>
            <w:r>
              <w:rPr>
                <w:sz w:val="22"/>
                <w:szCs w:val="22"/>
              </w:rPr>
              <w:t xml:space="preserve"> </w:t>
            </w:r>
            <w:r>
              <w:t>2,186</w:t>
            </w:r>
            <w:r w:rsidRPr="00197026">
              <w:rPr>
                <w:sz w:val="22"/>
                <w:szCs w:val="22"/>
              </w:rPr>
              <w:t xml:space="preserve"> health facilities. </w:t>
            </w:r>
            <w:r>
              <w:rPr>
                <w:sz w:val="22"/>
                <w:szCs w:val="22"/>
              </w:rPr>
              <w:t xml:space="preserve"> </w:t>
            </w:r>
          </w:p>
          <w:p w14:paraId="72484759" w14:textId="77777777" w:rsidR="00F30100" w:rsidRPr="00197026" w:rsidRDefault="00F30100" w:rsidP="00DD76E3">
            <w:pPr>
              <w:spacing w:line="240" w:lineRule="auto"/>
              <w:rPr>
                <w:sz w:val="22"/>
                <w:szCs w:val="22"/>
              </w:rPr>
            </w:pPr>
          </w:p>
          <w:p w14:paraId="59E60E0D" w14:textId="47C45493" w:rsidR="00F30100" w:rsidRPr="00197026" w:rsidRDefault="00F30100" w:rsidP="00DD76E3">
            <w:pPr>
              <w:spacing w:line="240" w:lineRule="auto"/>
              <w:rPr>
                <w:sz w:val="22"/>
                <w:szCs w:val="22"/>
                <w:lang w:val="en-GB" w:eastAsia="en-GB"/>
              </w:rPr>
            </w:pPr>
          </w:p>
        </w:tc>
      </w:tr>
      <w:tr w:rsidR="00F30100" w:rsidRPr="00197026" w14:paraId="7068BD12" w14:textId="77777777" w:rsidTr="00F30100">
        <w:tc>
          <w:tcPr>
            <w:tcW w:w="1830" w:type="pct"/>
            <w:shd w:val="clear" w:color="auto" w:fill="auto"/>
          </w:tcPr>
          <w:p w14:paraId="068EE073" w14:textId="77777777" w:rsidR="00F30100" w:rsidRPr="00197026" w:rsidRDefault="00F30100" w:rsidP="00DD76E3">
            <w:pPr>
              <w:spacing w:line="240" w:lineRule="auto"/>
              <w:rPr>
                <w:color w:val="000000"/>
                <w:sz w:val="22"/>
                <w:szCs w:val="22"/>
              </w:rPr>
            </w:pPr>
            <w:r w:rsidRPr="00197026">
              <w:rPr>
                <w:color w:val="000000"/>
                <w:sz w:val="22"/>
                <w:szCs w:val="22"/>
              </w:rPr>
              <w:t>Due to continuous complaints on out of stock of drugs, there is a need to address financing factors including budget execution for pharmaceuticals.</w:t>
            </w:r>
          </w:p>
        </w:tc>
        <w:tc>
          <w:tcPr>
            <w:tcW w:w="1562" w:type="pct"/>
            <w:shd w:val="clear" w:color="auto" w:fill="auto"/>
          </w:tcPr>
          <w:p w14:paraId="324562CF" w14:textId="77777777" w:rsidR="00F30100" w:rsidRPr="00197026" w:rsidRDefault="00F30100" w:rsidP="003222CA">
            <w:pPr>
              <w:spacing w:line="240" w:lineRule="auto"/>
              <w:contextualSpacing/>
              <w:rPr>
                <w:color w:val="000000"/>
                <w:sz w:val="22"/>
                <w:szCs w:val="22"/>
              </w:rPr>
            </w:pPr>
            <w:r w:rsidRPr="00197026">
              <w:rPr>
                <w:color w:val="000000"/>
                <w:sz w:val="22"/>
                <w:szCs w:val="22"/>
              </w:rPr>
              <w:t xml:space="preserve">Budget execution data for pharmaceutical should be included in the future PER report. </w:t>
            </w:r>
          </w:p>
          <w:p w14:paraId="2AEC8088" w14:textId="77777777" w:rsidR="00F30100" w:rsidRPr="00197026" w:rsidRDefault="00F30100" w:rsidP="003222CA">
            <w:pPr>
              <w:spacing w:line="240" w:lineRule="auto"/>
              <w:rPr>
                <w:sz w:val="22"/>
                <w:szCs w:val="22"/>
                <w:lang w:val="en-GB" w:eastAsia="en-GB"/>
              </w:rPr>
            </w:pPr>
          </w:p>
        </w:tc>
        <w:tc>
          <w:tcPr>
            <w:tcW w:w="1608" w:type="pct"/>
            <w:shd w:val="clear" w:color="auto" w:fill="auto"/>
          </w:tcPr>
          <w:p w14:paraId="4E0BB95F" w14:textId="2AC57E1B" w:rsidR="00F30100" w:rsidRPr="00197026" w:rsidRDefault="00F30100" w:rsidP="003222CA">
            <w:pPr>
              <w:spacing w:line="240" w:lineRule="auto"/>
              <w:rPr>
                <w:sz w:val="22"/>
                <w:szCs w:val="22"/>
                <w:lang w:val="en-GB" w:eastAsia="en-GB"/>
              </w:rPr>
            </w:pPr>
            <w:r w:rsidRPr="007B3EAD">
              <w:rPr>
                <w:sz w:val="22"/>
                <w:szCs w:val="22"/>
              </w:rPr>
              <w:t>The analysis of pharmaceuticals will be undertaken in the PER 2016/17.</w:t>
            </w:r>
          </w:p>
        </w:tc>
      </w:tr>
      <w:tr w:rsidR="00F30100" w:rsidRPr="00197026" w14:paraId="3339D1BE" w14:textId="77777777" w:rsidTr="00F30100">
        <w:tc>
          <w:tcPr>
            <w:tcW w:w="1830" w:type="pct"/>
            <w:shd w:val="clear" w:color="auto" w:fill="auto"/>
          </w:tcPr>
          <w:p w14:paraId="7D2A46C2" w14:textId="77777777" w:rsidR="00F30100" w:rsidRPr="00197026" w:rsidRDefault="00F30100" w:rsidP="003222CA">
            <w:pPr>
              <w:spacing w:line="240" w:lineRule="auto"/>
              <w:rPr>
                <w:sz w:val="22"/>
                <w:szCs w:val="22"/>
                <w:lang w:val="en-GB" w:eastAsia="en-GB"/>
              </w:rPr>
            </w:pPr>
            <w:r w:rsidRPr="00197026">
              <w:rPr>
                <w:color w:val="000000"/>
                <w:sz w:val="22"/>
                <w:szCs w:val="22"/>
              </w:rPr>
              <w:t>There is  inconsistency of LGA data in Plan Rep  and Epicor</w:t>
            </w:r>
          </w:p>
        </w:tc>
        <w:tc>
          <w:tcPr>
            <w:tcW w:w="1562" w:type="pct"/>
            <w:shd w:val="clear" w:color="auto" w:fill="auto"/>
          </w:tcPr>
          <w:p w14:paraId="59E97DFB" w14:textId="77777777" w:rsidR="00F30100" w:rsidRPr="00197026" w:rsidRDefault="00F30100" w:rsidP="003222CA">
            <w:pPr>
              <w:spacing w:line="240" w:lineRule="auto"/>
              <w:contextualSpacing/>
              <w:rPr>
                <w:color w:val="000000"/>
                <w:sz w:val="22"/>
                <w:szCs w:val="22"/>
              </w:rPr>
            </w:pPr>
            <w:r w:rsidRPr="00197026">
              <w:rPr>
                <w:color w:val="000000"/>
                <w:sz w:val="22"/>
                <w:szCs w:val="22"/>
              </w:rPr>
              <w:t>Efforts should be undertaken  to ensure that all complementary funding and own source are captured under the Epicor system</w:t>
            </w:r>
          </w:p>
        </w:tc>
        <w:tc>
          <w:tcPr>
            <w:tcW w:w="1608" w:type="pct"/>
            <w:shd w:val="clear" w:color="auto" w:fill="auto"/>
          </w:tcPr>
          <w:p w14:paraId="6D92E99C" w14:textId="77777777" w:rsidR="00F30100" w:rsidRPr="00197026" w:rsidRDefault="00F30100" w:rsidP="002E030E">
            <w:pPr>
              <w:spacing w:line="240" w:lineRule="auto"/>
              <w:rPr>
                <w:sz w:val="22"/>
                <w:szCs w:val="22"/>
                <w:lang w:val="en-GB" w:eastAsia="en-GB"/>
              </w:rPr>
            </w:pPr>
            <w:r w:rsidRPr="00197026">
              <w:rPr>
                <w:sz w:val="22"/>
                <w:szCs w:val="22"/>
              </w:rPr>
              <w:t>PO-RALG in collaboration from the Public Sector Systems Strengthening (PS3) project has developed Facility Financing, Accounting and Reporting System (FARS).</w:t>
            </w:r>
            <w:r>
              <w:rPr>
                <w:sz w:val="22"/>
                <w:szCs w:val="22"/>
              </w:rPr>
              <w:t xml:space="preserve"> Which is expected to improve accounting report at the facility level.</w:t>
            </w:r>
            <w:r w:rsidRPr="00197026">
              <w:rPr>
                <w:sz w:val="22"/>
                <w:szCs w:val="22"/>
              </w:rPr>
              <w:t xml:space="preserve"> </w:t>
            </w:r>
          </w:p>
        </w:tc>
      </w:tr>
      <w:tr w:rsidR="00F30100" w:rsidRPr="00197026" w14:paraId="05211EC8" w14:textId="77777777" w:rsidTr="00F30100">
        <w:tc>
          <w:tcPr>
            <w:tcW w:w="1830" w:type="pct"/>
            <w:shd w:val="clear" w:color="auto" w:fill="auto"/>
          </w:tcPr>
          <w:p w14:paraId="4C30256A" w14:textId="77777777" w:rsidR="00F30100" w:rsidRPr="00197026" w:rsidRDefault="00F30100" w:rsidP="003222CA">
            <w:pPr>
              <w:spacing w:line="240" w:lineRule="auto"/>
              <w:contextualSpacing/>
              <w:rPr>
                <w:color w:val="000000"/>
                <w:sz w:val="22"/>
                <w:szCs w:val="22"/>
              </w:rPr>
            </w:pPr>
            <w:r w:rsidRPr="00197026">
              <w:rPr>
                <w:sz w:val="22"/>
                <w:szCs w:val="22"/>
              </w:rPr>
              <w:t xml:space="preserve">Although the Community Health Fund (CHF) matching fund application protocol has been reviewed, still it takes too long to access fund. There is a need to review the protocol again to establish the major causes of delays in receiving matching funds. </w:t>
            </w:r>
          </w:p>
        </w:tc>
        <w:tc>
          <w:tcPr>
            <w:tcW w:w="1562" w:type="pct"/>
            <w:shd w:val="clear" w:color="auto" w:fill="auto"/>
          </w:tcPr>
          <w:p w14:paraId="6E18209B" w14:textId="77777777" w:rsidR="00F30100" w:rsidRPr="00197026" w:rsidRDefault="00F30100" w:rsidP="003222CA">
            <w:pPr>
              <w:spacing w:line="240" w:lineRule="auto"/>
              <w:contextualSpacing/>
              <w:rPr>
                <w:color w:val="000000"/>
                <w:sz w:val="22"/>
                <w:szCs w:val="22"/>
              </w:rPr>
            </w:pPr>
            <w:r w:rsidRPr="00197026">
              <w:rPr>
                <w:sz w:val="22"/>
                <w:szCs w:val="22"/>
              </w:rPr>
              <w:t xml:space="preserve">Provide an analysis of the factors responsible for the delays in disbursement of matching fund.  </w:t>
            </w:r>
          </w:p>
          <w:p w14:paraId="2EA7D6FE" w14:textId="77777777" w:rsidR="00F30100" w:rsidRPr="00197026" w:rsidRDefault="00F30100" w:rsidP="003222CA">
            <w:pPr>
              <w:spacing w:line="240" w:lineRule="auto"/>
              <w:rPr>
                <w:sz w:val="22"/>
                <w:szCs w:val="22"/>
                <w:lang w:val="en-GB" w:eastAsia="en-GB"/>
              </w:rPr>
            </w:pPr>
          </w:p>
        </w:tc>
        <w:tc>
          <w:tcPr>
            <w:tcW w:w="1608" w:type="pct"/>
            <w:shd w:val="clear" w:color="auto" w:fill="auto"/>
          </w:tcPr>
          <w:p w14:paraId="77EF8B56" w14:textId="77777777" w:rsidR="00F30100" w:rsidRPr="00197026" w:rsidRDefault="00F30100" w:rsidP="003222CA">
            <w:pPr>
              <w:spacing w:line="240" w:lineRule="auto"/>
              <w:rPr>
                <w:sz w:val="22"/>
                <w:szCs w:val="22"/>
                <w:lang w:val="en-GB" w:eastAsia="en-GB"/>
              </w:rPr>
            </w:pPr>
            <w:r w:rsidRPr="00197026">
              <w:rPr>
                <w:sz w:val="22"/>
                <w:szCs w:val="22"/>
              </w:rPr>
              <w:t>The analysis will be conducted in the PER 2016/17.</w:t>
            </w:r>
          </w:p>
        </w:tc>
      </w:tr>
      <w:tr w:rsidR="00F30100" w:rsidRPr="00197026" w14:paraId="52430E33" w14:textId="77777777" w:rsidTr="00F30100">
        <w:tc>
          <w:tcPr>
            <w:tcW w:w="1830" w:type="pct"/>
            <w:shd w:val="clear" w:color="auto" w:fill="auto"/>
          </w:tcPr>
          <w:p w14:paraId="62A69E0B" w14:textId="77777777" w:rsidR="00F30100" w:rsidRPr="00197026" w:rsidRDefault="00F30100" w:rsidP="003222CA">
            <w:pPr>
              <w:spacing w:line="240" w:lineRule="auto"/>
              <w:contextualSpacing/>
              <w:rPr>
                <w:sz w:val="22"/>
                <w:szCs w:val="22"/>
              </w:rPr>
            </w:pPr>
            <w:r w:rsidRPr="00197026">
              <w:rPr>
                <w:sz w:val="22"/>
                <w:szCs w:val="22"/>
              </w:rPr>
              <w:t xml:space="preserve">There is no database for    CHF and NHIF members and the excepted utilization rate.  </w:t>
            </w:r>
          </w:p>
        </w:tc>
        <w:tc>
          <w:tcPr>
            <w:tcW w:w="1562" w:type="pct"/>
            <w:shd w:val="clear" w:color="auto" w:fill="auto"/>
          </w:tcPr>
          <w:p w14:paraId="2D09FF76" w14:textId="77777777" w:rsidR="00F30100" w:rsidRPr="00197026" w:rsidRDefault="00F30100" w:rsidP="003222CA">
            <w:pPr>
              <w:spacing w:line="240" w:lineRule="auto"/>
              <w:contextualSpacing/>
              <w:rPr>
                <w:sz w:val="22"/>
                <w:szCs w:val="22"/>
              </w:rPr>
            </w:pPr>
            <w:r w:rsidRPr="00197026">
              <w:rPr>
                <w:sz w:val="22"/>
                <w:szCs w:val="22"/>
              </w:rPr>
              <w:t xml:space="preserve">Integration of Utilization for  CHF, NHIF  members and the excepted in the  HMIS  system   </w:t>
            </w:r>
          </w:p>
        </w:tc>
        <w:tc>
          <w:tcPr>
            <w:tcW w:w="1608" w:type="pct"/>
            <w:shd w:val="clear" w:color="auto" w:fill="auto"/>
          </w:tcPr>
          <w:p w14:paraId="739A282F" w14:textId="706328A9" w:rsidR="00F30100" w:rsidRPr="00197026" w:rsidRDefault="00F30100" w:rsidP="00934881">
            <w:pPr>
              <w:spacing w:line="240" w:lineRule="auto"/>
              <w:rPr>
                <w:sz w:val="22"/>
                <w:szCs w:val="22"/>
                <w:lang w:val="en-GB" w:eastAsia="en-GB"/>
              </w:rPr>
            </w:pPr>
            <w:r w:rsidRPr="00197026">
              <w:rPr>
                <w:sz w:val="22"/>
                <w:szCs w:val="22"/>
              </w:rPr>
              <w:t>The Ministry will</w:t>
            </w:r>
            <w:r>
              <w:rPr>
                <w:sz w:val="22"/>
                <w:szCs w:val="22"/>
              </w:rPr>
              <w:t xml:space="preserve"> develop health financing indicators to incorporate in MTUHA book so as to have financing data from the lower level. </w:t>
            </w:r>
            <w:r w:rsidRPr="00197026">
              <w:rPr>
                <w:sz w:val="22"/>
                <w:szCs w:val="22"/>
              </w:rPr>
              <w:t xml:space="preserve"> . </w:t>
            </w:r>
          </w:p>
        </w:tc>
      </w:tr>
      <w:tr w:rsidR="00F30100" w:rsidRPr="00197026" w14:paraId="3D3868BA" w14:textId="77777777" w:rsidTr="00F30100">
        <w:trPr>
          <w:trHeight w:val="3140"/>
        </w:trPr>
        <w:tc>
          <w:tcPr>
            <w:tcW w:w="1830" w:type="pct"/>
            <w:shd w:val="clear" w:color="auto" w:fill="auto"/>
          </w:tcPr>
          <w:p w14:paraId="7184A48C" w14:textId="77777777" w:rsidR="00F30100" w:rsidRPr="00197026" w:rsidRDefault="00F30100" w:rsidP="00233057">
            <w:pPr>
              <w:spacing w:line="240" w:lineRule="auto"/>
              <w:rPr>
                <w:sz w:val="22"/>
                <w:szCs w:val="22"/>
                <w:lang w:val="en-GB" w:eastAsia="en-GB"/>
              </w:rPr>
            </w:pPr>
            <w:r w:rsidRPr="00197026">
              <w:rPr>
                <w:sz w:val="22"/>
                <w:szCs w:val="22"/>
              </w:rPr>
              <w:lastRenderedPageBreak/>
              <w:t>NHIF claims and CHF matching funding in some districts are deposited to district account then to facilities. This has led to delays in disbursement or no disbursed of funds to the facilities.</w:t>
            </w:r>
          </w:p>
        </w:tc>
        <w:tc>
          <w:tcPr>
            <w:tcW w:w="1562" w:type="pct"/>
            <w:shd w:val="clear" w:color="auto" w:fill="auto"/>
          </w:tcPr>
          <w:p w14:paraId="08A98FE4" w14:textId="522C85A7" w:rsidR="00F30100" w:rsidRPr="00197026" w:rsidRDefault="00F30100" w:rsidP="003222CA">
            <w:pPr>
              <w:spacing w:line="240" w:lineRule="auto"/>
              <w:contextualSpacing/>
              <w:rPr>
                <w:sz w:val="22"/>
                <w:szCs w:val="22"/>
              </w:rPr>
            </w:pPr>
            <w:r w:rsidRPr="00197026">
              <w:rPr>
                <w:sz w:val="22"/>
                <w:szCs w:val="22"/>
              </w:rPr>
              <w:t>NHIF/CHF to deposit the c</w:t>
            </w:r>
            <w:r>
              <w:rPr>
                <w:sz w:val="22"/>
                <w:szCs w:val="22"/>
              </w:rPr>
              <w:t xml:space="preserve">laims and the matching funds </w:t>
            </w:r>
            <w:r w:rsidRPr="00197026">
              <w:rPr>
                <w:sz w:val="22"/>
                <w:szCs w:val="22"/>
              </w:rPr>
              <w:t xml:space="preserve">directly into facility bank accounts. </w:t>
            </w:r>
          </w:p>
          <w:p w14:paraId="6C01C936" w14:textId="77777777" w:rsidR="00F30100" w:rsidRPr="00197026" w:rsidRDefault="00F30100" w:rsidP="003222CA">
            <w:pPr>
              <w:spacing w:line="240" w:lineRule="auto"/>
              <w:rPr>
                <w:sz w:val="22"/>
                <w:szCs w:val="22"/>
                <w:lang w:val="en-GB" w:eastAsia="en-GB"/>
              </w:rPr>
            </w:pPr>
          </w:p>
        </w:tc>
        <w:tc>
          <w:tcPr>
            <w:tcW w:w="1608" w:type="pct"/>
            <w:shd w:val="clear" w:color="auto" w:fill="auto"/>
          </w:tcPr>
          <w:p w14:paraId="1B90FCFA" w14:textId="61E2A17C" w:rsidR="00F30100" w:rsidRPr="001B6FCC" w:rsidRDefault="00F30100" w:rsidP="003222CA">
            <w:pPr>
              <w:spacing w:line="240" w:lineRule="auto"/>
              <w:rPr>
                <w:sz w:val="22"/>
                <w:szCs w:val="22"/>
              </w:rPr>
            </w:pPr>
            <w:r w:rsidRPr="001B6FCC">
              <w:rPr>
                <w:sz w:val="22"/>
                <w:szCs w:val="22"/>
              </w:rPr>
              <w:t xml:space="preserve">Since June 2016 NHIF reimbursement ae done directly to facility with an exception of facilities which do not have bank account where fund are still deposited at district. </w:t>
            </w:r>
          </w:p>
          <w:p w14:paraId="2466719F" w14:textId="77777777" w:rsidR="00F30100" w:rsidRPr="001B6FCC" w:rsidRDefault="00F30100" w:rsidP="003222CA">
            <w:pPr>
              <w:spacing w:line="240" w:lineRule="auto"/>
              <w:rPr>
                <w:sz w:val="22"/>
                <w:szCs w:val="22"/>
              </w:rPr>
            </w:pPr>
          </w:p>
          <w:p w14:paraId="2445CD14" w14:textId="77777777" w:rsidR="00F30100" w:rsidRPr="009D6776" w:rsidRDefault="00F30100" w:rsidP="003222CA">
            <w:pPr>
              <w:spacing w:line="240" w:lineRule="auto"/>
              <w:rPr>
                <w:sz w:val="22"/>
                <w:szCs w:val="22"/>
                <w:highlight w:val="yellow"/>
              </w:rPr>
            </w:pPr>
          </w:p>
          <w:p w14:paraId="24D92BF8" w14:textId="622B8168" w:rsidR="00F30100" w:rsidRPr="00197026" w:rsidRDefault="00F30100" w:rsidP="00233057">
            <w:pPr>
              <w:spacing w:line="240" w:lineRule="auto"/>
              <w:rPr>
                <w:sz w:val="22"/>
                <w:szCs w:val="22"/>
                <w:lang w:val="en-GB" w:eastAsia="en-GB"/>
              </w:rPr>
            </w:pPr>
          </w:p>
        </w:tc>
      </w:tr>
      <w:tr w:rsidR="00F30100" w:rsidRPr="00197026" w14:paraId="126F6CC4" w14:textId="77777777" w:rsidTr="00F30100">
        <w:tc>
          <w:tcPr>
            <w:tcW w:w="1830" w:type="pct"/>
            <w:shd w:val="clear" w:color="auto" w:fill="auto"/>
          </w:tcPr>
          <w:p w14:paraId="381676EC" w14:textId="77777777" w:rsidR="00F30100" w:rsidRPr="00197026" w:rsidRDefault="00F30100" w:rsidP="00233057">
            <w:pPr>
              <w:spacing w:line="240" w:lineRule="auto"/>
              <w:rPr>
                <w:sz w:val="22"/>
                <w:szCs w:val="22"/>
                <w:lang w:val="en-GB" w:eastAsia="en-GB"/>
              </w:rPr>
            </w:pPr>
            <w:r w:rsidRPr="00197026">
              <w:rPr>
                <w:sz w:val="22"/>
                <w:szCs w:val="22"/>
              </w:rPr>
              <w:t>Delays in working on claims which results to long delays in facilities’ reimbursement.</w:t>
            </w:r>
          </w:p>
        </w:tc>
        <w:tc>
          <w:tcPr>
            <w:tcW w:w="1562" w:type="pct"/>
            <w:shd w:val="clear" w:color="auto" w:fill="auto"/>
          </w:tcPr>
          <w:p w14:paraId="50DCFCEC" w14:textId="77777777" w:rsidR="00F30100" w:rsidRPr="00197026" w:rsidRDefault="00F30100" w:rsidP="003222CA">
            <w:pPr>
              <w:spacing w:line="240" w:lineRule="auto"/>
              <w:rPr>
                <w:sz w:val="22"/>
                <w:szCs w:val="22"/>
                <w:lang w:val="en-GB" w:eastAsia="en-GB"/>
              </w:rPr>
            </w:pPr>
            <w:r w:rsidRPr="00197026">
              <w:rPr>
                <w:sz w:val="22"/>
                <w:szCs w:val="22"/>
              </w:rPr>
              <w:t>NHIF should modify the reimbursement process and ensure that reimbursement is done on monthly bases.</w:t>
            </w:r>
          </w:p>
        </w:tc>
        <w:tc>
          <w:tcPr>
            <w:tcW w:w="1608" w:type="pct"/>
            <w:shd w:val="clear" w:color="auto" w:fill="auto"/>
          </w:tcPr>
          <w:p w14:paraId="2455D564" w14:textId="70EF7DEF" w:rsidR="00F30100" w:rsidRPr="00197026" w:rsidRDefault="00F30100" w:rsidP="001B6FCC">
            <w:pPr>
              <w:spacing w:line="240" w:lineRule="auto"/>
              <w:rPr>
                <w:sz w:val="22"/>
                <w:szCs w:val="22"/>
                <w:lang w:val="en-GB" w:eastAsia="en-GB"/>
              </w:rPr>
            </w:pPr>
            <w:r w:rsidRPr="001B6FCC">
              <w:rPr>
                <w:sz w:val="22"/>
                <w:szCs w:val="22"/>
              </w:rPr>
              <w:t>In order to ensure the delays in reimbursement are minimized the NHIF is continue to establish e claim system. The e claim system is expected reduce the length in verification of the claims.</w:t>
            </w:r>
            <w:r>
              <w:rPr>
                <w:sz w:val="22"/>
                <w:szCs w:val="22"/>
              </w:rPr>
              <w:t xml:space="preserve"> </w:t>
            </w:r>
            <w:r>
              <w:rPr>
                <w:sz w:val="22"/>
                <w:szCs w:val="22"/>
              </w:rPr>
              <w:t xml:space="preserve"> </w:t>
            </w:r>
          </w:p>
          <w:p w14:paraId="48DFC49F" w14:textId="1013F887" w:rsidR="00F30100" w:rsidRPr="00197026" w:rsidRDefault="00F30100" w:rsidP="00233057">
            <w:pPr>
              <w:spacing w:line="240" w:lineRule="auto"/>
              <w:rPr>
                <w:sz w:val="22"/>
                <w:szCs w:val="22"/>
                <w:lang w:val="en-GB" w:eastAsia="en-GB"/>
              </w:rPr>
            </w:pPr>
          </w:p>
        </w:tc>
      </w:tr>
      <w:tr w:rsidR="00F30100" w:rsidRPr="00197026" w14:paraId="2FF85D0B" w14:textId="77777777" w:rsidTr="00F30100">
        <w:tc>
          <w:tcPr>
            <w:tcW w:w="1830" w:type="pct"/>
            <w:shd w:val="clear" w:color="auto" w:fill="auto"/>
          </w:tcPr>
          <w:p w14:paraId="57AC484F" w14:textId="77777777" w:rsidR="00F30100" w:rsidRPr="00197026" w:rsidRDefault="00F30100" w:rsidP="003222CA">
            <w:pPr>
              <w:spacing w:line="240" w:lineRule="auto"/>
              <w:rPr>
                <w:sz w:val="22"/>
                <w:szCs w:val="22"/>
              </w:rPr>
            </w:pPr>
            <w:r w:rsidRPr="00197026">
              <w:rPr>
                <w:sz w:val="22"/>
                <w:szCs w:val="22"/>
              </w:rPr>
              <w:t>There is no clear linkage to some of the activities and funding source between Planrep and Epicor</w:t>
            </w:r>
          </w:p>
        </w:tc>
        <w:tc>
          <w:tcPr>
            <w:tcW w:w="1562" w:type="pct"/>
            <w:shd w:val="clear" w:color="auto" w:fill="auto"/>
          </w:tcPr>
          <w:p w14:paraId="075EE5E1" w14:textId="77777777" w:rsidR="00F30100" w:rsidRPr="00197026" w:rsidRDefault="00F30100" w:rsidP="003222CA">
            <w:pPr>
              <w:spacing w:line="240" w:lineRule="auto"/>
              <w:contextualSpacing/>
              <w:rPr>
                <w:sz w:val="22"/>
                <w:szCs w:val="22"/>
              </w:rPr>
            </w:pPr>
            <w:r w:rsidRPr="00197026">
              <w:rPr>
                <w:sz w:val="22"/>
                <w:szCs w:val="22"/>
              </w:rPr>
              <w:t xml:space="preserve">Link the Plan Rep and Epicor. </w:t>
            </w:r>
          </w:p>
          <w:p w14:paraId="5EA5A0C8" w14:textId="77777777" w:rsidR="00F30100" w:rsidRPr="00197026" w:rsidRDefault="00F30100" w:rsidP="003222CA">
            <w:pPr>
              <w:spacing w:line="240" w:lineRule="auto"/>
              <w:rPr>
                <w:sz w:val="22"/>
                <w:szCs w:val="22"/>
                <w:lang w:val="en-GB" w:eastAsia="en-GB"/>
              </w:rPr>
            </w:pPr>
          </w:p>
        </w:tc>
        <w:tc>
          <w:tcPr>
            <w:tcW w:w="1608" w:type="pct"/>
            <w:shd w:val="clear" w:color="auto" w:fill="auto"/>
          </w:tcPr>
          <w:p w14:paraId="131613C4" w14:textId="7314E22C" w:rsidR="00F30100" w:rsidRPr="00197026" w:rsidRDefault="00F30100" w:rsidP="00984424">
            <w:pPr>
              <w:spacing w:line="240" w:lineRule="auto"/>
              <w:rPr>
                <w:sz w:val="22"/>
                <w:szCs w:val="22"/>
                <w:lang w:val="en-GB" w:eastAsia="en-GB"/>
              </w:rPr>
            </w:pPr>
            <w:bookmarkStart w:id="19" w:name="_GoBack"/>
            <w:bookmarkEnd w:id="19"/>
            <w:r w:rsidRPr="00AA54AF">
              <w:rPr>
                <w:sz w:val="22"/>
                <w:szCs w:val="22"/>
              </w:rPr>
              <w:t xml:space="preserve">The PO RALG is in the process of finalize the integration of Epicor and Plan Rep.  </w:t>
            </w:r>
          </w:p>
        </w:tc>
      </w:tr>
      <w:tr w:rsidR="00F30100" w:rsidRPr="00197026" w14:paraId="65E0E3B3" w14:textId="77777777" w:rsidTr="00F30100">
        <w:tc>
          <w:tcPr>
            <w:tcW w:w="1830" w:type="pct"/>
            <w:shd w:val="clear" w:color="auto" w:fill="auto"/>
          </w:tcPr>
          <w:p w14:paraId="66164A1B" w14:textId="77777777" w:rsidR="00F30100" w:rsidRPr="00197026" w:rsidRDefault="00F30100" w:rsidP="00683619">
            <w:pPr>
              <w:spacing w:line="240" w:lineRule="auto"/>
              <w:contextualSpacing/>
              <w:rPr>
                <w:sz w:val="22"/>
                <w:szCs w:val="22"/>
              </w:rPr>
            </w:pPr>
            <w:r w:rsidRPr="00197026">
              <w:rPr>
                <w:sz w:val="22"/>
                <w:szCs w:val="22"/>
              </w:rPr>
              <w:t xml:space="preserve">When comparing cost per claims with the previous years there is an increase in cost per claim which suggests higher cost per visit. </w:t>
            </w:r>
          </w:p>
        </w:tc>
        <w:tc>
          <w:tcPr>
            <w:tcW w:w="1562" w:type="pct"/>
            <w:shd w:val="clear" w:color="auto" w:fill="auto"/>
          </w:tcPr>
          <w:p w14:paraId="0025E938" w14:textId="77777777" w:rsidR="00F30100" w:rsidRPr="00197026" w:rsidRDefault="00F30100" w:rsidP="003222CA">
            <w:pPr>
              <w:spacing w:line="240" w:lineRule="auto"/>
              <w:contextualSpacing/>
              <w:rPr>
                <w:sz w:val="22"/>
                <w:szCs w:val="22"/>
              </w:rPr>
            </w:pPr>
            <w:r w:rsidRPr="00197026">
              <w:rPr>
                <w:sz w:val="22"/>
                <w:szCs w:val="22"/>
              </w:rPr>
              <w:t xml:space="preserve">It is recommended analyze the cost drivers </w:t>
            </w:r>
          </w:p>
          <w:p w14:paraId="4970C30A" w14:textId="77777777" w:rsidR="00F30100" w:rsidRPr="00197026" w:rsidRDefault="00F30100" w:rsidP="003222CA">
            <w:pPr>
              <w:spacing w:line="240" w:lineRule="auto"/>
              <w:rPr>
                <w:sz w:val="22"/>
                <w:szCs w:val="22"/>
                <w:lang w:val="en-GB" w:eastAsia="en-GB"/>
              </w:rPr>
            </w:pPr>
          </w:p>
        </w:tc>
        <w:tc>
          <w:tcPr>
            <w:tcW w:w="1608" w:type="pct"/>
            <w:shd w:val="clear" w:color="auto" w:fill="auto"/>
          </w:tcPr>
          <w:p w14:paraId="05F72B3B" w14:textId="77777777" w:rsidR="00F30100" w:rsidRPr="00197026" w:rsidRDefault="00F30100" w:rsidP="003222CA">
            <w:pPr>
              <w:spacing w:line="240" w:lineRule="auto"/>
              <w:rPr>
                <w:sz w:val="22"/>
                <w:szCs w:val="22"/>
                <w:lang w:val="en-GB" w:eastAsia="en-GB"/>
              </w:rPr>
            </w:pPr>
            <w:r w:rsidRPr="00197026">
              <w:rPr>
                <w:sz w:val="22"/>
                <w:szCs w:val="22"/>
              </w:rPr>
              <w:t>The analysis will be undertaken in 2016/17</w:t>
            </w:r>
          </w:p>
        </w:tc>
      </w:tr>
      <w:tr w:rsidR="00F30100" w:rsidRPr="00197026" w14:paraId="418C3F0D" w14:textId="77777777" w:rsidTr="00F30100">
        <w:tc>
          <w:tcPr>
            <w:tcW w:w="1830" w:type="pct"/>
            <w:shd w:val="clear" w:color="auto" w:fill="auto"/>
          </w:tcPr>
          <w:p w14:paraId="7F8C32D9" w14:textId="77777777" w:rsidR="00F30100" w:rsidRPr="00197026" w:rsidRDefault="00F30100" w:rsidP="003222CA">
            <w:pPr>
              <w:spacing w:line="240" w:lineRule="auto"/>
              <w:contextualSpacing/>
              <w:rPr>
                <w:sz w:val="22"/>
                <w:szCs w:val="22"/>
              </w:rPr>
            </w:pPr>
            <w:r w:rsidRPr="00197026">
              <w:rPr>
                <w:sz w:val="22"/>
                <w:szCs w:val="22"/>
              </w:rPr>
              <w:t xml:space="preserve">There in concertation of spending in referral hospitals which are mostly located in Dar es Salaam.  </w:t>
            </w:r>
          </w:p>
          <w:p w14:paraId="4087B375" w14:textId="77777777" w:rsidR="00F30100" w:rsidRPr="00197026" w:rsidRDefault="00F30100" w:rsidP="003222CA">
            <w:pPr>
              <w:spacing w:line="240" w:lineRule="auto"/>
              <w:rPr>
                <w:sz w:val="22"/>
                <w:szCs w:val="22"/>
              </w:rPr>
            </w:pPr>
          </w:p>
        </w:tc>
        <w:tc>
          <w:tcPr>
            <w:tcW w:w="1562" w:type="pct"/>
            <w:shd w:val="clear" w:color="auto" w:fill="auto"/>
          </w:tcPr>
          <w:p w14:paraId="30FC5676" w14:textId="77777777" w:rsidR="00F30100" w:rsidRPr="00197026" w:rsidRDefault="00F30100" w:rsidP="003222CA">
            <w:pPr>
              <w:spacing w:line="240" w:lineRule="auto"/>
              <w:contextualSpacing/>
              <w:rPr>
                <w:sz w:val="22"/>
                <w:szCs w:val="22"/>
              </w:rPr>
            </w:pPr>
            <w:r w:rsidRPr="00197026">
              <w:rPr>
                <w:sz w:val="22"/>
                <w:szCs w:val="22"/>
              </w:rPr>
              <w:t xml:space="preserve">It is recommended that more analysis should be done on spending by specific facilities– e.g. Muhimbili National Hospital (MNH), ORCI, Dar-based private facilities etc. </w:t>
            </w:r>
          </w:p>
          <w:p w14:paraId="5B8DC73B" w14:textId="77777777" w:rsidR="00F30100" w:rsidRPr="00197026" w:rsidRDefault="00F30100" w:rsidP="003222CA">
            <w:pPr>
              <w:spacing w:line="240" w:lineRule="auto"/>
              <w:contextualSpacing/>
              <w:rPr>
                <w:sz w:val="22"/>
                <w:szCs w:val="22"/>
              </w:rPr>
            </w:pPr>
          </w:p>
          <w:p w14:paraId="6920FE85" w14:textId="77777777" w:rsidR="00F30100" w:rsidRPr="00197026" w:rsidRDefault="00F30100" w:rsidP="003222CA">
            <w:pPr>
              <w:spacing w:line="240" w:lineRule="auto"/>
              <w:contextualSpacing/>
              <w:rPr>
                <w:sz w:val="22"/>
                <w:szCs w:val="22"/>
              </w:rPr>
            </w:pPr>
            <w:r w:rsidRPr="00197026">
              <w:rPr>
                <w:sz w:val="22"/>
                <w:szCs w:val="22"/>
              </w:rPr>
              <w:t>For equity purposes, there might also be a need to conduct bed census to establish how many patients actually originate from outside Dar es Salaam.</w:t>
            </w:r>
          </w:p>
        </w:tc>
        <w:tc>
          <w:tcPr>
            <w:tcW w:w="1608" w:type="pct"/>
            <w:shd w:val="clear" w:color="auto" w:fill="auto"/>
          </w:tcPr>
          <w:p w14:paraId="31D11739" w14:textId="77777777" w:rsidR="00F30100" w:rsidRPr="00197026" w:rsidRDefault="00F30100" w:rsidP="003222CA">
            <w:pPr>
              <w:spacing w:line="240" w:lineRule="auto"/>
              <w:rPr>
                <w:sz w:val="22"/>
                <w:szCs w:val="22"/>
                <w:lang w:val="en-GB" w:eastAsia="en-GB"/>
              </w:rPr>
            </w:pPr>
            <w:r w:rsidRPr="00197026">
              <w:rPr>
                <w:sz w:val="22"/>
                <w:szCs w:val="22"/>
              </w:rPr>
              <w:t>Data will be requested from NHIF to be included in the PER 2016/17</w:t>
            </w:r>
          </w:p>
        </w:tc>
      </w:tr>
      <w:tr w:rsidR="00F30100" w:rsidRPr="00197026" w14:paraId="69DD6A62" w14:textId="77777777" w:rsidTr="00F30100">
        <w:tc>
          <w:tcPr>
            <w:tcW w:w="1830" w:type="pct"/>
            <w:shd w:val="clear" w:color="auto" w:fill="auto"/>
          </w:tcPr>
          <w:p w14:paraId="3C5BAAEB" w14:textId="77777777" w:rsidR="00F30100" w:rsidRPr="00197026" w:rsidRDefault="00F30100" w:rsidP="003222CA">
            <w:pPr>
              <w:spacing w:line="240" w:lineRule="auto"/>
              <w:contextualSpacing/>
              <w:rPr>
                <w:sz w:val="22"/>
                <w:szCs w:val="22"/>
              </w:rPr>
            </w:pPr>
            <w:r w:rsidRPr="00197026">
              <w:rPr>
                <w:sz w:val="22"/>
                <w:szCs w:val="22"/>
              </w:rPr>
              <w:t>There is  inconsistency of LGA spending data</w:t>
            </w:r>
          </w:p>
        </w:tc>
        <w:tc>
          <w:tcPr>
            <w:tcW w:w="1562" w:type="pct"/>
            <w:shd w:val="clear" w:color="auto" w:fill="auto"/>
          </w:tcPr>
          <w:p w14:paraId="23B8C101" w14:textId="77777777" w:rsidR="00F30100" w:rsidRPr="00197026" w:rsidRDefault="00F30100" w:rsidP="003222CA">
            <w:pPr>
              <w:spacing w:line="240" w:lineRule="auto"/>
              <w:contextualSpacing/>
              <w:rPr>
                <w:sz w:val="22"/>
                <w:szCs w:val="22"/>
              </w:rPr>
            </w:pPr>
            <w:r w:rsidRPr="00197026">
              <w:rPr>
                <w:sz w:val="22"/>
                <w:szCs w:val="22"/>
              </w:rPr>
              <w:t xml:space="preserve">Due to inconsistency of LGA data it is recommended on capacity building at health facility and LGA level, and also closer supervision and follow-up by council and regional management, in order to ensure that all data are filled per guidelines.  Issue of the Epicor cost centers – needs urgent resolution as they </w:t>
            </w:r>
            <w:r w:rsidRPr="00197026">
              <w:rPr>
                <w:sz w:val="22"/>
                <w:szCs w:val="22"/>
              </w:rPr>
              <w:lastRenderedPageBreak/>
              <w:t xml:space="preserve">combine true cost centers (i.e. levels within the council health system) with project or source of fund codes. </w:t>
            </w:r>
          </w:p>
        </w:tc>
        <w:tc>
          <w:tcPr>
            <w:tcW w:w="1608" w:type="pct"/>
            <w:shd w:val="clear" w:color="auto" w:fill="auto"/>
          </w:tcPr>
          <w:p w14:paraId="01D10FB8" w14:textId="13D4A170" w:rsidR="00F30100" w:rsidRPr="00197026" w:rsidRDefault="00F30100" w:rsidP="00984424">
            <w:pPr>
              <w:spacing w:line="240" w:lineRule="auto"/>
              <w:rPr>
                <w:sz w:val="22"/>
                <w:szCs w:val="22"/>
                <w:lang w:val="en-GB" w:eastAsia="en-GB"/>
              </w:rPr>
            </w:pPr>
            <w:r w:rsidRPr="00197026">
              <w:rPr>
                <w:sz w:val="22"/>
                <w:szCs w:val="22"/>
              </w:rPr>
              <w:lastRenderedPageBreak/>
              <w:t>PO-RALG in collaboration with the Ministry of Health</w:t>
            </w:r>
            <w:r>
              <w:rPr>
                <w:sz w:val="22"/>
                <w:szCs w:val="22"/>
              </w:rPr>
              <w:t xml:space="preserve"> and </w:t>
            </w:r>
            <w:r w:rsidRPr="00197026">
              <w:rPr>
                <w:sz w:val="22"/>
                <w:szCs w:val="22"/>
              </w:rPr>
              <w:t xml:space="preserve"> PS3 has developed the F</w:t>
            </w:r>
            <w:r>
              <w:rPr>
                <w:sz w:val="22"/>
                <w:szCs w:val="22"/>
              </w:rPr>
              <w:t xml:space="preserve">acility </w:t>
            </w:r>
            <w:r w:rsidRPr="00197026">
              <w:rPr>
                <w:sz w:val="22"/>
                <w:szCs w:val="22"/>
              </w:rPr>
              <w:t>F</w:t>
            </w:r>
            <w:r>
              <w:rPr>
                <w:sz w:val="22"/>
                <w:szCs w:val="22"/>
              </w:rPr>
              <w:t xml:space="preserve">inancing and </w:t>
            </w:r>
            <w:r w:rsidRPr="00197026">
              <w:rPr>
                <w:sz w:val="22"/>
                <w:szCs w:val="22"/>
              </w:rPr>
              <w:t>A</w:t>
            </w:r>
            <w:r>
              <w:rPr>
                <w:sz w:val="22"/>
                <w:szCs w:val="22"/>
              </w:rPr>
              <w:t xml:space="preserve">ccounting </w:t>
            </w:r>
            <w:r w:rsidRPr="00197026">
              <w:rPr>
                <w:sz w:val="22"/>
                <w:szCs w:val="22"/>
              </w:rPr>
              <w:t>R</w:t>
            </w:r>
            <w:r>
              <w:rPr>
                <w:sz w:val="22"/>
                <w:szCs w:val="22"/>
              </w:rPr>
              <w:t xml:space="preserve">eporting </w:t>
            </w:r>
            <w:r w:rsidRPr="00197026">
              <w:rPr>
                <w:sz w:val="22"/>
                <w:szCs w:val="22"/>
              </w:rPr>
              <w:t>S</w:t>
            </w:r>
            <w:r>
              <w:rPr>
                <w:sz w:val="22"/>
                <w:szCs w:val="22"/>
              </w:rPr>
              <w:t xml:space="preserve">ystem(FFARS). FFARS is expected to improve the budgeting and reporting system from the lower level and hence improve expenditure data from Epicor. </w:t>
            </w:r>
          </w:p>
        </w:tc>
      </w:tr>
    </w:tbl>
    <w:p w14:paraId="6E47201E" w14:textId="77777777" w:rsidR="00E56F57" w:rsidRPr="001170AC" w:rsidRDefault="00E56F57" w:rsidP="00670B35">
      <w:pPr>
        <w:rPr>
          <w:lang w:val="en-GB" w:eastAsia="en-GB"/>
        </w:rPr>
      </w:pPr>
    </w:p>
    <w:p w14:paraId="39A81C08" w14:textId="77777777" w:rsidR="001809AC" w:rsidRPr="001170AC" w:rsidRDefault="001809AC" w:rsidP="00670B35">
      <w:pPr>
        <w:sectPr w:rsidR="001809AC" w:rsidRPr="001170AC" w:rsidSect="00F13FB7">
          <w:pgSz w:w="11906" w:h="16838" w:code="9"/>
          <w:pgMar w:top="1440" w:right="1440" w:bottom="1440" w:left="1440" w:header="706" w:footer="706" w:gutter="0"/>
          <w:pgNumType w:start="1"/>
          <w:cols w:space="720"/>
        </w:sectPr>
      </w:pPr>
    </w:p>
    <w:p w14:paraId="01481F93" w14:textId="77777777" w:rsidR="00EE1289" w:rsidRPr="00F96C11" w:rsidRDefault="00197026" w:rsidP="00F96C11">
      <w:pPr>
        <w:pStyle w:val="Heading1"/>
      </w:pPr>
      <w:bookmarkStart w:id="20" w:name="_Toc323525996"/>
      <w:bookmarkStart w:id="21" w:name="_Toc327143902"/>
      <w:bookmarkStart w:id="22" w:name="_Toc408467887"/>
      <w:bookmarkStart w:id="23" w:name="_Toc422287320"/>
      <w:bookmarkStart w:id="24" w:name="_Toc488423249"/>
      <w:r w:rsidRPr="00F96C11">
        <w:lastRenderedPageBreak/>
        <w:t>3.0</w:t>
      </w:r>
      <w:r w:rsidR="004D090A">
        <w:tab/>
      </w:r>
      <w:r w:rsidR="00EE1289" w:rsidRPr="00F96C11">
        <w:t>Health Budget and Expenditure Analysis</w:t>
      </w:r>
      <w:bookmarkEnd w:id="20"/>
      <w:bookmarkEnd w:id="21"/>
      <w:bookmarkEnd w:id="22"/>
      <w:bookmarkEnd w:id="23"/>
      <w:bookmarkEnd w:id="24"/>
    </w:p>
    <w:p w14:paraId="46EFF483" w14:textId="77777777" w:rsidR="00C36D4F" w:rsidRPr="001170AC" w:rsidRDefault="00C36D4F" w:rsidP="00670B35">
      <w:pPr>
        <w:rPr>
          <w:highlight w:val="yellow"/>
        </w:rPr>
      </w:pPr>
    </w:p>
    <w:p w14:paraId="7E842293" w14:textId="77777777" w:rsidR="00C36D4F" w:rsidRPr="001170AC" w:rsidRDefault="004D090A" w:rsidP="00197026">
      <w:pPr>
        <w:pStyle w:val="Heading2"/>
      </w:pPr>
      <w:bookmarkStart w:id="25" w:name="_Toc488423250"/>
      <w:r>
        <w:t>3.1</w:t>
      </w:r>
      <w:r>
        <w:tab/>
      </w:r>
      <w:r w:rsidR="00C36D4F" w:rsidRPr="001170AC">
        <w:t>Introduction</w:t>
      </w:r>
      <w:bookmarkEnd w:id="25"/>
    </w:p>
    <w:p w14:paraId="2E2F56AB" w14:textId="77777777" w:rsidR="00184272" w:rsidRDefault="00184272" w:rsidP="00670B35"/>
    <w:p w14:paraId="691C9BEF" w14:textId="77777777" w:rsidR="007C49BF" w:rsidRPr="001170AC" w:rsidRDefault="00EE1289" w:rsidP="00670B35">
      <w:r w:rsidRPr="001170AC">
        <w:t xml:space="preserve">This chapter presents an assessment of public health budget and expenditure trends during </w:t>
      </w:r>
      <w:r w:rsidRPr="001170AC">
        <w:rPr>
          <w:color w:val="000000"/>
        </w:rPr>
        <w:t>the 201</w:t>
      </w:r>
      <w:r w:rsidR="00831EA6">
        <w:rPr>
          <w:color w:val="000000"/>
        </w:rPr>
        <w:t>2</w:t>
      </w:r>
      <w:r w:rsidR="00E3426F" w:rsidRPr="001170AC">
        <w:rPr>
          <w:color w:val="000000"/>
        </w:rPr>
        <w:t>/1</w:t>
      </w:r>
      <w:r w:rsidR="00831EA6">
        <w:rPr>
          <w:color w:val="000000"/>
        </w:rPr>
        <w:t>3</w:t>
      </w:r>
      <w:r w:rsidR="00E3426F" w:rsidRPr="001170AC">
        <w:rPr>
          <w:color w:val="000000"/>
        </w:rPr>
        <w:t xml:space="preserve"> - 201</w:t>
      </w:r>
      <w:r w:rsidR="00831EA6">
        <w:rPr>
          <w:color w:val="000000"/>
        </w:rPr>
        <w:t>6</w:t>
      </w:r>
      <w:r w:rsidR="00E3426F" w:rsidRPr="001170AC">
        <w:rPr>
          <w:color w:val="000000"/>
        </w:rPr>
        <w:t>/1</w:t>
      </w:r>
      <w:r w:rsidR="00831EA6">
        <w:rPr>
          <w:color w:val="000000"/>
        </w:rPr>
        <w:t>7</w:t>
      </w:r>
      <w:r w:rsidR="00E3426F" w:rsidRPr="001170AC">
        <w:rPr>
          <w:color w:val="000000"/>
        </w:rPr>
        <w:t xml:space="preserve"> </w:t>
      </w:r>
      <w:r w:rsidRPr="001170AC">
        <w:rPr>
          <w:color w:val="000000"/>
        </w:rPr>
        <w:t>financial</w:t>
      </w:r>
      <w:r w:rsidRPr="001170AC">
        <w:t xml:space="preserve"> years. The focus of this chapter is on public health sector expenditures that are financed by Government of Tanzania (GoT), including health insurance contributions on behalf of public servants, and by development partners through health basket and non-basket mechanisms, in as far as these are captured on-budget. </w:t>
      </w:r>
      <w:r w:rsidR="007C49BF" w:rsidRPr="001170AC">
        <w:rPr>
          <w:color w:val="000000"/>
          <w:lang w:val="en-GB" w:eastAsia="en-GB"/>
        </w:rPr>
        <w:t>The data used to carry out the analysis is appended at the end of this report (Annex A).</w:t>
      </w:r>
    </w:p>
    <w:p w14:paraId="09971A69" w14:textId="77777777" w:rsidR="00C36D4F" w:rsidRPr="001170AC" w:rsidRDefault="00C36D4F" w:rsidP="00670B35"/>
    <w:p w14:paraId="04DCE7EB" w14:textId="77777777" w:rsidR="00EE1289" w:rsidRPr="001170AC" w:rsidRDefault="00F96C11" w:rsidP="00F96C11">
      <w:pPr>
        <w:pStyle w:val="Heading2"/>
      </w:pPr>
      <w:bookmarkStart w:id="26" w:name="_Toc408467888"/>
      <w:bookmarkStart w:id="27" w:name="_Toc422287321"/>
      <w:bookmarkStart w:id="28" w:name="_Toc488423251"/>
      <w:r>
        <w:t>3.2</w:t>
      </w:r>
      <w:r>
        <w:tab/>
      </w:r>
      <w:r w:rsidR="00EE1289" w:rsidRPr="001170AC">
        <w:t>Total Public Health Spending</w:t>
      </w:r>
      <w:bookmarkEnd w:id="26"/>
      <w:bookmarkEnd w:id="27"/>
      <w:bookmarkEnd w:id="28"/>
    </w:p>
    <w:p w14:paraId="29B9D792" w14:textId="77777777" w:rsidR="00184272" w:rsidRDefault="00184272" w:rsidP="00670B35">
      <w:pPr>
        <w:pStyle w:val="1-DocText"/>
        <w:spacing w:before="0" w:after="0" w:line="276" w:lineRule="auto"/>
        <w:jc w:val="both"/>
        <w:rPr>
          <w:rFonts w:ascii="Calibri" w:hAnsi="Calibri"/>
          <w:color w:val="000000"/>
          <w:sz w:val="24"/>
          <w:szCs w:val="24"/>
          <w:lang w:val="en-GB" w:eastAsia="en-GB"/>
        </w:rPr>
      </w:pPr>
    </w:p>
    <w:p w14:paraId="598FD487" w14:textId="77777777" w:rsidR="003E613D" w:rsidRPr="001170AC" w:rsidRDefault="00850F10" w:rsidP="00670B35">
      <w:pPr>
        <w:pStyle w:val="1-DocText"/>
        <w:spacing w:before="0" w:after="0" w:line="276" w:lineRule="auto"/>
        <w:jc w:val="both"/>
        <w:rPr>
          <w:rFonts w:ascii="Calibri" w:hAnsi="Calibri"/>
          <w:color w:val="000000"/>
          <w:sz w:val="24"/>
          <w:szCs w:val="24"/>
          <w:lang w:val="en-GB" w:eastAsia="en-GB"/>
        </w:rPr>
      </w:pPr>
      <w:r w:rsidRPr="001170AC">
        <w:rPr>
          <w:rFonts w:ascii="Calibri" w:hAnsi="Calibri"/>
          <w:color w:val="000000"/>
          <w:sz w:val="24"/>
          <w:szCs w:val="24"/>
          <w:lang w:val="en-GB" w:eastAsia="en-GB"/>
        </w:rPr>
        <w:t>Figure</w:t>
      </w:r>
      <w:r w:rsidR="00353140" w:rsidRPr="001170AC">
        <w:rPr>
          <w:rFonts w:ascii="Calibri" w:hAnsi="Calibri"/>
          <w:color w:val="000000"/>
          <w:sz w:val="24"/>
          <w:szCs w:val="24"/>
          <w:lang w:val="en-GB" w:eastAsia="en-GB"/>
        </w:rPr>
        <w:t>s</w:t>
      </w:r>
      <w:r w:rsidRPr="001170AC">
        <w:rPr>
          <w:rFonts w:ascii="Calibri" w:hAnsi="Calibri"/>
          <w:color w:val="000000"/>
          <w:sz w:val="24"/>
          <w:szCs w:val="24"/>
          <w:lang w:val="en-GB" w:eastAsia="en-GB"/>
        </w:rPr>
        <w:t xml:space="preserve"> 3.1</w:t>
      </w:r>
      <w:r w:rsidR="00353140" w:rsidRPr="001170AC">
        <w:rPr>
          <w:rFonts w:ascii="Calibri" w:hAnsi="Calibri"/>
          <w:color w:val="000000"/>
          <w:sz w:val="24"/>
          <w:szCs w:val="24"/>
          <w:lang w:val="en-GB" w:eastAsia="en-GB"/>
        </w:rPr>
        <w:t>a and 3.1b</w:t>
      </w:r>
      <w:r w:rsidRPr="001170AC">
        <w:rPr>
          <w:rFonts w:ascii="Calibri" w:hAnsi="Calibri"/>
          <w:color w:val="000000"/>
          <w:sz w:val="24"/>
          <w:szCs w:val="24"/>
          <w:lang w:val="en-GB" w:eastAsia="en-GB"/>
        </w:rPr>
        <w:t xml:space="preserve"> show the trends of public health budget and actual spending </w:t>
      </w:r>
      <w:r w:rsidR="00353140" w:rsidRPr="001170AC">
        <w:rPr>
          <w:rFonts w:ascii="Calibri" w:hAnsi="Calibri"/>
          <w:color w:val="000000"/>
          <w:sz w:val="24"/>
          <w:szCs w:val="24"/>
          <w:lang w:val="en-GB" w:eastAsia="en-GB"/>
        </w:rPr>
        <w:t xml:space="preserve">respectively </w:t>
      </w:r>
      <w:r w:rsidRPr="001170AC">
        <w:rPr>
          <w:rFonts w:ascii="Calibri" w:hAnsi="Calibri"/>
          <w:color w:val="000000"/>
          <w:sz w:val="24"/>
          <w:szCs w:val="24"/>
          <w:lang w:val="en-GB" w:eastAsia="en-GB"/>
        </w:rPr>
        <w:t>in nominal and real terms between 201</w:t>
      </w:r>
      <w:r w:rsidR="00831EA6">
        <w:rPr>
          <w:rFonts w:ascii="Calibri" w:hAnsi="Calibri"/>
          <w:color w:val="000000"/>
          <w:sz w:val="24"/>
          <w:szCs w:val="24"/>
          <w:lang w:val="en-GB" w:eastAsia="en-GB"/>
        </w:rPr>
        <w:t>2</w:t>
      </w:r>
      <w:r w:rsidRPr="001170AC">
        <w:rPr>
          <w:rFonts w:ascii="Calibri" w:hAnsi="Calibri"/>
          <w:color w:val="000000"/>
          <w:sz w:val="24"/>
          <w:szCs w:val="24"/>
          <w:lang w:val="en-GB" w:eastAsia="en-GB"/>
        </w:rPr>
        <w:t>/1</w:t>
      </w:r>
      <w:r w:rsidR="00831EA6">
        <w:rPr>
          <w:rFonts w:ascii="Calibri" w:hAnsi="Calibri"/>
          <w:color w:val="000000"/>
          <w:sz w:val="24"/>
          <w:szCs w:val="24"/>
          <w:lang w:val="en-GB" w:eastAsia="en-GB"/>
        </w:rPr>
        <w:t>3</w:t>
      </w:r>
      <w:r w:rsidRPr="001170AC">
        <w:rPr>
          <w:rFonts w:ascii="Calibri" w:hAnsi="Calibri"/>
          <w:color w:val="000000"/>
          <w:sz w:val="24"/>
          <w:szCs w:val="24"/>
          <w:lang w:val="en-GB" w:eastAsia="en-GB"/>
        </w:rPr>
        <w:t xml:space="preserve"> and 201</w:t>
      </w:r>
      <w:r w:rsidR="00831EA6">
        <w:rPr>
          <w:rFonts w:ascii="Calibri" w:hAnsi="Calibri"/>
          <w:color w:val="000000"/>
          <w:sz w:val="24"/>
          <w:szCs w:val="24"/>
          <w:lang w:val="en-GB" w:eastAsia="en-GB"/>
        </w:rPr>
        <w:t>6</w:t>
      </w:r>
      <w:r w:rsidRPr="001170AC">
        <w:rPr>
          <w:rFonts w:ascii="Calibri" w:hAnsi="Calibri"/>
          <w:color w:val="000000"/>
          <w:sz w:val="24"/>
          <w:szCs w:val="24"/>
          <w:lang w:val="en-GB" w:eastAsia="en-GB"/>
        </w:rPr>
        <w:t>/1</w:t>
      </w:r>
      <w:r w:rsidR="00831EA6">
        <w:rPr>
          <w:rFonts w:ascii="Calibri" w:hAnsi="Calibri"/>
          <w:color w:val="000000"/>
          <w:sz w:val="24"/>
          <w:szCs w:val="24"/>
          <w:lang w:val="en-GB" w:eastAsia="en-GB"/>
        </w:rPr>
        <w:t>7</w:t>
      </w:r>
      <w:r w:rsidRPr="001170AC">
        <w:rPr>
          <w:rFonts w:ascii="Calibri" w:hAnsi="Calibri"/>
          <w:color w:val="000000"/>
          <w:sz w:val="24"/>
          <w:szCs w:val="24"/>
          <w:lang w:val="en-GB" w:eastAsia="en-GB"/>
        </w:rPr>
        <w:t xml:space="preserve">. </w:t>
      </w:r>
      <w:r w:rsidR="007C49BF" w:rsidRPr="001170AC">
        <w:rPr>
          <w:rFonts w:ascii="Calibri" w:hAnsi="Calibri"/>
          <w:color w:val="000000"/>
          <w:sz w:val="24"/>
          <w:szCs w:val="24"/>
          <w:lang w:val="en-GB" w:eastAsia="en-GB"/>
        </w:rPr>
        <w:t>T</w:t>
      </w:r>
      <w:r w:rsidR="001430F2" w:rsidRPr="001170AC">
        <w:rPr>
          <w:rFonts w:ascii="Calibri" w:hAnsi="Calibri"/>
          <w:color w:val="000000"/>
          <w:sz w:val="24"/>
          <w:szCs w:val="24"/>
          <w:lang w:val="en-GB" w:eastAsia="en-GB"/>
        </w:rPr>
        <w:t>he t</w:t>
      </w:r>
      <w:r w:rsidR="007C49BF" w:rsidRPr="001170AC">
        <w:rPr>
          <w:rFonts w:ascii="Calibri" w:hAnsi="Calibri"/>
          <w:color w:val="000000"/>
          <w:sz w:val="24"/>
          <w:szCs w:val="24"/>
          <w:lang w:val="en-GB" w:eastAsia="en-GB"/>
        </w:rPr>
        <w:t xml:space="preserve">otal public health </w:t>
      </w:r>
      <w:r w:rsidR="00010362" w:rsidRPr="001170AC">
        <w:rPr>
          <w:rFonts w:ascii="Calibri" w:hAnsi="Calibri"/>
          <w:color w:val="000000"/>
          <w:sz w:val="24"/>
          <w:szCs w:val="24"/>
          <w:lang w:val="en-GB" w:eastAsia="en-GB"/>
        </w:rPr>
        <w:t xml:space="preserve">budget in nominal terms </w:t>
      </w:r>
      <w:r w:rsidR="007C49BF" w:rsidRPr="001170AC">
        <w:rPr>
          <w:rFonts w:ascii="Calibri" w:hAnsi="Calibri"/>
          <w:color w:val="000000"/>
          <w:sz w:val="24"/>
          <w:szCs w:val="24"/>
          <w:lang w:val="en-GB" w:eastAsia="en-GB"/>
        </w:rPr>
        <w:t xml:space="preserve">increased significantly from </w:t>
      </w:r>
      <w:r w:rsidR="00811B3C" w:rsidRPr="001170AC">
        <w:rPr>
          <w:rFonts w:ascii="Calibri" w:hAnsi="Calibri"/>
          <w:color w:val="000000"/>
          <w:sz w:val="24"/>
          <w:szCs w:val="24"/>
          <w:lang w:val="en-GB" w:eastAsia="en-GB"/>
        </w:rPr>
        <w:t>Tanzanian Shillings (</w:t>
      </w:r>
      <w:r w:rsidR="007C49BF" w:rsidRPr="001170AC">
        <w:rPr>
          <w:rFonts w:ascii="Calibri" w:hAnsi="Calibri"/>
          <w:color w:val="000000"/>
          <w:sz w:val="24"/>
          <w:szCs w:val="24"/>
          <w:lang w:val="en-GB" w:eastAsia="en-GB"/>
        </w:rPr>
        <w:t>TZS</w:t>
      </w:r>
      <w:r w:rsidR="00811B3C" w:rsidRPr="001170AC">
        <w:rPr>
          <w:rFonts w:ascii="Calibri" w:hAnsi="Calibri"/>
          <w:color w:val="000000"/>
          <w:sz w:val="24"/>
          <w:szCs w:val="24"/>
          <w:lang w:val="en-GB" w:eastAsia="en-GB"/>
        </w:rPr>
        <w:t>) 1.2</w:t>
      </w:r>
      <w:r w:rsidR="00375447">
        <w:rPr>
          <w:rFonts w:ascii="Calibri" w:hAnsi="Calibri"/>
          <w:color w:val="000000"/>
          <w:sz w:val="24"/>
          <w:szCs w:val="24"/>
          <w:lang w:val="en-GB" w:eastAsia="en-GB"/>
        </w:rPr>
        <w:t>70</w:t>
      </w:r>
      <w:r w:rsidR="00811B3C" w:rsidRPr="001170AC">
        <w:rPr>
          <w:rFonts w:ascii="Calibri" w:hAnsi="Calibri"/>
          <w:color w:val="000000"/>
          <w:sz w:val="24"/>
          <w:szCs w:val="24"/>
          <w:lang w:val="en-GB" w:eastAsia="en-GB"/>
        </w:rPr>
        <w:t xml:space="preserve"> trillion </w:t>
      </w:r>
      <w:r w:rsidR="007C49BF" w:rsidRPr="001170AC">
        <w:rPr>
          <w:rFonts w:ascii="Calibri" w:hAnsi="Calibri"/>
          <w:color w:val="000000"/>
          <w:sz w:val="24"/>
          <w:szCs w:val="24"/>
          <w:lang w:val="en-GB" w:eastAsia="en-GB"/>
        </w:rPr>
        <w:t>in 20</w:t>
      </w:r>
      <w:r w:rsidR="00375447">
        <w:rPr>
          <w:rFonts w:ascii="Calibri" w:hAnsi="Calibri"/>
          <w:color w:val="000000"/>
          <w:sz w:val="24"/>
          <w:szCs w:val="24"/>
          <w:lang w:val="en-GB" w:eastAsia="en-GB"/>
        </w:rPr>
        <w:t>12</w:t>
      </w:r>
      <w:r w:rsidR="007C49BF" w:rsidRPr="001170AC">
        <w:rPr>
          <w:rFonts w:ascii="Calibri" w:hAnsi="Calibri"/>
          <w:color w:val="000000"/>
          <w:sz w:val="24"/>
          <w:szCs w:val="24"/>
          <w:lang w:val="en-GB" w:eastAsia="en-GB"/>
        </w:rPr>
        <w:t>/</w:t>
      </w:r>
      <w:r w:rsidR="00375447">
        <w:rPr>
          <w:rFonts w:ascii="Calibri" w:hAnsi="Calibri"/>
          <w:color w:val="000000"/>
          <w:sz w:val="24"/>
          <w:szCs w:val="24"/>
          <w:lang w:val="en-GB" w:eastAsia="en-GB"/>
        </w:rPr>
        <w:t>13</w:t>
      </w:r>
      <w:r w:rsidR="00811B3C" w:rsidRPr="001170AC">
        <w:rPr>
          <w:rFonts w:ascii="Calibri" w:hAnsi="Calibri"/>
          <w:color w:val="000000"/>
          <w:sz w:val="24"/>
          <w:szCs w:val="24"/>
          <w:lang w:val="en-GB" w:eastAsia="en-GB"/>
        </w:rPr>
        <w:t xml:space="preserve"> </w:t>
      </w:r>
      <w:r w:rsidR="007C49BF" w:rsidRPr="001170AC">
        <w:rPr>
          <w:rFonts w:ascii="Calibri" w:hAnsi="Calibri"/>
          <w:color w:val="000000"/>
          <w:sz w:val="24"/>
          <w:szCs w:val="24"/>
          <w:lang w:val="en-GB" w:eastAsia="en-GB"/>
        </w:rPr>
        <w:t>to TZS</w:t>
      </w:r>
      <w:r w:rsidR="00811B3C" w:rsidRPr="001170AC">
        <w:rPr>
          <w:rFonts w:ascii="Calibri" w:hAnsi="Calibri"/>
          <w:color w:val="000000"/>
          <w:sz w:val="24"/>
          <w:szCs w:val="24"/>
          <w:lang w:val="en-GB" w:eastAsia="en-GB"/>
        </w:rPr>
        <w:t xml:space="preserve"> 1.</w:t>
      </w:r>
      <w:r w:rsidR="00375447">
        <w:rPr>
          <w:rFonts w:ascii="Calibri" w:hAnsi="Calibri"/>
          <w:color w:val="000000"/>
          <w:sz w:val="24"/>
          <w:szCs w:val="24"/>
          <w:lang w:val="en-GB" w:eastAsia="en-GB"/>
        </w:rPr>
        <w:t>821</w:t>
      </w:r>
      <w:r w:rsidR="00811B3C" w:rsidRPr="001170AC">
        <w:rPr>
          <w:rFonts w:ascii="Calibri" w:hAnsi="Calibri"/>
          <w:color w:val="000000"/>
          <w:sz w:val="24"/>
          <w:szCs w:val="24"/>
          <w:lang w:val="en-GB" w:eastAsia="en-GB"/>
        </w:rPr>
        <w:t xml:space="preserve"> tr</w:t>
      </w:r>
      <w:r w:rsidR="007C49BF" w:rsidRPr="001170AC">
        <w:rPr>
          <w:rFonts w:ascii="Calibri" w:hAnsi="Calibri"/>
          <w:color w:val="000000"/>
          <w:sz w:val="24"/>
          <w:szCs w:val="24"/>
          <w:lang w:val="en-GB" w:eastAsia="en-GB"/>
        </w:rPr>
        <w:t>illion in 201</w:t>
      </w:r>
      <w:r w:rsidR="00375447">
        <w:rPr>
          <w:rFonts w:ascii="Calibri" w:hAnsi="Calibri"/>
          <w:color w:val="000000"/>
          <w:sz w:val="24"/>
          <w:szCs w:val="24"/>
          <w:lang w:val="en-GB" w:eastAsia="en-GB"/>
        </w:rPr>
        <w:t>5</w:t>
      </w:r>
      <w:r w:rsidR="007C49BF" w:rsidRPr="001170AC">
        <w:rPr>
          <w:rFonts w:ascii="Calibri" w:hAnsi="Calibri"/>
          <w:color w:val="000000"/>
          <w:sz w:val="24"/>
          <w:szCs w:val="24"/>
          <w:lang w:val="en-GB" w:eastAsia="en-GB"/>
        </w:rPr>
        <w:t>/1</w:t>
      </w:r>
      <w:r w:rsidR="00375447">
        <w:rPr>
          <w:rFonts w:ascii="Calibri" w:hAnsi="Calibri"/>
          <w:color w:val="000000"/>
          <w:sz w:val="24"/>
          <w:szCs w:val="24"/>
          <w:lang w:val="en-GB" w:eastAsia="en-GB"/>
        </w:rPr>
        <w:t>6</w:t>
      </w:r>
      <w:r w:rsidR="007C49BF" w:rsidRPr="001170AC">
        <w:rPr>
          <w:rFonts w:ascii="Calibri" w:hAnsi="Calibri"/>
          <w:color w:val="000000"/>
          <w:sz w:val="24"/>
          <w:szCs w:val="24"/>
          <w:lang w:val="en-GB" w:eastAsia="en-GB"/>
        </w:rPr>
        <w:t xml:space="preserve">, and </w:t>
      </w:r>
      <w:r w:rsidR="00811B3C" w:rsidRPr="001170AC">
        <w:rPr>
          <w:rFonts w:ascii="Calibri" w:hAnsi="Calibri"/>
          <w:color w:val="000000"/>
          <w:sz w:val="24"/>
          <w:szCs w:val="24"/>
          <w:lang w:val="en-GB" w:eastAsia="en-GB"/>
        </w:rPr>
        <w:t xml:space="preserve">was </w:t>
      </w:r>
      <w:r w:rsidR="007C49BF" w:rsidRPr="001170AC">
        <w:rPr>
          <w:rFonts w:ascii="Calibri" w:hAnsi="Calibri"/>
          <w:color w:val="000000"/>
          <w:sz w:val="24"/>
          <w:szCs w:val="24"/>
          <w:lang w:val="en-GB" w:eastAsia="en-GB"/>
        </w:rPr>
        <w:t>projected to increase further to</w:t>
      </w:r>
      <w:r w:rsidR="00811B3C" w:rsidRPr="001170AC">
        <w:rPr>
          <w:rFonts w:ascii="Calibri" w:hAnsi="Calibri"/>
          <w:color w:val="000000"/>
          <w:sz w:val="24"/>
          <w:szCs w:val="24"/>
          <w:lang w:val="en-GB" w:eastAsia="en-GB"/>
        </w:rPr>
        <w:t xml:space="preserve"> </w:t>
      </w:r>
      <w:r w:rsidR="007C49BF" w:rsidRPr="001170AC">
        <w:rPr>
          <w:rFonts w:ascii="Calibri" w:hAnsi="Calibri"/>
          <w:color w:val="000000"/>
          <w:sz w:val="24"/>
          <w:szCs w:val="24"/>
          <w:lang w:val="en-GB" w:eastAsia="en-GB"/>
        </w:rPr>
        <w:t>TZS</w:t>
      </w:r>
      <w:r w:rsidR="00811B3C" w:rsidRPr="001170AC">
        <w:rPr>
          <w:rFonts w:ascii="Calibri" w:hAnsi="Calibri"/>
          <w:color w:val="000000"/>
          <w:sz w:val="24"/>
          <w:szCs w:val="24"/>
          <w:lang w:val="en-GB" w:eastAsia="en-GB"/>
        </w:rPr>
        <w:t xml:space="preserve"> </w:t>
      </w:r>
      <w:r w:rsidR="00375447">
        <w:rPr>
          <w:rFonts w:ascii="Calibri" w:hAnsi="Calibri"/>
          <w:color w:val="000000"/>
          <w:sz w:val="24"/>
          <w:szCs w:val="24"/>
          <w:lang w:val="en-GB" w:eastAsia="en-GB"/>
        </w:rPr>
        <w:t>2.465</w:t>
      </w:r>
      <w:r w:rsidR="00811B3C" w:rsidRPr="001170AC">
        <w:rPr>
          <w:rFonts w:ascii="Calibri" w:hAnsi="Calibri"/>
          <w:color w:val="000000"/>
          <w:sz w:val="24"/>
          <w:szCs w:val="24"/>
          <w:lang w:val="en-GB" w:eastAsia="en-GB"/>
        </w:rPr>
        <w:t xml:space="preserve"> </w:t>
      </w:r>
      <w:r w:rsidR="007C49BF" w:rsidRPr="001170AC">
        <w:rPr>
          <w:rFonts w:ascii="Calibri" w:hAnsi="Calibri"/>
          <w:color w:val="000000"/>
          <w:sz w:val="24"/>
          <w:szCs w:val="24"/>
          <w:lang w:val="en-GB" w:eastAsia="en-GB"/>
        </w:rPr>
        <w:t>trillion in 201</w:t>
      </w:r>
      <w:r w:rsidR="00375447">
        <w:rPr>
          <w:rFonts w:ascii="Calibri" w:hAnsi="Calibri"/>
          <w:color w:val="000000"/>
          <w:sz w:val="24"/>
          <w:szCs w:val="24"/>
          <w:lang w:val="en-GB" w:eastAsia="en-GB"/>
        </w:rPr>
        <w:t>6</w:t>
      </w:r>
      <w:r w:rsidR="007C49BF" w:rsidRPr="001170AC">
        <w:rPr>
          <w:rFonts w:ascii="Calibri" w:hAnsi="Calibri"/>
          <w:color w:val="000000"/>
          <w:sz w:val="24"/>
          <w:szCs w:val="24"/>
          <w:lang w:val="en-GB" w:eastAsia="en-GB"/>
        </w:rPr>
        <w:t>/1</w:t>
      </w:r>
      <w:r w:rsidR="00375447">
        <w:rPr>
          <w:rFonts w:ascii="Calibri" w:hAnsi="Calibri"/>
          <w:color w:val="000000"/>
          <w:sz w:val="24"/>
          <w:szCs w:val="24"/>
          <w:lang w:val="en-GB" w:eastAsia="en-GB"/>
        </w:rPr>
        <w:t>7</w:t>
      </w:r>
      <w:r w:rsidR="007C49BF" w:rsidRPr="001170AC">
        <w:rPr>
          <w:rFonts w:ascii="Calibri" w:hAnsi="Calibri"/>
          <w:color w:val="000000"/>
          <w:sz w:val="24"/>
          <w:szCs w:val="24"/>
          <w:lang w:val="en-GB" w:eastAsia="en-GB"/>
        </w:rPr>
        <w:t>.</w:t>
      </w:r>
      <w:r w:rsidR="00811B3C" w:rsidRPr="001170AC">
        <w:rPr>
          <w:rFonts w:ascii="Calibri" w:hAnsi="Calibri"/>
          <w:color w:val="000000"/>
          <w:sz w:val="24"/>
          <w:szCs w:val="24"/>
          <w:lang w:val="en-GB" w:eastAsia="en-GB"/>
        </w:rPr>
        <w:t xml:space="preserve"> </w:t>
      </w:r>
      <w:r w:rsidR="0005483B">
        <w:rPr>
          <w:rFonts w:ascii="Calibri" w:hAnsi="Calibri"/>
          <w:color w:val="000000"/>
          <w:sz w:val="24"/>
          <w:szCs w:val="24"/>
          <w:lang w:val="en-GB" w:eastAsia="en-GB"/>
        </w:rPr>
        <w:t>In real terms, t</w:t>
      </w:r>
      <w:r w:rsidR="0005483B" w:rsidRPr="001170AC">
        <w:rPr>
          <w:rFonts w:ascii="Calibri" w:hAnsi="Calibri"/>
          <w:color w:val="000000"/>
          <w:sz w:val="24"/>
          <w:szCs w:val="24"/>
          <w:lang w:val="en-GB" w:eastAsia="en-GB"/>
        </w:rPr>
        <w:t xml:space="preserve">he total public health budget </w:t>
      </w:r>
      <w:r w:rsidR="0005483B">
        <w:rPr>
          <w:rFonts w:ascii="Calibri" w:hAnsi="Calibri"/>
          <w:color w:val="000000"/>
          <w:sz w:val="24"/>
          <w:szCs w:val="24"/>
          <w:lang w:val="en-GB" w:eastAsia="en-GB"/>
        </w:rPr>
        <w:t xml:space="preserve">also </w:t>
      </w:r>
      <w:r w:rsidR="0005483B" w:rsidRPr="001170AC">
        <w:rPr>
          <w:rFonts w:ascii="Calibri" w:hAnsi="Calibri"/>
          <w:color w:val="000000"/>
          <w:sz w:val="24"/>
          <w:szCs w:val="24"/>
          <w:lang w:val="en-GB" w:eastAsia="en-GB"/>
        </w:rPr>
        <w:t>increased significantly from TZS</w:t>
      </w:r>
      <w:r w:rsidR="0005483B">
        <w:rPr>
          <w:rFonts w:ascii="Calibri" w:hAnsi="Calibri"/>
          <w:color w:val="000000"/>
          <w:sz w:val="24"/>
          <w:szCs w:val="24"/>
          <w:lang w:val="en-GB" w:eastAsia="en-GB"/>
        </w:rPr>
        <w:t xml:space="preserve"> 715 b</w:t>
      </w:r>
      <w:r w:rsidR="0005483B" w:rsidRPr="001170AC">
        <w:rPr>
          <w:rFonts w:ascii="Calibri" w:hAnsi="Calibri"/>
          <w:color w:val="000000"/>
          <w:sz w:val="24"/>
          <w:szCs w:val="24"/>
          <w:lang w:val="en-GB" w:eastAsia="en-GB"/>
        </w:rPr>
        <w:t>illion in 20</w:t>
      </w:r>
      <w:r w:rsidR="0005483B">
        <w:rPr>
          <w:rFonts w:ascii="Calibri" w:hAnsi="Calibri"/>
          <w:color w:val="000000"/>
          <w:sz w:val="24"/>
          <w:szCs w:val="24"/>
          <w:lang w:val="en-GB" w:eastAsia="en-GB"/>
        </w:rPr>
        <w:t>12</w:t>
      </w:r>
      <w:r w:rsidR="0005483B" w:rsidRPr="001170AC">
        <w:rPr>
          <w:rFonts w:ascii="Calibri" w:hAnsi="Calibri"/>
          <w:color w:val="000000"/>
          <w:sz w:val="24"/>
          <w:szCs w:val="24"/>
          <w:lang w:val="en-GB" w:eastAsia="en-GB"/>
        </w:rPr>
        <w:t>/</w:t>
      </w:r>
      <w:r w:rsidR="0005483B">
        <w:rPr>
          <w:rFonts w:ascii="Calibri" w:hAnsi="Calibri"/>
          <w:color w:val="000000"/>
          <w:sz w:val="24"/>
          <w:szCs w:val="24"/>
          <w:lang w:val="en-GB" w:eastAsia="en-GB"/>
        </w:rPr>
        <w:t>13</w:t>
      </w:r>
      <w:r w:rsidR="0005483B" w:rsidRPr="001170AC">
        <w:rPr>
          <w:rFonts w:ascii="Calibri" w:hAnsi="Calibri"/>
          <w:color w:val="000000"/>
          <w:sz w:val="24"/>
          <w:szCs w:val="24"/>
          <w:lang w:val="en-GB" w:eastAsia="en-GB"/>
        </w:rPr>
        <w:t xml:space="preserve"> to TZS </w:t>
      </w:r>
      <w:r w:rsidR="0005483B">
        <w:rPr>
          <w:rFonts w:ascii="Calibri" w:hAnsi="Calibri"/>
          <w:color w:val="000000"/>
          <w:sz w:val="24"/>
          <w:szCs w:val="24"/>
          <w:lang w:val="en-GB" w:eastAsia="en-GB"/>
        </w:rPr>
        <w:t>876 b</w:t>
      </w:r>
      <w:r w:rsidR="0005483B" w:rsidRPr="001170AC">
        <w:rPr>
          <w:rFonts w:ascii="Calibri" w:hAnsi="Calibri"/>
          <w:color w:val="000000"/>
          <w:sz w:val="24"/>
          <w:szCs w:val="24"/>
          <w:lang w:val="en-GB" w:eastAsia="en-GB"/>
        </w:rPr>
        <w:t>illion in 201</w:t>
      </w:r>
      <w:r w:rsidR="0005483B">
        <w:rPr>
          <w:rFonts w:ascii="Calibri" w:hAnsi="Calibri"/>
          <w:color w:val="000000"/>
          <w:sz w:val="24"/>
          <w:szCs w:val="24"/>
          <w:lang w:val="en-GB" w:eastAsia="en-GB"/>
        </w:rPr>
        <w:t>5</w:t>
      </w:r>
      <w:r w:rsidR="0005483B" w:rsidRPr="001170AC">
        <w:rPr>
          <w:rFonts w:ascii="Calibri" w:hAnsi="Calibri"/>
          <w:color w:val="000000"/>
          <w:sz w:val="24"/>
          <w:szCs w:val="24"/>
          <w:lang w:val="en-GB" w:eastAsia="en-GB"/>
        </w:rPr>
        <w:t>/1</w:t>
      </w:r>
      <w:r w:rsidR="0005483B">
        <w:rPr>
          <w:rFonts w:ascii="Calibri" w:hAnsi="Calibri"/>
          <w:color w:val="000000"/>
          <w:sz w:val="24"/>
          <w:szCs w:val="24"/>
          <w:lang w:val="en-GB" w:eastAsia="en-GB"/>
        </w:rPr>
        <w:t>6</w:t>
      </w:r>
      <w:r w:rsidR="0005483B" w:rsidRPr="001170AC">
        <w:rPr>
          <w:rFonts w:ascii="Calibri" w:hAnsi="Calibri"/>
          <w:color w:val="000000"/>
          <w:sz w:val="24"/>
          <w:szCs w:val="24"/>
          <w:lang w:val="en-GB" w:eastAsia="en-GB"/>
        </w:rPr>
        <w:t xml:space="preserve">, and was projected to increase further to TZS </w:t>
      </w:r>
      <w:r w:rsidR="0005483B">
        <w:rPr>
          <w:rFonts w:ascii="Calibri" w:hAnsi="Calibri"/>
          <w:color w:val="000000"/>
          <w:sz w:val="24"/>
          <w:szCs w:val="24"/>
          <w:lang w:val="en-GB" w:eastAsia="en-GB"/>
        </w:rPr>
        <w:t>1.196</w:t>
      </w:r>
      <w:r w:rsidR="0005483B" w:rsidRPr="001170AC">
        <w:rPr>
          <w:rFonts w:ascii="Calibri" w:hAnsi="Calibri"/>
          <w:color w:val="000000"/>
          <w:sz w:val="24"/>
          <w:szCs w:val="24"/>
          <w:lang w:val="en-GB" w:eastAsia="en-GB"/>
        </w:rPr>
        <w:t xml:space="preserve"> trillion in 201</w:t>
      </w:r>
      <w:r w:rsidR="0005483B">
        <w:rPr>
          <w:rFonts w:ascii="Calibri" w:hAnsi="Calibri"/>
          <w:color w:val="000000"/>
          <w:sz w:val="24"/>
          <w:szCs w:val="24"/>
          <w:lang w:val="en-GB" w:eastAsia="en-GB"/>
        </w:rPr>
        <w:t>6</w:t>
      </w:r>
      <w:r w:rsidR="0005483B" w:rsidRPr="001170AC">
        <w:rPr>
          <w:rFonts w:ascii="Calibri" w:hAnsi="Calibri"/>
          <w:color w:val="000000"/>
          <w:sz w:val="24"/>
          <w:szCs w:val="24"/>
          <w:lang w:val="en-GB" w:eastAsia="en-GB"/>
        </w:rPr>
        <w:t>/1</w:t>
      </w:r>
      <w:r w:rsidR="0005483B">
        <w:rPr>
          <w:rFonts w:ascii="Calibri" w:hAnsi="Calibri"/>
          <w:color w:val="000000"/>
          <w:sz w:val="24"/>
          <w:szCs w:val="24"/>
          <w:lang w:val="en-GB" w:eastAsia="en-GB"/>
        </w:rPr>
        <w:t xml:space="preserve">7. </w:t>
      </w:r>
      <w:r w:rsidR="007C49BF" w:rsidRPr="001170AC">
        <w:rPr>
          <w:rFonts w:ascii="Calibri" w:hAnsi="Calibri"/>
          <w:color w:val="000000"/>
          <w:sz w:val="24"/>
          <w:szCs w:val="24"/>
          <w:lang w:val="en-GB" w:eastAsia="en-GB"/>
        </w:rPr>
        <w:t>That is, between 20</w:t>
      </w:r>
      <w:r w:rsidR="00811B3C" w:rsidRPr="001170AC">
        <w:rPr>
          <w:rFonts w:ascii="Calibri" w:hAnsi="Calibri"/>
          <w:color w:val="000000"/>
          <w:sz w:val="24"/>
          <w:szCs w:val="24"/>
          <w:lang w:val="en-GB" w:eastAsia="en-GB"/>
        </w:rPr>
        <w:t>1</w:t>
      </w:r>
      <w:r w:rsidR="00375447">
        <w:rPr>
          <w:rFonts w:ascii="Calibri" w:hAnsi="Calibri"/>
          <w:color w:val="000000"/>
          <w:sz w:val="24"/>
          <w:szCs w:val="24"/>
          <w:lang w:val="en-GB" w:eastAsia="en-GB"/>
        </w:rPr>
        <w:t>2</w:t>
      </w:r>
      <w:r w:rsidR="007C49BF" w:rsidRPr="001170AC">
        <w:rPr>
          <w:rFonts w:ascii="Calibri" w:hAnsi="Calibri"/>
          <w:color w:val="000000"/>
          <w:sz w:val="24"/>
          <w:szCs w:val="24"/>
          <w:lang w:val="en-GB" w:eastAsia="en-GB"/>
        </w:rPr>
        <w:t>/</w:t>
      </w:r>
      <w:r w:rsidR="00811B3C" w:rsidRPr="001170AC">
        <w:rPr>
          <w:rFonts w:ascii="Calibri" w:hAnsi="Calibri"/>
          <w:color w:val="000000"/>
          <w:sz w:val="24"/>
          <w:szCs w:val="24"/>
          <w:lang w:val="en-GB" w:eastAsia="en-GB"/>
        </w:rPr>
        <w:t>1</w:t>
      </w:r>
      <w:r w:rsidR="00375447">
        <w:rPr>
          <w:rFonts w:ascii="Calibri" w:hAnsi="Calibri"/>
          <w:color w:val="000000"/>
          <w:sz w:val="24"/>
          <w:szCs w:val="24"/>
          <w:lang w:val="en-GB" w:eastAsia="en-GB"/>
        </w:rPr>
        <w:t>3</w:t>
      </w:r>
      <w:r w:rsidR="007C49BF" w:rsidRPr="001170AC">
        <w:rPr>
          <w:rFonts w:ascii="Calibri" w:hAnsi="Calibri"/>
          <w:color w:val="000000"/>
          <w:sz w:val="24"/>
          <w:szCs w:val="24"/>
          <w:lang w:val="en-GB" w:eastAsia="en-GB"/>
        </w:rPr>
        <w:t xml:space="preserve"> and 201</w:t>
      </w:r>
      <w:r w:rsidR="00375447">
        <w:rPr>
          <w:rFonts w:ascii="Calibri" w:hAnsi="Calibri"/>
          <w:color w:val="000000"/>
          <w:sz w:val="24"/>
          <w:szCs w:val="24"/>
          <w:lang w:val="en-GB" w:eastAsia="en-GB"/>
        </w:rPr>
        <w:t>6</w:t>
      </w:r>
      <w:r w:rsidR="007C49BF" w:rsidRPr="001170AC">
        <w:rPr>
          <w:rFonts w:ascii="Calibri" w:hAnsi="Calibri"/>
          <w:color w:val="000000"/>
          <w:sz w:val="24"/>
          <w:szCs w:val="24"/>
          <w:lang w:val="en-GB" w:eastAsia="en-GB"/>
        </w:rPr>
        <w:t>/1</w:t>
      </w:r>
      <w:r w:rsidR="00375447">
        <w:rPr>
          <w:rFonts w:ascii="Calibri" w:hAnsi="Calibri"/>
          <w:color w:val="000000"/>
          <w:sz w:val="24"/>
          <w:szCs w:val="24"/>
          <w:lang w:val="en-GB" w:eastAsia="en-GB"/>
        </w:rPr>
        <w:t>7</w:t>
      </w:r>
      <w:r w:rsidR="007C49BF" w:rsidRPr="001170AC">
        <w:rPr>
          <w:rFonts w:ascii="Calibri" w:hAnsi="Calibri"/>
          <w:color w:val="000000"/>
          <w:sz w:val="24"/>
          <w:szCs w:val="24"/>
          <w:lang w:val="en-GB" w:eastAsia="en-GB"/>
        </w:rPr>
        <w:t xml:space="preserve"> there has been a </w:t>
      </w:r>
      <w:r w:rsidR="00375447">
        <w:rPr>
          <w:rFonts w:ascii="Calibri" w:hAnsi="Calibri"/>
          <w:color w:val="000000"/>
          <w:sz w:val="24"/>
          <w:szCs w:val="24"/>
          <w:lang w:val="en-GB" w:eastAsia="en-GB"/>
        </w:rPr>
        <w:t>94.1</w:t>
      </w:r>
      <w:r w:rsidR="00FB549E" w:rsidRPr="001170AC">
        <w:rPr>
          <w:rFonts w:ascii="Calibri" w:hAnsi="Calibri"/>
          <w:color w:val="000000"/>
          <w:sz w:val="24"/>
          <w:szCs w:val="24"/>
          <w:lang w:val="en-GB" w:eastAsia="en-GB"/>
        </w:rPr>
        <w:t xml:space="preserve">% </w:t>
      </w:r>
      <w:r w:rsidR="007C49BF" w:rsidRPr="001170AC">
        <w:rPr>
          <w:rFonts w:ascii="Calibri" w:hAnsi="Calibri"/>
          <w:color w:val="000000"/>
          <w:sz w:val="24"/>
          <w:szCs w:val="24"/>
          <w:lang w:val="en-GB" w:eastAsia="en-GB"/>
        </w:rPr>
        <w:t xml:space="preserve">increase in the public health budget in nominal terms, and a </w:t>
      </w:r>
      <w:r w:rsidR="00375447">
        <w:rPr>
          <w:rFonts w:ascii="Calibri" w:hAnsi="Calibri"/>
          <w:color w:val="000000"/>
          <w:sz w:val="24"/>
          <w:szCs w:val="24"/>
          <w:lang w:val="en-GB" w:eastAsia="en-GB"/>
        </w:rPr>
        <w:t>67.3</w:t>
      </w:r>
      <w:r w:rsidR="00FB549E" w:rsidRPr="001170AC">
        <w:rPr>
          <w:rFonts w:ascii="Calibri" w:hAnsi="Calibri"/>
          <w:color w:val="000000"/>
          <w:sz w:val="24"/>
          <w:szCs w:val="24"/>
          <w:lang w:val="en-GB" w:eastAsia="en-GB"/>
        </w:rPr>
        <w:t xml:space="preserve">% </w:t>
      </w:r>
      <w:r w:rsidR="007C49BF" w:rsidRPr="001170AC">
        <w:rPr>
          <w:rFonts w:ascii="Calibri" w:hAnsi="Calibri"/>
          <w:color w:val="000000"/>
          <w:sz w:val="24"/>
          <w:szCs w:val="24"/>
          <w:lang w:val="en-GB" w:eastAsia="en-GB"/>
        </w:rPr>
        <w:t xml:space="preserve">increase in </w:t>
      </w:r>
      <w:r w:rsidR="003E613D" w:rsidRPr="001170AC">
        <w:rPr>
          <w:rFonts w:ascii="Calibri" w:hAnsi="Calibri"/>
          <w:color w:val="000000"/>
          <w:sz w:val="24"/>
          <w:szCs w:val="24"/>
          <w:lang w:val="en-GB" w:eastAsia="en-GB"/>
        </w:rPr>
        <w:t>real terms.</w:t>
      </w:r>
    </w:p>
    <w:p w14:paraId="7DD92CBC" w14:textId="77777777" w:rsidR="003E613D" w:rsidRPr="001170AC" w:rsidRDefault="003E613D" w:rsidP="00670B35">
      <w:pPr>
        <w:pStyle w:val="1-DocText"/>
        <w:spacing w:before="0" w:after="0" w:line="276" w:lineRule="auto"/>
        <w:jc w:val="both"/>
        <w:rPr>
          <w:rFonts w:ascii="Calibri" w:hAnsi="Calibri"/>
          <w:color w:val="000000"/>
          <w:sz w:val="24"/>
          <w:szCs w:val="24"/>
          <w:lang w:val="en-GB" w:eastAsia="en-GB"/>
        </w:rPr>
      </w:pPr>
    </w:p>
    <w:p w14:paraId="0F962581" w14:textId="77777777" w:rsidR="007C49BF" w:rsidRPr="001170AC" w:rsidRDefault="00010362" w:rsidP="00670B35">
      <w:pPr>
        <w:pStyle w:val="1-DocText"/>
        <w:spacing w:before="0" w:after="0" w:line="276" w:lineRule="auto"/>
        <w:jc w:val="both"/>
        <w:rPr>
          <w:rFonts w:ascii="Calibri" w:hAnsi="Calibri"/>
          <w:color w:val="000000"/>
          <w:sz w:val="24"/>
          <w:szCs w:val="24"/>
          <w:lang w:val="en-GB" w:eastAsia="en-GB"/>
        </w:rPr>
      </w:pPr>
      <w:r w:rsidRPr="001170AC">
        <w:rPr>
          <w:rFonts w:ascii="Calibri" w:hAnsi="Calibri"/>
          <w:color w:val="000000"/>
          <w:sz w:val="24"/>
          <w:szCs w:val="24"/>
          <w:lang w:val="en-GB" w:eastAsia="en-GB"/>
        </w:rPr>
        <w:t xml:space="preserve">In terms of actual health spending, it increased from </w:t>
      </w:r>
      <w:r w:rsidR="007C49BF" w:rsidRPr="001170AC">
        <w:rPr>
          <w:rFonts w:ascii="Calibri" w:hAnsi="Calibri"/>
          <w:color w:val="000000"/>
          <w:sz w:val="24"/>
          <w:szCs w:val="24"/>
          <w:lang w:val="en-GB" w:eastAsia="en-GB"/>
        </w:rPr>
        <w:t>TZS</w:t>
      </w:r>
      <w:r w:rsidRPr="001170AC">
        <w:rPr>
          <w:rFonts w:ascii="Calibri" w:hAnsi="Calibri"/>
          <w:color w:val="000000"/>
          <w:sz w:val="24"/>
          <w:szCs w:val="24"/>
          <w:lang w:val="en-GB" w:eastAsia="en-GB"/>
        </w:rPr>
        <w:t xml:space="preserve"> 1</w:t>
      </w:r>
      <w:r w:rsidR="001430F2" w:rsidRPr="001170AC">
        <w:rPr>
          <w:rFonts w:ascii="Calibri" w:hAnsi="Calibri"/>
          <w:color w:val="000000"/>
          <w:sz w:val="24"/>
          <w:szCs w:val="24"/>
          <w:lang w:val="en-GB" w:eastAsia="en-GB"/>
        </w:rPr>
        <w:t>.</w:t>
      </w:r>
      <w:r w:rsidRPr="001170AC">
        <w:rPr>
          <w:rFonts w:ascii="Calibri" w:hAnsi="Calibri"/>
          <w:color w:val="000000"/>
          <w:sz w:val="24"/>
          <w:szCs w:val="24"/>
          <w:lang w:val="en-GB" w:eastAsia="en-GB"/>
        </w:rPr>
        <w:t>05</w:t>
      </w:r>
      <w:r w:rsidR="00375447">
        <w:rPr>
          <w:rFonts w:ascii="Calibri" w:hAnsi="Calibri"/>
          <w:color w:val="000000"/>
          <w:sz w:val="24"/>
          <w:szCs w:val="24"/>
          <w:lang w:val="en-GB" w:eastAsia="en-GB"/>
        </w:rPr>
        <w:t>5</w:t>
      </w:r>
      <w:r w:rsidRPr="001170AC">
        <w:rPr>
          <w:rFonts w:ascii="Calibri" w:hAnsi="Calibri"/>
          <w:color w:val="000000"/>
          <w:sz w:val="24"/>
          <w:szCs w:val="24"/>
          <w:lang w:val="en-GB" w:eastAsia="en-GB"/>
        </w:rPr>
        <w:t xml:space="preserve"> </w:t>
      </w:r>
      <w:r w:rsidR="001430F2" w:rsidRPr="001170AC">
        <w:rPr>
          <w:rFonts w:ascii="Calibri" w:hAnsi="Calibri"/>
          <w:color w:val="000000"/>
          <w:sz w:val="24"/>
          <w:szCs w:val="24"/>
          <w:lang w:val="en-GB" w:eastAsia="en-GB"/>
        </w:rPr>
        <w:t xml:space="preserve">trillion </w:t>
      </w:r>
      <w:r w:rsidR="007C49BF" w:rsidRPr="001170AC">
        <w:rPr>
          <w:rFonts w:ascii="Calibri" w:hAnsi="Calibri"/>
          <w:color w:val="000000"/>
          <w:sz w:val="24"/>
          <w:szCs w:val="24"/>
          <w:lang w:val="en-GB" w:eastAsia="en-GB"/>
        </w:rPr>
        <w:t>in 20</w:t>
      </w:r>
      <w:r w:rsidRPr="001170AC">
        <w:rPr>
          <w:rFonts w:ascii="Calibri" w:hAnsi="Calibri"/>
          <w:color w:val="000000"/>
          <w:sz w:val="24"/>
          <w:szCs w:val="24"/>
          <w:lang w:val="en-GB" w:eastAsia="en-GB"/>
        </w:rPr>
        <w:t>1</w:t>
      </w:r>
      <w:r w:rsidR="00375447">
        <w:rPr>
          <w:rFonts w:ascii="Calibri" w:hAnsi="Calibri"/>
          <w:color w:val="000000"/>
          <w:sz w:val="24"/>
          <w:szCs w:val="24"/>
          <w:lang w:val="en-GB" w:eastAsia="en-GB"/>
        </w:rPr>
        <w:t>2</w:t>
      </w:r>
      <w:r w:rsidR="007C49BF" w:rsidRPr="001170AC">
        <w:rPr>
          <w:rFonts w:ascii="Calibri" w:hAnsi="Calibri"/>
          <w:color w:val="000000"/>
          <w:sz w:val="24"/>
          <w:szCs w:val="24"/>
          <w:lang w:val="en-GB" w:eastAsia="en-GB"/>
        </w:rPr>
        <w:t>/</w:t>
      </w:r>
      <w:r w:rsidRPr="001170AC">
        <w:rPr>
          <w:rFonts w:ascii="Calibri" w:hAnsi="Calibri"/>
          <w:color w:val="000000"/>
          <w:sz w:val="24"/>
          <w:szCs w:val="24"/>
          <w:lang w:val="en-GB" w:eastAsia="en-GB"/>
        </w:rPr>
        <w:t>1</w:t>
      </w:r>
      <w:r w:rsidR="00375447">
        <w:rPr>
          <w:rFonts w:ascii="Calibri" w:hAnsi="Calibri"/>
          <w:color w:val="000000"/>
          <w:sz w:val="24"/>
          <w:szCs w:val="24"/>
          <w:lang w:val="en-GB" w:eastAsia="en-GB"/>
        </w:rPr>
        <w:t>3</w:t>
      </w:r>
      <w:r w:rsidR="007C49BF" w:rsidRPr="001170AC">
        <w:rPr>
          <w:rFonts w:ascii="Calibri" w:hAnsi="Calibri"/>
          <w:color w:val="000000"/>
          <w:sz w:val="24"/>
          <w:szCs w:val="24"/>
          <w:lang w:val="en-GB" w:eastAsia="en-GB"/>
        </w:rPr>
        <w:t xml:space="preserve"> to TZS</w:t>
      </w:r>
      <w:r w:rsidRPr="001170AC">
        <w:rPr>
          <w:rFonts w:ascii="Calibri" w:hAnsi="Calibri"/>
          <w:color w:val="000000"/>
          <w:sz w:val="24"/>
          <w:szCs w:val="24"/>
          <w:lang w:val="en-GB" w:eastAsia="en-GB"/>
        </w:rPr>
        <w:t xml:space="preserve"> </w:t>
      </w:r>
      <w:r w:rsidR="001430F2" w:rsidRPr="001170AC">
        <w:rPr>
          <w:rFonts w:ascii="Calibri" w:hAnsi="Calibri"/>
          <w:color w:val="000000"/>
          <w:sz w:val="24"/>
          <w:szCs w:val="24"/>
          <w:lang w:val="en-GB" w:eastAsia="en-GB"/>
        </w:rPr>
        <w:t>1.</w:t>
      </w:r>
      <w:r w:rsidR="002427CF">
        <w:rPr>
          <w:rFonts w:ascii="Calibri" w:hAnsi="Calibri"/>
          <w:color w:val="000000"/>
          <w:sz w:val="24"/>
          <w:szCs w:val="24"/>
          <w:lang w:val="en-GB" w:eastAsia="en-GB"/>
        </w:rPr>
        <w:t xml:space="preserve">446 </w:t>
      </w:r>
      <w:r w:rsidR="001430F2" w:rsidRPr="001170AC">
        <w:rPr>
          <w:rFonts w:ascii="Calibri" w:hAnsi="Calibri"/>
          <w:color w:val="000000"/>
          <w:sz w:val="24"/>
          <w:szCs w:val="24"/>
          <w:lang w:val="en-GB" w:eastAsia="en-GB"/>
        </w:rPr>
        <w:t xml:space="preserve">trillion </w:t>
      </w:r>
      <w:r w:rsidR="007C49BF" w:rsidRPr="001170AC">
        <w:rPr>
          <w:rFonts w:ascii="Calibri" w:hAnsi="Calibri"/>
          <w:color w:val="000000"/>
          <w:sz w:val="24"/>
          <w:szCs w:val="24"/>
          <w:lang w:val="en-GB" w:eastAsia="en-GB"/>
        </w:rPr>
        <w:t>in 201</w:t>
      </w:r>
      <w:r w:rsidR="002427CF">
        <w:rPr>
          <w:rFonts w:ascii="Calibri" w:hAnsi="Calibri"/>
          <w:color w:val="000000"/>
          <w:sz w:val="24"/>
          <w:szCs w:val="24"/>
          <w:lang w:val="en-GB" w:eastAsia="en-GB"/>
        </w:rPr>
        <w:t>5</w:t>
      </w:r>
      <w:r w:rsidR="007C49BF" w:rsidRPr="001170AC">
        <w:rPr>
          <w:rFonts w:ascii="Calibri" w:hAnsi="Calibri"/>
          <w:color w:val="000000"/>
          <w:sz w:val="24"/>
          <w:szCs w:val="24"/>
          <w:lang w:val="en-GB" w:eastAsia="en-GB"/>
        </w:rPr>
        <w:t>/1</w:t>
      </w:r>
      <w:r w:rsidR="002427CF">
        <w:rPr>
          <w:rFonts w:ascii="Calibri" w:hAnsi="Calibri"/>
          <w:color w:val="000000"/>
          <w:sz w:val="24"/>
          <w:szCs w:val="24"/>
          <w:lang w:val="en-GB" w:eastAsia="en-GB"/>
        </w:rPr>
        <w:t xml:space="preserve">6 which is a </w:t>
      </w:r>
      <w:r w:rsidR="001430F2" w:rsidRPr="001170AC">
        <w:rPr>
          <w:rFonts w:ascii="Calibri" w:hAnsi="Calibri"/>
          <w:color w:val="000000"/>
          <w:sz w:val="24"/>
          <w:szCs w:val="24"/>
          <w:lang w:val="en-GB" w:eastAsia="en-GB"/>
        </w:rPr>
        <w:t>3</w:t>
      </w:r>
      <w:r w:rsidR="002427CF">
        <w:rPr>
          <w:rFonts w:ascii="Calibri" w:hAnsi="Calibri"/>
          <w:color w:val="000000"/>
          <w:sz w:val="24"/>
          <w:szCs w:val="24"/>
          <w:lang w:val="en-GB" w:eastAsia="en-GB"/>
        </w:rPr>
        <w:t>7.1</w:t>
      </w:r>
      <w:r w:rsidR="001430F2" w:rsidRPr="001170AC">
        <w:rPr>
          <w:rFonts w:ascii="Calibri" w:hAnsi="Calibri"/>
          <w:color w:val="000000"/>
          <w:sz w:val="24"/>
          <w:szCs w:val="24"/>
          <w:lang w:val="en-GB" w:eastAsia="en-GB"/>
        </w:rPr>
        <w:t xml:space="preserve">% increase, </w:t>
      </w:r>
      <w:r w:rsidR="007C49BF" w:rsidRPr="001170AC">
        <w:rPr>
          <w:rFonts w:ascii="Calibri" w:hAnsi="Calibri"/>
          <w:color w:val="000000"/>
          <w:sz w:val="24"/>
          <w:szCs w:val="24"/>
          <w:lang w:val="en-GB" w:eastAsia="en-GB"/>
        </w:rPr>
        <w:t xml:space="preserve">while actual public health spending </w:t>
      </w:r>
      <w:r w:rsidR="001430F2" w:rsidRPr="001170AC">
        <w:rPr>
          <w:rFonts w:ascii="Calibri" w:hAnsi="Calibri"/>
          <w:color w:val="000000"/>
          <w:sz w:val="24"/>
          <w:szCs w:val="24"/>
          <w:lang w:val="en-GB" w:eastAsia="en-GB"/>
        </w:rPr>
        <w:t xml:space="preserve">in real terms </w:t>
      </w:r>
      <w:r w:rsidR="002427CF">
        <w:rPr>
          <w:rFonts w:ascii="Calibri" w:hAnsi="Calibri"/>
          <w:color w:val="000000"/>
          <w:sz w:val="24"/>
          <w:szCs w:val="24"/>
          <w:lang w:val="en-GB" w:eastAsia="en-GB"/>
        </w:rPr>
        <w:t xml:space="preserve">increased by 17% - an increase from TZS </w:t>
      </w:r>
      <w:r w:rsidR="001430F2" w:rsidRPr="001170AC">
        <w:rPr>
          <w:rFonts w:ascii="Calibri" w:hAnsi="Calibri"/>
          <w:color w:val="000000"/>
          <w:sz w:val="24"/>
          <w:szCs w:val="24"/>
          <w:lang w:val="en-GB" w:eastAsia="en-GB"/>
        </w:rPr>
        <w:t>5</w:t>
      </w:r>
      <w:r w:rsidR="002427CF">
        <w:rPr>
          <w:rFonts w:ascii="Calibri" w:hAnsi="Calibri"/>
          <w:color w:val="000000"/>
          <w:sz w:val="24"/>
          <w:szCs w:val="24"/>
          <w:lang w:val="en-GB" w:eastAsia="en-GB"/>
        </w:rPr>
        <w:t>94</w:t>
      </w:r>
      <w:r w:rsidR="001430F2" w:rsidRPr="001170AC">
        <w:rPr>
          <w:rFonts w:ascii="Calibri" w:hAnsi="Calibri"/>
          <w:color w:val="000000"/>
          <w:sz w:val="24"/>
          <w:szCs w:val="24"/>
          <w:lang w:val="en-GB" w:eastAsia="en-GB"/>
        </w:rPr>
        <w:t xml:space="preserve"> billion </w:t>
      </w:r>
      <w:r w:rsidR="000D3E5C" w:rsidRPr="001170AC">
        <w:rPr>
          <w:rFonts w:ascii="Calibri" w:hAnsi="Calibri"/>
          <w:color w:val="000000"/>
          <w:sz w:val="24"/>
          <w:szCs w:val="24"/>
          <w:lang w:val="en-GB" w:eastAsia="en-GB"/>
        </w:rPr>
        <w:t>in 201</w:t>
      </w:r>
      <w:r w:rsidR="002427CF">
        <w:rPr>
          <w:rFonts w:ascii="Calibri" w:hAnsi="Calibri"/>
          <w:color w:val="000000"/>
          <w:sz w:val="24"/>
          <w:szCs w:val="24"/>
          <w:lang w:val="en-GB" w:eastAsia="en-GB"/>
        </w:rPr>
        <w:t>2</w:t>
      </w:r>
      <w:r w:rsidR="000D3E5C" w:rsidRPr="001170AC">
        <w:rPr>
          <w:rFonts w:ascii="Calibri" w:hAnsi="Calibri"/>
          <w:color w:val="000000"/>
          <w:sz w:val="24"/>
          <w:szCs w:val="24"/>
          <w:lang w:val="en-GB" w:eastAsia="en-GB"/>
        </w:rPr>
        <w:t>/1</w:t>
      </w:r>
      <w:r w:rsidR="002427CF">
        <w:rPr>
          <w:rFonts w:ascii="Calibri" w:hAnsi="Calibri"/>
          <w:color w:val="000000"/>
          <w:sz w:val="24"/>
          <w:szCs w:val="24"/>
          <w:lang w:val="en-GB" w:eastAsia="en-GB"/>
        </w:rPr>
        <w:t>3</w:t>
      </w:r>
      <w:r w:rsidR="000D3E5C" w:rsidRPr="001170AC">
        <w:rPr>
          <w:rFonts w:ascii="Calibri" w:hAnsi="Calibri"/>
          <w:color w:val="000000"/>
          <w:sz w:val="24"/>
          <w:szCs w:val="24"/>
          <w:lang w:val="en-GB" w:eastAsia="en-GB"/>
        </w:rPr>
        <w:t xml:space="preserve"> </w:t>
      </w:r>
      <w:r w:rsidR="001430F2" w:rsidRPr="001170AC">
        <w:rPr>
          <w:rFonts w:ascii="Calibri" w:hAnsi="Calibri"/>
          <w:color w:val="000000"/>
          <w:sz w:val="24"/>
          <w:szCs w:val="24"/>
          <w:lang w:val="en-GB" w:eastAsia="en-GB"/>
        </w:rPr>
        <w:t>to TZS 6</w:t>
      </w:r>
      <w:r w:rsidR="002427CF">
        <w:rPr>
          <w:rFonts w:ascii="Calibri" w:hAnsi="Calibri"/>
          <w:color w:val="000000"/>
          <w:sz w:val="24"/>
          <w:szCs w:val="24"/>
          <w:lang w:val="en-GB" w:eastAsia="en-GB"/>
        </w:rPr>
        <w:t>95</w:t>
      </w:r>
      <w:r w:rsidR="001430F2" w:rsidRPr="001170AC">
        <w:rPr>
          <w:rFonts w:ascii="Calibri" w:hAnsi="Calibri"/>
          <w:color w:val="000000"/>
          <w:sz w:val="24"/>
          <w:szCs w:val="24"/>
          <w:lang w:val="en-GB" w:eastAsia="en-GB"/>
        </w:rPr>
        <w:t xml:space="preserve"> billion </w:t>
      </w:r>
      <w:r w:rsidR="002427CF">
        <w:rPr>
          <w:rFonts w:ascii="Calibri" w:hAnsi="Calibri"/>
          <w:color w:val="000000"/>
          <w:sz w:val="24"/>
          <w:szCs w:val="24"/>
          <w:lang w:val="en-GB" w:eastAsia="en-GB"/>
        </w:rPr>
        <w:t>in 2015/16</w:t>
      </w:r>
      <w:r w:rsidR="00992A54">
        <w:rPr>
          <w:rFonts w:ascii="Calibri" w:hAnsi="Calibri"/>
          <w:color w:val="000000"/>
          <w:sz w:val="24"/>
          <w:szCs w:val="24"/>
          <w:lang w:val="en-GB" w:eastAsia="en-GB"/>
        </w:rPr>
        <w:t xml:space="preserve"> (</w:t>
      </w:r>
      <w:r w:rsidR="001430F2" w:rsidRPr="001170AC">
        <w:rPr>
          <w:rFonts w:ascii="Calibri" w:hAnsi="Calibri"/>
          <w:color w:val="000000"/>
          <w:sz w:val="24"/>
          <w:szCs w:val="24"/>
          <w:lang w:val="en-GB" w:eastAsia="en-GB"/>
        </w:rPr>
        <w:t>Figure 3.1</w:t>
      </w:r>
      <w:r w:rsidR="00FB549E" w:rsidRPr="001170AC">
        <w:rPr>
          <w:rFonts w:ascii="Calibri" w:hAnsi="Calibri"/>
          <w:color w:val="000000"/>
          <w:sz w:val="24"/>
          <w:szCs w:val="24"/>
          <w:lang w:val="en-GB" w:eastAsia="en-GB"/>
        </w:rPr>
        <w:t>b</w:t>
      </w:r>
      <w:r w:rsidR="001430F2" w:rsidRPr="001170AC">
        <w:rPr>
          <w:rFonts w:ascii="Calibri" w:hAnsi="Calibri"/>
          <w:color w:val="000000"/>
          <w:sz w:val="24"/>
          <w:szCs w:val="24"/>
          <w:lang w:val="en-GB" w:eastAsia="en-GB"/>
        </w:rPr>
        <w:t xml:space="preserve">).  </w:t>
      </w:r>
      <w:r w:rsidR="007C49BF" w:rsidRPr="001170AC">
        <w:rPr>
          <w:rFonts w:ascii="Calibri" w:hAnsi="Calibri"/>
          <w:color w:val="000000"/>
          <w:sz w:val="24"/>
          <w:szCs w:val="24"/>
          <w:lang w:val="en-GB" w:eastAsia="en-GB"/>
        </w:rPr>
        <w:t xml:space="preserve"> </w:t>
      </w:r>
    </w:p>
    <w:p w14:paraId="0E298D6C" w14:textId="77777777" w:rsidR="007C49BF" w:rsidRPr="001170AC" w:rsidRDefault="007C49BF" w:rsidP="00670B35">
      <w:pPr>
        <w:pStyle w:val="1-DocText"/>
        <w:spacing w:before="0" w:after="0" w:line="276" w:lineRule="auto"/>
        <w:jc w:val="both"/>
        <w:rPr>
          <w:rFonts w:ascii="Calibri" w:hAnsi="Calibri"/>
          <w:color w:val="000000"/>
          <w:sz w:val="24"/>
          <w:szCs w:val="24"/>
          <w:lang w:val="en-GB" w:eastAsia="en-GB"/>
        </w:rPr>
      </w:pPr>
    </w:p>
    <w:p w14:paraId="6B232D9E" w14:textId="77777777" w:rsidR="00811B3C" w:rsidRDefault="00811B3C" w:rsidP="00DF4EDD">
      <w:pPr>
        <w:pStyle w:val="Caption1"/>
      </w:pPr>
      <w:bookmarkStart w:id="29" w:name="_Toc327142360"/>
      <w:bookmarkStart w:id="30" w:name="_Toc331434345"/>
      <w:bookmarkStart w:id="31" w:name="_Toc488423291"/>
      <w:r w:rsidRPr="001170AC">
        <w:t>Figure 3.1</w:t>
      </w:r>
      <w:r w:rsidR="00353140" w:rsidRPr="001170AC">
        <w:t>a</w:t>
      </w:r>
      <w:r w:rsidR="00DF4EDD">
        <w:t>:</w:t>
      </w:r>
      <w:r w:rsidR="00DF4EDD">
        <w:tab/>
      </w:r>
      <w:r w:rsidRPr="001170AC">
        <w:t>Public Health Budget Trends (BN TZS)</w:t>
      </w:r>
      <w:bookmarkEnd w:id="29"/>
      <w:bookmarkEnd w:id="30"/>
      <w:bookmarkEnd w:id="31"/>
    </w:p>
    <w:p w14:paraId="3F99E7E1" w14:textId="77777777" w:rsidR="00375447" w:rsidRDefault="000B5E1A" w:rsidP="00670B35">
      <w:pPr>
        <w:pStyle w:val="FigureTitle"/>
        <w:spacing w:before="0" w:after="0" w:line="276" w:lineRule="auto"/>
        <w:jc w:val="both"/>
        <w:rPr>
          <w:rFonts w:ascii="Calibri" w:hAnsi="Calibri"/>
          <w:caps w:val="0"/>
          <w:sz w:val="24"/>
          <w:szCs w:val="24"/>
        </w:rPr>
      </w:pPr>
      <w:r>
        <w:rPr>
          <w:bdr w:val="double" w:sz="4" w:space="0" w:color="3333FF"/>
        </w:rPr>
        <w:drawing>
          <wp:inline distT="0" distB="0" distL="0" distR="0" wp14:anchorId="2EACF5C7" wp14:editId="3C5DAF28">
            <wp:extent cx="4827561" cy="2286320"/>
            <wp:effectExtent l="11766" t="5698" r="6993" b="1602"/>
            <wp:docPr id="141"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0E6188B8" w14:textId="77777777" w:rsidR="00353140" w:rsidRPr="00353140" w:rsidRDefault="00353140" w:rsidP="00DF4EDD">
      <w:pPr>
        <w:pStyle w:val="Caption1"/>
      </w:pPr>
      <w:bookmarkStart w:id="32" w:name="_Toc488423292"/>
      <w:r w:rsidRPr="00353140">
        <w:lastRenderedPageBreak/>
        <w:t>Figure 3.1</w:t>
      </w:r>
      <w:r>
        <w:t>b</w:t>
      </w:r>
      <w:r w:rsidR="00DF4EDD">
        <w:t>:</w:t>
      </w:r>
      <w:r w:rsidR="00DF4EDD">
        <w:tab/>
      </w:r>
      <w:r w:rsidRPr="00353140">
        <w:t>Public Health Expenditure Trends (BN TZS)</w:t>
      </w:r>
      <w:bookmarkEnd w:id="32"/>
    </w:p>
    <w:p w14:paraId="4EC6B67C" w14:textId="77777777" w:rsidR="00353140" w:rsidRPr="001170AC" w:rsidRDefault="000B5E1A" w:rsidP="00670B35">
      <w:pPr>
        <w:rPr>
          <w:color w:val="000000"/>
          <w:lang w:val="en-GB" w:eastAsia="en-GB"/>
        </w:rPr>
      </w:pPr>
      <w:r>
        <w:rPr>
          <w:noProof/>
          <w:bdr w:val="double" w:sz="4" w:space="0" w:color="3333FF"/>
        </w:rPr>
        <w:drawing>
          <wp:inline distT="0" distB="0" distL="0" distR="0" wp14:anchorId="71155F87" wp14:editId="5BFEC19E">
            <wp:extent cx="4996806" cy="2744724"/>
            <wp:effectExtent l="12192" t="6096" r="4962" b="0"/>
            <wp:docPr id="140"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3853A35D" w14:textId="77777777" w:rsidR="00353140" w:rsidRPr="001170AC" w:rsidRDefault="00353140" w:rsidP="00670B35">
      <w:pPr>
        <w:rPr>
          <w:color w:val="000000"/>
          <w:lang w:val="en-GB" w:eastAsia="en-GB"/>
        </w:rPr>
      </w:pPr>
    </w:p>
    <w:p w14:paraId="7BAF0B56" w14:textId="77777777" w:rsidR="003E613D" w:rsidRPr="001170AC" w:rsidRDefault="00850F10" w:rsidP="00670B35">
      <w:pPr>
        <w:rPr>
          <w:color w:val="000000"/>
          <w:lang w:val="en-GB" w:eastAsia="en-GB"/>
        </w:rPr>
      </w:pPr>
      <w:r w:rsidRPr="001170AC">
        <w:rPr>
          <w:color w:val="000000"/>
          <w:lang w:val="en-GB" w:eastAsia="en-GB"/>
        </w:rPr>
        <w:t>Figure</w:t>
      </w:r>
      <w:r w:rsidR="006144B2" w:rsidRPr="001170AC">
        <w:rPr>
          <w:color w:val="000000"/>
          <w:lang w:val="en-GB" w:eastAsia="en-GB"/>
        </w:rPr>
        <w:t>s</w:t>
      </w:r>
      <w:r w:rsidRPr="001170AC">
        <w:rPr>
          <w:color w:val="000000"/>
          <w:lang w:val="en-GB" w:eastAsia="en-GB"/>
        </w:rPr>
        <w:t xml:space="preserve"> 3.2</w:t>
      </w:r>
      <w:r w:rsidR="006144B2" w:rsidRPr="001170AC">
        <w:rPr>
          <w:color w:val="000000"/>
          <w:lang w:val="en-GB" w:eastAsia="en-GB"/>
        </w:rPr>
        <w:t>a and 3.2b</w:t>
      </w:r>
      <w:r w:rsidRPr="001170AC">
        <w:rPr>
          <w:color w:val="000000"/>
          <w:lang w:val="en-GB" w:eastAsia="en-GB"/>
        </w:rPr>
        <w:t xml:space="preserve"> </w:t>
      </w:r>
      <w:r w:rsidR="006144B2" w:rsidRPr="001170AC">
        <w:rPr>
          <w:color w:val="000000"/>
          <w:lang w:val="en-GB" w:eastAsia="en-GB"/>
        </w:rPr>
        <w:t>show</w:t>
      </w:r>
      <w:r w:rsidRPr="001170AC">
        <w:rPr>
          <w:color w:val="000000"/>
          <w:lang w:val="en-GB" w:eastAsia="en-GB"/>
        </w:rPr>
        <w:t xml:space="preserve"> the share of public health budget and expenditure in the </w:t>
      </w:r>
      <w:r w:rsidRPr="00CD55AC">
        <w:rPr>
          <w:color w:val="000000"/>
          <w:lang w:val="en-GB" w:eastAsia="en-GB"/>
        </w:rPr>
        <w:t xml:space="preserve">total government budget, including and excluding Consolidated Fund Services (CFS). </w:t>
      </w:r>
      <w:r w:rsidR="001430F2" w:rsidRPr="00CD55AC">
        <w:rPr>
          <w:color w:val="000000"/>
          <w:lang w:val="en-GB" w:eastAsia="en-GB"/>
        </w:rPr>
        <w:t xml:space="preserve">The share of public health budget in total government budget, excluding </w:t>
      </w:r>
      <w:r w:rsidRPr="00CD55AC">
        <w:rPr>
          <w:color w:val="000000"/>
          <w:lang w:val="en-GB" w:eastAsia="en-GB"/>
        </w:rPr>
        <w:t>CFS</w:t>
      </w:r>
      <w:r w:rsidR="001430F2" w:rsidRPr="00CD55AC">
        <w:rPr>
          <w:color w:val="000000"/>
          <w:lang w:val="en-GB" w:eastAsia="en-GB"/>
        </w:rPr>
        <w:t xml:space="preserve">, was </w:t>
      </w:r>
      <w:r w:rsidRPr="00CD55AC">
        <w:rPr>
          <w:color w:val="000000"/>
          <w:lang w:val="en-GB" w:eastAsia="en-GB"/>
        </w:rPr>
        <w:t>9.</w:t>
      </w:r>
      <w:r w:rsidR="001E761C" w:rsidRPr="00CD55AC">
        <w:rPr>
          <w:color w:val="000000"/>
          <w:lang w:val="en-GB" w:eastAsia="en-GB"/>
        </w:rPr>
        <w:t>3</w:t>
      </w:r>
      <w:r w:rsidR="003E613D" w:rsidRPr="00CD55AC">
        <w:rPr>
          <w:color w:val="000000"/>
          <w:lang w:val="en-GB" w:eastAsia="en-GB"/>
        </w:rPr>
        <w:t xml:space="preserve">% </w:t>
      </w:r>
      <w:r w:rsidR="001430F2" w:rsidRPr="00CD55AC">
        <w:rPr>
          <w:color w:val="000000"/>
          <w:lang w:val="en-GB" w:eastAsia="en-GB"/>
        </w:rPr>
        <w:t>in 201</w:t>
      </w:r>
      <w:r w:rsidR="001E761C" w:rsidRPr="00CD55AC">
        <w:rPr>
          <w:color w:val="000000"/>
          <w:lang w:val="en-GB" w:eastAsia="en-GB"/>
        </w:rPr>
        <w:t>2</w:t>
      </w:r>
      <w:r w:rsidR="001430F2" w:rsidRPr="00CD55AC">
        <w:rPr>
          <w:color w:val="000000"/>
          <w:lang w:val="en-GB" w:eastAsia="en-GB"/>
        </w:rPr>
        <w:t>/1</w:t>
      </w:r>
      <w:r w:rsidR="001E761C" w:rsidRPr="00CD55AC">
        <w:rPr>
          <w:color w:val="000000"/>
          <w:lang w:val="en-GB" w:eastAsia="en-GB"/>
        </w:rPr>
        <w:t>3</w:t>
      </w:r>
      <w:r w:rsidR="001430F2" w:rsidRPr="00CD55AC">
        <w:rPr>
          <w:color w:val="000000"/>
          <w:lang w:val="en-GB" w:eastAsia="en-GB"/>
        </w:rPr>
        <w:t xml:space="preserve"> </w:t>
      </w:r>
      <w:r w:rsidR="001E761C" w:rsidRPr="00CD55AC">
        <w:rPr>
          <w:color w:val="000000"/>
          <w:lang w:val="en-GB" w:eastAsia="en-GB"/>
        </w:rPr>
        <w:t xml:space="preserve">and </w:t>
      </w:r>
      <w:r w:rsidR="00CD55AC" w:rsidRPr="00CD55AC">
        <w:rPr>
          <w:color w:val="000000"/>
          <w:lang w:val="en-GB" w:eastAsia="en-GB"/>
        </w:rPr>
        <w:t xml:space="preserve">it </w:t>
      </w:r>
      <w:r w:rsidRPr="00CD55AC">
        <w:rPr>
          <w:color w:val="000000"/>
          <w:lang w:val="en-GB" w:eastAsia="en-GB"/>
        </w:rPr>
        <w:t xml:space="preserve">increased </w:t>
      </w:r>
      <w:r w:rsidR="001E761C" w:rsidRPr="00CD55AC">
        <w:rPr>
          <w:color w:val="000000"/>
          <w:lang w:val="en-GB" w:eastAsia="en-GB"/>
        </w:rPr>
        <w:t xml:space="preserve">to </w:t>
      </w:r>
      <w:r w:rsidR="00CD55AC" w:rsidRPr="00CD55AC">
        <w:rPr>
          <w:color w:val="000000"/>
          <w:lang w:val="en-GB" w:eastAsia="en-GB"/>
        </w:rPr>
        <w:t xml:space="preserve">10.1% </w:t>
      </w:r>
      <w:r w:rsidR="001430F2" w:rsidRPr="00CD55AC">
        <w:rPr>
          <w:color w:val="000000"/>
          <w:lang w:val="en-GB" w:eastAsia="en-GB"/>
        </w:rPr>
        <w:t>in 201</w:t>
      </w:r>
      <w:r w:rsidR="00CD55AC" w:rsidRPr="00CD55AC">
        <w:rPr>
          <w:color w:val="000000"/>
          <w:lang w:val="en-GB" w:eastAsia="en-GB"/>
        </w:rPr>
        <w:t>5</w:t>
      </w:r>
      <w:r w:rsidR="001430F2" w:rsidRPr="00CD55AC">
        <w:rPr>
          <w:color w:val="000000"/>
          <w:lang w:val="en-GB" w:eastAsia="en-GB"/>
        </w:rPr>
        <w:t>/1</w:t>
      </w:r>
      <w:r w:rsidR="00CD55AC" w:rsidRPr="00CD55AC">
        <w:rPr>
          <w:color w:val="000000"/>
          <w:lang w:val="en-GB" w:eastAsia="en-GB"/>
        </w:rPr>
        <w:t>6</w:t>
      </w:r>
      <w:r w:rsidR="001430F2" w:rsidRPr="00CD55AC">
        <w:rPr>
          <w:color w:val="000000"/>
          <w:lang w:val="en-GB" w:eastAsia="en-GB"/>
        </w:rPr>
        <w:t>.</w:t>
      </w:r>
      <w:r w:rsidRPr="00CD55AC">
        <w:rPr>
          <w:color w:val="000000"/>
          <w:lang w:val="en-GB" w:eastAsia="en-GB"/>
        </w:rPr>
        <w:t xml:space="preserve"> </w:t>
      </w:r>
      <w:r w:rsidR="001430F2" w:rsidRPr="00CD55AC">
        <w:rPr>
          <w:color w:val="000000"/>
          <w:lang w:val="en-GB" w:eastAsia="en-GB"/>
        </w:rPr>
        <w:t xml:space="preserve">With the CFS included, the share of health budget actually fell from </w:t>
      </w:r>
      <w:r w:rsidRPr="00CD55AC">
        <w:rPr>
          <w:color w:val="000000"/>
          <w:lang w:val="en-GB" w:eastAsia="en-GB"/>
        </w:rPr>
        <w:t>9</w:t>
      </w:r>
      <w:r w:rsidR="001E761C" w:rsidRPr="00CD55AC">
        <w:rPr>
          <w:color w:val="000000"/>
          <w:lang w:val="en-GB" w:eastAsia="en-GB"/>
        </w:rPr>
        <w:t>.4</w:t>
      </w:r>
      <w:r w:rsidR="003E613D" w:rsidRPr="00CD55AC">
        <w:rPr>
          <w:color w:val="000000"/>
          <w:lang w:val="en-GB" w:eastAsia="en-GB"/>
        </w:rPr>
        <w:t xml:space="preserve">% </w:t>
      </w:r>
      <w:r w:rsidR="001430F2" w:rsidRPr="00CD55AC">
        <w:rPr>
          <w:color w:val="000000"/>
          <w:lang w:val="en-GB" w:eastAsia="en-GB"/>
        </w:rPr>
        <w:t>in 201</w:t>
      </w:r>
      <w:r w:rsidR="001E761C" w:rsidRPr="00CD55AC">
        <w:rPr>
          <w:color w:val="000000"/>
          <w:lang w:val="en-GB" w:eastAsia="en-GB"/>
        </w:rPr>
        <w:t>2</w:t>
      </w:r>
      <w:r w:rsidR="001430F2" w:rsidRPr="00CD55AC">
        <w:rPr>
          <w:color w:val="000000"/>
          <w:lang w:val="en-GB" w:eastAsia="en-GB"/>
        </w:rPr>
        <w:t>/1</w:t>
      </w:r>
      <w:r w:rsidR="001E761C" w:rsidRPr="00CD55AC">
        <w:rPr>
          <w:color w:val="000000"/>
          <w:lang w:val="en-GB" w:eastAsia="en-GB"/>
        </w:rPr>
        <w:t>3</w:t>
      </w:r>
      <w:r w:rsidR="001430F2" w:rsidRPr="00CD55AC">
        <w:rPr>
          <w:color w:val="000000"/>
          <w:lang w:val="en-GB" w:eastAsia="en-GB"/>
        </w:rPr>
        <w:t xml:space="preserve"> to a mere 8.</w:t>
      </w:r>
      <w:r w:rsidR="003E613D" w:rsidRPr="00CD55AC">
        <w:rPr>
          <w:color w:val="000000"/>
          <w:lang w:val="en-GB" w:eastAsia="en-GB"/>
        </w:rPr>
        <w:t xml:space="preserve">1% </w:t>
      </w:r>
      <w:r w:rsidR="001430F2" w:rsidRPr="00CD55AC">
        <w:rPr>
          <w:color w:val="000000"/>
          <w:lang w:val="en-GB" w:eastAsia="en-GB"/>
        </w:rPr>
        <w:t>in 201</w:t>
      </w:r>
      <w:r w:rsidR="00CD55AC" w:rsidRPr="00CD55AC">
        <w:rPr>
          <w:color w:val="000000"/>
          <w:lang w:val="en-GB" w:eastAsia="en-GB"/>
        </w:rPr>
        <w:t>5</w:t>
      </w:r>
      <w:r w:rsidR="001430F2" w:rsidRPr="00CD55AC">
        <w:rPr>
          <w:color w:val="000000"/>
          <w:lang w:val="en-GB" w:eastAsia="en-GB"/>
        </w:rPr>
        <w:t>/1</w:t>
      </w:r>
      <w:r w:rsidR="00CD55AC" w:rsidRPr="00CD55AC">
        <w:rPr>
          <w:color w:val="000000"/>
          <w:lang w:val="en-GB" w:eastAsia="en-GB"/>
        </w:rPr>
        <w:t>6</w:t>
      </w:r>
      <w:r w:rsidR="001430F2" w:rsidRPr="00CD55AC">
        <w:rPr>
          <w:color w:val="000000"/>
          <w:lang w:val="en-GB" w:eastAsia="en-GB"/>
        </w:rPr>
        <w:t>.</w:t>
      </w:r>
      <w:r w:rsidR="001430F2" w:rsidRPr="001170AC">
        <w:rPr>
          <w:color w:val="000000"/>
          <w:lang w:val="en-GB" w:eastAsia="en-GB"/>
        </w:rPr>
        <w:t xml:space="preserve"> </w:t>
      </w:r>
    </w:p>
    <w:p w14:paraId="0552D94F" w14:textId="77777777" w:rsidR="003E613D" w:rsidRPr="001170AC" w:rsidRDefault="003E613D" w:rsidP="00670B35">
      <w:pPr>
        <w:rPr>
          <w:color w:val="000000"/>
          <w:lang w:val="en-GB" w:eastAsia="en-GB"/>
        </w:rPr>
      </w:pPr>
    </w:p>
    <w:p w14:paraId="566750F0" w14:textId="77777777" w:rsidR="001430F2" w:rsidRPr="001170AC" w:rsidRDefault="001430F2" w:rsidP="00670B35">
      <w:pPr>
        <w:rPr>
          <w:color w:val="000000"/>
          <w:lang w:val="en-GB" w:eastAsia="en-GB"/>
        </w:rPr>
      </w:pPr>
      <w:r w:rsidRPr="001170AC">
        <w:rPr>
          <w:color w:val="000000"/>
          <w:lang w:val="en-GB" w:eastAsia="en-GB"/>
        </w:rPr>
        <w:t>Similarly, the share of actual health spending in total government spending</w:t>
      </w:r>
      <w:r w:rsidR="001E761C">
        <w:rPr>
          <w:color w:val="000000"/>
          <w:lang w:val="en-GB" w:eastAsia="en-GB"/>
        </w:rPr>
        <w:t xml:space="preserve"> (excluding CFS) declined from 9.2</w:t>
      </w:r>
      <w:r w:rsidR="003E613D" w:rsidRPr="001170AC">
        <w:rPr>
          <w:color w:val="000000"/>
          <w:lang w:val="en-GB" w:eastAsia="en-GB"/>
        </w:rPr>
        <w:t xml:space="preserve">% </w:t>
      </w:r>
      <w:r w:rsidRPr="001170AC">
        <w:rPr>
          <w:color w:val="000000"/>
          <w:lang w:val="en-GB" w:eastAsia="en-GB"/>
        </w:rPr>
        <w:t>in 20</w:t>
      </w:r>
      <w:r w:rsidR="00850F10" w:rsidRPr="001170AC">
        <w:rPr>
          <w:color w:val="000000"/>
          <w:lang w:val="en-GB" w:eastAsia="en-GB"/>
        </w:rPr>
        <w:t>1</w:t>
      </w:r>
      <w:r w:rsidR="001E761C">
        <w:rPr>
          <w:color w:val="000000"/>
          <w:lang w:val="en-GB" w:eastAsia="en-GB"/>
        </w:rPr>
        <w:t>2</w:t>
      </w:r>
      <w:r w:rsidRPr="001170AC">
        <w:rPr>
          <w:color w:val="000000"/>
          <w:lang w:val="en-GB" w:eastAsia="en-GB"/>
        </w:rPr>
        <w:t>/1</w:t>
      </w:r>
      <w:r w:rsidR="001E761C">
        <w:rPr>
          <w:color w:val="000000"/>
          <w:lang w:val="en-GB" w:eastAsia="en-GB"/>
        </w:rPr>
        <w:t>3</w:t>
      </w:r>
      <w:r w:rsidRPr="001170AC">
        <w:rPr>
          <w:color w:val="000000"/>
          <w:lang w:val="en-GB" w:eastAsia="en-GB"/>
        </w:rPr>
        <w:t xml:space="preserve"> to </w:t>
      </w:r>
      <w:r w:rsidR="001E761C">
        <w:rPr>
          <w:color w:val="000000"/>
          <w:lang w:val="en-GB" w:eastAsia="en-GB"/>
        </w:rPr>
        <w:t>7.3</w:t>
      </w:r>
      <w:r w:rsidR="003E613D" w:rsidRPr="001170AC">
        <w:rPr>
          <w:color w:val="000000"/>
          <w:lang w:val="en-GB" w:eastAsia="en-GB"/>
        </w:rPr>
        <w:t xml:space="preserve">% </w:t>
      </w:r>
      <w:r w:rsidRPr="001170AC">
        <w:rPr>
          <w:color w:val="000000"/>
          <w:lang w:val="en-GB" w:eastAsia="en-GB"/>
        </w:rPr>
        <w:t>in 201</w:t>
      </w:r>
      <w:r w:rsidR="001E761C">
        <w:rPr>
          <w:color w:val="000000"/>
          <w:lang w:val="en-GB" w:eastAsia="en-GB"/>
        </w:rPr>
        <w:t>5</w:t>
      </w:r>
      <w:r w:rsidRPr="001170AC">
        <w:rPr>
          <w:color w:val="000000"/>
          <w:lang w:val="en-GB" w:eastAsia="en-GB"/>
        </w:rPr>
        <w:t>/1</w:t>
      </w:r>
      <w:r w:rsidR="001E761C">
        <w:rPr>
          <w:color w:val="000000"/>
          <w:lang w:val="en-GB" w:eastAsia="en-GB"/>
        </w:rPr>
        <w:t>6</w:t>
      </w:r>
      <w:r w:rsidRPr="001170AC">
        <w:rPr>
          <w:color w:val="000000"/>
          <w:lang w:val="en-GB" w:eastAsia="en-GB"/>
        </w:rPr>
        <w:t xml:space="preserve">, while with CFS included the decline in the share of health spending was </w:t>
      </w:r>
      <w:r w:rsidR="00850F10" w:rsidRPr="001170AC">
        <w:rPr>
          <w:color w:val="000000"/>
          <w:lang w:val="en-GB" w:eastAsia="en-GB"/>
        </w:rPr>
        <w:t>f</w:t>
      </w:r>
      <w:r w:rsidRPr="001170AC">
        <w:rPr>
          <w:color w:val="000000"/>
          <w:lang w:val="en-GB" w:eastAsia="en-GB"/>
        </w:rPr>
        <w:t xml:space="preserve">rom </w:t>
      </w:r>
      <w:r w:rsidR="00850F10" w:rsidRPr="001170AC">
        <w:rPr>
          <w:color w:val="000000"/>
          <w:lang w:val="en-GB" w:eastAsia="en-GB"/>
        </w:rPr>
        <w:t>8</w:t>
      </w:r>
      <w:r w:rsidRPr="001170AC">
        <w:rPr>
          <w:color w:val="000000"/>
          <w:lang w:val="en-GB" w:eastAsia="en-GB"/>
        </w:rPr>
        <w:t>.</w:t>
      </w:r>
      <w:r w:rsidR="00850F10" w:rsidRPr="001170AC">
        <w:rPr>
          <w:color w:val="000000"/>
          <w:lang w:val="en-GB" w:eastAsia="en-GB"/>
        </w:rPr>
        <w:t>7</w:t>
      </w:r>
      <w:r w:rsidR="003E613D" w:rsidRPr="001170AC">
        <w:rPr>
          <w:color w:val="000000"/>
          <w:lang w:val="en-GB" w:eastAsia="en-GB"/>
        </w:rPr>
        <w:t xml:space="preserve">% </w:t>
      </w:r>
      <w:r w:rsidRPr="001170AC">
        <w:rPr>
          <w:color w:val="000000"/>
          <w:lang w:val="en-GB" w:eastAsia="en-GB"/>
        </w:rPr>
        <w:t>in 20</w:t>
      </w:r>
      <w:r w:rsidR="00850F10" w:rsidRPr="001170AC">
        <w:rPr>
          <w:color w:val="000000"/>
          <w:lang w:val="en-GB" w:eastAsia="en-GB"/>
        </w:rPr>
        <w:t>1</w:t>
      </w:r>
      <w:r w:rsidR="001E761C">
        <w:rPr>
          <w:color w:val="000000"/>
          <w:lang w:val="en-GB" w:eastAsia="en-GB"/>
        </w:rPr>
        <w:t>2</w:t>
      </w:r>
      <w:r w:rsidRPr="001170AC">
        <w:rPr>
          <w:color w:val="000000"/>
          <w:lang w:val="en-GB" w:eastAsia="en-GB"/>
        </w:rPr>
        <w:t>/1</w:t>
      </w:r>
      <w:r w:rsidR="001E761C">
        <w:rPr>
          <w:color w:val="000000"/>
          <w:lang w:val="en-GB" w:eastAsia="en-GB"/>
        </w:rPr>
        <w:t>3</w:t>
      </w:r>
      <w:r w:rsidRPr="001170AC">
        <w:rPr>
          <w:color w:val="000000"/>
          <w:lang w:val="en-GB" w:eastAsia="en-GB"/>
        </w:rPr>
        <w:t xml:space="preserve"> to </w:t>
      </w:r>
      <w:r w:rsidR="003E613D" w:rsidRPr="001170AC">
        <w:rPr>
          <w:color w:val="000000"/>
          <w:lang w:val="en-GB" w:eastAsia="en-GB"/>
        </w:rPr>
        <w:t>8.</w:t>
      </w:r>
      <w:r w:rsidR="001E761C">
        <w:rPr>
          <w:color w:val="000000"/>
          <w:lang w:val="en-GB" w:eastAsia="en-GB"/>
        </w:rPr>
        <w:t>0</w:t>
      </w:r>
      <w:r w:rsidR="003E613D" w:rsidRPr="001170AC">
        <w:rPr>
          <w:color w:val="000000"/>
          <w:lang w:val="en-GB" w:eastAsia="en-GB"/>
        </w:rPr>
        <w:t xml:space="preserve"> </w:t>
      </w:r>
      <w:r w:rsidRPr="001170AC">
        <w:rPr>
          <w:color w:val="000000"/>
          <w:lang w:val="en-GB" w:eastAsia="en-GB"/>
        </w:rPr>
        <w:t>in 201</w:t>
      </w:r>
      <w:r w:rsidR="001E761C">
        <w:rPr>
          <w:color w:val="000000"/>
          <w:lang w:val="en-GB" w:eastAsia="en-GB"/>
        </w:rPr>
        <w:t>5</w:t>
      </w:r>
      <w:r w:rsidRPr="001170AC">
        <w:rPr>
          <w:color w:val="000000"/>
          <w:lang w:val="en-GB" w:eastAsia="en-GB"/>
        </w:rPr>
        <w:t>/1</w:t>
      </w:r>
      <w:r w:rsidR="001E761C">
        <w:rPr>
          <w:color w:val="000000"/>
          <w:lang w:val="en-GB" w:eastAsia="en-GB"/>
        </w:rPr>
        <w:t>6</w:t>
      </w:r>
      <w:r w:rsidRPr="001170AC">
        <w:rPr>
          <w:color w:val="000000"/>
          <w:lang w:val="en-GB" w:eastAsia="en-GB"/>
        </w:rPr>
        <w:t xml:space="preserve">. </w:t>
      </w:r>
      <w:r w:rsidR="00850F10" w:rsidRPr="001170AC">
        <w:rPr>
          <w:color w:val="000000"/>
          <w:lang w:val="en-GB" w:eastAsia="en-GB"/>
        </w:rPr>
        <w:t xml:space="preserve">Based on the figures presented in </w:t>
      </w:r>
      <w:r w:rsidRPr="001170AC">
        <w:rPr>
          <w:color w:val="000000"/>
          <w:lang w:val="en-GB" w:eastAsia="en-GB"/>
        </w:rPr>
        <w:t>Figure</w:t>
      </w:r>
      <w:r w:rsidR="001E761C">
        <w:rPr>
          <w:color w:val="000000"/>
          <w:lang w:val="en-GB" w:eastAsia="en-GB"/>
        </w:rPr>
        <w:t>s</w:t>
      </w:r>
      <w:r w:rsidRPr="001170AC">
        <w:rPr>
          <w:color w:val="000000"/>
          <w:lang w:val="en-GB" w:eastAsia="en-GB"/>
        </w:rPr>
        <w:t xml:space="preserve"> </w:t>
      </w:r>
      <w:r w:rsidR="001E761C">
        <w:rPr>
          <w:color w:val="000000"/>
          <w:lang w:val="en-GB" w:eastAsia="en-GB"/>
        </w:rPr>
        <w:t xml:space="preserve">3.2a and </w:t>
      </w:r>
      <w:r w:rsidRPr="001170AC">
        <w:rPr>
          <w:color w:val="000000"/>
          <w:lang w:val="en-GB" w:eastAsia="en-GB"/>
        </w:rPr>
        <w:t>3.2</w:t>
      </w:r>
      <w:r w:rsidR="003E613D" w:rsidRPr="001170AC">
        <w:rPr>
          <w:color w:val="000000"/>
          <w:lang w:val="en-GB" w:eastAsia="en-GB"/>
        </w:rPr>
        <w:t>b</w:t>
      </w:r>
      <w:r w:rsidR="00850F10" w:rsidRPr="001170AC">
        <w:rPr>
          <w:color w:val="000000"/>
          <w:lang w:val="en-GB" w:eastAsia="en-GB"/>
        </w:rPr>
        <w:t xml:space="preserve">, it </w:t>
      </w:r>
      <w:r w:rsidRPr="001170AC">
        <w:rPr>
          <w:color w:val="000000"/>
          <w:lang w:val="en-GB" w:eastAsia="en-GB"/>
        </w:rPr>
        <w:t xml:space="preserve">is quite clear that the share of government </w:t>
      </w:r>
      <w:r w:rsidR="00850F10" w:rsidRPr="001170AC">
        <w:rPr>
          <w:color w:val="000000"/>
          <w:lang w:val="en-GB" w:eastAsia="en-GB"/>
        </w:rPr>
        <w:t xml:space="preserve">actual spending </w:t>
      </w:r>
      <w:r w:rsidRPr="001170AC">
        <w:rPr>
          <w:color w:val="000000"/>
          <w:lang w:val="en-GB" w:eastAsia="en-GB"/>
        </w:rPr>
        <w:t>to the health sector has not kept pace with general government spending between 20</w:t>
      </w:r>
      <w:r w:rsidR="00850F10" w:rsidRPr="001170AC">
        <w:rPr>
          <w:color w:val="000000"/>
          <w:lang w:val="en-GB" w:eastAsia="en-GB"/>
        </w:rPr>
        <w:t>1</w:t>
      </w:r>
      <w:r w:rsidR="001E761C">
        <w:rPr>
          <w:color w:val="000000"/>
          <w:lang w:val="en-GB" w:eastAsia="en-GB"/>
        </w:rPr>
        <w:t>2</w:t>
      </w:r>
      <w:r w:rsidRPr="001170AC">
        <w:rPr>
          <w:color w:val="000000"/>
          <w:lang w:val="en-GB" w:eastAsia="en-GB"/>
        </w:rPr>
        <w:t>/</w:t>
      </w:r>
      <w:r w:rsidR="00850F10" w:rsidRPr="001170AC">
        <w:rPr>
          <w:color w:val="000000"/>
          <w:lang w:val="en-GB" w:eastAsia="en-GB"/>
        </w:rPr>
        <w:t>1</w:t>
      </w:r>
      <w:r w:rsidR="001E761C">
        <w:rPr>
          <w:color w:val="000000"/>
          <w:lang w:val="en-GB" w:eastAsia="en-GB"/>
        </w:rPr>
        <w:t>3</w:t>
      </w:r>
      <w:r w:rsidRPr="001170AC">
        <w:rPr>
          <w:color w:val="000000"/>
          <w:lang w:val="en-GB" w:eastAsia="en-GB"/>
        </w:rPr>
        <w:t xml:space="preserve"> and 20</w:t>
      </w:r>
      <w:r w:rsidR="00850F10" w:rsidRPr="001170AC">
        <w:rPr>
          <w:color w:val="000000"/>
          <w:lang w:val="en-GB" w:eastAsia="en-GB"/>
        </w:rPr>
        <w:t>1</w:t>
      </w:r>
      <w:r w:rsidR="001E761C">
        <w:rPr>
          <w:color w:val="000000"/>
          <w:lang w:val="en-GB" w:eastAsia="en-GB"/>
        </w:rPr>
        <w:t>5</w:t>
      </w:r>
      <w:r w:rsidR="00850F10" w:rsidRPr="001170AC">
        <w:rPr>
          <w:color w:val="000000"/>
          <w:lang w:val="en-GB" w:eastAsia="en-GB"/>
        </w:rPr>
        <w:t>/1</w:t>
      </w:r>
      <w:r w:rsidR="001E761C">
        <w:rPr>
          <w:color w:val="000000"/>
          <w:lang w:val="en-GB" w:eastAsia="en-GB"/>
        </w:rPr>
        <w:t>6</w:t>
      </w:r>
      <w:r w:rsidR="00850F10" w:rsidRPr="001170AC">
        <w:rPr>
          <w:color w:val="000000"/>
          <w:lang w:val="en-GB" w:eastAsia="en-GB"/>
        </w:rPr>
        <w:t xml:space="preserve"> – it has declined </w:t>
      </w:r>
      <w:r w:rsidR="00E52CD0" w:rsidRPr="001170AC">
        <w:rPr>
          <w:color w:val="000000"/>
          <w:lang w:val="en-GB" w:eastAsia="en-GB"/>
        </w:rPr>
        <w:t xml:space="preserve">with and without CFS. </w:t>
      </w:r>
    </w:p>
    <w:p w14:paraId="5498EB97" w14:textId="77777777" w:rsidR="008669DB" w:rsidRDefault="008669DB" w:rsidP="00670B35">
      <w:pPr>
        <w:rPr>
          <w:b/>
          <w:color w:val="000000"/>
          <w:lang w:val="en-GB" w:eastAsia="en-GB"/>
        </w:rPr>
      </w:pPr>
    </w:p>
    <w:p w14:paraId="0992E8FC" w14:textId="77777777" w:rsidR="001430F2" w:rsidRDefault="001430F2" w:rsidP="00DF4EDD">
      <w:pPr>
        <w:pStyle w:val="Caption1"/>
        <w:rPr>
          <w:lang w:val="en-GB" w:eastAsia="en-GB"/>
        </w:rPr>
      </w:pPr>
      <w:bookmarkStart w:id="33" w:name="_Toc488423293"/>
      <w:r w:rsidRPr="001170AC">
        <w:rPr>
          <w:lang w:val="en-GB" w:eastAsia="en-GB"/>
        </w:rPr>
        <w:t>Figure 3.2</w:t>
      </w:r>
      <w:r w:rsidR="006144B2" w:rsidRPr="001170AC">
        <w:rPr>
          <w:lang w:val="en-GB" w:eastAsia="en-GB"/>
        </w:rPr>
        <w:t>a</w:t>
      </w:r>
      <w:r w:rsidRPr="001170AC">
        <w:rPr>
          <w:lang w:val="en-GB" w:eastAsia="en-GB"/>
        </w:rPr>
        <w:t>:</w:t>
      </w:r>
      <w:r w:rsidR="00DF4EDD">
        <w:rPr>
          <w:lang w:val="en-GB" w:eastAsia="en-GB"/>
        </w:rPr>
        <w:tab/>
      </w:r>
      <w:r w:rsidRPr="001170AC">
        <w:rPr>
          <w:lang w:val="en-GB" w:eastAsia="en-GB"/>
        </w:rPr>
        <w:t xml:space="preserve">Health Spending as % of Government </w:t>
      </w:r>
      <w:r w:rsidR="006144B2" w:rsidRPr="001170AC">
        <w:rPr>
          <w:lang w:val="en-GB" w:eastAsia="en-GB"/>
        </w:rPr>
        <w:t>Budget</w:t>
      </w:r>
      <w:bookmarkEnd w:id="33"/>
      <w:r w:rsidR="006144B2" w:rsidRPr="001170AC">
        <w:rPr>
          <w:lang w:val="en-GB" w:eastAsia="en-GB"/>
        </w:rPr>
        <w:t xml:space="preserve"> </w:t>
      </w:r>
    </w:p>
    <w:p w14:paraId="6400B8F4" w14:textId="77777777" w:rsidR="00733EB0" w:rsidRDefault="000B5E1A" w:rsidP="00670B35">
      <w:pPr>
        <w:rPr>
          <w:b/>
          <w:color w:val="000000"/>
          <w:lang w:val="en-GB" w:eastAsia="en-GB"/>
        </w:rPr>
      </w:pPr>
      <w:r>
        <w:rPr>
          <w:noProof/>
          <w:bdr w:val="double" w:sz="4" w:space="0" w:color="3333FF"/>
        </w:rPr>
        <w:drawing>
          <wp:inline distT="0" distB="0" distL="0" distR="0" wp14:anchorId="5756A2BD" wp14:editId="31AE0C6B">
            <wp:extent cx="5263770" cy="2241857"/>
            <wp:effectExtent l="12192" t="4927" r="4698" b="1116"/>
            <wp:docPr id="139"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0AC44555" w14:textId="77777777" w:rsidR="006144B2" w:rsidRDefault="006144B2" w:rsidP="00DF4EDD">
      <w:pPr>
        <w:pStyle w:val="Caption1"/>
        <w:rPr>
          <w:lang w:val="en-GB" w:eastAsia="en-GB"/>
        </w:rPr>
      </w:pPr>
      <w:bookmarkStart w:id="34" w:name="_Toc488423294"/>
      <w:r w:rsidRPr="006144B2">
        <w:rPr>
          <w:lang w:val="en-GB" w:eastAsia="en-GB"/>
        </w:rPr>
        <w:lastRenderedPageBreak/>
        <w:t>Figure 3.2</w:t>
      </w:r>
      <w:r>
        <w:rPr>
          <w:lang w:val="en-GB" w:eastAsia="en-GB"/>
        </w:rPr>
        <w:t>b</w:t>
      </w:r>
      <w:r w:rsidR="00DF4EDD">
        <w:rPr>
          <w:lang w:val="en-GB" w:eastAsia="en-GB"/>
        </w:rPr>
        <w:t>:</w:t>
      </w:r>
      <w:r w:rsidR="00DF4EDD">
        <w:rPr>
          <w:lang w:val="en-GB" w:eastAsia="en-GB"/>
        </w:rPr>
        <w:tab/>
      </w:r>
      <w:r>
        <w:rPr>
          <w:lang w:val="en-GB" w:eastAsia="en-GB"/>
        </w:rPr>
        <w:t xml:space="preserve">Actual </w:t>
      </w:r>
      <w:r w:rsidRPr="006144B2">
        <w:rPr>
          <w:lang w:val="en-GB" w:eastAsia="en-GB"/>
        </w:rPr>
        <w:t>Health Spending as % of Government Spending</w:t>
      </w:r>
      <w:bookmarkEnd w:id="34"/>
    </w:p>
    <w:p w14:paraId="26A47571" w14:textId="77777777" w:rsidR="00567264" w:rsidRPr="006144B2" w:rsidRDefault="000B5E1A" w:rsidP="006144B2">
      <w:pPr>
        <w:rPr>
          <w:b/>
          <w:color w:val="000000"/>
          <w:lang w:val="en-GB" w:eastAsia="en-GB"/>
        </w:rPr>
      </w:pPr>
      <w:r>
        <w:rPr>
          <w:noProof/>
          <w:bdr w:val="double" w:sz="4" w:space="0" w:color="3333FF"/>
        </w:rPr>
        <w:drawing>
          <wp:inline distT="0" distB="0" distL="0" distR="0" wp14:anchorId="7D1F43F4" wp14:editId="337ED4BD">
            <wp:extent cx="5263593" cy="2636673"/>
            <wp:effectExtent l="12192" t="5315" r="4875" b="2152"/>
            <wp:docPr id="138"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E3A464C" w14:textId="77777777" w:rsidR="003371C5" w:rsidRPr="001170AC" w:rsidRDefault="003371C5" w:rsidP="00670B35">
      <w:pPr>
        <w:pStyle w:val="1-DocText"/>
        <w:spacing w:before="0" w:after="0" w:line="276" w:lineRule="auto"/>
        <w:jc w:val="both"/>
        <w:rPr>
          <w:rFonts w:ascii="Calibri" w:hAnsi="Calibri"/>
          <w:color w:val="000000"/>
          <w:sz w:val="24"/>
          <w:szCs w:val="24"/>
          <w:lang w:val="en-GB" w:eastAsia="en-GB"/>
        </w:rPr>
      </w:pPr>
    </w:p>
    <w:p w14:paraId="6CA787B5" w14:textId="77777777" w:rsidR="00E52CD0" w:rsidRPr="001170AC" w:rsidRDefault="00386CEF" w:rsidP="00670B35">
      <w:pPr>
        <w:pStyle w:val="1-DocText"/>
        <w:spacing w:before="0" w:after="0" w:line="276" w:lineRule="auto"/>
        <w:jc w:val="both"/>
        <w:rPr>
          <w:rFonts w:ascii="Calibri" w:hAnsi="Calibri"/>
          <w:color w:val="000000"/>
          <w:sz w:val="24"/>
          <w:szCs w:val="24"/>
          <w:lang w:val="en-GB" w:eastAsia="en-GB"/>
        </w:rPr>
      </w:pPr>
      <w:r w:rsidRPr="00CD55AC">
        <w:rPr>
          <w:rFonts w:ascii="Calibri" w:hAnsi="Calibri"/>
          <w:color w:val="000000"/>
          <w:sz w:val="24"/>
          <w:szCs w:val="24"/>
          <w:lang w:val="en-GB" w:eastAsia="en-GB"/>
        </w:rPr>
        <w:t>I</w:t>
      </w:r>
      <w:r w:rsidR="00E52CD0" w:rsidRPr="00CD55AC">
        <w:rPr>
          <w:rFonts w:ascii="Calibri" w:hAnsi="Calibri"/>
          <w:color w:val="000000"/>
          <w:sz w:val="24"/>
          <w:szCs w:val="24"/>
          <w:lang w:val="en-GB" w:eastAsia="en-GB"/>
        </w:rPr>
        <w:t xml:space="preserve">n nominal terms, public health </w:t>
      </w:r>
      <w:r w:rsidRPr="00CD55AC">
        <w:rPr>
          <w:rFonts w:ascii="Calibri" w:hAnsi="Calibri"/>
          <w:color w:val="000000"/>
          <w:sz w:val="24"/>
          <w:szCs w:val="24"/>
          <w:lang w:val="en-GB" w:eastAsia="en-GB"/>
        </w:rPr>
        <w:t xml:space="preserve">budget </w:t>
      </w:r>
      <w:r w:rsidR="00E52CD0" w:rsidRPr="00CD55AC">
        <w:rPr>
          <w:rFonts w:ascii="Calibri" w:hAnsi="Calibri"/>
          <w:color w:val="000000"/>
          <w:sz w:val="24"/>
          <w:szCs w:val="24"/>
          <w:lang w:val="en-GB" w:eastAsia="en-GB"/>
        </w:rPr>
        <w:t xml:space="preserve">allocations per capita </w:t>
      </w:r>
      <w:r w:rsidRPr="00CD55AC">
        <w:rPr>
          <w:rFonts w:ascii="Calibri" w:hAnsi="Calibri"/>
          <w:color w:val="000000"/>
          <w:sz w:val="24"/>
          <w:szCs w:val="24"/>
          <w:lang w:val="en-GB" w:eastAsia="en-GB"/>
        </w:rPr>
        <w:t>increased</w:t>
      </w:r>
      <w:r w:rsidR="00E52CD0" w:rsidRPr="00CD55AC">
        <w:rPr>
          <w:rFonts w:ascii="Calibri" w:hAnsi="Calibri"/>
          <w:color w:val="000000"/>
          <w:sz w:val="24"/>
          <w:szCs w:val="24"/>
          <w:lang w:val="en-GB" w:eastAsia="en-GB"/>
        </w:rPr>
        <w:t xml:space="preserve"> from TZS</w:t>
      </w:r>
      <w:r w:rsidRPr="00CD55AC">
        <w:rPr>
          <w:rFonts w:ascii="Calibri" w:hAnsi="Calibri"/>
          <w:color w:val="000000"/>
          <w:sz w:val="24"/>
          <w:szCs w:val="24"/>
          <w:lang w:val="en-GB" w:eastAsia="en-GB"/>
        </w:rPr>
        <w:t xml:space="preserve"> </w:t>
      </w:r>
      <w:r w:rsidR="00033D90">
        <w:rPr>
          <w:rFonts w:ascii="Calibri" w:hAnsi="Calibri"/>
          <w:color w:val="000000"/>
          <w:sz w:val="24"/>
          <w:szCs w:val="24"/>
          <w:lang w:val="en-GB" w:eastAsia="en-GB"/>
        </w:rPr>
        <w:t xml:space="preserve">28,845 (USD 18.26) </w:t>
      </w:r>
      <w:r w:rsidR="00E52CD0" w:rsidRPr="00CD55AC">
        <w:rPr>
          <w:rFonts w:ascii="Calibri" w:hAnsi="Calibri"/>
          <w:color w:val="000000"/>
          <w:sz w:val="24"/>
          <w:szCs w:val="24"/>
          <w:lang w:val="en-GB" w:eastAsia="en-GB"/>
        </w:rPr>
        <w:t>in 20</w:t>
      </w:r>
      <w:r w:rsidRPr="00CD55AC">
        <w:rPr>
          <w:rFonts w:ascii="Calibri" w:hAnsi="Calibri"/>
          <w:color w:val="000000"/>
          <w:sz w:val="24"/>
          <w:szCs w:val="24"/>
          <w:lang w:val="en-GB" w:eastAsia="en-GB"/>
        </w:rPr>
        <w:t>1</w:t>
      </w:r>
      <w:r w:rsidR="00033D90">
        <w:rPr>
          <w:rFonts w:ascii="Calibri" w:hAnsi="Calibri"/>
          <w:color w:val="000000"/>
          <w:sz w:val="24"/>
          <w:szCs w:val="24"/>
          <w:lang w:val="en-GB" w:eastAsia="en-GB"/>
        </w:rPr>
        <w:t>2</w:t>
      </w:r>
      <w:r w:rsidR="00E52CD0" w:rsidRPr="00CD55AC">
        <w:rPr>
          <w:rFonts w:ascii="Calibri" w:hAnsi="Calibri"/>
          <w:color w:val="000000"/>
          <w:sz w:val="24"/>
          <w:szCs w:val="24"/>
          <w:lang w:val="en-GB" w:eastAsia="en-GB"/>
        </w:rPr>
        <w:t>/</w:t>
      </w:r>
      <w:r w:rsidRPr="00CD55AC">
        <w:rPr>
          <w:rFonts w:ascii="Calibri" w:hAnsi="Calibri"/>
          <w:color w:val="000000"/>
          <w:sz w:val="24"/>
          <w:szCs w:val="24"/>
          <w:lang w:val="en-GB" w:eastAsia="en-GB"/>
        </w:rPr>
        <w:t>1</w:t>
      </w:r>
      <w:r w:rsidR="00033D90">
        <w:rPr>
          <w:rFonts w:ascii="Calibri" w:hAnsi="Calibri"/>
          <w:color w:val="000000"/>
          <w:sz w:val="24"/>
          <w:szCs w:val="24"/>
          <w:lang w:val="en-GB" w:eastAsia="en-GB"/>
        </w:rPr>
        <w:t>3</w:t>
      </w:r>
      <w:r w:rsidR="00E52CD0" w:rsidRPr="00CD55AC">
        <w:rPr>
          <w:rFonts w:ascii="Calibri" w:hAnsi="Calibri"/>
          <w:color w:val="000000"/>
          <w:sz w:val="24"/>
          <w:szCs w:val="24"/>
          <w:lang w:val="en-GB" w:eastAsia="en-GB"/>
        </w:rPr>
        <w:t xml:space="preserve"> to TZS</w:t>
      </w:r>
      <w:r w:rsidRPr="00CD55AC">
        <w:rPr>
          <w:rFonts w:ascii="Calibri" w:hAnsi="Calibri"/>
          <w:color w:val="000000"/>
          <w:sz w:val="24"/>
          <w:szCs w:val="24"/>
          <w:lang w:val="en-GB" w:eastAsia="en-GB"/>
        </w:rPr>
        <w:t xml:space="preserve"> </w:t>
      </w:r>
      <w:r w:rsidR="00033D90">
        <w:rPr>
          <w:rFonts w:ascii="Calibri" w:hAnsi="Calibri"/>
          <w:color w:val="000000"/>
          <w:sz w:val="24"/>
          <w:szCs w:val="24"/>
          <w:lang w:val="en-GB" w:eastAsia="en-GB"/>
        </w:rPr>
        <w:t>38,092 (USD 22.</w:t>
      </w:r>
      <w:r w:rsidR="000A52E9">
        <w:rPr>
          <w:rFonts w:ascii="Calibri" w:hAnsi="Calibri"/>
          <w:color w:val="000000"/>
          <w:sz w:val="24"/>
          <w:szCs w:val="24"/>
          <w:lang w:val="en-GB" w:eastAsia="en-GB"/>
        </w:rPr>
        <w:t>0</w:t>
      </w:r>
      <w:r w:rsidR="00033D90">
        <w:rPr>
          <w:rFonts w:ascii="Calibri" w:hAnsi="Calibri"/>
          <w:color w:val="000000"/>
          <w:sz w:val="24"/>
          <w:szCs w:val="24"/>
          <w:lang w:val="en-GB" w:eastAsia="en-GB"/>
        </w:rPr>
        <w:t xml:space="preserve">2) </w:t>
      </w:r>
      <w:r w:rsidR="00E52CD0" w:rsidRPr="00CD55AC">
        <w:rPr>
          <w:rFonts w:ascii="Calibri" w:hAnsi="Calibri"/>
          <w:color w:val="000000"/>
          <w:sz w:val="24"/>
          <w:szCs w:val="24"/>
          <w:lang w:val="en-GB" w:eastAsia="en-GB"/>
        </w:rPr>
        <w:t>in 201</w:t>
      </w:r>
      <w:r w:rsidR="00033D90">
        <w:rPr>
          <w:rFonts w:ascii="Calibri" w:hAnsi="Calibri"/>
          <w:color w:val="000000"/>
          <w:sz w:val="24"/>
          <w:szCs w:val="24"/>
          <w:lang w:val="en-GB" w:eastAsia="en-GB"/>
        </w:rPr>
        <w:t>5</w:t>
      </w:r>
      <w:r w:rsidR="00E52CD0" w:rsidRPr="00CD55AC">
        <w:rPr>
          <w:rFonts w:ascii="Calibri" w:hAnsi="Calibri"/>
          <w:color w:val="000000"/>
          <w:sz w:val="24"/>
          <w:szCs w:val="24"/>
          <w:lang w:val="en-GB" w:eastAsia="en-GB"/>
        </w:rPr>
        <w:t>/1</w:t>
      </w:r>
      <w:r w:rsidR="00033D90">
        <w:rPr>
          <w:rFonts w:ascii="Calibri" w:hAnsi="Calibri"/>
          <w:color w:val="000000"/>
          <w:sz w:val="24"/>
          <w:szCs w:val="24"/>
          <w:lang w:val="en-GB" w:eastAsia="en-GB"/>
        </w:rPr>
        <w:t>6 while a</w:t>
      </w:r>
      <w:r w:rsidR="00E52CD0" w:rsidRPr="00CD55AC">
        <w:rPr>
          <w:rFonts w:ascii="Calibri" w:hAnsi="Calibri"/>
          <w:color w:val="000000"/>
          <w:sz w:val="24"/>
          <w:szCs w:val="24"/>
          <w:lang w:val="en-GB" w:eastAsia="en-GB"/>
        </w:rPr>
        <w:t xml:space="preserve">ctual </w:t>
      </w:r>
      <w:r w:rsidR="00033D90">
        <w:rPr>
          <w:rFonts w:ascii="Calibri" w:hAnsi="Calibri"/>
          <w:color w:val="000000"/>
          <w:sz w:val="24"/>
          <w:szCs w:val="24"/>
          <w:lang w:val="en-GB" w:eastAsia="en-GB"/>
        </w:rPr>
        <w:t xml:space="preserve">nominal </w:t>
      </w:r>
      <w:r w:rsidR="00E52CD0" w:rsidRPr="00CD55AC">
        <w:rPr>
          <w:rFonts w:ascii="Calibri" w:hAnsi="Calibri"/>
          <w:color w:val="000000"/>
          <w:sz w:val="24"/>
          <w:szCs w:val="24"/>
          <w:lang w:val="en-GB" w:eastAsia="en-GB"/>
        </w:rPr>
        <w:t>per capita health spending increased from TZS</w:t>
      </w:r>
      <w:r w:rsidRPr="00CD55AC">
        <w:rPr>
          <w:rFonts w:ascii="Calibri" w:hAnsi="Calibri"/>
          <w:color w:val="000000"/>
          <w:sz w:val="24"/>
          <w:szCs w:val="24"/>
          <w:lang w:val="en-GB" w:eastAsia="en-GB"/>
        </w:rPr>
        <w:t xml:space="preserve"> </w:t>
      </w:r>
      <w:r w:rsidR="00033D90">
        <w:rPr>
          <w:rFonts w:ascii="Calibri" w:hAnsi="Calibri"/>
          <w:color w:val="000000"/>
          <w:sz w:val="24"/>
          <w:szCs w:val="24"/>
          <w:lang w:val="en-GB" w:eastAsia="en-GB"/>
        </w:rPr>
        <w:t>23</w:t>
      </w:r>
      <w:r w:rsidR="00012A19" w:rsidRPr="00CD55AC">
        <w:rPr>
          <w:rFonts w:ascii="Calibri" w:hAnsi="Calibri"/>
          <w:color w:val="000000"/>
          <w:sz w:val="24"/>
          <w:szCs w:val="24"/>
          <w:lang w:val="en-GB" w:eastAsia="en-GB"/>
        </w:rPr>
        <w:t>,</w:t>
      </w:r>
      <w:r w:rsidR="00033D90">
        <w:rPr>
          <w:rFonts w:ascii="Calibri" w:hAnsi="Calibri"/>
          <w:color w:val="000000"/>
          <w:sz w:val="24"/>
          <w:szCs w:val="24"/>
          <w:lang w:val="en-GB" w:eastAsia="en-GB"/>
        </w:rPr>
        <w:t>959 (USD 15.17)</w:t>
      </w:r>
      <w:r w:rsidR="00012A19" w:rsidRPr="00CD55AC">
        <w:rPr>
          <w:rFonts w:ascii="Calibri" w:hAnsi="Calibri"/>
          <w:color w:val="000000"/>
          <w:sz w:val="24"/>
          <w:szCs w:val="24"/>
          <w:lang w:val="en-GB" w:eastAsia="en-GB"/>
        </w:rPr>
        <w:t xml:space="preserve"> </w:t>
      </w:r>
      <w:r w:rsidR="00E52CD0" w:rsidRPr="00CD55AC">
        <w:rPr>
          <w:rFonts w:ascii="Calibri" w:hAnsi="Calibri"/>
          <w:color w:val="000000"/>
          <w:sz w:val="24"/>
          <w:szCs w:val="24"/>
          <w:lang w:val="en-GB" w:eastAsia="en-GB"/>
        </w:rPr>
        <w:t>in 20</w:t>
      </w:r>
      <w:r w:rsidRPr="00CD55AC">
        <w:rPr>
          <w:rFonts w:ascii="Calibri" w:hAnsi="Calibri"/>
          <w:color w:val="000000"/>
          <w:sz w:val="24"/>
          <w:szCs w:val="24"/>
          <w:lang w:val="en-GB" w:eastAsia="en-GB"/>
        </w:rPr>
        <w:t>1</w:t>
      </w:r>
      <w:r w:rsidR="00012A19" w:rsidRPr="00CD55AC">
        <w:rPr>
          <w:rFonts w:ascii="Calibri" w:hAnsi="Calibri"/>
          <w:color w:val="000000"/>
          <w:sz w:val="24"/>
          <w:szCs w:val="24"/>
          <w:lang w:val="en-GB" w:eastAsia="en-GB"/>
        </w:rPr>
        <w:t>2</w:t>
      </w:r>
      <w:r w:rsidR="00E52CD0" w:rsidRPr="00CD55AC">
        <w:rPr>
          <w:rFonts w:ascii="Calibri" w:hAnsi="Calibri"/>
          <w:color w:val="000000"/>
          <w:sz w:val="24"/>
          <w:szCs w:val="24"/>
          <w:lang w:val="en-GB" w:eastAsia="en-GB"/>
        </w:rPr>
        <w:t>/</w:t>
      </w:r>
      <w:r w:rsidRPr="00CD55AC">
        <w:rPr>
          <w:rFonts w:ascii="Calibri" w:hAnsi="Calibri"/>
          <w:color w:val="000000"/>
          <w:sz w:val="24"/>
          <w:szCs w:val="24"/>
          <w:lang w:val="en-GB" w:eastAsia="en-GB"/>
        </w:rPr>
        <w:t>1</w:t>
      </w:r>
      <w:r w:rsidR="00012A19" w:rsidRPr="00CD55AC">
        <w:rPr>
          <w:rFonts w:ascii="Calibri" w:hAnsi="Calibri"/>
          <w:color w:val="000000"/>
          <w:sz w:val="24"/>
          <w:szCs w:val="24"/>
          <w:lang w:val="en-GB" w:eastAsia="en-GB"/>
        </w:rPr>
        <w:t>3</w:t>
      </w:r>
      <w:r w:rsidR="00E52CD0" w:rsidRPr="00CD55AC">
        <w:rPr>
          <w:rFonts w:ascii="Calibri" w:hAnsi="Calibri"/>
          <w:color w:val="000000"/>
          <w:sz w:val="24"/>
          <w:szCs w:val="24"/>
          <w:lang w:val="en-GB" w:eastAsia="en-GB"/>
        </w:rPr>
        <w:t xml:space="preserve"> to TZS</w:t>
      </w:r>
      <w:r w:rsidRPr="00CD55AC">
        <w:rPr>
          <w:rFonts w:ascii="Calibri" w:hAnsi="Calibri"/>
          <w:color w:val="000000"/>
          <w:sz w:val="24"/>
          <w:szCs w:val="24"/>
          <w:lang w:val="en-GB" w:eastAsia="en-GB"/>
        </w:rPr>
        <w:t xml:space="preserve"> </w:t>
      </w:r>
      <w:r w:rsidR="00033D90">
        <w:rPr>
          <w:rFonts w:ascii="Calibri" w:hAnsi="Calibri"/>
          <w:color w:val="000000"/>
          <w:sz w:val="24"/>
          <w:szCs w:val="24"/>
          <w:lang w:val="en-GB" w:eastAsia="en-GB"/>
        </w:rPr>
        <w:t>30,</w:t>
      </w:r>
      <w:r w:rsidR="00E52CD0" w:rsidRPr="00CD55AC">
        <w:rPr>
          <w:rFonts w:ascii="Calibri" w:hAnsi="Calibri"/>
          <w:color w:val="000000"/>
          <w:sz w:val="24"/>
          <w:szCs w:val="24"/>
          <w:lang w:val="en-GB" w:eastAsia="en-GB"/>
        </w:rPr>
        <w:t>2</w:t>
      </w:r>
      <w:r w:rsidR="00012A19" w:rsidRPr="00CD55AC">
        <w:rPr>
          <w:rFonts w:ascii="Calibri" w:hAnsi="Calibri"/>
          <w:color w:val="000000"/>
          <w:sz w:val="24"/>
          <w:szCs w:val="24"/>
          <w:lang w:val="en-GB" w:eastAsia="en-GB"/>
        </w:rPr>
        <w:t>4</w:t>
      </w:r>
      <w:r w:rsidR="00033D90">
        <w:rPr>
          <w:rFonts w:ascii="Calibri" w:hAnsi="Calibri"/>
          <w:color w:val="000000"/>
          <w:sz w:val="24"/>
          <w:szCs w:val="24"/>
          <w:lang w:val="en-GB" w:eastAsia="en-GB"/>
        </w:rPr>
        <w:t xml:space="preserve">2 (USD 17.48) </w:t>
      </w:r>
      <w:r w:rsidR="00E52CD0" w:rsidRPr="00CD55AC">
        <w:rPr>
          <w:rFonts w:ascii="Calibri" w:hAnsi="Calibri"/>
          <w:color w:val="000000"/>
          <w:sz w:val="24"/>
          <w:szCs w:val="24"/>
          <w:lang w:val="en-GB" w:eastAsia="en-GB"/>
        </w:rPr>
        <w:t>in 201</w:t>
      </w:r>
      <w:r w:rsidR="00033D90">
        <w:rPr>
          <w:rFonts w:ascii="Calibri" w:hAnsi="Calibri"/>
          <w:color w:val="000000"/>
          <w:sz w:val="24"/>
          <w:szCs w:val="24"/>
          <w:lang w:val="en-GB" w:eastAsia="en-GB"/>
        </w:rPr>
        <w:t>5</w:t>
      </w:r>
      <w:r w:rsidR="00E52CD0" w:rsidRPr="00CD55AC">
        <w:rPr>
          <w:rFonts w:ascii="Calibri" w:hAnsi="Calibri"/>
          <w:color w:val="000000"/>
          <w:sz w:val="24"/>
          <w:szCs w:val="24"/>
          <w:lang w:val="en-GB" w:eastAsia="en-GB"/>
        </w:rPr>
        <w:t>/1</w:t>
      </w:r>
      <w:r w:rsidR="00033D90">
        <w:rPr>
          <w:rFonts w:ascii="Calibri" w:hAnsi="Calibri"/>
          <w:color w:val="000000"/>
          <w:sz w:val="24"/>
          <w:szCs w:val="24"/>
          <w:lang w:val="en-GB" w:eastAsia="en-GB"/>
        </w:rPr>
        <w:t>6</w:t>
      </w:r>
      <w:r w:rsidRPr="00CD55AC">
        <w:rPr>
          <w:rFonts w:ascii="Calibri" w:hAnsi="Calibri"/>
          <w:color w:val="000000"/>
          <w:sz w:val="24"/>
          <w:szCs w:val="24"/>
          <w:lang w:val="en-GB" w:eastAsia="en-GB"/>
        </w:rPr>
        <w:t xml:space="preserve">. </w:t>
      </w:r>
      <w:r w:rsidR="00E52CD0" w:rsidRPr="00CD55AC">
        <w:rPr>
          <w:rFonts w:ascii="Calibri" w:hAnsi="Calibri"/>
          <w:color w:val="000000"/>
          <w:sz w:val="24"/>
          <w:szCs w:val="24"/>
          <w:lang w:val="en-GB" w:eastAsia="en-GB"/>
        </w:rPr>
        <w:t>In</w:t>
      </w:r>
      <w:r w:rsidR="00E52CD0" w:rsidRPr="001170AC">
        <w:rPr>
          <w:rFonts w:ascii="Calibri" w:hAnsi="Calibri"/>
          <w:color w:val="000000"/>
          <w:sz w:val="24"/>
          <w:szCs w:val="24"/>
          <w:lang w:val="en-GB" w:eastAsia="en-GB"/>
        </w:rPr>
        <w:t xml:space="preserve"> real terms, </w:t>
      </w:r>
      <w:r w:rsidR="002C4148" w:rsidRPr="001170AC">
        <w:rPr>
          <w:rFonts w:ascii="Calibri" w:hAnsi="Calibri"/>
          <w:color w:val="000000"/>
          <w:sz w:val="24"/>
          <w:szCs w:val="24"/>
          <w:lang w:val="en-GB" w:eastAsia="en-GB"/>
        </w:rPr>
        <w:t xml:space="preserve">there is </w:t>
      </w:r>
      <w:r w:rsidR="00012A19">
        <w:rPr>
          <w:rFonts w:ascii="Calibri" w:hAnsi="Calibri"/>
          <w:color w:val="000000"/>
          <w:sz w:val="24"/>
          <w:szCs w:val="24"/>
          <w:lang w:val="en-GB" w:eastAsia="en-GB"/>
        </w:rPr>
        <w:t xml:space="preserve">an upward </w:t>
      </w:r>
      <w:r w:rsidR="0030737D" w:rsidRPr="001170AC">
        <w:rPr>
          <w:rFonts w:ascii="Calibri" w:hAnsi="Calibri"/>
          <w:color w:val="000000"/>
          <w:sz w:val="24"/>
          <w:szCs w:val="24"/>
          <w:lang w:val="en-GB" w:eastAsia="en-GB"/>
        </w:rPr>
        <w:t>trend for both budget and actual expenditure</w:t>
      </w:r>
      <w:r w:rsidR="000A52E9">
        <w:rPr>
          <w:rFonts w:ascii="Calibri" w:hAnsi="Calibri"/>
          <w:color w:val="000000"/>
          <w:sz w:val="24"/>
          <w:szCs w:val="24"/>
          <w:lang w:val="en-GB" w:eastAsia="en-GB"/>
        </w:rPr>
        <w:t xml:space="preserve"> </w:t>
      </w:r>
      <w:r w:rsidR="00012A19">
        <w:rPr>
          <w:rFonts w:ascii="Calibri" w:hAnsi="Calibri"/>
          <w:color w:val="000000"/>
          <w:sz w:val="24"/>
          <w:szCs w:val="24"/>
          <w:lang w:val="en-GB" w:eastAsia="en-GB"/>
        </w:rPr>
        <w:t xml:space="preserve">– increase from TZS </w:t>
      </w:r>
      <w:r w:rsidR="000A52E9">
        <w:rPr>
          <w:rFonts w:ascii="Calibri" w:hAnsi="Calibri"/>
          <w:color w:val="000000"/>
          <w:sz w:val="24"/>
          <w:szCs w:val="24"/>
          <w:lang w:val="en-GB" w:eastAsia="en-GB"/>
        </w:rPr>
        <w:t>16</w:t>
      </w:r>
      <w:r w:rsidR="00012A19">
        <w:rPr>
          <w:rFonts w:ascii="Calibri" w:hAnsi="Calibri"/>
          <w:color w:val="000000"/>
          <w:sz w:val="24"/>
          <w:szCs w:val="24"/>
          <w:lang w:val="en-GB" w:eastAsia="en-GB"/>
        </w:rPr>
        <w:t>,</w:t>
      </w:r>
      <w:r w:rsidR="000A52E9">
        <w:rPr>
          <w:rFonts w:ascii="Calibri" w:hAnsi="Calibri"/>
          <w:color w:val="000000"/>
          <w:sz w:val="24"/>
          <w:szCs w:val="24"/>
          <w:lang w:val="en-GB" w:eastAsia="en-GB"/>
        </w:rPr>
        <w:t>228 (USD 10.27)</w:t>
      </w:r>
      <w:r w:rsidR="00012A19">
        <w:rPr>
          <w:rFonts w:ascii="Calibri" w:hAnsi="Calibri"/>
          <w:color w:val="000000"/>
          <w:sz w:val="24"/>
          <w:szCs w:val="24"/>
          <w:lang w:val="en-GB" w:eastAsia="en-GB"/>
        </w:rPr>
        <w:t xml:space="preserve"> in 2012/13 to TZS </w:t>
      </w:r>
      <w:r w:rsidR="000A52E9">
        <w:rPr>
          <w:rFonts w:ascii="Calibri" w:hAnsi="Calibri"/>
          <w:color w:val="000000"/>
          <w:sz w:val="24"/>
          <w:szCs w:val="24"/>
          <w:lang w:val="en-GB" w:eastAsia="en-GB"/>
        </w:rPr>
        <w:t xml:space="preserve">18,315 (USD 10.59) </w:t>
      </w:r>
      <w:r w:rsidR="00012A19">
        <w:rPr>
          <w:rFonts w:ascii="Calibri" w:hAnsi="Calibri"/>
          <w:color w:val="000000"/>
          <w:sz w:val="24"/>
          <w:szCs w:val="24"/>
          <w:lang w:val="en-GB" w:eastAsia="en-GB"/>
        </w:rPr>
        <w:t xml:space="preserve">in 2015/16 </w:t>
      </w:r>
      <w:r w:rsidR="000A52E9">
        <w:rPr>
          <w:rFonts w:ascii="Calibri" w:hAnsi="Calibri"/>
          <w:color w:val="000000"/>
          <w:sz w:val="24"/>
          <w:szCs w:val="24"/>
          <w:lang w:val="en-GB" w:eastAsia="en-GB"/>
        </w:rPr>
        <w:t xml:space="preserve">and </w:t>
      </w:r>
      <w:r w:rsidR="00012A19">
        <w:rPr>
          <w:rFonts w:ascii="Calibri" w:hAnsi="Calibri"/>
          <w:color w:val="000000"/>
          <w:sz w:val="24"/>
          <w:szCs w:val="24"/>
          <w:lang w:val="en-GB" w:eastAsia="en-GB"/>
        </w:rPr>
        <w:t>TZS 13,480</w:t>
      </w:r>
      <w:r w:rsidR="000A52E9">
        <w:rPr>
          <w:rFonts w:ascii="Calibri" w:hAnsi="Calibri"/>
          <w:color w:val="000000"/>
          <w:sz w:val="24"/>
          <w:szCs w:val="24"/>
          <w:lang w:val="en-GB" w:eastAsia="en-GB"/>
        </w:rPr>
        <w:t xml:space="preserve"> (USD 8.53) </w:t>
      </w:r>
      <w:r w:rsidR="00012A19">
        <w:rPr>
          <w:rFonts w:ascii="Calibri" w:hAnsi="Calibri"/>
          <w:color w:val="000000"/>
          <w:sz w:val="24"/>
          <w:szCs w:val="24"/>
          <w:lang w:val="en-GB" w:eastAsia="en-GB"/>
        </w:rPr>
        <w:t>in 2012/13 to TZS 14,540</w:t>
      </w:r>
      <w:r w:rsidR="000A52E9">
        <w:rPr>
          <w:rFonts w:ascii="Calibri" w:hAnsi="Calibri"/>
          <w:color w:val="000000"/>
          <w:sz w:val="24"/>
          <w:szCs w:val="24"/>
          <w:lang w:val="en-GB" w:eastAsia="en-GB"/>
        </w:rPr>
        <w:t xml:space="preserve"> (USD 8.41)</w:t>
      </w:r>
      <w:r w:rsidR="00012A19">
        <w:rPr>
          <w:rFonts w:ascii="Calibri" w:hAnsi="Calibri"/>
          <w:color w:val="000000"/>
          <w:sz w:val="24"/>
          <w:szCs w:val="24"/>
          <w:lang w:val="en-GB" w:eastAsia="en-GB"/>
        </w:rPr>
        <w:t xml:space="preserve"> in 2015/16 </w:t>
      </w:r>
      <w:r w:rsidR="000A52E9">
        <w:rPr>
          <w:rFonts w:ascii="Calibri" w:hAnsi="Calibri"/>
          <w:color w:val="000000"/>
          <w:sz w:val="24"/>
          <w:szCs w:val="24"/>
          <w:lang w:val="en-GB" w:eastAsia="en-GB"/>
        </w:rPr>
        <w:t xml:space="preserve">respectively </w:t>
      </w:r>
      <w:r w:rsidR="0030737D" w:rsidRPr="001170AC">
        <w:rPr>
          <w:rFonts w:ascii="Calibri" w:hAnsi="Calibri"/>
          <w:color w:val="000000"/>
          <w:sz w:val="24"/>
          <w:szCs w:val="24"/>
          <w:lang w:val="en-GB" w:eastAsia="en-GB"/>
        </w:rPr>
        <w:t>(</w:t>
      </w:r>
      <w:r w:rsidR="002C4148" w:rsidRPr="001170AC">
        <w:rPr>
          <w:rFonts w:ascii="Calibri" w:hAnsi="Calibri"/>
          <w:color w:val="000000"/>
          <w:sz w:val="24"/>
          <w:szCs w:val="24"/>
          <w:lang w:val="en-GB" w:eastAsia="en-GB"/>
        </w:rPr>
        <w:t>Figure</w:t>
      </w:r>
      <w:r w:rsidR="00047DCE" w:rsidRPr="001170AC">
        <w:rPr>
          <w:rFonts w:ascii="Calibri" w:hAnsi="Calibri"/>
          <w:color w:val="000000"/>
          <w:sz w:val="24"/>
          <w:szCs w:val="24"/>
          <w:lang w:val="en-GB" w:eastAsia="en-GB"/>
        </w:rPr>
        <w:t>s</w:t>
      </w:r>
      <w:r w:rsidR="002C4148" w:rsidRPr="001170AC">
        <w:rPr>
          <w:rFonts w:ascii="Calibri" w:hAnsi="Calibri"/>
          <w:color w:val="000000"/>
          <w:sz w:val="24"/>
          <w:szCs w:val="24"/>
          <w:lang w:val="en-GB" w:eastAsia="en-GB"/>
        </w:rPr>
        <w:t xml:space="preserve"> 3.3</w:t>
      </w:r>
      <w:r w:rsidR="00047DCE" w:rsidRPr="001170AC">
        <w:rPr>
          <w:rFonts w:ascii="Calibri" w:hAnsi="Calibri"/>
          <w:color w:val="000000"/>
          <w:sz w:val="24"/>
          <w:szCs w:val="24"/>
          <w:lang w:val="en-GB" w:eastAsia="en-GB"/>
        </w:rPr>
        <w:t>a and 3.3b</w:t>
      </w:r>
      <w:r w:rsidR="002C4148" w:rsidRPr="001170AC">
        <w:rPr>
          <w:rFonts w:ascii="Calibri" w:hAnsi="Calibri"/>
          <w:color w:val="000000"/>
          <w:sz w:val="24"/>
          <w:szCs w:val="24"/>
          <w:lang w:val="en-GB" w:eastAsia="en-GB"/>
        </w:rPr>
        <w:t>).</w:t>
      </w:r>
      <w:r w:rsidR="00FF5094" w:rsidRPr="001170AC">
        <w:rPr>
          <w:rFonts w:ascii="Calibri" w:hAnsi="Calibri"/>
          <w:color w:val="000000"/>
          <w:sz w:val="24"/>
          <w:szCs w:val="24"/>
          <w:lang w:val="en-GB" w:eastAsia="en-GB"/>
        </w:rPr>
        <w:t xml:space="preserve"> </w:t>
      </w:r>
      <w:r w:rsidR="00E52CD0" w:rsidRPr="001170AC">
        <w:rPr>
          <w:rFonts w:ascii="Calibri" w:hAnsi="Calibri"/>
          <w:color w:val="000000"/>
          <w:sz w:val="24"/>
          <w:szCs w:val="24"/>
          <w:lang w:val="en-GB" w:eastAsia="en-GB"/>
        </w:rPr>
        <w:t>Because of domestic inflation and depreciation of the shilling, the estimated per capita health expenditure</w:t>
      </w:r>
      <w:r w:rsidR="000A52E9">
        <w:rPr>
          <w:rFonts w:ascii="Calibri" w:hAnsi="Calibri"/>
          <w:color w:val="000000"/>
          <w:sz w:val="24"/>
          <w:szCs w:val="24"/>
          <w:lang w:val="en-GB" w:eastAsia="en-GB"/>
        </w:rPr>
        <w:t>s</w:t>
      </w:r>
      <w:r w:rsidR="00E52CD0" w:rsidRPr="001170AC">
        <w:rPr>
          <w:rFonts w:ascii="Calibri" w:hAnsi="Calibri"/>
          <w:color w:val="000000"/>
          <w:sz w:val="24"/>
          <w:szCs w:val="24"/>
          <w:lang w:val="en-GB" w:eastAsia="en-GB"/>
        </w:rPr>
        <w:t xml:space="preserve"> in real terms have c</w:t>
      </w:r>
      <w:r w:rsidR="00FF5094" w:rsidRPr="001170AC">
        <w:rPr>
          <w:rFonts w:ascii="Calibri" w:hAnsi="Calibri"/>
          <w:color w:val="000000"/>
          <w:sz w:val="24"/>
          <w:szCs w:val="24"/>
          <w:lang w:val="en-GB" w:eastAsia="en-GB"/>
        </w:rPr>
        <w:t>onsistently remained below USD</w:t>
      </w:r>
      <w:r w:rsidR="000A52E9">
        <w:rPr>
          <w:rFonts w:ascii="Calibri" w:hAnsi="Calibri"/>
          <w:color w:val="000000"/>
          <w:sz w:val="24"/>
          <w:szCs w:val="24"/>
          <w:lang w:val="en-GB" w:eastAsia="en-GB"/>
        </w:rPr>
        <w:t xml:space="preserve"> </w:t>
      </w:r>
      <w:r w:rsidR="00FF5094" w:rsidRPr="001170AC">
        <w:rPr>
          <w:rFonts w:ascii="Calibri" w:hAnsi="Calibri"/>
          <w:color w:val="000000"/>
          <w:sz w:val="24"/>
          <w:szCs w:val="24"/>
          <w:lang w:val="en-GB" w:eastAsia="en-GB"/>
        </w:rPr>
        <w:t>1</w:t>
      </w:r>
      <w:r w:rsidR="000A52E9">
        <w:rPr>
          <w:rFonts w:ascii="Calibri" w:hAnsi="Calibri"/>
          <w:color w:val="000000"/>
          <w:sz w:val="24"/>
          <w:szCs w:val="24"/>
          <w:lang w:val="en-GB" w:eastAsia="en-GB"/>
        </w:rPr>
        <w:t>0</w:t>
      </w:r>
      <w:r w:rsidR="00E52CD0" w:rsidRPr="001170AC">
        <w:rPr>
          <w:rFonts w:ascii="Calibri" w:hAnsi="Calibri"/>
          <w:color w:val="000000"/>
          <w:sz w:val="24"/>
          <w:szCs w:val="24"/>
          <w:lang w:val="en-GB" w:eastAsia="en-GB"/>
        </w:rPr>
        <w:t xml:space="preserve"> throughout the review period</w:t>
      </w:r>
      <w:r w:rsidR="00FF5094" w:rsidRPr="001170AC">
        <w:rPr>
          <w:rFonts w:ascii="Calibri" w:hAnsi="Calibri"/>
          <w:color w:val="000000"/>
          <w:sz w:val="24"/>
          <w:szCs w:val="24"/>
          <w:lang w:val="en-GB" w:eastAsia="en-GB"/>
        </w:rPr>
        <w:t xml:space="preserve"> which is shot of USD 54 recommended by the World Health Organization (WHO)</w:t>
      </w:r>
      <w:r w:rsidR="00E52CD0" w:rsidRPr="001170AC">
        <w:rPr>
          <w:rFonts w:ascii="Calibri" w:hAnsi="Calibri"/>
          <w:color w:val="000000"/>
          <w:sz w:val="24"/>
          <w:szCs w:val="24"/>
          <w:lang w:val="en-GB" w:eastAsia="en-GB"/>
        </w:rPr>
        <w:t>.</w:t>
      </w:r>
      <w:r w:rsidR="002C4148" w:rsidRPr="001170AC">
        <w:rPr>
          <w:rFonts w:ascii="Calibri" w:hAnsi="Calibri"/>
          <w:color w:val="000000"/>
          <w:sz w:val="24"/>
          <w:szCs w:val="24"/>
          <w:lang w:val="en-GB" w:eastAsia="en-GB"/>
        </w:rPr>
        <w:t xml:space="preserve"> Table 3.1 summarizes the indicators of aggregate health financing in Tanzania from 20</w:t>
      </w:r>
      <w:r w:rsidR="00FF5094" w:rsidRPr="001170AC">
        <w:rPr>
          <w:rFonts w:ascii="Calibri" w:hAnsi="Calibri"/>
          <w:color w:val="000000"/>
          <w:sz w:val="24"/>
          <w:szCs w:val="24"/>
          <w:lang w:val="en-GB" w:eastAsia="en-GB"/>
        </w:rPr>
        <w:t>1</w:t>
      </w:r>
      <w:r w:rsidR="000A52E9">
        <w:rPr>
          <w:rFonts w:ascii="Calibri" w:hAnsi="Calibri"/>
          <w:color w:val="000000"/>
          <w:sz w:val="24"/>
          <w:szCs w:val="24"/>
          <w:lang w:val="en-GB" w:eastAsia="en-GB"/>
        </w:rPr>
        <w:t>2</w:t>
      </w:r>
      <w:r w:rsidR="002C4148" w:rsidRPr="001170AC">
        <w:rPr>
          <w:rFonts w:ascii="Calibri" w:hAnsi="Calibri"/>
          <w:color w:val="000000"/>
          <w:sz w:val="24"/>
          <w:szCs w:val="24"/>
          <w:lang w:val="en-GB" w:eastAsia="en-GB"/>
        </w:rPr>
        <w:t>/</w:t>
      </w:r>
      <w:r w:rsidR="00FF5094" w:rsidRPr="001170AC">
        <w:rPr>
          <w:rFonts w:ascii="Calibri" w:hAnsi="Calibri"/>
          <w:color w:val="000000"/>
          <w:sz w:val="24"/>
          <w:szCs w:val="24"/>
          <w:lang w:val="en-GB" w:eastAsia="en-GB"/>
        </w:rPr>
        <w:t>1</w:t>
      </w:r>
      <w:r w:rsidR="000A52E9">
        <w:rPr>
          <w:rFonts w:ascii="Calibri" w:hAnsi="Calibri"/>
          <w:color w:val="000000"/>
          <w:sz w:val="24"/>
          <w:szCs w:val="24"/>
          <w:lang w:val="en-GB" w:eastAsia="en-GB"/>
        </w:rPr>
        <w:t>3</w:t>
      </w:r>
      <w:r w:rsidR="002C4148" w:rsidRPr="001170AC">
        <w:rPr>
          <w:rFonts w:ascii="Calibri" w:hAnsi="Calibri"/>
          <w:color w:val="000000"/>
          <w:sz w:val="24"/>
          <w:szCs w:val="24"/>
          <w:lang w:val="en-GB" w:eastAsia="en-GB"/>
        </w:rPr>
        <w:t xml:space="preserve"> to 201</w:t>
      </w:r>
      <w:r w:rsidR="000A52E9">
        <w:rPr>
          <w:rFonts w:ascii="Calibri" w:hAnsi="Calibri"/>
          <w:color w:val="000000"/>
          <w:sz w:val="24"/>
          <w:szCs w:val="24"/>
          <w:lang w:val="en-GB" w:eastAsia="en-GB"/>
        </w:rPr>
        <w:t>6</w:t>
      </w:r>
      <w:r w:rsidR="002C4148" w:rsidRPr="001170AC">
        <w:rPr>
          <w:rFonts w:ascii="Calibri" w:hAnsi="Calibri"/>
          <w:color w:val="000000"/>
          <w:sz w:val="24"/>
          <w:szCs w:val="24"/>
          <w:lang w:val="en-GB" w:eastAsia="en-GB"/>
        </w:rPr>
        <w:t>/1</w:t>
      </w:r>
      <w:r w:rsidR="000A52E9">
        <w:rPr>
          <w:rFonts w:ascii="Calibri" w:hAnsi="Calibri"/>
          <w:color w:val="000000"/>
          <w:sz w:val="24"/>
          <w:szCs w:val="24"/>
          <w:lang w:val="en-GB" w:eastAsia="en-GB"/>
        </w:rPr>
        <w:t>7</w:t>
      </w:r>
      <w:r w:rsidR="00FF5094" w:rsidRPr="001170AC">
        <w:rPr>
          <w:rFonts w:ascii="Calibri" w:hAnsi="Calibri"/>
          <w:color w:val="000000"/>
          <w:sz w:val="24"/>
          <w:szCs w:val="24"/>
          <w:lang w:val="en-GB" w:eastAsia="en-GB"/>
        </w:rPr>
        <w:t>.</w:t>
      </w:r>
    </w:p>
    <w:p w14:paraId="720E0A23" w14:textId="77777777" w:rsidR="00047DCE" w:rsidRDefault="00047DCE" w:rsidP="00B26596">
      <w:pPr>
        <w:pStyle w:val="FigureTitle"/>
        <w:spacing w:before="0" w:after="0" w:line="276" w:lineRule="auto"/>
        <w:jc w:val="left"/>
        <w:rPr>
          <w:rFonts w:ascii="Calibri" w:hAnsi="Calibri"/>
          <w:caps w:val="0"/>
          <w:sz w:val="24"/>
          <w:szCs w:val="24"/>
        </w:rPr>
      </w:pPr>
      <w:bookmarkStart w:id="35" w:name="_Toc327143931"/>
      <w:bookmarkStart w:id="36" w:name="_Toc331434239"/>
    </w:p>
    <w:p w14:paraId="1FA7C366" w14:textId="77777777" w:rsidR="00B26596" w:rsidRDefault="00B26596" w:rsidP="00DF4EDD">
      <w:pPr>
        <w:pStyle w:val="Caption1"/>
      </w:pPr>
      <w:bookmarkStart w:id="37" w:name="_Toc488423295"/>
      <w:r w:rsidRPr="00B26596">
        <w:t>Figure 3.3</w:t>
      </w:r>
      <w:r w:rsidR="00047DCE">
        <w:t>a</w:t>
      </w:r>
      <w:r w:rsidR="00DF4EDD">
        <w:t>:</w:t>
      </w:r>
      <w:r w:rsidR="00DF4EDD">
        <w:tab/>
      </w:r>
      <w:r w:rsidRPr="00B26596">
        <w:t>Trends of Per Capita Public Health Budget</w:t>
      </w:r>
      <w:bookmarkEnd w:id="37"/>
      <w:r w:rsidRPr="00B26596">
        <w:t xml:space="preserve"> </w:t>
      </w:r>
    </w:p>
    <w:p w14:paraId="01FFDC14" w14:textId="77777777" w:rsidR="00657206" w:rsidRDefault="000B5E1A" w:rsidP="00B26596">
      <w:pPr>
        <w:pStyle w:val="FigureTitle"/>
        <w:spacing w:before="0" w:after="0" w:line="276" w:lineRule="auto"/>
        <w:jc w:val="left"/>
        <w:rPr>
          <w:rFonts w:ascii="Calibri" w:hAnsi="Calibri"/>
          <w:caps w:val="0"/>
          <w:sz w:val="24"/>
          <w:szCs w:val="24"/>
        </w:rPr>
      </w:pPr>
      <w:r>
        <w:rPr>
          <w:bdr w:val="double" w:sz="4" w:space="0" w:color="3333FF"/>
        </w:rPr>
        <w:drawing>
          <wp:inline distT="0" distB="0" distL="0" distR="0" wp14:anchorId="37B62967" wp14:editId="625F38AC">
            <wp:extent cx="5263770" cy="2477815"/>
            <wp:effectExtent l="12192" t="6096" r="4698" b="209"/>
            <wp:docPr id="137"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FAA8B56" w14:textId="77777777" w:rsidR="00B26596" w:rsidRPr="00B26596" w:rsidRDefault="00B26596" w:rsidP="00DF4EDD">
      <w:pPr>
        <w:pStyle w:val="Caption1"/>
      </w:pPr>
      <w:bookmarkStart w:id="38" w:name="_Toc488423296"/>
      <w:r w:rsidRPr="00B26596">
        <w:lastRenderedPageBreak/>
        <w:t>Figure 3.3</w:t>
      </w:r>
      <w:r w:rsidR="00047DCE">
        <w:t>b</w:t>
      </w:r>
      <w:r w:rsidRPr="00B26596">
        <w:t>:</w:t>
      </w:r>
      <w:r w:rsidR="00DF4EDD">
        <w:tab/>
      </w:r>
      <w:r w:rsidRPr="00B26596">
        <w:t>Trends of Per Capita Public Health  Expenditure</w:t>
      </w:r>
      <w:bookmarkEnd w:id="38"/>
    </w:p>
    <w:p w14:paraId="5CB03231" w14:textId="77777777" w:rsidR="00D13F75" w:rsidRDefault="000B5E1A" w:rsidP="00670B35">
      <w:pPr>
        <w:rPr>
          <w:b/>
        </w:rPr>
      </w:pPr>
      <w:r>
        <w:rPr>
          <w:noProof/>
          <w:bdr w:val="double" w:sz="4" w:space="0" w:color="3333FF"/>
        </w:rPr>
        <w:drawing>
          <wp:inline distT="0" distB="0" distL="0" distR="0" wp14:anchorId="7A0DF9AB" wp14:editId="05301780">
            <wp:extent cx="5264868" cy="2569464"/>
            <wp:effectExtent l="12192" t="6096" r="3600" b="0"/>
            <wp:docPr id="136"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6E826B5F" w14:textId="77777777" w:rsidR="00D13F75" w:rsidRPr="001170AC" w:rsidRDefault="00D13F75" w:rsidP="00670B35">
      <w:pPr>
        <w:rPr>
          <w:b/>
        </w:rPr>
      </w:pPr>
    </w:p>
    <w:p w14:paraId="1C5E1918" w14:textId="77777777" w:rsidR="00606801" w:rsidRPr="001170AC" w:rsidRDefault="0030737D" w:rsidP="00670B35">
      <w:pPr>
        <w:rPr>
          <w:b/>
        </w:rPr>
      </w:pPr>
      <w:r w:rsidRPr="001170AC">
        <w:rPr>
          <w:b/>
        </w:rPr>
        <w:t>Table 3.1: Indicators of Public Health Financing</w:t>
      </w:r>
      <w:bookmarkEnd w:id="35"/>
      <w:bookmarkEnd w:id="36"/>
    </w:p>
    <w:p w14:paraId="60F571AD" w14:textId="77777777" w:rsidR="0030737D" w:rsidRPr="001170AC" w:rsidRDefault="0030737D" w:rsidP="00670B35">
      <w:pPr>
        <w:rPr>
          <w:b/>
        </w:rPr>
      </w:pPr>
    </w:p>
    <w:tbl>
      <w:tblPr>
        <w:tblW w:w="5000" w:type="pct"/>
        <w:tblBorders>
          <w:top w:val="double" w:sz="4" w:space="0" w:color="3333FF"/>
          <w:left w:val="double" w:sz="4" w:space="0" w:color="3333FF"/>
          <w:bottom w:val="double" w:sz="4" w:space="0" w:color="3333FF"/>
          <w:right w:val="double" w:sz="4" w:space="0" w:color="3333FF"/>
          <w:insideH w:val="single" w:sz="4" w:space="0" w:color="auto"/>
          <w:insideV w:val="single" w:sz="4" w:space="0" w:color="auto"/>
        </w:tblBorders>
        <w:tblLook w:val="04A0" w:firstRow="1" w:lastRow="0" w:firstColumn="1" w:lastColumn="0" w:noHBand="0" w:noVBand="1"/>
      </w:tblPr>
      <w:tblGrid>
        <w:gridCol w:w="2618"/>
        <w:gridCol w:w="735"/>
        <w:gridCol w:w="736"/>
        <w:gridCol w:w="736"/>
        <w:gridCol w:w="736"/>
        <w:gridCol w:w="736"/>
        <w:gridCol w:w="736"/>
        <w:gridCol w:w="736"/>
        <w:gridCol w:w="570"/>
        <w:gridCol w:w="657"/>
      </w:tblGrid>
      <w:tr w:rsidR="005F296B" w:rsidRPr="00604A4A" w14:paraId="23882F98" w14:textId="77777777" w:rsidTr="00F96C11">
        <w:trPr>
          <w:trHeight w:val="240"/>
        </w:trPr>
        <w:tc>
          <w:tcPr>
            <w:tcW w:w="1040" w:type="pct"/>
            <w:shd w:val="clear" w:color="auto" w:fill="C2D69B" w:themeFill="accent3" w:themeFillTint="99"/>
            <w:noWrap/>
            <w:vAlign w:val="center"/>
            <w:hideMark/>
          </w:tcPr>
          <w:p w14:paraId="4316F062" w14:textId="77777777" w:rsidR="00696EF9" w:rsidRPr="00604A4A" w:rsidRDefault="00696EF9" w:rsidP="00F96C11">
            <w:pPr>
              <w:spacing w:line="240" w:lineRule="auto"/>
              <w:jc w:val="center"/>
              <w:rPr>
                <w:b/>
                <w:color w:val="000000"/>
                <w:sz w:val="16"/>
                <w:szCs w:val="16"/>
              </w:rPr>
            </w:pPr>
            <w:r w:rsidRPr="00604A4A">
              <w:rPr>
                <w:b/>
                <w:color w:val="000000"/>
                <w:sz w:val="16"/>
                <w:szCs w:val="16"/>
              </w:rPr>
              <w:t>Description</w:t>
            </w:r>
          </w:p>
        </w:tc>
        <w:tc>
          <w:tcPr>
            <w:tcW w:w="898" w:type="pct"/>
            <w:gridSpan w:val="2"/>
            <w:shd w:val="clear" w:color="auto" w:fill="C2D69B" w:themeFill="accent3" w:themeFillTint="99"/>
            <w:noWrap/>
            <w:vAlign w:val="center"/>
            <w:hideMark/>
          </w:tcPr>
          <w:p w14:paraId="6210C713" w14:textId="77777777" w:rsidR="00696EF9" w:rsidRPr="00604A4A" w:rsidRDefault="00696EF9" w:rsidP="00F96C11">
            <w:pPr>
              <w:spacing w:line="240" w:lineRule="auto"/>
              <w:jc w:val="center"/>
              <w:rPr>
                <w:b/>
                <w:color w:val="000000"/>
                <w:sz w:val="16"/>
                <w:szCs w:val="16"/>
              </w:rPr>
            </w:pPr>
            <w:r w:rsidRPr="00604A4A">
              <w:rPr>
                <w:b/>
                <w:color w:val="000000"/>
                <w:sz w:val="16"/>
                <w:szCs w:val="16"/>
              </w:rPr>
              <w:t>201</w:t>
            </w:r>
            <w:r w:rsidR="000E66FA" w:rsidRPr="00604A4A">
              <w:rPr>
                <w:b/>
                <w:color w:val="000000"/>
                <w:sz w:val="16"/>
                <w:szCs w:val="16"/>
              </w:rPr>
              <w:t>2</w:t>
            </w:r>
            <w:r w:rsidRPr="00604A4A">
              <w:rPr>
                <w:b/>
                <w:color w:val="000000"/>
                <w:sz w:val="16"/>
                <w:szCs w:val="16"/>
              </w:rPr>
              <w:t>/1</w:t>
            </w:r>
            <w:r w:rsidR="000E66FA" w:rsidRPr="00604A4A">
              <w:rPr>
                <w:b/>
                <w:color w:val="000000"/>
                <w:sz w:val="16"/>
                <w:szCs w:val="16"/>
              </w:rPr>
              <w:t>3</w:t>
            </w:r>
          </w:p>
        </w:tc>
        <w:tc>
          <w:tcPr>
            <w:tcW w:w="853" w:type="pct"/>
            <w:gridSpan w:val="2"/>
            <w:shd w:val="clear" w:color="auto" w:fill="C2D69B" w:themeFill="accent3" w:themeFillTint="99"/>
            <w:noWrap/>
            <w:vAlign w:val="center"/>
            <w:hideMark/>
          </w:tcPr>
          <w:p w14:paraId="38B21E30" w14:textId="77777777" w:rsidR="00696EF9" w:rsidRPr="00604A4A" w:rsidRDefault="00696EF9" w:rsidP="00F96C11">
            <w:pPr>
              <w:spacing w:line="240" w:lineRule="auto"/>
              <w:jc w:val="center"/>
              <w:rPr>
                <w:b/>
                <w:color w:val="000000"/>
                <w:sz w:val="16"/>
                <w:szCs w:val="16"/>
              </w:rPr>
            </w:pPr>
            <w:r w:rsidRPr="00604A4A">
              <w:rPr>
                <w:b/>
                <w:color w:val="000000"/>
                <w:sz w:val="16"/>
                <w:szCs w:val="16"/>
              </w:rPr>
              <w:t>201</w:t>
            </w:r>
            <w:r w:rsidR="000E66FA" w:rsidRPr="00604A4A">
              <w:rPr>
                <w:b/>
                <w:color w:val="000000"/>
                <w:sz w:val="16"/>
                <w:szCs w:val="16"/>
              </w:rPr>
              <w:t>3</w:t>
            </w:r>
            <w:r w:rsidRPr="00604A4A">
              <w:rPr>
                <w:b/>
                <w:color w:val="000000"/>
                <w:sz w:val="16"/>
                <w:szCs w:val="16"/>
              </w:rPr>
              <w:t>/1</w:t>
            </w:r>
            <w:r w:rsidR="000E66FA" w:rsidRPr="00604A4A">
              <w:rPr>
                <w:b/>
                <w:color w:val="000000"/>
                <w:sz w:val="16"/>
                <w:szCs w:val="16"/>
              </w:rPr>
              <w:t>4</w:t>
            </w:r>
          </w:p>
        </w:tc>
        <w:tc>
          <w:tcPr>
            <w:tcW w:w="898" w:type="pct"/>
            <w:gridSpan w:val="2"/>
            <w:shd w:val="clear" w:color="auto" w:fill="C2D69B" w:themeFill="accent3" w:themeFillTint="99"/>
            <w:noWrap/>
            <w:vAlign w:val="center"/>
            <w:hideMark/>
          </w:tcPr>
          <w:p w14:paraId="243CDBB3" w14:textId="77777777" w:rsidR="00696EF9" w:rsidRPr="00604A4A" w:rsidRDefault="00696EF9" w:rsidP="00F96C11">
            <w:pPr>
              <w:spacing w:line="240" w:lineRule="auto"/>
              <w:jc w:val="center"/>
              <w:rPr>
                <w:b/>
                <w:color w:val="000000"/>
                <w:sz w:val="16"/>
                <w:szCs w:val="16"/>
              </w:rPr>
            </w:pPr>
            <w:r w:rsidRPr="00604A4A">
              <w:rPr>
                <w:b/>
                <w:color w:val="000000"/>
                <w:sz w:val="16"/>
                <w:szCs w:val="16"/>
              </w:rPr>
              <w:t>201</w:t>
            </w:r>
            <w:r w:rsidR="000E66FA" w:rsidRPr="00604A4A">
              <w:rPr>
                <w:b/>
                <w:color w:val="000000"/>
                <w:sz w:val="16"/>
                <w:szCs w:val="16"/>
              </w:rPr>
              <w:t>4</w:t>
            </w:r>
            <w:r w:rsidRPr="00604A4A">
              <w:rPr>
                <w:b/>
                <w:color w:val="000000"/>
                <w:sz w:val="16"/>
                <w:szCs w:val="16"/>
              </w:rPr>
              <w:t>/1</w:t>
            </w:r>
            <w:r w:rsidR="000E66FA" w:rsidRPr="00604A4A">
              <w:rPr>
                <w:b/>
                <w:color w:val="000000"/>
                <w:sz w:val="16"/>
                <w:szCs w:val="16"/>
              </w:rPr>
              <w:t>5</w:t>
            </w:r>
          </w:p>
        </w:tc>
        <w:tc>
          <w:tcPr>
            <w:tcW w:w="853" w:type="pct"/>
            <w:gridSpan w:val="2"/>
            <w:shd w:val="clear" w:color="auto" w:fill="C2D69B" w:themeFill="accent3" w:themeFillTint="99"/>
            <w:noWrap/>
            <w:vAlign w:val="center"/>
            <w:hideMark/>
          </w:tcPr>
          <w:p w14:paraId="4DC527B6" w14:textId="77777777" w:rsidR="00696EF9" w:rsidRPr="00604A4A" w:rsidRDefault="00696EF9" w:rsidP="00F96C11">
            <w:pPr>
              <w:spacing w:line="240" w:lineRule="auto"/>
              <w:jc w:val="center"/>
              <w:rPr>
                <w:b/>
                <w:color w:val="000000"/>
                <w:sz w:val="16"/>
                <w:szCs w:val="16"/>
              </w:rPr>
            </w:pPr>
            <w:r w:rsidRPr="00604A4A">
              <w:rPr>
                <w:b/>
                <w:color w:val="000000"/>
                <w:sz w:val="16"/>
                <w:szCs w:val="16"/>
              </w:rPr>
              <w:t>201</w:t>
            </w:r>
            <w:r w:rsidR="000E66FA" w:rsidRPr="00604A4A">
              <w:rPr>
                <w:b/>
                <w:color w:val="000000"/>
                <w:sz w:val="16"/>
                <w:szCs w:val="16"/>
              </w:rPr>
              <w:t>5</w:t>
            </w:r>
            <w:r w:rsidRPr="00604A4A">
              <w:rPr>
                <w:b/>
                <w:color w:val="000000"/>
                <w:sz w:val="16"/>
                <w:szCs w:val="16"/>
              </w:rPr>
              <w:t>/1</w:t>
            </w:r>
            <w:r w:rsidR="000E66FA" w:rsidRPr="00604A4A">
              <w:rPr>
                <w:b/>
                <w:color w:val="000000"/>
                <w:sz w:val="16"/>
                <w:szCs w:val="16"/>
              </w:rPr>
              <w:t>6</w:t>
            </w:r>
          </w:p>
        </w:tc>
        <w:tc>
          <w:tcPr>
            <w:tcW w:w="457" w:type="pct"/>
            <w:shd w:val="clear" w:color="auto" w:fill="C2D69B" w:themeFill="accent3" w:themeFillTint="99"/>
            <w:noWrap/>
            <w:vAlign w:val="center"/>
            <w:hideMark/>
          </w:tcPr>
          <w:p w14:paraId="1F91481C" w14:textId="77777777" w:rsidR="00696EF9" w:rsidRPr="00604A4A" w:rsidRDefault="00696EF9" w:rsidP="00F96C11">
            <w:pPr>
              <w:spacing w:line="240" w:lineRule="auto"/>
              <w:jc w:val="center"/>
              <w:rPr>
                <w:b/>
                <w:color w:val="000000"/>
                <w:sz w:val="16"/>
                <w:szCs w:val="16"/>
              </w:rPr>
            </w:pPr>
            <w:r w:rsidRPr="00604A4A">
              <w:rPr>
                <w:b/>
                <w:color w:val="000000"/>
                <w:sz w:val="16"/>
                <w:szCs w:val="16"/>
              </w:rPr>
              <w:t>201</w:t>
            </w:r>
            <w:r w:rsidR="000E66FA" w:rsidRPr="00604A4A">
              <w:rPr>
                <w:b/>
                <w:color w:val="000000"/>
                <w:sz w:val="16"/>
                <w:szCs w:val="16"/>
              </w:rPr>
              <w:t>6</w:t>
            </w:r>
            <w:r w:rsidRPr="00604A4A">
              <w:rPr>
                <w:b/>
                <w:color w:val="000000"/>
                <w:sz w:val="16"/>
                <w:szCs w:val="16"/>
              </w:rPr>
              <w:t>/1</w:t>
            </w:r>
            <w:r w:rsidR="000E66FA" w:rsidRPr="00604A4A">
              <w:rPr>
                <w:b/>
                <w:color w:val="000000"/>
                <w:sz w:val="16"/>
                <w:szCs w:val="16"/>
              </w:rPr>
              <w:t>7</w:t>
            </w:r>
          </w:p>
        </w:tc>
      </w:tr>
      <w:tr w:rsidR="00DF4EDD" w:rsidRPr="00604A4A" w14:paraId="2FCBE311" w14:textId="77777777" w:rsidTr="00F96C11">
        <w:trPr>
          <w:trHeight w:val="288"/>
        </w:trPr>
        <w:tc>
          <w:tcPr>
            <w:tcW w:w="1040" w:type="pct"/>
            <w:shd w:val="clear" w:color="auto" w:fill="C2D69B" w:themeFill="accent3" w:themeFillTint="99"/>
            <w:noWrap/>
            <w:vAlign w:val="center"/>
            <w:hideMark/>
          </w:tcPr>
          <w:p w14:paraId="3A969064" w14:textId="77777777" w:rsidR="00696EF9" w:rsidRPr="00604A4A" w:rsidRDefault="00696EF9" w:rsidP="00F96C11">
            <w:pPr>
              <w:spacing w:line="240" w:lineRule="auto"/>
              <w:jc w:val="center"/>
              <w:rPr>
                <w:b/>
                <w:color w:val="000000"/>
                <w:sz w:val="16"/>
                <w:szCs w:val="16"/>
              </w:rPr>
            </w:pPr>
          </w:p>
        </w:tc>
        <w:tc>
          <w:tcPr>
            <w:tcW w:w="450" w:type="pct"/>
            <w:shd w:val="clear" w:color="auto" w:fill="C2D69B" w:themeFill="accent3" w:themeFillTint="99"/>
            <w:noWrap/>
            <w:vAlign w:val="center"/>
            <w:hideMark/>
          </w:tcPr>
          <w:p w14:paraId="3D2E32AE" w14:textId="77777777" w:rsidR="00696EF9" w:rsidRPr="00604A4A" w:rsidRDefault="00696EF9" w:rsidP="00F96C11">
            <w:pPr>
              <w:spacing w:line="240" w:lineRule="auto"/>
              <w:jc w:val="center"/>
              <w:rPr>
                <w:b/>
                <w:color w:val="000000"/>
                <w:sz w:val="16"/>
                <w:szCs w:val="16"/>
              </w:rPr>
            </w:pPr>
            <w:r w:rsidRPr="00604A4A">
              <w:rPr>
                <w:b/>
                <w:color w:val="000000"/>
                <w:sz w:val="16"/>
                <w:szCs w:val="16"/>
              </w:rPr>
              <w:t>Budget</w:t>
            </w:r>
          </w:p>
        </w:tc>
        <w:tc>
          <w:tcPr>
            <w:tcW w:w="448" w:type="pct"/>
            <w:shd w:val="clear" w:color="auto" w:fill="C2D69B" w:themeFill="accent3" w:themeFillTint="99"/>
            <w:noWrap/>
            <w:vAlign w:val="center"/>
            <w:hideMark/>
          </w:tcPr>
          <w:p w14:paraId="305B1BB2" w14:textId="77777777" w:rsidR="00696EF9" w:rsidRPr="00604A4A" w:rsidRDefault="00696EF9" w:rsidP="00F96C11">
            <w:pPr>
              <w:spacing w:line="240" w:lineRule="auto"/>
              <w:jc w:val="center"/>
              <w:rPr>
                <w:b/>
                <w:color w:val="000000"/>
                <w:sz w:val="16"/>
                <w:szCs w:val="16"/>
              </w:rPr>
            </w:pPr>
            <w:r w:rsidRPr="00604A4A">
              <w:rPr>
                <w:b/>
                <w:color w:val="000000"/>
                <w:sz w:val="16"/>
                <w:szCs w:val="16"/>
              </w:rPr>
              <w:t>Actual</w:t>
            </w:r>
          </w:p>
        </w:tc>
        <w:tc>
          <w:tcPr>
            <w:tcW w:w="450" w:type="pct"/>
            <w:shd w:val="clear" w:color="auto" w:fill="C2D69B" w:themeFill="accent3" w:themeFillTint="99"/>
            <w:noWrap/>
            <w:vAlign w:val="center"/>
            <w:hideMark/>
          </w:tcPr>
          <w:p w14:paraId="32425761" w14:textId="77777777" w:rsidR="00696EF9" w:rsidRPr="00604A4A" w:rsidRDefault="00696EF9" w:rsidP="00F96C11">
            <w:pPr>
              <w:spacing w:line="240" w:lineRule="auto"/>
              <w:jc w:val="center"/>
              <w:rPr>
                <w:b/>
                <w:color w:val="000000"/>
                <w:sz w:val="16"/>
                <w:szCs w:val="16"/>
              </w:rPr>
            </w:pPr>
            <w:r w:rsidRPr="00604A4A">
              <w:rPr>
                <w:b/>
                <w:color w:val="000000"/>
                <w:sz w:val="16"/>
                <w:szCs w:val="16"/>
              </w:rPr>
              <w:t>Budget</w:t>
            </w:r>
          </w:p>
        </w:tc>
        <w:tc>
          <w:tcPr>
            <w:tcW w:w="403" w:type="pct"/>
            <w:shd w:val="clear" w:color="auto" w:fill="C2D69B" w:themeFill="accent3" w:themeFillTint="99"/>
            <w:noWrap/>
            <w:vAlign w:val="center"/>
            <w:hideMark/>
          </w:tcPr>
          <w:p w14:paraId="361EE44E" w14:textId="77777777" w:rsidR="00696EF9" w:rsidRPr="00604A4A" w:rsidRDefault="00696EF9" w:rsidP="00F96C11">
            <w:pPr>
              <w:spacing w:line="240" w:lineRule="auto"/>
              <w:jc w:val="center"/>
              <w:rPr>
                <w:b/>
                <w:color w:val="000000"/>
                <w:sz w:val="16"/>
                <w:szCs w:val="16"/>
              </w:rPr>
            </w:pPr>
            <w:r w:rsidRPr="00604A4A">
              <w:rPr>
                <w:b/>
                <w:color w:val="000000"/>
                <w:sz w:val="16"/>
                <w:szCs w:val="16"/>
              </w:rPr>
              <w:t>Actual</w:t>
            </w:r>
          </w:p>
        </w:tc>
        <w:tc>
          <w:tcPr>
            <w:tcW w:w="450" w:type="pct"/>
            <w:shd w:val="clear" w:color="auto" w:fill="C2D69B" w:themeFill="accent3" w:themeFillTint="99"/>
            <w:noWrap/>
            <w:vAlign w:val="center"/>
            <w:hideMark/>
          </w:tcPr>
          <w:p w14:paraId="5A29436D" w14:textId="77777777" w:rsidR="00696EF9" w:rsidRPr="00604A4A" w:rsidRDefault="00696EF9" w:rsidP="00F96C11">
            <w:pPr>
              <w:spacing w:line="240" w:lineRule="auto"/>
              <w:jc w:val="center"/>
              <w:rPr>
                <w:b/>
                <w:color w:val="000000"/>
                <w:sz w:val="16"/>
                <w:szCs w:val="16"/>
              </w:rPr>
            </w:pPr>
            <w:r w:rsidRPr="00604A4A">
              <w:rPr>
                <w:b/>
                <w:color w:val="000000"/>
                <w:sz w:val="16"/>
                <w:szCs w:val="16"/>
              </w:rPr>
              <w:t>Budget</w:t>
            </w:r>
          </w:p>
        </w:tc>
        <w:tc>
          <w:tcPr>
            <w:tcW w:w="448" w:type="pct"/>
            <w:shd w:val="clear" w:color="auto" w:fill="C2D69B" w:themeFill="accent3" w:themeFillTint="99"/>
            <w:noWrap/>
            <w:vAlign w:val="center"/>
            <w:hideMark/>
          </w:tcPr>
          <w:p w14:paraId="7C0C842F" w14:textId="77777777" w:rsidR="00696EF9" w:rsidRPr="00604A4A" w:rsidRDefault="00696EF9" w:rsidP="00F96C11">
            <w:pPr>
              <w:spacing w:line="240" w:lineRule="auto"/>
              <w:jc w:val="center"/>
              <w:rPr>
                <w:b/>
                <w:color w:val="000000"/>
                <w:sz w:val="16"/>
                <w:szCs w:val="16"/>
              </w:rPr>
            </w:pPr>
            <w:r w:rsidRPr="00604A4A">
              <w:rPr>
                <w:b/>
                <w:color w:val="000000"/>
                <w:sz w:val="16"/>
                <w:szCs w:val="16"/>
              </w:rPr>
              <w:t>Actual</w:t>
            </w:r>
          </w:p>
        </w:tc>
        <w:tc>
          <w:tcPr>
            <w:tcW w:w="450" w:type="pct"/>
            <w:shd w:val="clear" w:color="auto" w:fill="C2D69B" w:themeFill="accent3" w:themeFillTint="99"/>
            <w:noWrap/>
            <w:vAlign w:val="center"/>
            <w:hideMark/>
          </w:tcPr>
          <w:p w14:paraId="07380C3E" w14:textId="77777777" w:rsidR="00696EF9" w:rsidRPr="00604A4A" w:rsidRDefault="00696EF9" w:rsidP="00F96C11">
            <w:pPr>
              <w:spacing w:line="240" w:lineRule="auto"/>
              <w:jc w:val="center"/>
              <w:rPr>
                <w:b/>
                <w:color w:val="000000"/>
                <w:sz w:val="16"/>
                <w:szCs w:val="16"/>
              </w:rPr>
            </w:pPr>
            <w:r w:rsidRPr="00604A4A">
              <w:rPr>
                <w:b/>
                <w:color w:val="000000"/>
                <w:sz w:val="16"/>
                <w:szCs w:val="16"/>
              </w:rPr>
              <w:t>Budget</w:t>
            </w:r>
          </w:p>
        </w:tc>
        <w:tc>
          <w:tcPr>
            <w:tcW w:w="403" w:type="pct"/>
            <w:shd w:val="clear" w:color="auto" w:fill="C2D69B" w:themeFill="accent3" w:themeFillTint="99"/>
            <w:noWrap/>
            <w:vAlign w:val="center"/>
            <w:hideMark/>
          </w:tcPr>
          <w:p w14:paraId="0C3A6218" w14:textId="77777777" w:rsidR="00696EF9" w:rsidRPr="00604A4A" w:rsidRDefault="00696EF9" w:rsidP="00F96C11">
            <w:pPr>
              <w:spacing w:line="240" w:lineRule="auto"/>
              <w:jc w:val="center"/>
              <w:rPr>
                <w:b/>
                <w:color w:val="000000"/>
                <w:sz w:val="16"/>
                <w:szCs w:val="16"/>
              </w:rPr>
            </w:pPr>
            <w:r w:rsidRPr="00604A4A">
              <w:rPr>
                <w:b/>
                <w:color w:val="000000"/>
                <w:sz w:val="16"/>
                <w:szCs w:val="16"/>
              </w:rPr>
              <w:t>Actual</w:t>
            </w:r>
          </w:p>
        </w:tc>
        <w:tc>
          <w:tcPr>
            <w:tcW w:w="457" w:type="pct"/>
            <w:shd w:val="clear" w:color="auto" w:fill="C2D69B" w:themeFill="accent3" w:themeFillTint="99"/>
            <w:noWrap/>
            <w:vAlign w:val="center"/>
            <w:hideMark/>
          </w:tcPr>
          <w:p w14:paraId="36D1F5B5" w14:textId="77777777" w:rsidR="00696EF9" w:rsidRPr="00604A4A" w:rsidRDefault="00696EF9" w:rsidP="00F96C11">
            <w:pPr>
              <w:spacing w:line="240" w:lineRule="auto"/>
              <w:jc w:val="center"/>
              <w:rPr>
                <w:b/>
                <w:color w:val="000000"/>
                <w:sz w:val="16"/>
                <w:szCs w:val="16"/>
              </w:rPr>
            </w:pPr>
            <w:r w:rsidRPr="00604A4A">
              <w:rPr>
                <w:b/>
                <w:color w:val="000000"/>
                <w:sz w:val="16"/>
                <w:szCs w:val="16"/>
              </w:rPr>
              <w:t>Budget</w:t>
            </w:r>
          </w:p>
        </w:tc>
      </w:tr>
      <w:tr w:rsidR="00696EF9" w:rsidRPr="00604A4A" w14:paraId="2208A48D" w14:textId="77777777" w:rsidTr="00F96C11">
        <w:trPr>
          <w:trHeight w:val="233"/>
        </w:trPr>
        <w:tc>
          <w:tcPr>
            <w:tcW w:w="5000" w:type="pct"/>
            <w:gridSpan w:val="10"/>
            <w:shd w:val="clear" w:color="auto" w:fill="auto"/>
            <w:noWrap/>
            <w:vAlign w:val="bottom"/>
            <w:hideMark/>
          </w:tcPr>
          <w:p w14:paraId="3BD2D380" w14:textId="77777777" w:rsidR="00696EF9" w:rsidRPr="00604A4A" w:rsidRDefault="00696EF9" w:rsidP="00696EF9">
            <w:pPr>
              <w:spacing w:line="240" w:lineRule="auto"/>
              <w:jc w:val="center"/>
              <w:rPr>
                <w:b/>
                <w:color w:val="000000"/>
                <w:sz w:val="16"/>
                <w:szCs w:val="16"/>
              </w:rPr>
            </w:pPr>
            <w:r w:rsidRPr="00604A4A">
              <w:rPr>
                <w:b/>
                <w:color w:val="000000"/>
                <w:sz w:val="16"/>
                <w:szCs w:val="16"/>
              </w:rPr>
              <w:t>Billion TZS</w:t>
            </w:r>
          </w:p>
        </w:tc>
      </w:tr>
      <w:tr w:rsidR="002C0210" w:rsidRPr="00604A4A" w14:paraId="6D72F80C" w14:textId="77777777" w:rsidTr="00F96C11">
        <w:trPr>
          <w:trHeight w:val="288"/>
        </w:trPr>
        <w:tc>
          <w:tcPr>
            <w:tcW w:w="1040" w:type="pct"/>
            <w:shd w:val="clear" w:color="auto" w:fill="auto"/>
            <w:noWrap/>
            <w:vAlign w:val="bottom"/>
            <w:hideMark/>
          </w:tcPr>
          <w:p w14:paraId="409D80E7" w14:textId="77777777" w:rsidR="002C0210" w:rsidRPr="00604A4A" w:rsidRDefault="002C0210" w:rsidP="00696EF9">
            <w:pPr>
              <w:spacing w:line="240" w:lineRule="auto"/>
              <w:rPr>
                <w:color w:val="000000"/>
                <w:sz w:val="16"/>
                <w:szCs w:val="16"/>
              </w:rPr>
            </w:pPr>
            <w:r w:rsidRPr="00604A4A">
              <w:rPr>
                <w:color w:val="000000"/>
                <w:sz w:val="16"/>
                <w:szCs w:val="16"/>
              </w:rPr>
              <w:t xml:space="preserve">Total Government  Expenditure: Excl. CFS </w:t>
            </w:r>
          </w:p>
        </w:tc>
        <w:tc>
          <w:tcPr>
            <w:tcW w:w="450" w:type="pct"/>
            <w:shd w:val="clear" w:color="auto" w:fill="auto"/>
            <w:noWrap/>
            <w:vAlign w:val="bottom"/>
          </w:tcPr>
          <w:p w14:paraId="7566E2ED" w14:textId="77777777" w:rsidR="002C0210" w:rsidRPr="00604A4A" w:rsidRDefault="002C0210" w:rsidP="0071438E">
            <w:pPr>
              <w:spacing w:line="240" w:lineRule="auto"/>
              <w:jc w:val="right"/>
              <w:rPr>
                <w:color w:val="000000"/>
                <w:sz w:val="16"/>
                <w:szCs w:val="16"/>
              </w:rPr>
            </w:pPr>
            <w:r w:rsidRPr="00604A4A">
              <w:rPr>
                <w:color w:val="000000"/>
                <w:sz w:val="16"/>
                <w:szCs w:val="16"/>
              </w:rPr>
              <w:t>12,447</w:t>
            </w:r>
          </w:p>
        </w:tc>
        <w:tc>
          <w:tcPr>
            <w:tcW w:w="448" w:type="pct"/>
            <w:shd w:val="clear" w:color="auto" w:fill="auto"/>
            <w:noWrap/>
            <w:vAlign w:val="bottom"/>
          </w:tcPr>
          <w:p w14:paraId="071C831B" w14:textId="77777777" w:rsidR="002C0210" w:rsidRPr="00604A4A" w:rsidRDefault="002C0210" w:rsidP="0071438E">
            <w:pPr>
              <w:spacing w:line="240" w:lineRule="auto"/>
              <w:jc w:val="right"/>
              <w:rPr>
                <w:color w:val="000000"/>
                <w:sz w:val="16"/>
                <w:szCs w:val="16"/>
              </w:rPr>
            </w:pPr>
            <w:r w:rsidRPr="00604A4A">
              <w:rPr>
                <w:color w:val="000000"/>
                <w:sz w:val="16"/>
                <w:szCs w:val="16"/>
              </w:rPr>
              <w:t>10,262</w:t>
            </w:r>
          </w:p>
        </w:tc>
        <w:tc>
          <w:tcPr>
            <w:tcW w:w="450" w:type="pct"/>
            <w:shd w:val="clear" w:color="auto" w:fill="auto"/>
            <w:noWrap/>
            <w:vAlign w:val="bottom"/>
          </w:tcPr>
          <w:p w14:paraId="6BDE5096" w14:textId="77777777" w:rsidR="002C0210" w:rsidRPr="00604A4A" w:rsidRDefault="002C0210" w:rsidP="0071438E">
            <w:pPr>
              <w:spacing w:line="240" w:lineRule="auto"/>
              <w:jc w:val="right"/>
              <w:rPr>
                <w:color w:val="000000"/>
                <w:sz w:val="16"/>
                <w:szCs w:val="16"/>
              </w:rPr>
            </w:pPr>
            <w:r w:rsidRPr="00604A4A">
              <w:rPr>
                <w:color w:val="000000"/>
                <w:sz w:val="16"/>
                <w:szCs w:val="16"/>
              </w:rPr>
              <w:t>14,930</w:t>
            </w:r>
          </w:p>
        </w:tc>
        <w:tc>
          <w:tcPr>
            <w:tcW w:w="403" w:type="pct"/>
            <w:shd w:val="clear" w:color="auto" w:fill="auto"/>
            <w:noWrap/>
            <w:vAlign w:val="bottom"/>
          </w:tcPr>
          <w:p w14:paraId="4AC68A05" w14:textId="77777777" w:rsidR="002C0210" w:rsidRPr="00604A4A" w:rsidRDefault="002C0210" w:rsidP="0071438E">
            <w:pPr>
              <w:spacing w:line="240" w:lineRule="auto"/>
              <w:jc w:val="right"/>
              <w:rPr>
                <w:color w:val="000000"/>
                <w:sz w:val="16"/>
                <w:szCs w:val="16"/>
              </w:rPr>
            </w:pPr>
            <w:r w:rsidRPr="00604A4A">
              <w:rPr>
                <w:color w:val="000000"/>
                <w:sz w:val="16"/>
                <w:szCs w:val="16"/>
              </w:rPr>
              <w:t xml:space="preserve">     12,001 </w:t>
            </w:r>
          </w:p>
        </w:tc>
        <w:tc>
          <w:tcPr>
            <w:tcW w:w="450" w:type="pct"/>
            <w:shd w:val="clear" w:color="auto" w:fill="auto"/>
            <w:noWrap/>
            <w:vAlign w:val="bottom"/>
          </w:tcPr>
          <w:p w14:paraId="3DA9C1A6" w14:textId="77777777" w:rsidR="002C0210" w:rsidRPr="00604A4A" w:rsidRDefault="002C0210" w:rsidP="0071438E">
            <w:pPr>
              <w:spacing w:line="240" w:lineRule="auto"/>
              <w:jc w:val="right"/>
              <w:rPr>
                <w:color w:val="000000"/>
                <w:sz w:val="16"/>
                <w:szCs w:val="16"/>
              </w:rPr>
            </w:pPr>
            <w:r w:rsidRPr="00604A4A">
              <w:rPr>
                <w:color w:val="000000"/>
                <w:sz w:val="16"/>
                <w:szCs w:val="16"/>
              </w:rPr>
              <w:t xml:space="preserve">     15,499 </w:t>
            </w:r>
          </w:p>
        </w:tc>
        <w:tc>
          <w:tcPr>
            <w:tcW w:w="448" w:type="pct"/>
            <w:shd w:val="clear" w:color="auto" w:fill="auto"/>
            <w:noWrap/>
            <w:vAlign w:val="bottom"/>
          </w:tcPr>
          <w:p w14:paraId="3476E35C" w14:textId="77777777" w:rsidR="002C0210" w:rsidRPr="00604A4A" w:rsidRDefault="002C0210" w:rsidP="0071438E">
            <w:pPr>
              <w:spacing w:line="240" w:lineRule="auto"/>
              <w:jc w:val="right"/>
              <w:rPr>
                <w:color w:val="000000"/>
                <w:sz w:val="16"/>
                <w:szCs w:val="16"/>
              </w:rPr>
            </w:pPr>
            <w:r w:rsidRPr="00604A4A">
              <w:rPr>
                <w:color w:val="000000"/>
                <w:sz w:val="16"/>
                <w:szCs w:val="16"/>
              </w:rPr>
              <w:t xml:space="preserve">     12,170 </w:t>
            </w:r>
          </w:p>
        </w:tc>
        <w:tc>
          <w:tcPr>
            <w:tcW w:w="450" w:type="pct"/>
            <w:shd w:val="clear" w:color="auto" w:fill="auto"/>
            <w:noWrap/>
            <w:vAlign w:val="bottom"/>
          </w:tcPr>
          <w:p w14:paraId="4FFD0308" w14:textId="77777777" w:rsidR="002C0210" w:rsidRPr="00604A4A" w:rsidRDefault="002C0210" w:rsidP="0071438E">
            <w:pPr>
              <w:spacing w:line="240" w:lineRule="auto"/>
              <w:jc w:val="right"/>
              <w:rPr>
                <w:color w:val="000000"/>
                <w:sz w:val="16"/>
                <w:szCs w:val="16"/>
              </w:rPr>
            </w:pPr>
            <w:r w:rsidRPr="00604A4A">
              <w:rPr>
                <w:color w:val="000000"/>
                <w:sz w:val="16"/>
                <w:szCs w:val="16"/>
              </w:rPr>
              <w:t xml:space="preserve">     16,099 </w:t>
            </w:r>
          </w:p>
        </w:tc>
        <w:tc>
          <w:tcPr>
            <w:tcW w:w="403" w:type="pct"/>
            <w:shd w:val="clear" w:color="auto" w:fill="auto"/>
            <w:noWrap/>
            <w:vAlign w:val="bottom"/>
          </w:tcPr>
          <w:p w14:paraId="386A361A" w14:textId="77777777" w:rsidR="002C0210" w:rsidRPr="00604A4A" w:rsidRDefault="000E66FA" w:rsidP="00696EF9">
            <w:pPr>
              <w:spacing w:line="240" w:lineRule="auto"/>
              <w:jc w:val="right"/>
              <w:rPr>
                <w:color w:val="000000"/>
                <w:sz w:val="16"/>
                <w:szCs w:val="16"/>
              </w:rPr>
            </w:pPr>
            <w:r w:rsidRPr="00604A4A">
              <w:rPr>
                <w:color w:val="000000"/>
                <w:sz w:val="16"/>
                <w:szCs w:val="16"/>
              </w:rPr>
              <w:t>16,860</w:t>
            </w:r>
          </w:p>
        </w:tc>
        <w:tc>
          <w:tcPr>
            <w:tcW w:w="457" w:type="pct"/>
            <w:shd w:val="clear" w:color="auto" w:fill="auto"/>
            <w:noWrap/>
            <w:vAlign w:val="bottom"/>
          </w:tcPr>
          <w:p w14:paraId="5DAA685F" w14:textId="77777777" w:rsidR="002C0210" w:rsidRPr="00604A4A" w:rsidRDefault="000E66FA" w:rsidP="00696EF9">
            <w:pPr>
              <w:spacing w:line="240" w:lineRule="auto"/>
              <w:jc w:val="right"/>
              <w:rPr>
                <w:color w:val="000000"/>
                <w:sz w:val="16"/>
                <w:szCs w:val="16"/>
              </w:rPr>
            </w:pPr>
            <w:r w:rsidRPr="00604A4A">
              <w:rPr>
                <w:color w:val="000000"/>
                <w:sz w:val="16"/>
                <w:szCs w:val="16"/>
              </w:rPr>
              <w:t>21,540</w:t>
            </w:r>
          </w:p>
        </w:tc>
      </w:tr>
      <w:tr w:rsidR="002C0210" w:rsidRPr="00604A4A" w14:paraId="1B0AEEC0" w14:textId="77777777" w:rsidTr="00F96C11">
        <w:trPr>
          <w:trHeight w:val="288"/>
        </w:trPr>
        <w:tc>
          <w:tcPr>
            <w:tcW w:w="1040" w:type="pct"/>
            <w:shd w:val="clear" w:color="auto" w:fill="auto"/>
            <w:noWrap/>
            <w:vAlign w:val="bottom"/>
            <w:hideMark/>
          </w:tcPr>
          <w:p w14:paraId="6EA2E802" w14:textId="77777777" w:rsidR="002C0210" w:rsidRPr="00604A4A" w:rsidRDefault="002C0210" w:rsidP="00696EF9">
            <w:pPr>
              <w:spacing w:line="240" w:lineRule="auto"/>
              <w:rPr>
                <w:color w:val="000000"/>
                <w:sz w:val="16"/>
                <w:szCs w:val="16"/>
              </w:rPr>
            </w:pPr>
            <w:r w:rsidRPr="00604A4A">
              <w:rPr>
                <w:color w:val="000000"/>
                <w:sz w:val="16"/>
                <w:szCs w:val="16"/>
              </w:rPr>
              <w:t>Total Government  Expenditure: Incl. CFS</w:t>
            </w:r>
          </w:p>
        </w:tc>
        <w:tc>
          <w:tcPr>
            <w:tcW w:w="450" w:type="pct"/>
            <w:shd w:val="clear" w:color="auto" w:fill="auto"/>
            <w:noWrap/>
            <w:vAlign w:val="bottom"/>
          </w:tcPr>
          <w:p w14:paraId="7AAB741B" w14:textId="77777777" w:rsidR="002C0210" w:rsidRPr="00604A4A" w:rsidRDefault="002C0210" w:rsidP="0071438E">
            <w:pPr>
              <w:spacing w:line="240" w:lineRule="auto"/>
              <w:jc w:val="right"/>
              <w:rPr>
                <w:color w:val="000000"/>
                <w:sz w:val="16"/>
                <w:szCs w:val="16"/>
              </w:rPr>
            </w:pPr>
            <w:r w:rsidRPr="00604A4A">
              <w:rPr>
                <w:color w:val="000000"/>
                <w:sz w:val="16"/>
                <w:szCs w:val="16"/>
              </w:rPr>
              <w:t>13,526</w:t>
            </w:r>
          </w:p>
        </w:tc>
        <w:tc>
          <w:tcPr>
            <w:tcW w:w="448" w:type="pct"/>
            <w:shd w:val="clear" w:color="auto" w:fill="auto"/>
            <w:noWrap/>
            <w:vAlign w:val="bottom"/>
          </w:tcPr>
          <w:p w14:paraId="1E9238DB" w14:textId="77777777" w:rsidR="002C0210" w:rsidRPr="00604A4A" w:rsidRDefault="002C0210" w:rsidP="0071438E">
            <w:pPr>
              <w:spacing w:line="240" w:lineRule="auto"/>
              <w:jc w:val="right"/>
              <w:rPr>
                <w:color w:val="000000"/>
                <w:sz w:val="16"/>
                <w:szCs w:val="16"/>
              </w:rPr>
            </w:pPr>
            <w:r w:rsidRPr="00604A4A">
              <w:rPr>
                <w:color w:val="000000"/>
                <w:sz w:val="16"/>
                <w:szCs w:val="16"/>
              </w:rPr>
              <w:t>12,094</w:t>
            </w:r>
          </w:p>
        </w:tc>
        <w:tc>
          <w:tcPr>
            <w:tcW w:w="450" w:type="pct"/>
            <w:shd w:val="clear" w:color="auto" w:fill="auto"/>
            <w:noWrap/>
            <w:vAlign w:val="bottom"/>
          </w:tcPr>
          <w:p w14:paraId="6A9BE593" w14:textId="77777777" w:rsidR="002C0210" w:rsidRPr="00604A4A" w:rsidRDefault="002C0210" w:rsidP="0071438E">
            <w:pPr>
              <w:spacing w:line="240" w:lineRule="auto"/>
              <w:jc w:val="right"/>
              <w:rPr>
                <w:color w:val="000000"/>
                <w:sz w:val="16"/>
                <w:szCs w:val="16"/>
              </w:rPr>
            </w:pPr>
            <w:r w:rsidRPr="00604A4A">
              <w:rPr>
                <w:color w:val="000000"/>
                <w:sz w:val="16"/>
                <w:szCs w:val="16"/>
              </w:rPr>
              <w:t>16,711</w:t>
            </w:r>
          </w:p>
        </w:tc>
        <w:tc>
          <w:tcPr>
            <w:tcW w:w="403" w:type="pct"/>
            <w:shd w:val="clear" w:color="auto" w:fill="auto"/>
            <w:noWrap/>
            <w:vAlign w:val="bottom"/>
          </w:tcPr>
          <w:p w14:paraId="79C32532" w14:textId="77777777" w:rsidR="002C0210" w:rsidRPr="00604A4A" w:rsidRDefault="002C0210" w:rsidP="0071438E">
            <w:pPr>
              <w:spacing w:line="240" w:lineRule="auto"/>
              <w:jc w:val="right"/>
              <w:rPr>
                <w:color w:val="000000"/>
                <w:sz w:val="16"/>
                <w:szCs w:val="16"/>
              </w:rPr>
            </w:pPr>
            <w:r w:rsidRPr="00604A4A">
              <w:rPr>
                <w:color w:val="000000"/>
                <w:sz w:val="16"/>
                <w:szCs w:val="16"/>
              </w:rPr>
              <w:t xml:space="preserve">     13,958 </w:t>
            </w:r>
          </w:p>
        </w:tc>
        <w:tc>
          <w:tcPr>
            <w:tcW w:w="450" w:type="pct"/>
            <w:shd w:val="clear" w:color="auto" w:fill="auto"/>
            <w:noWrap/>
            <w:vAlign w:val="bottom"/>
          </w:tcPr>
          <w:p w14:paraId="4E76E57A" w14:textId="77777777" w:rsidR="002C0210" w:rsidRPr="00604A4A" w:rsidRDefault="002C0210" w:rsidP="0071438E">
            <w:pPr>
              <w:spacing w:line="240" w:lineRule="auto"/>
              <w:jc w:val="right"/>
              <w:rPr>
                <w:color w:val="000000"/>
                <w:sz w:val="16"/>
                <w:szCs w:val="16"/>
              </w:rPr>
            </w:pPr>
            <w:r w:rsidRPr="00604A4A">
              <w:rPr>
                <w:color w:val="000000"/>
                <w:sz w:val="16"/>
                <w:szCs w:val="16"/>
              </w:rPr>
              <w:t xml:space="preserve">     17,194 </w:t>
            </w:r>
          </w:p>
        </w:tc>
        <w:tc>
          <w:tcPr>
            <w:tcW w:w="448" w:type="pct"/>
            <w:shd w:val="clear" w:color="auto" w:fill="auto"/>
            <w:noWrap/>
            <w:vAlign w:val="bottom"/>
          </w:tcPr>
          <w:p w14:paraId="424E4BF7" w14:textId="77777777" w:rsidR="002C0210" w:rsidRPr="00604A4A" w:rsidRDefault="002C0210" w:rsidP="0071438E">
            <w:pPr>
              <w:spacing w:line="240" w:lineRule="auto"/>
              <w:jc w:val="right"/>
              <w:rPr>
                <w:color w:val="000000"/>
                <w:sz w:val="16"/>
                <w:szCs w:val="16"/>
              </w:rPr>
            </w:pPr>
            <w:r w:rsidRPr="00604A4A">
              <w:rPr>
                <w:color w:val="000000"/>
                <w:sz w:val="16"/>
                <w:szCs w:val="16"/>
              </w:rPr>
              <w:t xml:space="preserve">     14,604 </w:t>
            </w:r>
          </w:p>
        </w:tc>
        <w:tc>
          <w:tcPr>
            <w:tcW w:w="450" w:type="pct"/>
            <w:shd w:val="clear" w:color="auto" w:fill="auto"/>
            <w:noWrap/>
            <w:vAlign w:val="bottom"/>
          </w:tcPr>
          <w:p w14:paraId="50C529FB" w14:textId="77777777" w:rsidR="002C0210" w:rsidRPr="00604A4A" w:rsidRDefault="002C0210" w:rsidP="0071438E">
            <w:pPr>
              <w:spacing w:line="240" w:lineRule="auto"/>
              <w:jc w:val="right"/>
              <w:rPr>
                <w:color w:val="000000"/>
                <w:sz w:val="16"/>
                <w:szCs w:val="16"/>
              </w:rPr>
            </w:pPr>
            <w:r w:rsidRPr="00604A4A">
              <w:rPr>
                <w:color w:val="000000"/>
                <w:sz w:val="16"/>
                <w:szCs w:val="16"/>
              </w:rPr>
              <w:t xml:space="preserve">     22,495 </w:t>
            </w:r>
          </w:p>
        </w:tc>
        <w:tc>
          <w:tcPr>
            <w:tcW w:w="403" w:type="pct"/>
            <w:shd w:val="clear" w:color="auto" w:fill="auto"/>
            <w:noWrap/>
            <w:vAlign w:val="bottom"/>
          </w:tcPr>
          <w:p w14:paraId="36E86790" w14:textId="77777777" w:rsidR="002C0210" w:rsidRPr="00604A4A" w:rsidRDefault="000E66FA" w:rsidP="00696EF9">
            <w:pPr>
              <w:spacing w:line="240" w:lineRule="auto"/>
              <w:jc w:val="right"/>
              <w:rPr>
                <w:color w:val="000000"/>
                <w:sz w:val="16"/>
                <w:szCs w:val="16"/>
              </w:rPr>
            </w:pPr>
            <w:r w:rsidRPr="00604A4A">
              <w:rPr>
                <w:color w:val="000000"/>
                <w:sz w:val="16"/>
                <w:szCs w:val="16"/>
              </w:rPr>
              <w:t>17,990</w:t>
            </w:r>
          </w:p>
        </w:tc>
        <w:tc>
          <w:tcPr>
            <w:tcW w:w="457" w:type="pct"/>
            <w:shd w:val="clear" w:color="auto" w:fill="auto"/>
            <w:noWrap/>
            <w:vAlign w:val="bottom"/>
          </w:tcPr>
          <w:p w14:paraId="0CD9CFF0" w14:textId="77777777" w:rsidR="002C0210" w:rsidRPr="00604A4A" w:rsidRDefault="000E66FA" w:rsidP="00696EF9">
            <w:pPr>
              <w:spacing w:line="240" w:lineRule="auto"/>
              <w:jc w:val="right"/>
              <w:rPr>
                <w:color w:val="000000"/>
                <w:sz w:val="16"/>
                <w:szCs w:val="16"/>
              </w:rPr>
            </w:pPr>
            <w:r w:rsidRPr="00604A4A">
              <w:rPr>
                <w:color w:val="000000"/>
                <w:sz w:val="16"/>
                <w:szCs w:val="16"/>
              </w:rPr>
              <w:t>29,540</w:t>
            </w:r>
          </w:p>
        </w:tc>
      </w:tr>
      <w:tr w:rsidR="002C0210" w:rsidRPr="00604A4A" w14:paraId="6825E22E" w14:textId="77777777" w:rsidTr="00F96C11">
        <w:trPr>
          <w:trHeight w:val="288"/>
        </w:trPr>
        <w:tc>
          <w:tcPr>
            <w:tcW w:w="1040" w:type="pct"/>
            <w:shd w:val="clear" w:color="auto" w:fill="auto"/>
            <w:noWrap/>
            <w:vAlign w:val="bottom"/>
            <w:hideMark/>
          </w:tcPr>
          <w:p w14:paraId="0D75F6F2" w14:textId="77777777" w:rsidR="002C0210" w:rsidRPr="00604A4A" w:rsidRDefault="002C0210" w:rsidP="00696EF9">
            <w:pPr>
              <w:spacing w:line="240" w:lineRule="auto"/>
              <w:rPr>
                <w:color w:val="000000"/>
                <w:sz w:val="16"/>
                <w:szCs w:val="16"/>
              </w:rPr>
            </w:pPr>
            <w:r w:rsidRPr="00604A4A">
              <w:rPr>
                <w:color w:val="000000"/>
                <w:sz w:val="16"/>
                <w:szCs w:val="16"/>
              </w:rPr>
              <w:t>Health Spending (Nominal)</w:t>
            </w:r>
          </w:p>
        </w:tc>
        <w:tc>
          <w:tcPr>
            <w:tcW w:w="450" w:type="pct"/>
            <w:shd w:val="clear" w:color="auto" w:fill="auto"/>
            <w:noWrap/>
            <w:vAlign w:val="bottom"/>
          </w:tcPr>
          <w:p w14:paraId="018F686D" w14:textId="77777777" w:rsidR="002C0210" w:rsidRPr="00604A4A" w:rsidRDefault="002C0210" w:rsidP="0071438E">
            <w:pPr>
              <w:spacing w:line="240" w:lineRule="auto"/>
              <w:jc w:val="right"/>
              <w:rPr>
                <w:color w:val="000000"/>
                <w:sz w:val="16"/>
                <w:szCs w:val="16"/>
              </w:rPr>
            </w:pPr>
            <w:r w:rsidRPr="00604A4A">
              <w:rPr>
                <w:color w:val="000000"/>
                <w:sz w:val="16"/>
                <w:szCs w:val="16"/>
              </w:rPr>
              <w:t>1,270</w:t>
            </w:r>
          </w:p>
        </w:tc>
        <w:tc>
          <w:tcPr>
            <w:tcW w:w="448" w:type="pct"/>
            <w:shd w:val="clear" w:color="auto" w:fill="auto"/>
            <w:noWrap/>
            <w:vAlign w:val="bottom"/>
          </w:tcPr>
          <w:p w14:paraId="75A5CE26" w14:textId="77777777" w:rsidR="002C0210" w:rsidRPr="00604A4A" w:rsidRDefault="002C0210" w:rsidP="0071438E">
            <w:pPr>
              <w:spacing w:line="240" w:lineRule="auto"/>
              <w:jc w:val="right"/>
              <w:rPr>
                <w:color w:val="000000"/>
                <w:sz w:val="16"/>
                <w:szCs w:val="16"/>
              </w:rPr>
            </w:pPr>
            <w:r w:rsidRPr="00604A4A">
              <w:rPr>
                <w:color w:val="000000"/>
                <w:sz w:val="16"/>
                <w:szCs w:val="16"/>
              </w:rPr>
              <w:t>1,055</w:t>
            </w:r>
          </w:p>
        </w:tc>
        <w:tc>
          <w:tcPr>
            <w:tcW w:w="450" w:type="pct"/>
            <w:shd w:val="clear" w:color="auto" w:fill="auto"/>
            <w:noWrap/>
            <w:vAlign w:val="bottom"/>
          </w:tcPr>
          <w:p w14:paraId="74E27C9E" w14:textId="77777777" w:rsidR="002C0210" w:rsidRPr="009D6776" w:rsidRDefault="002C0210" w:rsidP="0071438E">
            <w:pPr>
              <w:spacing w:line="240" w:lineRule="auto"/>
              <w:jc w:val="right"/>
              <w:rPr>
                <w:color w:val="000000"/>
                <w:sz w:val="16"/>
                <w:szCs w:val="16"/>
              </w:rPr>
            </w:pPr>
            <w:r w:rsidRPr="009D6776">
              <w:rPr>
                <w:color w:val="000000"/>
                <w:sz w:val="16"/>
                <w:szCs w:val="16"/>
              </w:rPr>
              <w:t>1,514</w:t>
            </w:r>
          </w:p>
        </w:tc>
        <w:tc>
          <w:tcPr>
            <w:tcW w:w="403" w:type="pct"/>
            <w:shd w:val="clear" w:color="auto" w:fill="auto"/>
            <w:noWrap/>
            <w:vAlign w:val="bottom"/>
          </w:tcPr>
          <w:p w14:paraId="2FD3A5AC" w14:textId="77777777" w:rsidR="002C0210" w:rsidRPr="009D6776" w:rsidRDefault="002C0210" w:rsidP="0071438E">
            <w:pPr>
              <w:spacing w:line="240" w:lineRule="auto"/>
              <w:jc w:val="right"/>
              <w:rPr>
                <w:color w:val="000000"/>
                <w:sz w:val="16"/>
                <w:szCs w:val="16"/>
              </w:rPr>
            </w:pPr>
            <w:r w:rsidRPr="009D6776">
              <w:rPr>
                <w:color w:val="000000"/>
                <w:sz w:val="16"/>
                <w:szCs w:val="16"/>
              </w:rPr>
              <w:t>1,306</w:t>
            </w:r>
          </w:p>
        </w:tc>
        <w:tc>
          <w:tcPr>
            <w:tcW w:w="450" w:type="pct"/>
            <w:shd w:val="clear" w:color="auto" w:fill="auto"/>
            <w:noWrap/>
            <w:vAlign w:val="bottom"/>
          </w:tcPr>
          <w:p w14:paraId="65877D17" w14:textId="77777777" w:rsidR="002C0210" w:rsidRPr="009D6776" w:rsidRDefault="002C0210" w:rsidP="0071438E">
            <w:pPr>
              <w:spacing w:line="240" w:lineRule="auto"/>
              <w:jc w:val="right"/>
              <w:rPr>
                <w:color w:val="000000"/>
                <w:sz w:val="16"/>
                <w:szCs w:val="16"/>
              </w:rPr>
            </w:pPr>
            <w:r w:rsidRPr="009D6776">
              <w:rPr>
                <w:color w:val="000000"/>
                <w:sz w:val="16"/>
                <w:szCs w:val="16"/>
              </w:rPr>
              <w:t xml:space="preserve">        1,448 </w:t>
            </w:r>
          </w:p>
        </w:tc>
        <w:tc>
          <w:tcPr>
            <w:tcW w:w="448" w:type="pct"/>
            <w:shd w:val="clear" w:color="auto" w:fill="auto"/>
            <w:noWrap/>
            <w:vAlign w:val="bottom"/>
          </w:tcPr>
          <w:p w14:paraId="19D6D1BF" w14:textId="77777777" w:rsidR="002C0210" w:rsidRPr="009D6776" w:rsidRDefault="002C0210" w:rsidP="0071438E">
            <w:pPr>
              <w:spacing w:line="240" w:lineRule="auto"/>
              <w:jc w:val="right"/>
              <w:rPr>
                <w:color w:val="000000"/>
                <w:sz w:val="16"/>
                <w:szCs w:val="16"/>
              </w:rPr>
            </w:pPr>
            <w:r w:rsidRPr="009D6776">
              <w:rPr>
                <w:color w:val="000000"/>
                <w:sz w:val="16"/>
                <w:szCs w:val="16"/>
              </w:rPr>
              <w:t xml:space="preserve">        1,192 </w:t>
            </w:r>
          </w:p>
        </w:tc>
        <w:tc>
          <w:tcPr>
            <w:tcW w:w="450" w:type="pct"/>
            <w:shd w:val="clear" w:color="auto" w:fill="auto"/>
            <w:noWrap/>
            <w:vAlign w:val="bottom"/>
          </w:tcPr>
          <w:p w14:paraId="61393F90" w14:textId="77777777" w:rsidR="002C0210" w:rsidRPr="009D6776" w:rsidRDefault="002C0210" w:rsidP="0071438E">
            <w:pPr>
              <w:spacing w:line="240" w:lineRule="auto"/>
              <w:jc w:val="right"/>
              <w:rPr>
                <w:color w:val="000000"/>
                <w:sz w:val="16"/>
                <w:szCs w:val="16"/>
              </w:rPr>
            </w:pPr>
            <w:r w:rsidRPr="009D6776">
              <w:rPr>
                <w:color w:val="000000"/>
                <w:sz w:val="16"/>
                <w:szCs w:val="16"/>
              </w:rPr>
              <w:t xml:space="preserve">        1,821 </w:t>
            </w:r>
          </w:p>
        </w:tc>
        <w:tc>
          <w:tcPr>
            <w:tcW w:w="403" w:type="pct"/>
            <w:shd w:val="clear" w:color="auto" w:fill="auto"/>
            <w:noWrap/>
            <w:vAlign w:val="bottom"/>
          </w:tcPr>
          <w:p w14:paraId="6C485379" w14:textId="77777777" w:rsidR="002C0210" w:rsidRPr="009D6776" w:rsidRDefault="000E66FA" w:rsidP="00696EF9">
            <w:pPr>
              <w:spacing w:line="240" w:lineRule="auto"/>
              <w:jc w:val="right"/>
              <w:rPr>
                <w:color w:val="000000"/>
                <w:sz w:val="16"/>
                <w:szCs w:val="16"/>
              </w:rPr>
            </w:pPr>
            <w:r w:rsidRPr="009D6776">
              <w:rPr>
                <w:color w:val="000000"/>
                <w:sz w:val="16"/>
                <w:szCs w:val="16"/>
              </w:rPr>
              <w:t>1,446</w:t>
            </w:r>
          </w:p>
        </w:tc>
        <w:tc>
          <w:tcPr>
            <w:tcW w:w="457" w:type="pct"/>
            <w:shd w:val="clear" w:color="auto" w:fill="auto"/>
            <w:noWrap/>
            <w:vAlign w:val="bottom"/>
          </w:tcPr>
          <w:p w14:paraId="2DB732D5" w14:textId="77777777" w:rsidR="002C0210" w:rsidRPr="009D6776" w:rsidRDefault="000E66FA" w:rsidP="00696EF9">
            <w:pPr>
              <w:spacing w:line="240" w:lineRule="auto"/>
              <w:jc w:val="right"/>
              <w:rPr>
                <w:color w:val="000000"/>
                <w:sz w:val="16"/>
                <w:szCs w:val="16"/>
              </w:rPr>
            </w:pPr>
            <w:r w:rsidRPr="009D6776">
              <w:rPr>
                <w:color w:val="000000"/>
                <w:sz w:val="16"/>
                <w:szCs w:val="16"/>
              </w:rPr>
              <w:t>2,465</w:t>
            </w:r>
          </w:p>
        </w:tc>
      </w:tr>
      <w:tr w:rsidR="002C0210" w:rsidRPr="00604A4A" w14:paraId="051B493E" w14:textId="77777777" w:rsidTr="00F96C11">
        <w:trPr>
          <w:trHeight w:val="288"/>
        </w:trPr>
        <w:tc>
          <w:tcPr>
            <w:tcW w:w="1040" w:type="pct"/>
            <w:shd w:val="clear" w:color="auto" w:fill="auto"/>
            <w:noWrap/>
            <w:vAlign w:val="bottom"/>
            <w:hideMark/>
          </w:tcPr>
          <w:p w14:paraId="1062DF86" w14:textId="77777777" w:rsidR="002C0210" w:rsidRPr="00604A4A" w:rsidRDefault="002C0210" w:rsidP="00696EF9">
            <w:pPr>
              <w:spacing w:line="240" w:lineRule="auto"/>
              <w:rPr>
                <w:color w:val="000000"/>
                <w:sz w:val="16"/>
                <w:szCs w:val="16"/>
              </w:rPr>
            </w:pPr>
            <w:r w:rsidRPr="00604A4A">
              <w:rPr>
                <w:color w:val="000000"/>
                <w:sz w:val="16"/>
                <w:szCs w:val="16"/>
              </w:rPr>
              <w:t>Health Spending (Nominal less NHIF)</w:t>
            </w:r>
          </w:p>
        </w:tc>
        <w:tc>
          <w:tcPr>
            <w:tcW w:w="450" w:type="pct"/>
            <w:shd w:val="clear" w:color="auto" w:fill="auto"/>
            <w:noWrap/>
            <w:vAlign w:val="bottom"/>
          </w:tcPr>
          <w:p w14:paraId="3C25BEDE" w14:textId="77777777" w:rsidR="002C0210" w:rsidRPr="00604A4A" w:rsidRDefault="002C0210" w:rsidP="0071438E">
            <w:pPr>
              <w:spacing w:line="240" w:lineRule="auto"/>
              <w:jc w:val="right"/>
              <w:rPr>
                <w:color w:val="000000"/>
                <w:sz w:val="16"/>
                <w:szCs w:val="16"/>
              </w:rPr>
            </w:pPr>
            <w:r w:rsidRPr="00604A4A">
              <w:rPr>
                <w:color w:val="000000"/>
                <w:sz w:val="16"/>
                <w:szCs w:val="16"/>
              </w:rPr>
              <w:t>1,163</w:t>
            </w:r>
          </w:p>
        </w:tc>
        <w:tc>
          <w:tcPr>
            <w:tcW w:w="448" w:type="pct"/>
            <w:shd w:val="clear" w:color="auto" w:fill="auto"/>
            <w:noWrap/>
            <w:vAlign w:val="bottom"/>
          </w:tcPr>
          <w:p w14:paraId="0F18246A" w14:textId="77777777" w:rsidR="002C0210" w:rsidRPr="00604A4A" w:rsidRDefault="002C0210" w:rsidP="0071438E">
            <w:pPr>
              <w:spacing w:line="240" w:lineRule="auto"/>
              <w:jc w:val="right"/>
              <w:rPr>
                <w:color w:val="000000"/>
                <w:sz w:val="16"/>
                <w:szCs w:val="16"/>
              </w:rPr>
            </w:pPr>
            <w:r w:rsidRPr="00604A4A">
              <w:rPr>
                <w:color w:val="000000"/>
                <w:sz w:val="16"/>
                <w:szCs w:val="16"/>
              </w:rPr>
              <w:t>948</w:t>
            </w:r>
          </w:p>
        </w:tc>
        <w:tc>
          <w:tcPr>
            <w:tcW w:w="450" w:type="pct"/>
            <w:shd w:val="clear" w:color="auto" w:fill="auto"/>
            <w:noWrap/>
            <w:vAlign w:val="bottom"/>
          </w:tcPr>
          <w:p w14:paraId="2C39C136" w14:textId="77777777" w:rsidR="002C0210" w:rsidRPr="00604A4A" w:rsidRDefault="002C0210" w:rsidP="0071438E">
            <w:pPr>
              <w:spacing w:line="240" w:lineRule="auto"/>
              <w:jc w:val="right"/>
              <w:rPr>
                <w:color w:val="000000"/>
                <w:sz w:val="16"/>
                <w:szCs w:val="16"/>
              </w:rPr>
            </w:pPr>
            <w:r w:rsidRPr="00604A4A">
              <w:rPr>
                <w:color w:val="000000"/>
                <w:sz w:val="16"/>
                <w:szCs w:val="16"/>
              </w:rPr>
              <w:t>1,389</w:t>
            </w:r>
          </w:p>
        </w:tc>
        <w:tc>
          <w:tcPr>
            <w:tcW w:w="403" w:type="pct"/>
            <w:shd w:val="clear" w:color="auto" w:fill="auto"/>
            <w:noWrap/>
            <w:vAlign w:val="bottom"/>
          </w:tcPr>
          <w:p w14:paraId="3EB61221" w14:textId="77777777" w:rsidR="002C0210" w:rsidRPr="00604A4A" w:rsidRDefault="002C0210" w:rsidP="0071438E">
            <w:pPr>
              <w:spacing w:line="240" w:lineRule="auto"/>
              <w:jc w:val="right"/>
              <w:rPr>
                <w:color w:val="000000"/>
                <w:sz w:val="16"/>
                <w:szCs w:val="16"/>
              </w:rPr>
            </w:pPr>
            <w:r w:rsidRPr="00604A4A">
              <w:rPr>
                <w:color w:val="000000"/>
                <w:sz w:val="16"/>
                <w:szCs w:val="16"/>
              </w:rPr>
              <w:t>1,182</w:t>
            </w:r>
          </w:p>
        </w:tc>
        <w:tc>
          <w:tcPr>
            <w:tcW w:w="450" w:type="pct"/>
            <w:shd w:val="clear" w:color="auto" w:fill="auto"/>
            <w:noWrap/>
            <w:vAlign w:val="bottom"/>
          </w:tcPr>
          <w:p w14:paraId="69E249D6" w14:textId="77777777" w:rsidR="002C0210" w:rsidRPr="00604A4A" w:rsidRDefault="002C0210" w:rsidP="0071438E">
            <w:pPr>
              <w:spacing w:line="240" w:lineRule="auto"/>
              <w:jc w:val="right"/>
              <w:rPr>
                <w:color w:val="000000"/>
                <w:sz w:val="16"/>
                <w:szCs w:val="16"/>
              </w:rPr>
            </w:pPr>
            <w:r w:rsidRPr="00604A4A">
              <w:rPr>
                <w:color w:val="000000"/>
                <w:sz w:val="16"/>
                <w:szCs w:val="16"/>
              </w:rPr>
              <w:t xml:space="preserve">        1,305 </w:t>
            </w:r>
          </w:p>
        </w:tc>
        <w:tc>
          <w:tcPr>
            <w:tcW w:w="448" w:type="pct"/>
            <w:shd w:val="clear" w:color="auto" w:fill="auto"/>
            <w:noWrap/>
            <w:vAlign w:val="bottom"/>
          </w:tcPr>
          <w:p w14:paraId="29378C62" w14:textId="77777777" w:rsidR="002C0210" w:rsidRPr="00604A4A" w:rsidRDefault="002C0210" w:rsidP="0071438E">
            <w:pPr>
              <w:spacing w:line="240" w:lineRule="auto"/>
              <w:jc w:val="right"/>
              <w:rPr>
                <w:color w:val="000000"/>
                <w:sz w:val="16"/>
                <w:szCs w:val="16"/>
              </w:rPr>
            </w:pPr>
            <w:r w:rsidRPr="00604A4A">
              <w:rPr>
                <w:color w:val="000000"/>
                <w:sz w:val="16"/>
                <w:szCs w:val="16"/>
              </w:rPr>
              <w:t xml:space="preserve">        1,050 </w:t>
            </w:r>
          </w:p>
        </w:tc>
        <w:tc>
          <w:tcPr>
            <w:tcW w:w="450" w:type="pct"/>
            <w:shd w:val="clear" w:color="auto" w:fill="auto"/>
            <w:noWrap/>
            <w:vAlign w:val="bottom"/>
          </w:tcPr>
          <w:p w14:paraId="531145D2" w14:textId="77777777" w:rsidR="002C0210" w:rsidRPr="00604A4A" w:rsidRDefault="002C0210" w:rsidP="0071438E">
            <w:pPr>
              <w:spacing w:line="240" w:lineRule="auto"/>
              <w:jc w:val="right"/>
              <w:rPr>
                <w:color w:val="000000"/>
                <w:sz w:val="16"/>
                <w:szCs w:val="16"/>
              </w:rPr>
            </w:pPr>
            <w:r w:rsidRPr="00604A4A">
              <w:rPr>
                <w:color w:val="000000"/>
                <w:sz w:val="16"/>
                <w:szCs w:val="16"/>
              </w:rPr>
              <w:t xml:space="preserve">        1,621 </w:t>
            </w:r>
          </w:p>
        </w:tc>
        <w:tc>
          <w:tcPr>
            <w:tcW w:w="403" w:type="pct"/>
            <w:shd w:val="clear" w:color="auto" w:fill="auto"/>
            <w:noWrap/>
            <w:vAlign w:val="bottom"/>
          </w:tcPr>
          <w:p w14:paraId="58B0684C" w14:textId="77777777" w:rsidR="002C0210" w:rsidRPr="00604A4A" w:rsidRDefault="000E66FA" w:rsidP="00696EF9">
            <w:pPr>
              <w:spacing w:line="240" w:lineRule="auto"/>
              <w:jc w:val="right"/>
              <w:rPr>
                <w:color w:val="000000"/>
                <w:sz w:val="16"/>
                <w:szCs w:val="16"/>
              </w:rPr>
            </w:pPr>
            <w:r w:rsidRPr="00604A4A">
              <w:rPr>
                <w:color w:val="000000"/>
                <w:sz w:val="16"/>
                <w:szCs w:val="16"/>
              </w:rPr>
              <w:t>1,236</w:t>
            </w:r>
          </w:p>
        </w:tc>
        <w:tc>
          <w:tcPr>
            <w:tcW w:w="457" w:type="pct"/>
            <w:shd w:val="clear" w:color="auto" w:fill="auto"/>
            <w:noWrap/>
            <w:vAlign w:val="bottom"/>
          </w:tcPr>
          <w:p w14:paraId="029E11BE" w14:textId="77777777" w:rsidR="002C0210" w:rsidRPr="00604A4A" w:rsidRDefault="000E66FA" w:rsidP="00696EF9">
            <w:pPr>
              <w:spacing w:line="240" w:lineRule="auto"/>
              <w:jc w:val="right"/>
              <w:rPr>
                <w:color w:val="000000"/>
                <w:sz w:val="16"/>
                <w:szCs w:val="16"/>
              </w:rPr>
            </w:pPr>
            <w:r w:rsidRPr="00604A4A">
              <w:rPr>
                <w:color w:val="000000"/>
                <w:sz w:val="16"/>
                <w:szCs w:val="16"/>
              </w:rPr>
              <w:t>2,015</w:t>
            </w:r>
          </w:p>
        </w:tc>
      </w:tr>
      <w:tr w:rsidR="002C0210" w:rsidRPr="00604A4A" w14:paraId="1AF42668" w14:textId="77777777" w:rsidTr="00F96C11">
        <w:trPr>
          <w:trHeight w:val="288"/>
        </w:trPr>
        <w:tc>
          <w:tcPr>
            <w:tcW w:w="1040" w:type="pct"/>
            <w:shd w:val="clear" w:color="auto" w:fill="auto"/>
            <w:noWrap/>
            <w:vAlign w:val="bottom"/>
            <w:hideMark/>
          </w:tcPr>
          <w:p w14:paraId="02D5913E" w14:textId="77777777" w:rsidR="002C0210" w:rsidRPr="00604A4A" w:rsidRDefault="002C0210" w:rsidP="00696EF9">
            <w:pPr>
              <w:spacing w:line="240" w:lineRule="auto"/>
              <w:rPr>
                <w:color w:val="000000"/>
                <w:sz w:val="16"/>
                <w:szCs w:val="16"/>
              </w:rPr>
            </w:pPr>
            <w:r w:rsidRPr="00604A4A">
              <w:rPr>
                <w:color w:val="000000"/>
                <w:sz w:val="16"/>
                <w:szCs w:val="16"/>
              </w:rPr>
              <w:t>Health Spending (Real)</w:t>
            </w:r>
          </w:p>
        </w:tc>
        <w:tc>
          <w:tcPr>
            <w:tcW w:w="450" w:type="pct"/>
            <w:shd w:val="clear" w:color="auto" w:fill="auto"/>
            <w:noWrap/>
            <w:vAlign w:val="bottom"/>
          </w:tcPr>
          <w:p w14:paraId="5631A718" w14:textId="77777777" w:rsidR="002C0210" w:rsidRPr="00604A4A" w:rsidRDefault="002C0210" w:rsidP="0071438E">
            <w:pPr>
              <w:spacing w:line="240" w:lineRule="auto"/>
              <w:jc w:val="right"/>
              <w:rPr>
                <w:color w:val="000000"/>
                <w:sz w:val="16"/>
                <w:szCs w:val="16"/>
              </w:rPr>
            </w:pPr>
            <w:r w:rsidRPr="00604A4A">
              <w:rPr>
                <w:color w:val="000000"/>
                <w:sz w:val="16"/>
                <w:szCs w:val="16"/>
              </w:rPr>
              <w:t>715 </w:t>
            </w:r>
          </w:p>
        </w:tc>
        <w:tc>
          <w:tcPr>
            <w:tcW w:w="448" w:type="pct"/>
            <w:shd w:val="clear" w:color="auto" w:fill="auto"/>
            <w:noWrap/>
            <w:vAlign w:val="bottom"/>
          </w:tcPr>
          <w:p w14:paraId="49E41B6A" w14:textId="77777777" w:rsidR="002C0210" w:rsidRPr="00604A4A" w:rsidRDefault="002C0210" w:rsidP="0071438E">
            <w:pPr>
              <w:spacing w:line="240" w:lineRule="auto"/>
              <w:jc w:val="right"/>
              <w:rPr>
                <w:color w:val="000000"/>
                <w:sz w:val="16"/>
                <w:szCs w:val="16"/>
              </w:rPr>
            </w:pPr>
            <w:r w:rsidRPr="00604A4A">
              <w:rPr>
                <w:color w:val="000000"/>
                <w:sz w:val="16"/>
                <w:szCs w:val="16"/>
              </w:rPr>
              <w:t>594 </w:t>
            </w:r>
          </w:p>
        </w:tc>
        <w:tc>
          <w:tcPr>
            <w:tcW w:w="450" w:type="pct"/>
            <w:shd w:val="clear" w:color="auto" w:fill="auto"/>
            <w:noWrap/>
            <w:vAlign w:val="bottom"/>
          </w:tcPr>
          <w:p w14:paraId="4EFC9756" w14:textId="77777777" w:rsidR="002C0210" w:rsidRPr="00604A4A" w:rsidRDefault="002C0210" w:rsidP="0071438E">
            <w:pPr>
              <w:spacing w:line="240" w:lineRule="auto"/>
              <w:jc w:val="right"/>
              <w:rPr>
                <w:color w:val="000000"/>
                <w:sz w:val="16"/>
                <w:szCs w:val="16"/>
              </w:rPr>
            </w:pPr>
            <w:r w:rsidRPr="00604A4A">
              <w:rPr>
                <w:color w:val="000000"/>
                <w:sz w:val="16"/>
                <w:szCs w:val="16"/>
              </w:rPr>
              <w:t>809 </w:t>
            </w:r>
          </w:p>
        </w:tc>
        <w:tc>
          <w:tcPr>
            <w:tcW w:w="403" w:type="pct"/>
            <w:shd w:val="clear" w:color="auto" w:fill="auto"/>
            <w:noWrap/>
            <w:vAlign w:val="bottom"/>
          </w:tcPr>
          <w:p w14:paraId="4B469250" w14:textId="77777777" w:rsidR="002C0210" w:rsidRPr="00604A4A" w:rsidRDefault="002C0210" w:rsidP="0071438E">
            <w:pPr>
              <w:spacing w:line="240" w:lineRule="auto"/>
              <w:jc w:val="right"/>
              <w:rPr>
                <w:color w:val="000000"/>
                <w:sz w:val="16"/>
                <w:szCs w:val="16"/>
              </w:rPr>
            </w:pPr>
            <w:r w:rsidRPr="00604A4A">
              <w:rPr>
                <w:color w:val="000000"/>
                <w:sz w:val="16"/>
                <w:szCs w:val="16"/>
              </w:rPr>
              <w:t>698 </w:t>
            </w:r>
          </w:p>
        </w:tc>
        <w:tc>
          <w:tcPr>
            <w:tcW w:w="450" w:type="pct"/>
            <w:shd w:val="clear" w:color="auto" w:fill="auto"/>
            <w:noWrap/>
            <w:vAlign w:val="bottom"/>
          </w:tcPr>
          <w:p w14:paraId="6D67D942" w14:textId="77777777" w:rsidR="002C0210" w:rsidRPr="00604A4A" w:rsidRDefault="002C0210" w:rsidP="0071438E">
            <w:pPr>
              <w:spacing w:line="240" w:lineRule="auto"/>
              <w:jc w:val="right"/>
              <w:rPr>
                <w:color w:val="000000"/>
                <w:sz w:val="16"/>
                <w:szCs w:val="16"/>
              </w:rPr>
            </w:pPr>
            <w:r w:rsidRPr="00604A4A">
              <w:rPr>
                <w:color w:val="000000"/>
                <w:sz w:val="16"/>
                <w:szCs w:val="16"/>
              </w:rPr>
              <w:t>736 </w:t>
            </w:r>
          </w:p>
        </w:tc>
        <w:tc>
          <w:tcPr>
            <w:tcW w:w="448" w:type="pct"/>
            <w:shd w:val="clear" w:color="auto" w:fill="auto"/>
            <w:noWrap/>
            <w:vAlign w:val="bottom"/>
          </w:tcPr>
          <w:p w14:paraId="44069CC8" w14:textId="77777777" w:rsidR="002C0210" w:rsidRPr="00604A4A" w:rsidRDefault="002C0210" w:rsidP="0071438E">
            <w:pPr>
              <w:spacing w:line="240" w:lineRule="auto"/>
              <w:jc w:val="right"/>
              <w:rPr>
                <w:color w:val="000000"/>
                <w:sz w:val="16"/>
                <w:szCs w:val="16"/>
              </w:rPr>
            </w:pPr>
            <w:r w:rsidRPr="00604A4A">
              <w:rPr>
                <w:color w:val="000000"/>
                <w:sz w:val="16"/>
                <w:szCs w:val="16"/>
              </w:rPr>
              <w:t>606 </w:t>
            </w:r>
          </w:p>
        </w:tc>
        <w:tc>
          <w:tcPr>
            <w:tcW w:w="450" w:type="pct"/>
            <w:shd w:val="clear" w:color="auto" w:fill="auto"/>
            <w:noWrap/>
            <w:vAlign w:val="bottom"/>
          </w:tcPr>
          <w:p w14:paraId="4CB97C66" w14:textId="77777777" w:rsidR="002C0210" w:rsidRPr="00604A4A" w:rsidRDefault="002C0210" w:rsidP="0071438E">
            <w:pPr>
              <w:spacing w:line="240" w:lineRule="auto"/>
              <w:jc w:val="right"/>
              <w:rPr>
                <w:color w:val="000000"/>
                <w:sz w:val="16"/>
                <w:szCs w:val="16"/>
              </w:rPr>
            </w:pPr>
            <w:r w:rsidRPr="00604A4A">
              <w:rPr>
                <w:color w:val="000000"/>
                <w:sz w:val="16"/>
                <w:szCs w:val="16"/>
              </w:rPr>
              <w:t>876 </w:t>
            </w:r>
          </w:p>
        </w:tc>
        <w:tc>
          <w:tcPr>
            <w:tcW w:w="403" w:type="pct"/>
            <w:shd w:val="clear" w:color="auto" w:fill="auto"/>
            <w:noWrap/>
            <w:vAlign w:val="bottom"/>
          </w:tcPr>
          <w:p w14:paraId="02E6236F" w14:textId="77777777" w:rsidR="002C0210" w:rsidRPr="00604A4A" w:rsidRDefault="000E66FA" w:rsidP="00696EF9">
            <w:pPr>
              <w:spacing w:line="240" w:lineRule="auto"/>
              <w:jc w:val="right"/>
              <w:rPr>
                <w:color w:val="000000"/>
                <w:sz w:val="16"/>
                <w:szCs w:val="16"/>
              </w:rPr>
            </w:pPr>
            <w:r w:rsidRPr="00604A4A">
              <w:rPr>
                <w:color w:val="000000"/>
                <w:sz w:val="16"/>
                <w:szCs w:val="16"/>
              </w:rPr>
              <w:t>695</w:t>
            </w:r>
          </w:p>
        </w:tc>
        <w:tc>
          <w:tcPr>
            <w:tcW w:w="457" w:type="pct"/>
            <w:shd w:val="clear" w:color="auto" w:fill="auto"/>
            <w:noWrap/>
            <w:vAlign w:val="bottom"/>
          </w:tcPr>
          <w:p w14:paraId="51EA0CA6" w14:textId="77777777" w:rsidR="002C0210" w:rsidRPr="00604A4A" w:rsidRDefault="000E66FA" w:rsidP="00696EF9">
            <w:pPr>
              <w:spacing w:line="240" w:lineRule="auto"/>
              <w:jc w:val="right"/>
              <w:rPr>
                <w:color w:val="000000"/>
                <w:sz w:val="16"/>
                <w:szCs w:val="16"/>
              </w:rPr>
            </w:pPr>
            <w:r w:rsidRPr="00604A4A">
              <w:rPr>
                <w:color w:val="000000"/>
                <w:sz w:val="16"/>
                <w:szCs w:val="16"/>
              </w:rPr>
              <w:t>1,196</w:t>
            </w:r>
          </w:p>
        </w:tc>
      </w:tr>
      <w:tr w:rsidR="002C0210" w:rsidRPr="00604A4A" w14:paraId="6F907B7E" w14:textId="77777777" w:rsidTr="00F96C11">
        <w:trPr>
          <w:trHeight w:val="288"/>
        </w:trPr>
        <w:tc>
          <w:tcPr>
            <w:tcW w:w="5000" w:type="pct"/>
            <w:gridSpan w:val="10"/>
            <w:shd w:val="clear" w:color="auto" w:fill="auto"/>
            <w:noWrap/>
            <w:vAlign w:val="bottom"/>
          </w:tcPr>
          <w:p w14:paraId="2372360E" w14:textId="77777777" w:rsidR="002C0210" w:rsidRPr="00604A4A" w:rsidRDefault="002C0210" w:rsidP="00696EF9">
            <w:pPr>
              <w:spacing w:line="240" w:lineRule="auto"/>
              <w:jc w:val="center"/>
              <w:rPr>
                <w:b/>
                <w:color w:val="000000"/>
                <w:sz w:val="16"/>
                <w:szCs w:val="16"/>
              </w:rPr>
            </w:pPr>
            <w:r w:rsidRPr="00604A4A">
              <w:rPr>
                <w:b/>
                <w:color w:val="000000"/>
                <w:sz w:val="16"/>
                <w:szCs w:val="16"/>
              </w:rPr>
              <w:t>Sector Weights</w:t>
            </w:r>
          </w:p>
        </w:tc>
      </w:tr>
      <w:tr w:rsidR="002C0210" w:rsidRPr="00604A4A" w14:paraId="445433DE" w14:textId="77777777" w:rsidTr="00F96C11">
        <w:trPr>
          <w:trHeight w:val="288"/>
        </w:trPr>
        <w:tc>
          <w:tcPr>
            <w:tcW w:w="1040" w:type="pct"/>
            <w:shd w:val="clear" w:color="auto" w:fill="auto"/>
            <w:noWrap/>
            <w:vAlign w:val="bottom"/>
            <w:hideMark/>
          </w:tcPr>
          <w:p w14:paraId="14DE8AC2" w14:textId="77777777" w:rsidR="002C0210" w:rsidRPr="00604A4A" w:rsidRDefault="002C0210" w:rsidP="00696EF9">
            <w:pPr>
              <w:spacing w:line="240" w:lineRule="auto"/>
              <w:rPr>
                <w:color w:val="000000"/>
                <w:sz w:val="16"/>
                <w:szCs w:val="16"/>
              </w:rPr>
            </w:pPr>
            <w:r w:rsidRPr="00604A4A">
              <w:rPr>
                <w:color w:val="000000"/>
                <w:sz w:val="16"/>
                <w:szCs w:val="16"/>
              </w:rPr>
              <w:t>Share of Health Spending  Excl. CFS</w:t>
            </w:r>
          </w:p>
        </w:tc>
        <w:tc>
          <w:tcPr>
            <w:tcW w:w="450" w:type="pct"/>
            <w:shd w:val="clear" w:color="auto" w:fill="auto"/>
            <w:noWrap/>
            <w:vAlign w:val="bottom"/>
          </w:tcPr>
          <w:p w14:paraId="387E033A" w14:textId="77777777" w:rsidR="002C0210" w:rsidRPr="00604A4A" w:rsidRDefault="002C0210" w:rsidP="0071438E">
            <w:pPr>
              <w:spacing w:line="240" w:lineRule="auto"/>
              <w:jc w:val="right"/>
              <w:rPr>
                <w:color w:val="000000"/>
                <w:sz w:val="16"/>
                <w:szCs w:val="16"/>
              </w:rPr>
            </w:pPr>
            <w:r w:rsidRPr="00604A4A">
              <w:rPr>
                <w:color w:val="000000"/>
                <w:sz w:val="16"/>
                <w:szCs w:val="16"/>
              </w:rPr>
              <w:t>9.3%</w:t>
            </w:r>
          </w:p>
        </w:tc>
        <w:tc>
          <w:tcPr>
            <w:tcW w:w="448" w:type="pct"/>
            <w:shd w:val="clear" w:color="auto" w:fill="auto"/>
            <w:noWrap/>
            <w:vAlign w:val="bottom"/>
          </w:tcPr>
          <w:p w14:paraId="554E9E3D" w14:textId="77777777" w:rsidR="002C0210" w:rsidRPr="00604A4A" w:rsidRDefault="002C0210" w:rsidP="0071438E">
            <w:pPr>
              <w:spacing w:line="240" w:lineRule="auto"/>
              <w:jc w:val="right"/>
              <w:rPr>
                <w:color w:val="000000"/>
                <w:sz w:val="16"/>
                <w:szCs w:val="16"/>
              </w:rPr>
            </w:pPr>
            <w:r w:rsidRPr="00604A4A">
              <w:rPr>
                <w:color w:val="000000"/>
                <w:sz w:val="16"/>
                <w:szCs w:val="16"/>
              </w:rPr>
              <w:t>9.2%</w:t>
            </w:r>
          </w:p>
        </w:tc>
        <w:tc>
          <w:tcPr>
            <w:tcW w:w="450" w:type="pct"/>
            <w:shd w:val="clear" w:color="auto" w:fill="auto"/>
            <w:noWrap/>
            <w:vAlign w:val="bottom"/>
          </w:tcPr>
          <w:p w14:paraId="44195FA7" w14:textId="77777777" w:rsidR="002C0210" w:rsidRPr="00604A4A" w:rsidRDefault="002C0210" w:rsidP="0071438E">
            <w:pPr>
              <w:spacing w:line="240" w:lineRule="auto"/>
              <w:jc w:val="right"/>
              <w:rPr>
                <w:color w:val="000000"/>
                <w:sz w:val="16"/>
                <w:szCs w:val="16"/>
              </w:rPr>
            </w:pPr>
            <w:r w:rsidRPr="00604A4A">
              <w:rPr>
                <w:color w:val="000000"/>
                <w:sz w:val="16"/>
                <w:szCs w:val="16"/>
              </w:rPr>
              <w:t>9.3%</w:t>
            </w:r>
          </w:p>
        </w:tc>
        <w:tc>
          <w:tcPr>
            <w:tcW w:w="403" w:type="pct"/>
            <w:shd w:val="clear" w:color="auto" w:fill="auto"/>
            <w:noWrap/>
            <w:vAlign w:val="bottom"/>
          </w:tcPr>
          <w:p w14:paraId="1C776D2D" w14:textId="77777777" w:rsidR="002C0210" w:rsidRPr="00604A4A" w:rsidRDefault="002C0210" w:rsidP="0071438E">
            <w:pPr>
              <w:spacing w:line="240" w:lineRule="auto"/>
              <w:jc w:val="right"/>
              <w:rPr>
                <w:color w:val="000000"/>
                <w:sz w:val="16"/>
                <w:szCs w:val="16"/>
              </w:rPr>
            </w:pPr>
            <w:r w:rsidRPr="00604A4A">
              <w:rPr>
                <w:color w:val="000000"/>
                <w:sz w:val="16"/>
                <w:szCs w:val="16"/>
              </w:rPr>
              <w:t>9.9%</w:t>
            </w:r>
          </w:p>
        </w:tc>
        <w:tc>
          <w:tcPr>
            <w:tcW w:w="450" w:type="pct"/>
            <w:shd w:val="clear" w:color="auto" w:fill="auto"/>
            <w:noWrap/>
            <w:vAlign w:val="bottom"/>
          </w:tcPr>
          <w:p w14:paraId="2CA41338" w14:textId="77777777" w:rsidR="002C0210" w:rsidRPr="00604A4A" w:rsidRDefault="002C0210" w:rsidP="0071438E">
            <w:pPr>
              <w:spacing w:line="240" w:lineRule="auto"/>
              <w:jc w:val="right"/>
              <w:rPr>
                <w:color w:val="000000"/>
                <w:sz w:val="16"/>
                <w:szCs w:val="16"/>
              </w:rPr>
            </w:pPr>
            <w:r w:rsidRPr="00604A4A">
              <w:rPr>
                <w:color w:val="000000"/>
                <w:sz w:val="16"/>
                <w:szCs w:val="16"/>
              </w:rPr>
              <w:t>8.4%</w:t>
            </w:r>
          </w:p>
        </w:tc>
        <w:tc>
          <w:tcPr>
            <w:tcW w:w="448" w:type="pct"/>
            <w:shd w:val="clear" w:color="auto" w:fill="auto"/>
            <w:noWrap/>
            <w:vAlign w:val="bottom"/>
          </w:tcPr>
          <w:p w14:paraId="2D8203D7" w14:textId="77777777" w:rsidR="002C0210" w:rsidRPr="00604A4A" w:rsidRDefault="002C0210" w:rsidP="0071438E">
            <w:pPr>
              <w:spacing w:line="240" w:lineRule="auto"/>
              <w:jc w:val="right"/>
              <w:rPr>
                <w:color w:val="000000"/>
                <w:sz w:val="16"/>
                <w:szCs w:val="16"/>
              </w:rPr>
            </w:pPr>
            <w:r w:rsidRPr="00604A4A">
              <w:rPr>
                <w:color w:val="000000"/>
                <w:sz w:val="16"/>
                <w:szCs w:val="16"/>
              </w:rPr>
              <w:t>8.6%</w:t>
            </w:r>
          </w:p>
        </w:tc>
        <w:tc>
          <w:tcPr>
            <w:tcW w:w="450" w:type="pct"/>
            <w:shd w:val="clear" w:color="auto" w:fill="auto"/>
            <w:noWrap/>
            <w:vAlign w:val="bottom"/>
          </w:tcPr>
          <w:p w14:paraId="6FDA274B" w14:textId="77777777" w:rsidR="002C0210" w:rsidRPr="00604A4A" w:rsidRDefault="002C0210" w:rsidP="0071438E">
            <w:pPr>
              <w:spacing w:line="240" w:lineRule="auto"/>
              <w:jc w:val="right"/>
              <w:rPr>
                <w:color w:val="000000"/>
                <w:sz w:val="16"/>
                <w:szCs w:val="16"/>
              </w:rPr>
            </w:pPr>
            <w:r w:rsidRPr="00604A4A">
              <w:rPr>
                <w:color w:val="000000"/>
                <w:sz w:val="16"/>
                <w:szCs w:val="16"/>
              </w:rPr>
              <w:t>10.1%</w:t>
            </w:r>
          </w:p>
        </w:tc>
        <w:tc>
          <w:tcPr>
            <w:tcW w:w="403" w:type="pct"/>
            <w:shd w:val="clear" w:color="auto" w:fill="auto"/>
            <w:noWrap/>
            <w:vAlign w:val="bottom"/>
          </w:tcPr>
          <w:p w14:paraId="1F22606F" w14:textId="77777777" w:rsidR="002C0210" w:rsidRPr="00604A4A" w:rsidRDefault="000E66FA" w:rsidP="00696EF9">
            <w:pPr>
              <w:spacing w:line="240" w:lineRule="auto"/>
              <w:jc w:val="right"/>
              <w:rPr>
                <w:color w:val="000000"/>
                <w:sz w:val="16"/>
                <w:szCs w:val="16"/>
              </w:rPr>
            </w:pPr>
            <w:r w:rsidRPr="00604A4A">
              <w:rPr>
                <w:color w:val="000000"/>
                <w:sz w:val="16"/>
                <w:szCs w:val="16"/>
              </w:rPr>
              <w:t>7.3%</w:t>
            </w:r>
          </w:p>
        </w:tc>
        <w:tc>
          <w:tcPr>
            <w:tcW w:w="457" w:type="pct"/>
            <w:shd w:val="clear" w:color="auto" w:fill="auto"/>
            <w:noWrap/>
            <w:vAlign w:val="bottom"/>
          </w:tcPr>
          <w:p w14:paraId="04DA434A" w14:textId="77777777" w:rsidR="002C0210" w:rsidRPr="00604A4A" w:rsidRDefault="000E66FA" w:rsidP="00696EF9">
            <w:pPr>
              <w:spacing w:line="240" w:lineRule="auto"/>
              <w:jc w:val="right"/>
              <w:rPr>
                <w:color w:val="000000"/>
                <w:sz w:val="16"/>
                <w:szCs w:val="16"/>
              </w:rPr>
            </w:pPr>
            <w:r w:rsidRPr="00604A4A">
              <w:rPr>
                <w:color w:val="000000"/>
                <w:sz w:val="16"/>
                <w:szCs w:val="16"/>
              </w:rPr>
              <w:t>9.4%</w:t>
            </w:r>
          </w:p>
        </w:tc>
      </w:tr>
      <w:tr w:rsidR="002C0210" w:rsidRPr="00604A4A" w14:paraId="4FC6EF03" w14:textId="77777777" w:rsidTr="00F96C11">
        <w:trPr>
          <w:trHeight w:val="288"/>
        </w:trPr>
        <w:tc>
          <w:tcPr>
            <w:tcW w:w="1040" w:type="pct"/>
            <w:shd w:val="clear" w:color="auto" w:fill="auto"/>
            <w:noWrap/>
            <w:vAlign w:val="bottom"/>
            <w:hideMark/>
          </w:tcPr>
          <w:p w14:paraId="6D569826" w14:textId="77777777" w:rsidR="002C0210" w:rsidRPr="00604A4A" w:rsidRDefault="002C0210" w:rsidP="00696EF9">
            <w:pPr>
              <w:spacing w:line="240" w:lineRule="auto"/>
              <w:rPr>
                <w:color w:val="000000"/>
                <w:sz w:val="16"/>
                <w:szCs w:val="16"/>
              </w:rPr>
            </w:pPr>
            <w:r w:rsidRPr="00604A4A">
              <w:rPr>
                <w:color w:val="000000"/>
                <w:sz w:val="16"/>
                <w:szCs w:val="16"/>
              </w:rPr>
              <w:t>Share of Health Spending  Incl. CFS</w:t>
            </w:r>
          </w:p>
        </w:tc>
        <w:tc>
          <w:tcPr>
            <w:tcW w:w="450" w:type="pct"/>
            <w:shd w:val="clear" w:color="auto" w:fill="auto"/>
            <w:noWrap/>
            <w:vAlign w:val="bottom"/>
          </w:tcPr>
          <w:p w14:paraId="2E17D51A" w14:textId="77777777" w:rsidR="002C0210" w:rsidRPr="00604A4A" w:rsidRDefault="002C0210" w:rsidP="0071438E">
            <w:pPr>
              <w:spacing w:line="240" w:lineRule="auto"/>
              <w:jc w:val="right"/>
              <w:rPr>
                <w:color w:val="000000"/>
                <w:sz w:val="16"/>
                <w:szCs w:val="16"/>
              </w:rPr>
            </w:pPr>
            <w:r w:rsidRPr="00604A4A">
              <w:rPr>
                <w:color w:val="000000"/>
                <w:sz w:val="16"/>
                <w:szCs w:val="16"/>
              </w:rPr>
              <w:t>9.4%</w:t>
            </w:r>
          </w:p>
        </w:tc>
        <w:tc>
          <w:tcPr>
            <w:tcW w:w="448" w:type="pct"/>
            <w:shd w:val="clear" w:color="auto" w:fill="auto"/>
            <w:noWrap/>
            <w:vAlign w:val="bottom"/>
          </w:tcPr>
          <w:p w14:paraId="6357247A" w14:textId="77777777" w:rsidR="002C0210" w:rsidRPr="00604A4A" w:rsidRDefault="002C0210" w:rsidP="0071438E">
            <w:pPr>
              <w:spacing w:line="240" w:lineRule="auto"/>
              <w:jc w:val="right"/>
              <w:rPr>
                <w:color w:val="000000"/>
                <w:sz w:val="16"/>
                <w:szCs w:val="16"/>
              </w:rPr>
            </w:pPr>
            <w:r w:rsidRPr="00604A4A">
              <w:rPr>
                <w:color w:val="000000"/>
                <w:sz w:val="16"/>
                <w:szCs w:val="16"/>
              </w:rPr>
              <w:t>8.7%</w:t>
            </w:r>
          </w:p>
        </w:tc>
        <w:tc>
          <w:tcPr>
            <w:tcW w:w="450" w:type="pct"/>
            <w:shd w:val="clear" w:color="auto" w:fill="auto"/>
            <w:noWrap/>
            <w:vAlign w:val="bottom"/>
          </w:tcPr>
          <w:p w14:paraId="211F5AF4" w14:textId="77777777" w:rsidR="002C0210" w:rsidRPr="00604A4A" w:rsidRDefault="002C0210" w:rsidP="0071438E">
            <w:pPr>
              <w:spacing w:line="240" w:lineRule="auto"/>
              <w:jc w:val="right"/>
              <w:rPr>
                <w:color w:val="000000"/>
                <w:sz w:val="16"/>
                <w:szCs w:val="16"/>
              </w:rPr>
            </w:pPr>
            <w:r w:rsidRPr="00604A4A">
              <w:rPr>
                <w:color w:val="000000"/>
                <w:sz w:val="16"/>
                <w:szCs w:val="16"/>
              </w:rPr>
              <w:t>9.1%</w:t>
            </w:r>
          </w:p>
        </w:tc>
        <w:tc>
          <w:tcPr>
            <w:tcW w:w="403" w:type="pct"/>
            <w:shd w:val="clear" w:color="auto" w:fill="auto"/>
            <w:noWrap/>
            <w:vAlign w:val="bottom"/>
          </w:tcPr>
          <w:p w14:paraId="4AF0F511" w14:textId="77777777" w:rsidR="002C0210" w:rsidRPr="00604A4A" w:rsidRDefault="002C0210" w:rsidP="0071438E">
            <w:pPr>
              <w:spacing w:line="240" w:lineRule="auto"/>
              <w:jc w:val="right"/>
              <w:rPr>
                <w:color w:val="000000"/>
                <w:sz w:val="16"/>
                <w:szCs w:val="16"/>
              </w:rPr>
            </w:pPr>
            <w:r w:rsidRPr="00604A4A">
              <w:rPr>
                <w:color w:val="000000"/>
                <w:sz w:val="16"/>
                <w:szCs w:val="16"/>
              </w:rPr>
              <w:t>9.4%</w:t>
            </w:r>
          </w:p>
        </w:tc>
        <w:tc>
          <w:tcPr>
            <w:tcW w:w="450" w:type="pct"/>
            <w:shd w:val="clear" w:color="auto" w:fill="auto"/>
            <w:noWrap/>
            <w:vAlign w:val="bottom"/>
          </w:tcPr>
          <w:p w14:paraId="18F67062" w14:textId="77777777" w:rsidR="002C0210" w:rsidRPr="00604A4A" w:rsidRDefault="002C0210" w:rsidP="0071438E">
            <w:pPr>
              <w:spacing w:line="240" w:lineRule="auto"/>
              <w:jc w:val="right"/>
              <w:rPr>
                <w:color w:val="000000"/>
                <w:sz w:val="16"/>
                <w:szCs w:val="16"/>
              </w:rPr>
            </w:pPr>
            <w:r w:rsidRPr="00604A4A">
              <w:rPr>
                <w:color w:val="000000"/>
                <w:sz w:val="16"/>
                <w:szCs w:val="16"/>
              </w:rPr>
              <w:t>8.4%</w:t>
            </w:r>
          </w:p>
        </w:tc>
        <w:tc>
          <w:tcPr>
            <w:tcW w:w="448" w:type="pct"/>
            <w:shd w:val="clear" w:color="auto" w:fill="auto"/>
            <w:noWrap/>
            <w:vAlign w:val="bottom"/>
          </w:tcPr>
          <w:p w14:paraId="414225F6" w14:textId="77777777" w:rsidR="002C0210" w:rsidRPr="00604A4A" w:rsidRDefault="002C0210" w:rsidP="0071438E">
            <w:pPr>
              <w:spacing w:line="240" w:lineRule="auto"/>
              <w:jc w:val="right"/>
              <w:rPr>
                <w:color w:val="000000"/>
                <w:sz w:val="16"/>
                <w:szCs w:val="16"/>
              </w:rPr>
            </w:pPr>
            <w:r w:rsidRPr="00604A4A">
              <w:rPr>
                <w:color w:val="000000"/>
                <w:sz w:val="16"/>
                <w:szCs w:val="16"/>
              </w:rPr>
              <w:t>8.2%</w:t>
            </w:r>
          </w:p>
        </w:tc>
        <w:tc>
          <w:tcPr>
            <w:tcW w:w="450" w:type="pct"/>
            <w:shd w:val="clear" w:color="auto" w:fill="auto"/>
            <w:noWrap/>
            <w:vAlign w:val="bottom"/>
          </w:tcPr>
          <w:p w14:paraId="21B71759" w14:textId="77777777" w:rsidR="002C0210" w:rsidRPr="00604A4A" w:rsidRDefault="002C0210" w:rsidP="0071438E">
            <w:pPr>
              <w:spacing w:line="240" w:lineRule="auto"/>
              <w:jc w:val="right"/>
              <w:rPr>
                <w:color w:val="000000"/>
                <w:sz w:val="16"/>
                <w:szCs w:val="16"/>
              </w:rPr>
            </w:pPr>
            <w:r w:rsidRPr="00604A4A">
              <w:rPr>
                <w:color w:val="000000"/>
                <w:sz w:val="16"/>
                <w:szCs w:val="16"/>
              </w:rPr>
              <w:t>8.1%</w:t>
            </w:r>
          </w:p>
        </w:tc>
        <w:tc>
          <w:tcPr>
            <w:tcW w:w="403" w:type="pct"/>
            <w:shd w:val="clear" w:color="auto" w:fill="auto"/>
            <w:noWrap/>
            <w:vAlign w:val="bottom"/>
          </w:tcPr>
          <w:p w14:paraId="08078807" w14:textId="77777777" w:rsidR="002C0210" w:rsidRPr="00604A4A" w:rsidRDefault="000E66FA" w:rsidP="00696EF9">
            <w:pPr>
              <w:spacing w:line="240" w:lineRule="auto"/>
              <w:jc w:val="right"/>
              <w:rPr>
                <w:color w:val="000000"/>
                <w:sz w:val="16"/>
                <w:szCs w:val="16"/>
              </w:rPr>
            </w:pPr>
            <w:r w:rsidRPr="00604A4A">
              <w:rPr>
                <w:color w:val="000000"/>
                <w:sz w:val="16"/>
                <w:szCs w:val="16"/>
              </w:rPr>
              <w:t>8.0%</w:t>
            </w:r>
          </w:p>
        </w:tc>
        <w:tc>
          <w:tcPr>
            <w:tcW w:w="457" w:type="pct"/>
            <w:shd w:val="clear" w:color="auto" w:fill="auto"/>
            <w:noWrap/>
            <w:vAlign w:val="bottom"/>
          </w:tcPr>
          <w:p w14:paraId="23FA2E17" w14:textId="77777777" w:rsidR="002C0210" w:rsidRPr="00604A4A" w:rsidRDefault="000E66FA" w:rsidP="00696EF9">
            <w:pPr>
              <w:spacing w:line="240" w:lineRule="auto"/>
              <w:jc w:val="right"/>
              <w:rPr>
                <w:color w:val="000000"/>
                <w:sz w:val="16"/>
                <w:szCs w:val="16"/>
              </w:rPr>
            </w:pPr>
            <w:r w:rsidRPr="00604A4A">
              <w:rPr>
                <w:color w:val="000000"/>
                <w:sz w:val="16"/>
                <w:szCs w:val="16"/>
              </w:rPr>
              <w:t>8.3%</w:t>
            </w:r>
          </w:p>
        </w:tc>
      </w:tr>
      <w:tr w:rsidR="002C0210" w:rsidRPr="00604A4A" w14:paraId="717D2918" w14:textId="77777777" w:rsidTr="00F96C11">
        <w:trPr>
          <w:trHeight w:val="288"/>
        </w:trPr>
        <w:tc>
          <w:tcPr>
            <w:tcW w:w="1040" w:type="pct"/>
            <w:shd w:val="clear" w:color="auto" w:fill="auto"/>
            <w:noWrap/>
            <w:vAlign w:val="bottom"/>
            <w:hideMark/>
          </w:tcPr>
          <w:p w14:paraId="1DCC2AF2" w14:textId="77777777" w:rsidR="002C0210" w:rsidRPr="00604A4A" w:rsidRDefault="002C0210" w:rsidP="00696EF9">
            <w:pPr>
              <w:spacing w:line="240" w:lineRule="auto"/>
              <w:rPr>
                <w:color w:val="000000"/>
                <w:sz w:val="16"/>
                <w:szCs w:val="16"/>
              </w:rPr>
            </w:pPr>
            <w:r w:rsidRPr="00604A4A">
              <w:rPr>
                <w:color w:val="000000"/>
                <w:sz w:val="16"/>
                <w:szCs w:val="16"/>
              </w:rPr>
              <w:t>Health Spending as % of GDP</w:t>
            </w:r>
          </w:p>
        </w:tc>
        <w:tc>
          <w:tcPr>
            <w:tcW w:w="450" w:type="pct"/>
            <w:shd w:val="clear" w:color="auto" w:fill="auto"/>
            <w:noWrap/>
            <w:vAlign w:val="bottom"/>
          </w:tcPr>
          <w:p w14:paraId="3C984C1F" w14:textId="77777777" w:rsidR="002C0210" w:rsidRPr="00604A4A" w:rsidRDefault="002C0210" w:rsidP="0071438E">
            <w:pPr>
              <w:spacing w:line="240" w:lineRule="auto"/>
              <w:jc w:val="right"/>
              <w:rPr>
                <w:color w:val="000000"/>
                <w:sz w:val="16"/>
                <w:szCs w:val="16"/>
              </w:rPr>
            </w:pPr>
            <w:r w:rsidRPr="00604A4A">
              <w:rPr>
                <w:color w:val="000000"/>
                <w:sz w:val="16"/>
                <w:szCs w:val="16"/>
              </w:rPr>
              <w:t>1.5%</w:t>
            </w:r>
          </w:p>
        </w:tc>
        <w:tc>
          <w:tcPr>
            <w:tcW w:w="448" w:type="pct"/>
            <w:shd w:val="clear" w:color="auto" w:fill="auto"/>
            <w:noWrap/>
            <w:vAlign w:val="bottom"/>
          </w:tcPr>
          <w:p w14:paraId="39AD22AB" w14:textId="77777777" w:rsidR="002C0210" w:rsidRPr="00604A4A" w:rsidRDefault="002C0210" w:rsidP="0071438E">
            <w:pPr>
              <w:spacing w:line="240" w:lineRule="auto"/>
              <w:jc w:val="right"/>
              <w:rPr>
                <w:color w:val="000000"/>
                <w:sz w:val="16"/>
                <w:szCs w:val="16"/>
              </w:rPr>
            </w:pPr>
            <w:r w:rsidRPr="00604A4A">
              <w:rPr>
                <w:color w:val="000000"/>
                <w:sz w:val="16"/>
                <w:szCs w:val="16"/>
              </w:rPr>
              <w:t>1.3%</w:t>
            </w:r>
          </w:p>
        </w:tc>
        <w:tc>
          <w:tcPr>
            <w:tcW w:w="450" w:type="pct"/>
            <w:shd w:val="clear" w:color="auto" w:fill="auto"/>
            <w:noWrap/>
            <w:vAlign w:val="bottom"/>
          </w:tcPr>
          <w:p w14:paraId="4217D90E" w14:textId="77777777" w:rsidR="002C0210" w:rsidRPr="00604A4A" w:rsidRDefault="002C0210" w:rsidP="0071438E">
            <w:pPr>
              <w:spacing w:line="240" w:lineRule="auto"/>
              <w:jc w:val="right"/>
              <w:rPr>
                <w:color w:val="000000"/>
                <w:sz w:val="16"/>
                <w:szCs w:val="16"/>
              </w:rPr>
            </w:pPr>
            <w:r w:rsidRPr="00604A4A">
              <w:rPr>
                <w:color w:val="000000"/>
                <w:sz w:val="16"/>
                <w:szCs w:val="16"/>
              </w:rPr>
              <w:t>2.0%</w:t>
            </w:r>
          </w:p>
        </w:tc>
        <w:tc>
          <w:tcPr>
            <w:tcW w:w="403" w:type="pct"/>
            <w:shd w:val="clear" w:color="auto" w:fill="auto"/>
            <w:noWrap/>
            <w:vAlign w:val="bottom"/>
          </w:tcPr>
          <w:p w14:paraId="27EECD3F" w14:textId="77777777" w:rsidR="002C0210" w:rsidRPr="00604A4A" w:rsidRDefault="002C0210" w:rsidP="0071438E">
            <w:pPr>
              <w:spacing w:line="240" w:lineRule="auto"/>
              <w:jc w:val="right"/>
              <w:rPr>
                <w:color w:val="000000"/>
                <w:sz w:val="16"/>
                <w:szCs w:val="16"/>
              </w:rPr>
            </w:pPr>
            <w:r w:rsidRPr="00604A4A">
              <w:rPr>
                <w:color w:val="000000"/>
                <w:sz w:val="16"/>
                <w:szCs w:val="16"/>
              </w:rPr>
              <w:t>1.8%</w:t>
            </w:r>
          </w:p>
        </w:tc>
        <w:tc>
          <w:tcPr>
            <w:tcW w:w="450" w:type="pct"/>
            <w:shd w:val="clear" w:color="auto" w:fill="auto"/>
            <w:noWrap/>
            <w:vAlign w:val="bottom"/>
          </w:tcPr>
          <w:p w14:paraId="0F44B797" w14:textId="77777777" w:rsidR="002C0210" w:rsidRPr="00604A4A" w:rsidRDefault="002C0210" w:rsidP="0071438E">
            <w:pPr>
              <w:spacing w:line="240" w:lineRule="auto"/>
              <w:jc w:val="right"/>
              <w:rPr>
                <w:color w:val="000000"/>
                <w:sz w:val="16"/>
                <w:szCs w:val="16"/>
              </w:rPr>
            </w:pPr>
            <w:r w:rsidRPr="00604A4A">
              <w:rPr>
                <w:color w:val="000000"/>
                <w:sz w:val="16"/>
                <w:szCs w:val="16"/>
              </w:rPr>
              <w:t>1.7%</w:t>
            </w:r>
          </w:p>
        </w:tc>
        <w:tc>
          <w:tcPr>
            <w:tcW w:w="448" w:type="pct"/>
            <w:shd w:val="clear" w:color="auto" w:fill="auto"/>
            <w:noWrap/>
            <w:vAlign w:val="bottom"/>
          </w:tcPr>
          <w:p w14:paraId="5A43DD31" w14:textId="77777777" w:rsidR="002C0210" w:rsidRPr="00604A4A" w:rsidRDefault="002C0210" w:rsidP="0071438E">
            <w:pPr>
              <w:spacing w:line="240" w:lineRule="auto"/>
              <w:jc w:val="right"/>
              <w:rPr>
                <w:color w:val="000000"/>
                <w:sz w:val="16"/>
                <w:szCs w:val="16"/>
              </w:rPr>
            </w:pPr>
            <w:r w:rsidRPr="00604A4A">
              <w:rPr>
                <w:color w:val="000000"/>
                <w:sz w:val="16"/>
                <w:szCs w:val="16"/>
              </w:rPr>
              <w:t>1.4%</w:t>
            </w:r>
          </w:p>
        </w:tc>
        <w:tc>
          <w:tcPr>
            <w:tcW w:w="450" w:type="pct"/>
            <w:shd w:val="clear" w:color="auto" w:fill="auto"/>
            <w:noWrap/>
            <w:vAlign w:val="bottom"/>
          </w:tcPr>
          <w:p w14:paraId="7889899F" w14:textId="77777777" w:rsidR="002C0210" w:rsidRPr="00604A4A" w:rsidRDefault="00992A54" w:rsidP="00992A54">
            <w:pPr>
              <w:spacing w:line="240" w:lineRule="auto"/>
              <w:jc w:val="right"/>
              <w:rPr>
                <w:color w:val="000000"/>
                <w:sz w:val="16"/>
                <w:szCs w:val="16"/>
              </w:rPr>
            </w:pPr>
            <w:r w:rsidRPr="00604A4A">
              <w:rPr>
                <w:color w:val="000000"/>
                <w:sz w:val="16"/>
                <w:szCs w:val="16"/>
              </w:rPr>
              <w:t>2.0</w:t>
            </w:r>
            <w:r w:rsidR="002C0210" w:rsidRPr="00604A4A">
              <w:rPr>
                <w:color w:val="000000"/>
                <w:sz w:val="16"/>
                <w:szCs w:val="16"/>
              </w:rPr>
              <w:t>%</w:t>
            </w:r>
          </w:p>
        </w:tc>
        <w:tc>
          <w:tcPr>
            <w:tcW w:w="403" w:type="pct"/>
            <w:shd w:val="clear" w:color="auto" w:fill="auto"/>
            <w:noWrap/>
            <w:vAlign w:val="bottom"/>
          </w:tcPr>
          <w:p w14:paraId="4F719D62" w14:textId="77777777" w:rsidR="002C0210" w:rsidRPr="00604A4A" w:rsidRDefault="000E66FA" w:rsidP="00696EF9">
            <w:pPr>
              <w:spacing w:line="240" w:lineRule="auto"/>
              <w:jc w:val="right"/>
              <w:rPr>
                <w:color w:val="000000"/>
                <w:sz w:val="16"/>
                <w:szCs w:val="16"/>
              </w:rPr>
            </w:pPr>
            <w:r w:rsidRPr="00604A4A">
              <w:rPr>
                <w:color w:val="000000"/>
                <w:sz w:val="16"/>
                <w:szCs w:val="16"/>
              </w:rPr>
              <w:t>1.6%</w:t>
            </w:r>
          </w:p>
        </w:tc>
        <w:tc>
          <w:tcPr>
            <w:tcW w:w="457" w:type="pct"/>
            <w:shd w:val="clear" w:color="auto" w:fill="auto"/>
            <w:noWrap/>
            <w:vAlign w:val="bottom"/>
          </w:tcPr>
          <w:p w14:paraId="54AFA5EC" w14:textId="77777777" w:rsidR="002C0210" w:rsidRPr="00604A4A" w:rsidRDefault="000E66FA" w:rsidP="00696EF9">
            <w:pPr>
              <w:spacing w:line="240" w:lineRule="auto"/>
              <w:jc w:val="right"/>
              <w:rPr>
                <w:color w:val="000000"/>
                <w:sz w:val="16"/>
                <w:szCs w:val="16"/>
              </w:rPr>
            </w:pPr>
            <w:r w:rsidRPr="00604A4A">
              <w:rPr>
                <w:color w:val="000000"/>
                <w:sz w:val="16"/>
                <w:szCs w:val="16"/>
              </w:rPr>
              <w:t>2.0%</w:t>
            </w:r>
          </w:p>
        </w:tc>
      </w:tr>
      <w:tr w:rsidR="002C0210" w:rsidRPr="00604A4A" w14:paraId="00A7D49B" w14:textId="77777777" w:rsidTr="00F96C11">
        <w:trPr>
          <w:trHeight w:val="288"/>
        </w:trPr>
        <w:tc>
          <w:tcPr>
            <w:tcW w:w="5000" w:type="pct"/>
            <w:gridSpan w:val="10"/>
            <w:shd w:val="clear" w:color="auto" w:fill="auto"/>
            <w:noWrap/>
            <w:vAlign w:val="bottom"/>
            <w:hideMark/>
          </w:tcPr>
          <w:p w14:paraId="699E802B" w14:textId="77777777" w:rsidR="002C0210" w:rsidRPr="00604A4A" w:rsidRDefault="002C0210" w:rsidP="00696EF9">
            <w:pPr>
              <w:spacing w:line="240" w:lineRule="auto"/>
              <w:jc w:val="center"/>
              <w:rPr>
                <w:color w:val="000000"/>
                <w:sz w:val="16"/>
                <w:szCs w:val="16"/>
              </w:rPr>
            </w:pPr>
            <w:r w:rsidRPr="00604A4A">
              <w:rPr>
                <w:b/>
                <w:color w:val="000000"/>
                <w:sz w:val="16"/>
                <w:szCs w:val="16"/>
              </w:rPr>
              <w:t>Other Aggregate Indicators</w:t>
            </w:r>
          </w:p>
        </w:tc>
      </w:tr>
      <w:tr w:rsidR="002C0210" w:rsidRPr="00604A4A" w14:paraId="5F928562" w14:textId="77777777" w:rsidTr="00F96C11">
        <w:trPr>
          <w:trHeight w:val="288"/>
        </w:trPr>
        <w:tc>
          <w:tcPr>
            <w:tcW w:w="1040" w:type="pct"/>
            <w:shd w:val="clear" w:color="auto" w:fill="auto"/>
            <w:noWrap/>
            <w:vAlign w:val="bottom"/>
            <w:hideMark/>
          </w:tcPr>
          <w:p w14:paraId="4193EFC3" w14:textId="77777777" w:rsidR="002C0210" w:rsidRPr="00604A4A" w:rsidRDefault="002C0210" w:rsidP="00696EF9">
            <w:pPr>
              <w:spacing w:line="240" w:lineRule="auto"/>
              <w:rPr>
                <w:color w:val="000000"/>
                <w:sz w:val="16"/>
                <w:szCs w:val="16"/>
              </w:rPr>
            </w:pPr>
            <w:r w:rsidRPr="00604A4A">
              <w:rPr>
                <w:color w:val="000000"/>
                <w:sz w:val="16"/>
                <w:szCs w:val="16"/>
              </w:rPr>
              <w:t>Per Capita Health Spending (TZS)</w:t>
            </w:r>
          </w:p>
        </w:tc>
        <w:tc>
          <w:tcPr>
            <w:tcW w:w="450" w:type="pct"/>
            <w:shd w:val="clear" w:color="auto" w:fill="auto"/>
            <w:noWrap/>
            <w:vAlign w:val="bottom"/>
          </w:tcPr>
          <w:p w14:paraId="6361E12F" w14:textId="77777777" w:rsidR="002C0210" w:rsidRPr="00604A4A" w:rsidRDefault="002C0210" w:rsidP="0071438E">
            <w:pPr>
              <w:spacing w:line="240" w:lineRule="auto"/>
              <w:jc w:val="right"/>
              <w:rPr>
                <w:color w:val="000000"/>
                <w:sz w:val="16"/>
                <w:szCs w:val="16"/>
              </w:rPr>
            </w:pPr>
            <w:r w:rsidRPr="00604A4A">
              <w:rPr>
                <w:color w:val="000000"/>
                <w:sz w:val="16"/>
                <w:szCs w:val="16"/>
              </w:rPr>
              <w:t>28,845</w:t>
            </w:r>
          </w:p>
        </w:tc>
        <w:tc>
          <w:tcPr>
            <w:tcW w:w="448" w:type="pct"/>
            <w:shd w:val="clear" w:color="auto" w:fill="auto"/>
            <w:noWrap/>
            <w:vAlign w:val="bottom"/>
          </w:tcPr>
          <w:p w14:paraId="3D08A91B" w14:textId="77777777" w:rsidR="002C0210" w:rsidRPr="00604A4A" w:rsidRDefault="002C0210" w:rsidP="0071438E">
            <w:pPr>
              <w:spacing w:line="240" w:lineRule="auto"/>
              <w:jc w:val="right"/>
              <w:rPr>
                <w:color w:val="000000"/>
                <w:sz w:val="16"/>
                <w:szCs w:val="16"/>
              </w:rPr>
            </w:pPr>
            <w:r w:rsidRPr="00604A4A">
              <w:rPr>
                <w:color w:val="000000"/>
                <w:sz w:val="16"/>
                <w:szCs w:val="16"/>
              </w:rPr>
              <w:t>23,959</w:t>
            </w:r>
          </w:p>
        </w:tc>
        <w:tc>
          <w:tcPr>
            <w:tcW w:w="450" w:type="pct"/>
            <w:shd w:val="clear" w:color="auto" w:fill="auto"/>
            <w:noWrap/>
            <w:vAlign w:val="bottom"/>
          </w:tcPr>
          <w:p w14:paraId="104C5345" w14:textId="77777777" w:rsidR="002C0210" w:rsidRPr="00604A4A" w:rsidRDefault="002C0210" w:rsidP="0071438E">
            <w:pPr>
              <w:spacing w:line="240" w:lineRule="auto"/>
              <w:jc w:val="right"/>
              <w:rPr>
                <w:color w:val="000000"/>
                <w:sz w:val="16"/>
                <w:szCs w:val="16"/>
              </w:rPr>
            </w:pPr>
            <w:r w:rsidRPr="00604A4A">
              <w:rPr>
                <w:color w:val="000000"/>
                <w:sz w:val="16"/>
                <w:szCs w:val="16"/>
              </w:rPr>
              <w:t>33,445</w:t>
            </w:r>
          </w:p>
        </w:tc>
        <w:tc>
          <w:tcPr>
            <w:tcW w:w="403" w:type="pct"/>
            <w:shd w:val="clear" w:color="auto" w:fill="auto"/>
            <w:noWrap/>
            <w:vAlign w:val="bottom"/>
          </w:tcPr>
          <w:p w14:paraId="5B23251A" w14:textId="77777777" w:rsidR="002C0210" w:rsidRPr="00604A4A" w:rsidRDefault="002C0210" w:rsidP="0071438E">
            <w:pPr>
              <w:spacing w:line="240" w:lineRule="auto"/>
              <w:jc w:val="right"/>
              <w:rPr>
                <w:color w:val="000000"/>
                <w:sz w:val="16"/>
                <w:szCs w:val="16"/>
              </w:rPr>
            </w:pPr>
            <w:r w:rsidRPr="00604A4A">
              <w:rPr>
                <w:color w:val="000000"/>
                <w:sz w:val="16"/>
                <w:szCs w:val="16"/>
              </w:rPr>
              <w:t>28,869</w:t>
            </w:r>
          </w:p>
        </w:tc>
        <w:tc>
          <w:tcPr>
            <w:tcW w:w="450" w:type="pct"/>
            <w:shd w:val="clear" w:color="auto" w:fill="auto"/>
            <w:noWrap/>
            <w:vAlign w:val="bottom"/>
          </w:tcPr>
          <w:p w14:paraId="6E5348A2" w14:textId="77777777" w:rsidR="002C0210" w:rsidRPr="00604A4A" w:rsidRDefault="002C0210" w:rsidP="0071438E">
            <w:pPr>
              <w:spacing w:line="240" w:lineRule="auto"/>
              <w:jc w:val="right"/>
              <w:rPr>
                <w:color w:val="000000"/>
                <w:sz w:val="16"/>
                <w:szCs w:val="16"/>
              </w:rPr>
            </w:pPr>
            <w:r w:rsidRPr="00604A4A">
              <w:rPr>
                <w:color w:val="000000"/>
                <w:sz w:val="16"/>
                <w:szCs w:val="16"/>
              </w:rPr>
              <w:t>31,124</w:t>
            </w:r>
          </w:p>
        </w:tc>
        <w:tc>
          <w:tcPr>
            <w:tcW w:w="448" w:type="pct"/>
            <w:shd w:val="clear" w:color="auto" w:fill="auto"/>
            <w:noWrap/>
            <w:vAlign w:val="bottom"/>
          </w:tcPr>
          <w:p w14:paraId="0C16682A" w14:textId="77777777" w:rsidR="002C0210" w:rsidRPr="00604A4A" w:rsidRDefault="002C0210" w:rsidP="0071438E">
            <w:pPr>
              <w:spacing w:line="240" w:lineRule="auto"/>
              <w:jc w:val="right"/>
              <w:rPr>
                <w:color w:val="000000"/>
                <w:sz w:val="16"/>
                <w:szCs w:val="16"/>
              </w:rPr>
            </w:pPr>
            <w:r w:rsidRPr="00604A4A">
              <w:rPr>
                <w:color w:val="000000"/>
                <w:sz w:val="16"/>
                <w:szCs w:val="16"/>
              </w:rPr>
              <w:t>25,635</w:t>
            </w:r>
          </w:p>
        </w:tc>
        <w:tc>
          <w:tcPr>
            <w:tcW w:w="450" w:type="pct"/>
            <w:shd w:val="clear" w:color="auto" w:fill="auto"/>
            <w:noWrap/>
            <w:vAlign w:val="bottom"/>
          </w:tcPr>
          <w:p w14:paraId="52A6C9BB" w14:textId="77777777" w:rsidR="002C0210" w:rsidRPr="00604A4A" w:rsidRDefault="002C0210" w:rsidP="0071438E">
            <w:pPr>
              <w:spacing w:line="240" w:lineRule="auto"/>
              <w:jc w:val="right"/>
              <w:rPr>
                <w:color w:val="000000"/>
                <w:sz w:val="16"/>
                <w:szCs w:val="16"/>
              </w:rPr>
            </w:pPr>
            <w:r w:rsidRPr="00604A4A">
              <w:rPr>
                <w:color w:val="000000"/>
                <w:sz w:val="16"/>
                <w:szCs w:val="16"/>
              </w:rPr>
              <w:t>38,092</w:t>
            </w:r>
          </w:p>
        </w:tc>
        <w:tc>
          <w:tcPr>
            <w:tcW w:w="403" w:type="pct"/>
            <w:shd w:val="clear" w:color="auto" w:fill="auto"/>
            <w:noWrap/>
            <w:vAlign w:val="bottom"/>
          </w:tcPr>
          <w:p w14:paraId="6395E6CB" w14:textId="77777777" w:rsidR="002C0210" w:rsidRPr="00604A4A" w:rsidRDefault="000E66FA" w:rsidP="00696EF9">
            <w:pPr>
              <w:spacing w:line="240" w:lineRule="auto"/>
              <w:jc w:val="right"/>
              <w:rPr>
                <w:color w:val="000000"/>
                <w:sz w:val="16"/>
                <w:szCs w:val="16"/>
              </w:rPr>
            </w:pPr>
            <w:r w:rsidRPr="00604A4A">
              <w:rPr>
                <w:color w:val="000000"/>
                <w:sz w:val="16"/>
                <w:szCs w:val="16"/>
              </w:rPr>
              <w:t>30,242</w:t>
            </w:r>
          </w:p>
        </w:tc>
        <w:tc>
          <w:tcPr>
            <w:tcW w:w="457" w:type="pct"/>
            <w:shd w:val="clear" w:color="auto" w:fill="auto"/>
            <w:noWrap/>
            <w:vAlign w:val="bottom"/>
          </w:tcPr>
          <w:p w14:paraId="08C3EE1D" w14:textId="77777777" w:rsidR="002C0210" w:rsidRPr="00604A4A" w:rsidRDefault="000E66FA" w:rsidP="00696EF9">
            <w:pPr>
              <w:spacing w:line="240" w:lineRule="auto"/>
              <w:jc w:val="right"/>
              <w:rPr>
                <w:color w:val="000000"/>
                <w:sz w:val="16"/>
                <w:szCs w:val="16"/>
              </w:rPr>
            </w:pPr>
            <w:r w:rsidRPr="00604A4A">
              <w:rPr>
                <w:color w:val="000000"/>
                <w:sz w:val="16"/>
                <w:szCs w:val="16"/>
              </w:rPr>
              <w:t>50,148</w:t>
            </w:r>
          </w:p>
        </w:tc>
      </w:tr>
      <w:tr w:rsidR="002C0210" w:rsidRPr="00604A4A" w14:paraId="3D45DEFC" w14:textId="77777777" w:rsidTr="00F96C11">
        <w:trPr>
          <w:trHeight w:val="288"/>
        </w:trPr>
        <w:tc>
          <w:tcPr>
            <w:tcW w:w="1040" w:type="pct"/>
            <w:shd w:val="clear" w:color="auto" w:fill="auto"/>
            <w:noWrap/>
            <w:vAlign w:val="bottom"/>
            <w:hideMark/>
          </w:tcPr>
          <w:p w14:paraId="1313D8F2" w14:textId="77777777" w:rsidR="002C0210" w:rsidRPr="00604A4A" w:rsidRDefault="002C0210" w:rsidP="00696EF9">
            <w:pPr>
              <w:spacing w:line="240" w:lineRule="auto"/>
              <w:rPr>
                <w:color w:val="000000"/>
                <w:sz w:val="16"/>
                <w:szCs w:val="16"/>
              </w:rPr>
            </w:pPr>
            <w:r w:rsidRPr="00604A4A">
              <w:rPr>
                <w:color w:val="000000"/>
                <w:sz w:val="16"/>
                <w:szCs w:val="16"/>
              </w:rPr>
              <w:t>Per Capita Health Spending (USD)</w:t>
            </w:r>
          </w:p>
        </w:tc>
        <w:tc>
          <w:tcPr>
            <w:tcW w:w="450" w:type="pct"/>
            <w:shd w:val="clear" w:color="auto" w:fill="auto"/>
            <w:noWrap/>
            <w:vAlign w:val="bottom"/>
          </w:tcPr>
          <w:p w14:paraId="7B76754E" w14:textId="77777777" w:rsidR="002C0210" w:rsidRPr="00604A4A" w:rsidRDefault="002C0210" w:rsidP="0071438E">
            <w:pPr>
              <w:spacing w:line="240" w:lineRule="auto"/>
              <w:jc w:val="right"/>
              <w:rPr>
                <w:color w:val="000000"/>
                <w:sz w:val="16"/>
                <w:szCs w:val="16"/>
              </w:rPr>
            </w:pPr>
            <w:r w:rsidRPr="00604A4A">
              <w:rPr>
                <w:color w:val="000000"/>
                <w:sz w:val="16"/>
                <w:szCs w:val="16"/>
              </w:rPr>
              <w:t xml:space="preserve">        18.26 </w:t>
            </w:r>
          </w:p>
        </w:tc>
        <w:tc>
          <w:tcPr>
            <w:tcW w:w="448" w:type="pct"/>
            <w:shd w:val="clear" w:color="auto" w:fill="auto"/>
            <w:noWrap/>
            <w:vAlign w:val="bottom"/>
          </w:tcPr>
          <w:p w14:paraId="0A7F36C9" w14:textId="77777777" w:rsidR="002C0210" w:rsidRPr="00604A4A" w:rsidRDefault="002C0210" w:rsidP="0071438E">
            <w:pPr>
              <w:spacing w:line="240" w:lineRule="auto"/>
              <w:jc w:val="right"/>
              <w:rPr>
                <w:color w:val="000000"/>
                <w:sz w:val="16"/>
                <w:szCs w:val="16"/>
              </w:rPr>
            </w:pPr>
            <w:r w:rsidRPr="00604A4A">
              <w:rPr>
                <w:color w:val="000000"/>
                <w:sz w:val="16"/>
                <w:szCs w:val="16"/>
              </w:rPr>
              <w:t xml:space="preserve">        15.17 </w:t>
            </w:r>
          </w:p>
        </w:tc>
        <w:tc>
          <w:tcPr>
            <w:tcW w:w="450" w:type="pct"/>
            <w:shd w:val="clear" w:color="auto" w:fill="auto"/>
            <w:noWrap/>
            <w:vAlign w:val="bottom"/>
          </w:tcPr>
          <w:p w14:paraId="4D6583D4" w14:textId="77777777" w:rsidR="002C0210" w:rsidRPr="00604A4A" w:rsidRDefault="002C0210" w:rsidP="0071438E">
            <w:pPr>
              <w:spacing w:line="240" w:lineRule="auto"/>
              <w:jc w:val="right"/>
              <w:rPr>
                <w:color w:val="000000"/>
                <w:sz w:val="16"/>
                <w:szCs w:val="16"/>
              </w:rPr>
            </w:pPr>
            <w:r w:rsidRPr="00604A4A">
              <w:rPr>
                <w:color w:val="000000"/>
                <w:sz w:val="16"/>
                <w:szCs w:val="16"/>
              </w:rPr>
              <w:t xml:space="preserve">        21.14 </w:t>
            </w:r>
          </w:p>
        </w:tc>
        <w:tc>
          <w:tcPr>
            <w:tcW w:w="403" w:type="pct"/>
            <w:shd w:val="clear" w:color="auto" w:fill="auto"/>
            <w:noWrap/>
            <w:vAlign w:val="bottom"/>
          </w:tcPr>
          <w:p w14:paraId="4A7F2871" w14:textId="77777777" w:rsidR="002C0210" w:rsidRPr="00604A4A" w:rsidRDefault="002C0210" w:rsidP="0071438E">
            <w:pPr>
              <w:spacing w:line="240" w:lineRule="auto"/>
              <w:jc w:val="right"/>
              <w:rPr>
                <w:color w:val="000000"/>
                <w:sz w:val="16"/>
                <w:szCs w:val="16"/>
              </w:rPr>
            </w:pPr>
            <w:r w:rsidRPr="00604A4A">
              <w:rPr>
                <w:color w:val="000000"/>
                <w:sz w:val="16"/>
                <w:szCs w:val="16"/>
              </w:rPr>
              <w:t xml:space="preserve">        18.25 </w:t>
            </w:r>
          </w:p>
        </w:tc>
        <w:tc>
          <w:tcPr>
            <w:tcW w:w="450" w:type="pct"/>
            <w:shd w:val="clear" w:color="auto" w:fill="auto"/>
            <w:noWrap/>
            <w:vAlign w:val="bottom"/>
          </w:tcPr>
          <w:p w14:paraId="0B3F5B62" w14:textId="77777777" w:rsidR="002C0210" w:rsidRPr="00604A4A" w:rsidRDefault="002C0210" w:rsidP="0071438E">
            <w:pPr>
              <w:spacing w:line="240" w:lineRule="auto"/>
              <w:jc w:val="right"/>
              <w:rPr>
                <w:color w:val="000000"/>
                <w:sz w:val="16"/>
                <w:szCs w:val="16"/>
              </w:rPr>
            </w:pPr>
            <w:r w:rsidRPr="00604A4A">
              <w:rPr>
                <w:color w:val="000000"/>
                <w:sz w:val="16"/>
                <w:szCs w:val="16"/>
              </w:rPr>
              <w:t xml:space="preserve">        17.95 </w:t>
            </w:r>
          </w:p>
        </w:tc>
        <w:tc>
          <w:tcPr>
            <w:tcW w:w="448" w:type="pct"/>
            <w:shd w:val="clear" w:color="auto" w:fill="auto"/>
            <w:noWrap/>
            <w:vAlign w:val="bottom"/>
          </w:tcPr>
          <w:p w14:paraId="18A17A66" w14:textId="77777777" w:rsidR="002C0210" w:rsidRPr="00604A4A" w:rsidRDefault="002C0210" w:rsidP="0071438E">
            <w:pPr>
              <w:spacing w:line="240" w:lineRule="auto"/>
              <w:jc w:val="right"/>
              <w:rPr>
                <w:color w:val="000000"/>
                <w:sz w:val="16"/>
                <w:szCs w:val="16"/>
              </w:rPr>
            </w:pPr>
            <w:r w:rsidRPr="00604A4A">
              <w:rPr>
                <w:color w:val="000000"/>
                <w:sz w:val="16"/>
                <w:szCs w:val="16"/>
              </w:rPr>
              <w:t xml:space="preserve">        14.78 </w:t>
            </w:r>
          </w:p>
        </w:tc>
        <w:tc>
          <w:tcPr>
            <w:tcW w:w="450" w:type="pct"/>
            <w:shd w:val="clear" w:color="auto" w:fill="auto"/>
            <w:noWrap/>
            <w:vAlign w:val="bottom"/>
          </w:tcPr>
          <w:p w14:paraId="05E14C96" w14:textId="77777777" w:rsidR="002C0210" w:rsidRPr="00604A4A" w:rsidRDefault="002C0210" w:rsidP="0071438E">
            <w:pPr>
              <w:spacing w:line="240" w:lineRule="auto"/>
              <w:jc w:val="right"/>
              <w:rPr>
                <w:color w:val="000000"/>
                <w:sz w:val="16"/>
                <w:szCs w:val="16"/>
              </w:rPr>
            </w:pPr>
            <w:r w:rsidRPr="00604A4A">
              <w:rPr>
                <w:color w:val="000000"/>
                <w:sz w:val="16"/>
                <w:szCs w:val="16"/>
              </w:rPr>
              <w:t xml:space="preserve">        22.02 </w:t>
            </w:r>
          </w:p>
        </w:tc>
        <w:tc>
          <w:tcPr>
            <w:tcW w:w="403" w:type="pct"/>
            <w:shd w:val="clear" w:color="auto" w:fill="auto"/>
            <w:noWrap/>
            <w:vAlign w:val="bottom"/>
          </w:tcPr>
          <w:p w14:paraId="2F43CC71" w14:textId="77777777" w:rsidR="002C0210" w:rsidRPr="00604A4A" w:rsidRDefault="000E66FA" w:rsidP="00696EF9">
            <w:pPr>
              <w:spacing w:line="240" w:lineRule="auto"/>
              <w:jc w:val="right"/>
              <w:rPr>
                <w:color w:val="000000"/>
                <w:sz w:val="16"/>
                <w:szCs w:val="16"/>
              </w:rPr>
            </w:pPr>
            <w:r w:rsidRPr="00604A4A">
              <w:rPr>
                <w:color w:val="000000"/>
                <w:sz w:val="16"/>
                <w:szCs w:val="16"/>
              </w:rPr>
              <w:t>17.48</w:t>
            </w:r>
          </w:p>
        </w:tc>
        <w:tc>
          <w:tcPr>
            <w:tcW w:w="457" w:type="pct"/>
            <w:shd w:val="clear" w:color="auto" w:fill="auto"/>
            <w:noWrap/>
            <w:vAlign w:val="bottom"/>
          </w:tcPr>
          <w:p w14:paraId="5706DC7F" w14:textId="77777777" w:rsidR="002C0210" w:rsidRPr="00604A4A" w:rsidRDefault="000E66FA" w:rsidP="00696EF9">
            <w:pPr>
              <w:spacing w:line="240" w:lineRule="auto"/>
              <w:jc w:val="right"/>
              <w:rPr>
                <w:color w:val="000000"/>
                <w:sz w:val="16"/>
                <w:szCs w:val="16"/>
              </w:rPr>
            </w:pPr>
            <w:r w:rsidRPr="00604A4A">
              <w:rPr>
                <w:color w:val="000000"/>
                <w:sz w:val="16"/>
                <w:szCs w:val="16"/>
              </w:rPr>
              <w:t>23.11</w:t>
            </w:r>
          </w:p>
        </w:tc>
      </w:tr>
      <w:tr w:rsidR="002C0210" w:rsidRPr="00604A4A" w14:paraId="4E70E1D0" w14:textId="77777777" w:rsidTr="00F96C11">
        <w:trPr>
          <w:trHeight w:val="288"/>
        </w:trPr>
        <w:tc>
          <w:tcPr>
            <w:tcW w:w="1040" w:type="pct"/>
            <w:shd w:val="clear" w:color="auto" w:fill="auto"/>
            <w:noWrap/>
            <w:vAlign w:val="bottom"/>
            <w:hideMark/>
          </w:tcPr>
          <w:p w14:paraId="3C884423" w14:textId="77777777" w:rsidR="002C0210" w:rsidRPr="00604A4A" w:rsidRDefault="002C0210" w:rsidP="00696EF9">
            <w:pPr>
              <w:spacing w:line="240" w:lineRule="auto"/>
              <w:rPr>
                <w:color w:val="000000"/>
                <w:sz w:val="16"/>
                <w:szCs w:val="16"/>
              </w:rPr>
            </w:pPr>
            <w:r w:rsidRPr="00604A4A">
              <w:rPr>
                <w:color w:val="000000"/>
                <w:sz w:val="16"/>
                <w:szCs w:val="16"/>
              </w:rPr>
              <w:t>Real Per Capita TZS</w:t>
            </w:r>
          </w:p>
        </w:tc>
        <w:tc>
          <w:tcPr>
            <w:tcW w:w="450" w:type="pct"/>
            <w:shd w:val="clear" w:color="auto" w:fill="auto"/>
            <w:noWrap/>
            <w:vAlign w:val="bottom"/>
          </w:tcPr>
          <w:p w14:paraId="52AABD58" w14:textId="77777777" w:rsidR="002C0210" w:rsidRPr="00604A4A" w:rsidRDefault="002C0210" w:rsidP="0071438E">
            <w:pPr>
              <w:spacing w:line="240" w:lineRule="auto"/>
              <w:jc w:val="right"/>
              <w:rPr>
                <w:color w:val="000000"/>
                <w:sz w:val="16"/>
                <w:szCs w:val="16"/>
              </w:rPr>
            </w:pPr>
            <w:r w:rsidRPr="00604A4A">
              <w:rPr>
                <w:color w:val="000000"/>
                <w:sz w:val="16"/>
                <w:szCs w:val="16"/>
              </w:rPr>
              <w:t>16,228</w:t>
            </w:r>
          </w:p>
        </w:tc>
        <w:tc>
          <w:tcPr>
            <w:tcW w:w="448" w:type="pct"/>
            <w:shd w:val="clear" w:color="auto" w:fill="auto"/>
            <w:noWrap/>
            <w:vAlign w:val="bottom"/>
          </w:tcPr>
          <w:p w14:paraId="7B2EAF82" w14:textId="77777777" w:rsidR="002C0210" w:rsidRPr="00604A4A" w:rsidRDefault="002C0210" w:rsidP="0071438E">
            <w:pPr>
              <w:spacing w:line="240" w:lineRule="auto"/>
              <w:jc w:val="right"/>
              <w:rPr>
                <w:color w:val="000000"/>
                <w:sz w:val="16"/>
                <w:szCs w:val="16"/>
              </w:rPr>
            </w:pPr>
            <w:r w:rsidRPr="00604A4A">
              <w:rPr>
                <w:color w:val="000000"/>
                <w:sz w:val="16"/>
                <w:szCs w:val="16"/>
              </w:rPr>
              <w:t>13,480</w:t>
            </w:r>
          </w:p>
        </w:tc>
        <w:tc>
          <w:tcPr>
            <w:tcW w:w="450" w:type="pct"/>
            <w:shd w:val="clear" w:color="auto" w:fill="auto"/>
            <w:noWrap/>
            <w:vAlign w:val="bottom"/>
          </w:tcPr>
          <w:p w14:paraId="49100690" w14:textId="77777777" w:rsidR="002C0210" w:rsidRPr="00604A4A" w:rsidRDefault="002C0210" w:rsidP="0071438E">
            <w:pPr>
              <w:spacing w:line="240" w:lineRule="auto"/>
              <w:jc w:val="right"/>
              <w:rPr>
                <w:color w:val="000000"/>
                <w:sz w:val="16"/>
                <w:szCs w:val="16"/>
              </w:rPr>
            </w:pPr>
            <w:r w:rsidRPr="00604A4A">
              <w:rPr>
                <w:color w:val="000000"/>
                <w:sz w:val="16"/>
                <w:szCs w:val="16"/>
              </w:rPr>
              <w:t>17,871</w:t>
            </w:r>
          </w:p>
        </w:tc>
        <w:tc>
          <w:tcPr>
            <w:tcW w:w="403" w:type="pct"/>
            <w:shd w:val="clear" w:color="auto" w:fill="auto"/>
            <w:noWrap/>
            <w:vAlign w:val="bottom"/>
          </w:tcPr>
          <w:p w14:paraId="06D8915E" w14:textId="77777777" w:rsidR="002C0210" w:rsidRPr="00604A4A" w:rsidRDefault="002C0210" w:rsidP="0071438E">
            <w:pPr>
              <w:spacing w:line="240" w:lineRule="auto"/>
              <w:jc w:val="right"/>
              <w:rPr>
                <w:color w:val="000000"/>
                <w:sz w:val="16"/>
                <w:szCs w:val="16"/>
              </w:rPr>
            </w:pPr>
            <w:r w:rsidRPr="00604A4A">
              <w:rPr>
                <w:color w:val="000000"/>
                <w:sz w:val="16"/>
                <w:szCs w:val="16"/>
              </w:rPr>
              <w:t>15,426</w:t>
            </w:r>
          </w:p>
        </w:tc>
        <w:tc>
          <w:tcPr>
            <w:tcW w:w="450" w:type="pct"/>
            <w:shd w:val="clear" w:color="auto" w:fill="auto"/>
            <w:noWrap/>
            <w:vAlign w:val="bottom"/>
          </w:tcPr>
          <w:p w14:paraId="3D4D6877" w14:textId="77777777" w:rsidR="002C0210" w:rsidRPr="00604A4A" w:rsidRDefault="002C0210" w:rsidP="0071438E">
            <w:pPr>
              <w:spacing w:line="240" w:lineRule="auto"/>
              <w:jc w:val="right"/>
              <w:rPr>
                <w:color w:val="000000"/>
                <w:sz w:val="16"/>
                <w:szCs w:val="16"/>
              </w:rPr>
            </w:pPr>
            <w:r w:rsidRPr="00604A4A">
              <w:rPr>
                <w:color w:val="000000"/>
                <w:sz w:val="16"/>
                <w:szCs w:val="16"/>
              </w:rPr>
              <w:t>15,830</w:t>
            </w:r>
          </w:p>
        </w:tc>
        <w:tc>
          <w:tcPr>
            <w:tcW w:w="448" w:type="pct"/>
            <w:shd w:val="clear" w:color="auto" w:fill="auto"/>
            <w:noWrap/>
            <w:vAlign w:val="bottom"/>
          </w:tcPr>
          <w:p w14:paraId="5DAD623D" w14:textId="77777777" w:rsidR="002C0210" w:rsidRPr="00604A4A" w:rsidRDefault="002C0210" w:rsidP="0071438E">
            <w:pPr>
              <w:spacing w:line="240" w:lineRule="auto"/>
              <w:jc w:val="right"/>
              <w:rPr>
                <w:color w:val="000000"/>
                <w:sz w:val="16"/>
                <w:szCs w:val="16"/>
              </w:rPr>
            </w:pPr>
            <w:r w:rsidRPr="00604A4A">
              <w:rPr>
                <w:color w:val="000000"/>
                <w:sz w:val="16"/>
                <w:szCs w:val="16"/>
              </w:rPr>
              <w:t>13,038</w:t>
            </w:r>
          </w:p>
        </w:tc>
        <w:tc>
          <w:tcPr>
            <w:tcW w:w="450" w:type="pct"/>
            <w:shd w:val="clear" w:color="auto" w:fill="auto"/>
            <w:noWrap/>
            <w:vAlign w:val="bottom"/>
          </w:tcPr>
          <w:p w14:paraId="5F9EA329" w14:textId="77777777" w:rsidR="002C0210" w:rsidRPr="00604A4A" w:rsidRDefault="002C0210" w:rsidP="0071438E">
            <w:pPr>
              <w:spacing w:line="240" w:lineRule="auto"/>
              <w:jc w:val="right"/>
              <w:rPr>
                <w:color w:val="000000"/>
                <w:sz w:val="16"/>
                <w:szCs w:val="16"/>
              </w:rPr>
            </w:pPr>
            <w:r w:rsidRPr="00604A4A">
              <w:rPr>
                <w:color w:val="000000"/>
                <w:sz w:val="16"/>
                <w:szCs w:val="16"/>
              </w:rPr>
              <w:t>18,315</w:t>
            </w:r>
          </w:p>
        </w:tc>
        <w:tc>
          <w:tcPr>
            <w:tcW w:w="403" w:type="pct"/>
            <w:shd w:val="clear" w:color="auto" w:fill="auto"/>
            <w:noWrap/>
            <w:vAlign w:val="bottom"/>
          </w:tcPr>
          <w:p w14:paraId="63E65667" w14:textId="77777777" w:rsidR="002C0210" w:rsidRPr="00604A4A" w:rsidRDefault="000E66FA" w:rsidP="00696EF9">
            <w:pPr>
              <w:spacing w:line="240" w:lineRule="auto"/>
              <w:jc w:val="right"/>
              <w:rPr>
                <w:color w:val="000000"/>
                <w:sz w:val="16"/>
                <w:szCs w:val="16"/>
              </w:rPr>
            </w:pPr>
            <w:r w:rsidRPr="00604A4A">
              <w:rPr>
                <w:color w:val="000000"/>
                <w:sz w:val="16"/>
                <w:szCs w:val="16"/>
              </w:rPr>
              <w:t>14,540</w:t>
            </w:r>
          </w:p>
        </w:tc>
        <w:tc>
          <w:tcPr>
            <w:tcW w:w="457" w:type="pct"/>
            <w:shd w:val="clear" w:color="auto" w:fill="auto"/>
            <w:noWrap/>
            <w:vAlign w:val="bottom"/>
          </w:tcPr>
          <w:p w14:paraId="168D8696" w14:textId="77777777" w:rsidR="002C0210" w:rsidRPr="00604A4A" w:rsidRDefault="000E66FA" w:rsidP="00696EF9">
            <w:pPr>
              <w:spacing w:line="240" w:lineRule="auto"/>
              <w:jc w:val="right"/>
              <w:rPr>
                <w:color w:val="000000"/>
                <w:sz w:val="16"/>
                <w:szCs w:val="16"/>
              </w:rPr>
            </w:pPr>
            <w:r w:rsidRPr="00604A4A">
              <w:rPr>
                <w:color w:val="000000"/>
                <w:sz w:val="16"/>
                <w:szCs w:val="16"/>
              </w:rPr>
              <w:t>24,339</w:t>
            </w:r>
          </w:p>
        </w:tc>
      </w:tr>
      <w:tr w:rsidR="002C0210" w:rsidRPr="00604A4A" w14:paraId="34B79D0A" w14:textId="77777777" w:rsidTr="00F96C11">
        <w:trPr>
          <w:trHeight w:val="288"/>
        </w:trPr>
        <w:tc>
          <w:tcPr>
            <w:tcW w:w="1040" w:type="pct"/>
            <w:shd w:val="clear" w:color="auto" w:fill="auto"/>
            <w:noWrap/>
            <w:vAlign w:val="bottom"/>
          </w:tcPr>
          <w:p w14:paraId="5B93C0AD" w14:textId="77777777" w:rsidR="002C0210" w:rsidRPr="00604A4A" w:rsidRDefault="002C0210" w:rsidP="00696EF9">
            <w:pPr>
              <w:spacing w:line="240" w:lineRule="auto"/>
              <w:rPr>
                <w:color w:val="000000"/>
                <w:sz w:val="16"/>
                <w:szCs w:val="16"/>
              </w:rPr>
            </w:pPr>
            <w:r w:rsidRPr="00604A4A">
              <w:rPr>
                <w:color w:val="000000"/>
                <w:sz w:val="16"/>
                <w:szCs w:val="16"/>
              </w:rPr>
              <w:t>Real per capita USD</w:t>
            </w:r>
          </w:p>
        </w:tc>
        <w:tc>
          <w:tcPr>
            <w:tcW w:w="450" w:type="pct"/>
            <w:shd w:val="clear" w:color="auto" w:fill="auto"/>
            <w:noWrap/>
            <w:vAlign w:val="bottom"/>
          </w:tcPr>
          <w:p w14:paraId="4E539E10" w14:textId="77777777" w:rsidR="002C0210" w:rsidRPr="00604A4A" w:rsidRDefault="002C0210" w:rsidP="0071438E">
            <w:pPr>
              <w:spacing w:line="240" w:lineRule="auto"/>
              <w:jc w:val="right"/>
              <w:rPr>
                <w:color w:val="000000"/>
                <w:sz w:val="16"/>
                <w:szCs w:val="16"/>
              </w:rPr>
            </w:pPr>
            <w:r w:rsidRPr="00604A4A">
              <w:rPr>
                <w:color w:val="000000"/>
                <w:sz w:val="16"/>
                <w:szCs w:val="16"/>
              </w:rPr>
              <w:t>10.27</w:t>
            </w:r>
          </w:p>
        </w:tc>
        <w:tc>
          <w:tcPr>
            <w:tcW w:w="448" w:type="pct"/>
            <w:shd w:val="clear" w:color="auto" w:fill="auto"/>
            <w:noWrap/>
            <w:vAlign w:val="bottom"/>
          </w:tcPr>
          <w:p w14:paraId="78E3B742" w14:textId="77777777" w:rsidR="002C0210" w:rsidRPr="00604A4A" w:rsidRDefault="002C0210" w:rsidP="0071438E">
            <w:pPr>
              <w:spacing w:line="240" w:lineRule="auto"/>
              <w:jc w:val="right"/>
              <w:rPr>
                <w:color w:val="000000"/>
                <w:sz w:val="16"/>
                <w:szCs w:val="16"/>
              </w:rPr>
            </w:pPr>
            <w:r w:rsidRPr="00604A4A">
              <w:rPr>
                <w:color w:val="000000"/>
                <w:sz w:val="16"/>
                <w:szCs w:val="16"/>
              </w:rPr>
              <w:t>8.53</w:t>
            </w:r>
          </w:p>
        </w:tc>
        <w:tc>
          <w:tcPr>
            <w:tcW w:w="450" w:type="pct"/>
            <w:shd w:val="clear" w:color="auto" w:fill="auto"/>
            <w:noWrap/>
            <w:vAlign w:val="bottom"/>
          </w:tcPr>
          <w:p w14:paraId="52FA4AF3" w14:textId="77777777" w:rsidR="002C0210" w:rsidRPr="00604A4A" w:rsidRDefault="002C0210" w:rsidP="0071438E">
            <w:pPr>
              <w:spacing w:line="240" w:lineRule="auto"/>
              <w:jc w:val="right"/>
              <w:rPr>
                <w:color w:val="000000"/>
                <w:sz w:val="16"/>
                <w:szCs w:val="16"/>
              </w:rPr>
            </w:pPr>
            <w:r w:rsidRPr="00604A4A">
              <w:rPr>
                <w:color w:val="000000"/>
                <w:sz w:val="16"/>
                <w:szCs w:val="16"/>
              </w:rPr>
              <w:t>11.30</w:t>
            </w:r>
          </w:p>
        </w:tc>
        <w:tc>
          <w:tcPr>
            <w:tcW w:w="403" w:type="pct"/>
            <w:shd w:val="clear" w:color="auto" w:fill="auto"/>
            <w:noWrap/>
            <w:vAlign w:val="bottom"/>
          </w:tcPr>
          <w:p w14:paraId="671A1C60" w14:textId="77777777" w:rsidR="002C0210" w:rsidRPr="00604A4A" w:rsidRDefault="002C0210" w:rsidP="0071438E">
            <w:pPr>
              <w:spacing w:line="240" w:lineRule="auto"/>
              <w:jc w:val="right"/>
              <w:rPr>
                <w:color w:val="000000"/>
                <w:sz w:val="16"/>
                <w:szCs w:val="16"/>
              </w:rPr>
            </w:pPr>
            <w:r w:rsidRPr="00604A4A">
              <w:rPr>
                <w:color w:val="000000"/>
                <w:sz w:val="16"/>
                <w:szCs w:val="16"/>
              </w:rPr>
              <w:t>9.75</w:t>
            </w:r>
          </w:p>
        </w:tc>
        <w:tc>
          <w:tcPr>
            <w:tcW w:w="450" w:type="pct"/>
            <w:shd w:val="clear" w:color="auto" w:fill="auto"/>
            <w:noWrap/>
            <w:vAlign w:val="bottom"/>
          </w:tcPr>
          <w:p w14:paraId="6FBF6F61" w14:textId="77777777" w:rsidR="002C0210" w:rsidRPr="00604A4A" w:rsidRDefault="002C0210" w:rsidP="0071438E">
            <w:pPr>
              <w:spacing w:line="240" w:lineRule="auto"/>
              <w:jc w:val="right"/>
              <w:rPr>
                <w:color w:val="000000"/>
                <w:sz w:val="16"/>
                <w:szCs w:val="16"/>
              </w:rPr>
            </w:pPr>
            <w:r w:rsidRPr="00604A4A">
              <w:rPr>
                <w:color w:val="000000"/>
                <w:sz w:val="16"/>
                <w:szCs w:val="16"/>
              </w:rPr>
              <w:t>9.13</w:t>
            </w:r>
          </w:p>
        </w:tc>
        <w:tc>
          <w:tcPr>
            <w:tcW w:w="448" w:type="pct"/>
            <w:shd w:val="clear" w:color="auto" w:fill="auto"/>
            <w:noWrap/>
            <w:vAlign w:val="bottom"/>
          </w:tcPr>
          <w:p w14:paraId="1E20DAA5" w14:textId="77777777" w:rsidR="002C0210" w:rsidRPr="00604A4A" w:rsidRDefault="002C0210" w:rsidP="0071438E">
            <w:pPr>
              <w:spacing w:line="240" w:lineRule="auto"/>
              <w:jc w:val="right"/>
              <w:rPr>
                <w:color w:val="000000"/>
                <w:sz w:val="16"/>
                <w:szCs w:val="16"/>
              </w:rPr>
            </w:pPr>
            <w:r w:rsidRPr="00604A4A">
              <w:rPr>
                <w:color w:val="000000"/>
                <w:sz w:val="16"/>
                <w:szCs w:val="16"/>
              </w:rPr>
              <w:t>7.52</w:t>
            </w:r>
          </w:p>
        </w:tc>
        <w:tc>
          <w:tcPr>
            <w:tcW w:w="450" w:type="pct"/>
            <w:shd w:val="clear" w:color="auto" w:fill="auto"/>
            <w:noWrap/>
            <w:vAlign w:val="bottom"/>
          </w:tcPr>
          <w:p w14:paraId="6D70AFE6" w14:textId="77777777" w:rsidR="002C0210" w:rsidRPr="00604A4A" w:rsidRDefault="002C0210" w:rsidP="0071438E">
            <w:pPr>
              <w:spacing w:line="240" w:lineRule="auto"/>
              <w:jc w:val="right"/>
              <w:rPr>
                <w:color w:val="000000"/>
                <w:sz w:val="16"/>
                <w:szCs w:val="16"/>
              </w:rPr>
            </w:pPr>
            <w:r w:rsidRPr="00604A4A">
              <w:rPr>
                <w:color w:val="000000"/>
                <w:sz w:val="16"/>
                <w:szCs w:val="16"/>
              </w:rPr>
              <w:t>10.59</w:t>
            </w:r>
          </w:p>
        </w:tc>
        <w:tc>
          <w:tcPr>
            <w:tcW w:w="403" w:type="pct"/>
            <w:shd w:val="clear" w:color="auto" w:fill="auto"/>
            <w:noWrap/>
            <w:vAlign w:val="bottom"/>
          </w:tcPr>
          <w:p w14:paraId="17190118" w14:textId="77777777" w:rsidR="002C0210" w:rsidRPr="00604A4A" w:rsidRDefault="000E66FA" w:rsidP="00696EF9">
            <w:pPr>
              <w:spacing w:line="240" w:lineRule="auto"/>
              <w:jc w:val="right"/>
              <w:rPr>
                <w:color w:val="000000"/>
                <w:sz w:val="16"/>
                <w:szCs w:val="16"/>
              </w:rPr>
            </w:pPr>
            <w:r w:rsidRPr="00604A4A">
              <w:rPr>
                <w:color w:val="000000"/>
                <w:sz w:val="16"/>
                <w:szCs w:val="16"/>
              </w:rPr>
              <w:t>8.41</w:t>
            </w:r>
          </w:p>
        </w:tc>
        <w:tc>
          <w:tcPr>
            <w:tcW w:w="457" w:type="pct"/>
            <w:shd w:val="clear" w:color="auto" w:fill="auto"/>
            <w:noWrap/>
            <w:vAlign w:val="bottom"/>
          </w:tcPr>
          <w:p w14:paraId="354BB6FB" w14:textId="77777777" w:rsidR="002C0210" w:rsidRPr="00604A4A" w:rsidRDefault="000E66FA" w:rsidP="00696EF9">
            <w:pPr>
              <w:spacing w:line="240" w:lineRule="auto"/>
              <w:jc w:val="right"/>
              <w:rPr>
                <w:color w:val="000000"/>
                <w:sz w:val="16"/>
                <w:szCs w:val="16"/>
              </w:rPr>
            </w:pPr>
            <w:r w:rsidRPr="00604A4A">
              <w:rPr>
                <w:color w:val="000000"/>
                <w:sz w:val="16"/>
                <w:szCs w:val="16"/>
              </w:rPr>
              <w:t>11.22</w:t>
            </w:r>
          </w:p>
        </w:tc>
      </w:tr>
      <w:tr w:rsidR="002C0210" w:rsidRPr="00604A4A" w14:paraId="27E63EE3" w14:textId="77777777" w:rsidTr="00F96C11">
        <w:trPr>
          <w:trHeight w:val="288"/>
        </w:trPr>
        <w:tc>
          <w:tcPr>
            <w:tcW w:w="5000" w:type="pct"/>
            <w:gridSpan w:val="10"/>
            <w:shd w:val="clear" w:color="auto" w:fill="auto"/>
            <w:noWrap/>
            <w:vAlign w:val="bottom"/>
            <w:hideMark/>
          </w:tcPr>
          <w:p w14:paraId="03106B05" w14:textId="77777777" w:rsidR="002C0210" w:rsidRPr="00604A4A" w:rsidRDefault="002C0210" w:rsidP="00696EF9">
            <w:pPr>
              <w:spacing w:line="240" w:lineRule="auto"/>
              <w:jc w:val="center"/>
              <w:rPr>
                <w:b/>
                <w:color w:val="000000"/>
                <w:sz w:val="16"/>
                <w:szCs w:val="16"/>
              </w:rPr>
            </w:pPr>
            <w:r w:rsidRPr="00604A4A">
              <w:rPr>
                <w:b/>
                <w:color w:val="000000"/>
                <w:sz w:val="16"/>
                <w:szCs w:val="16"/>
              </w:rPr>
              <w:t>Memorandum Items</w:t>
            </w:r>
          </w:p>
        </w:tc>
      </w:tr>
      <w:tr w:rsidR="002C0210" w:rsidRPr="00604A4A" w14:paraId="20352843" w14:textId="77777777" w:rsidTr="00F96C11">
        <w:trPr>
          <w:trHeight w:val="288"/>
        </w:trPr>
        <w:tc>
          <w:tcPr>
            <w:tcW w:w="1040" w:type="pct"/>
            <w:shd w:val="clear" w:color="auto" w:fill="auto"/>
            <w:noWrap/>
            <w:vAlign w:val="bottom"/>
            <w:hideMark/>
          </w:tcPr>
          <w:p w14:paraId="47075A6A" w14:textId="77777777" w:rsidR="002C0210" w:rsidRPr="00604A4A" w:rsidRDefault="002C0210" w:rsidP="00696EF9">
            <w:pPr>
              <w:spacing w:line="240" w:lineRule="auto"/>
              <w:rPr>
                <w:color w:val="000000"/>
                <w:sz w:val="16"/>
                <w:szCs w:val="16"/>
              </w:rPr>
            </w:pPr>
            <w:r w:rsidRPr="00604A4A">
              <w:rPr>
                <w:color w:val="000000"/>
                <w:sz w:val="16"/>
                <w:szCs w:val="16"/>
              </w:rPr>
              <w:t>Re-based GDP at current Prices - TZS Bn</w:t>
            </w:r>
          </w:p>
        </w:tc>
        <w:tc>
          <w:tcPr>
            <w:tcW w:w="450" w:type="pct"/>
            <w:shd w:val="clear" w:color="auto" w:fill="auto"/>
            <w:noWrap/>
            <w:vAlign w:val="bottom"/>
          </w:tcPr>
          <w:p w14:paraId="00247E16" w14:textId="77777777" w:rsidR="002C0210" w:rsidRPr="00604A4A" w:rsidRDefault="000E66FA" w:rsidP="0071438E">
            <w:pPr>
              <w:spacing w:line="240" w:lineRule="auto"/>
              <w:jc w:val="right"/>
              <w:rPr>
                <w:color w:val="000000"/>
                <w:sz w:val="16"/>
                <w:szCs w:val="16"/>
              </w:rPr>
            </w:pPr>
            <w:r w:rsidRPr="00604A4A">
              <w:rPr>
                <w:color w:val="000000"/>
                <w:sz w:val="16"/>
                <w:szCs w:val="16"/>
              </w:rPr>
              <w:t xml:space="preserve">     61,434</w:t>
            </w:r>
            <w:r w:rsidR="002C0210" w:rsidRPr="00604A4A">
              <w:rPr>
                <w:color w:val="000000"/>
                <w:sz w:val="16"/>
                <w:szCs w:val="16"/>
              </w:rPr>
              <w:t xml:space="preserve"> </w:t>
            </w:r>
          </w:p>
        </w:tc>
        <w:tc>
          <w:tcPr>
            <w:tcW w:w="448" w:type="pct"/>
            <w:shd w:val="clear" w:color="auto" w:fill="auto"/>
            <w:noWrap/>
            <w:vAlign w:val="bottom"/>
            <w:hideMark/>
          </w:tcPr>
          <w:p w14:paraId="1305C2D9" w14:textId="77777777" w:rsidR="002C0210" w:rsidRPr="00604A4A" w:rsidRDefault="002C0210" w:rsidP="00696EF9">
            <w:pPr>
              <w:spacing w:line="240" w:lineRule="auto"/>
              <w:jc w:val="right"/>
              <w:rPr>
                <w:color w:val="000000"/>
                <w:sz w:val="16"/>
                <w:szCs w:val="16"/>
              </w:rPr>
            </w:pPr>
            <w:r w:rsidRPr="00604A4A">
              <w:rPr>
                <w:color w:val="000000"/>
                <w:sz w:val="16"/>
                <w:szCs w:val="16"/>
              </w:rPr>
              <w:t> </w:t>
            </w:r>
          </w:p>
        </w:tc>
        <w:tc>
          <w:tcPr>
            <w:tcW w:w="450" w:type="pct"/>
            <w:shd w:val="clear" w:color="auto" w:fill="auto"/>
            <w:noWrap/>
            <w:vAlign w:val="bottom"/>
          </w:tcPr>
          <w:p w14:paraId="5F10C2CB" w14:textId="77777777" w:rsidR="002C0210" w:rsidRPr="00604A4A" w:rsidRDefault="000E66FA" w:rsidP="0071438E">
            <w:pPr>
              <w:spacing w:line="240" w:lineRule="auto"/>
              <w:jc w:val="right"/>
              <w:rPr>
                <w:color w:val="000000"/>
                <w:sz w:val="16"/>
                <w:szCs w:val="16"/>
              </w:rPr>
            </w:pPr>
            <w:r w:rsidRPr="00604A4A">
              <w:rPr>
                <w:color w:val="000000"/>
                <w:sz w:val="16"/>
                <w:szCs w:val="16"/>
              </w:rPr>
              <w:t xml:space="preserve">     70,953</w:t>
            </w:r>
            <w:r w:rsidR="002C0210" w:rsidRPr="00604A4A">
              <w:rPr>
                <w:color w:val="000000"/>
                <w:sz w:val="16"/>
                <w:szCs w:val="16"/>
              </w:rPr>
              <w:t xml:space="preserve"> </w:t>
            </w:r>
          </w:p>
        </w:tc>
        <w:tc>
          <w:tcPr>
            <w:tcW w:w="403" w:type="pct"/>
            <w:shd w:val="clear" w:color="auto" w:fill="auto"/>
            <w:noWrap/>
            <w:vAlign w:val="bottom"/>
            <w:hideMark/>
          </w:tcPr>
          <w:p w14:paraId="210DC44A" w14:textId="77777777" w:rsidR="002C0210" w:rsidRPr="00604A4A" w:rsidRDefault="002C0210" w:rsidP="00696EF9">
            <w:pPr>
              <w:spacing w:line="240" w:lineRule="auto"/>
              <w:jc w:val="right"/>
              <w:rPr>
                <w:color w:val="000000"/>
                <w:sz w:val="16"/>
                <w:szCs w:val="16"/>
              </w:rPr>
            </w:pPr>
            <w:r w:rsidRPr="00604A4A">
              <w:rPr>
                <w:color w:val="000000"/>
                <w:sz w:val="16"/>
                <w:szCs w:val="16"/>
              </w:rPr>
              <w:t> </w:t>
            </w:r>
          </w:p>
        </w:tc>
        <w:tc>
          <w:tcPr>
            <w:tcW w:w="450" w:type="pct"/>
            <w:shd w:val="clear" w:color="auto" w:fill="auto"/>
            <w:noWrap/>
            <w:vAlign w:val="bottom"/>
          </w:tcPr>
          <w:p w14:paraId="28300F12" w14:textId="77777777" w:rsidR="002C0210" w:rsidRPr="00604A4A" w:rsidRDefault="000E66FA" w:rsidP="0071438E">
            <w:pPr>
              <w:spacing w:line="240" w:lineRule="auto"/>
              <w:jc w:val="right"/>
              <w:rPr>
                <w:color w:val="000000"/>
                <w:sz w:val="16"/>
                <w:szCs w:val="16"/>
              </w:rPr>
            </w:pPr>
            <w:r w:rsidRPr="00604A4A">
              <w:rPr>
                <w:color w:val="000000"/>
                <w:sz w:val="16"/>
                <w:szCs w:val="16"/>
              </w:rPr>
              <w:t xml:space="preserve">     79,718</w:t>
            </w:r>
            <w:r w:rsidR="002C0210" w:rsidRPr="00604A4A">
              <w:rPr>
                <w:color w:val="000000"/>
                <w:sz w:val="16"/>
                <w:szCs w:val="16"/>
              </w:rPr>
              <w:t xml:space="preserve"> </w:t>
            </w:r>
          </w:p>
        </w:tc>
        <w:tc>
          <w:tcPr>
            <w:tcW w:w="448" w:type="pct"/>
            <w:shd w:val="clear" w:color="auto" w:fill="auto"/>
            <w:noWrap/>
            <w:vAlign w:val="bottom"/>
            <w:hideMark/>
          </w:tcPr>
          <w:p w14:paraId="56BEE441" w14:textId="77777777" w:rsidR="002C0210" w:rsidRPr="00604A4A" w:rsidRDefault="002C0210" w:rsidP="00696EF9">
            <w:pPr>
              <w:spacing w:line="240" w:lineRule="auto"/>
              <w:jc w:val="right"/>
              <w:rPr>
                <w:color w:val="000000"/>
                <w:sz w:val="16"/>
                <w:szCs w:val="16"/>
              </w:rPr>
            </w:pPr>
            <w:r w:rsidRPr="00604A4A">
              <w:rPr>
                <w:color w:val="000000"/>
                <w:sz w:val="16"/>
                <w:szCs w:val="16"/>
              </w:rPr>
              <w:t> </w:t>
            </w:r>
          </w:p>
        </w:tc>
        <w:tc>
          <w:tcPr>
            <w:tcW w:w="450" w:type="pct"/>
            <w:shd w:val="clear" w:color="auto" w:fill="auto"/>
            <w:noWrap/>
            <w:vAlign w:val="bottom"/>
          </w:tcPr>
          <w:p w14:paraId="74476CB9" w14:textId="77777777" w:rsidR="002C0210" w:rsidRPr="00604A4A" w:rsidRDefault="000E66FA" w:rsidP="0071438E">
            <w:pPr>
              <w:spacing w:line="240" w:lineRule="auto"/>
              <w:jc w:val="right"/>
              <w:rPr>
                <w:color w:val="000000"/>
                <w:sz w:val="16"/>
                <w:szCs w:val="16"/>
              </w:rPr>
            </w:pPr>
            <w:r w:rsidRPr="00604A4A">
              <w:rPr>
                <w:color w:val="000000"/>
                <w:sz w:val="16"/>
                <w:szCs w:val="16"/>
              </w:rPr>
              <w:t xml:space="preserve">     90,864</w:t>
            </w:r>
            <w:r w:rsidR="002C0210" w:rsidRPr="00604A4A">
              <w:rPr>
                <w:color w:val="000000"/>
                <w:sz w:val="16"/>
                <w:szCs w:val="16"/>
              </w:rPr>
              <w:t xml:space="preserve"> </w:t>
            </w:r>
          </w:p>
        </w:tc>
        <w:tc>
          <w:tcPr>
            <w:tcW w:w="403" w:type="pct"/>
            <w:shd w:val="clear" w:color="auto" w:fill="auto"/>
            <w:noWrap/>
            <w:vAlign w:val="bottom"/>
            <w:hideMark/>
          </w:tcPr>
          <w:p w14:paraId="7322F09C" w14:textId="77777777" w:rsidR="002C0210" w:rsidRPr="00604A4A" w:rsidRDefault="002C0210" w:rsidP="00696EF9">
            <w:pPr>
              <w:spacing w:line="240" w:lineRule="auto"/>
              <w:jc w:val="right"/>
              <w:rPr>
                <w:color w:val="000000"/>
                <w:sz w:val="16"/>
                <w:szCs w:val="16"/>
              </w:rPr>
            </w:pPr>
            <w:r w:rsidRPr="00604A4A">
              <w:rPr>
                <w:color w:val="000000"/>
                <w:sz w:val="16"/>
                <w:szCs w:val="16"/>
              </w:rPr>
              <w:t> </w:t>
            </w:r>
          </w:p>
        </w:tc>
        <w:tc>
          <w:tcPr>
            <w:tcW w:w="457" w:type="pct"/>
            <w:shd w:val="clear" w:color="auto" w:fill="auto"/>
            <w:noWrap/>
            <w:vAlign w:val="bottom"/>
          </w:tcPr>
          <w:p w14:paraId="1E75972C" w14:textId="77777777" w:rsidR="002C0210" w:rsidRPr="00604A4A" w:rsidRDefault="000E66FA" w:rsidP="00696EF9">
            <w:pPr>
              <w:spacing w:line="240" w:lineRule="auto"/>
              <w:jc w:val="right"/>
              <w:rPr>
                <w:color w:val="000000"/>
                <w:sz w:val="16"/>
                <w:szCs w:val="16"/>
              </w:rPr>
            </w:pPr>
            <w:r w:rsidRPr="00604A4A">
              <w:rPr>
                <w:color w:val="000000"/>
                <w:sz w:val="16"/>
                <w:szCs w:val="16"/>
              </w:rPr>
              <w:t>109,241</w:t>
            </w:r>
          </w:p>
        </w:tc>
      </w:tr>
      <w:tr w:rsidR="002C0210" w:rsidRPr="00604A4A" w14:paraId="3D7423C3" w14:textId="77777777" w:rsidTr="00F96C11">
        <w:trPr>
          <w:trHeight w:val="288"/>
        </w:trPr>
        <w:tc>
          <w:tcPr>
            <w:tcW w:w="1040" w:type="pct"/>
            <w:shd w:val="clear" w:color="auto" w:fill="auto"/>
            <w:noWrap/>
            <w:vAlign w:val="bottom"/>
            <w:hideMark/>
          </w:tcPr>
          <w:p w14:paraId="32564B70" w14:textId="77777777" w:rsidR="002C0210" w:rsidRPr="00604A4A" w:rsidRDefault="002C0210" w:rsidP="00696EF9">
            <w:pPr>
              <w:spacing w:line="240" w:lineRule="auto"/>
              <w:rPr>
                <w:color w:val="000000"/>
                <w:sz w:val="16"/>
                <w:szCs w:val="16"/>
              </w:rPr>
            </w:pPr>
            <w:r w:rsidRPr="00604A4A">
              <w:rPr>
                <w:color w:val="000000"/>
                <w:sz w:val="16"/>
                <w:szCs w:val="16"/>
              </w:rPr>
              <w:t>Re-based GDP at constant 2007 prices - TZS Bn</w:t>
            </w:r>
          </w:p>
        </w:tc>
        <w:tc>
          <w:tcPr>
            <w:tcW w:w="450" w:type="pct"/>
            <w:shd w:val="clear" w:color="auto" w:fill="auto"/>
            <w:noWrap/>
            <w:vAlign w:val="bottom"/>
          </w:tcPr>
          <w:p w14:paraId="3398CAE6" w14:textId="77777777" w:rsidR="002C0210" w:rsidRPr="00604A4A" w:rsidRDefault="000E66FA" w:rsidP="0071438E">
            <w:pPr>
              <w:spacing w:line="240" w:lineRule="auto"/>
              <w:jc w:val="right"/>
              <w:rPr>
                <w:color w:val="000000"/>
                <w:sz w:val="16"/>
                <w:szCs w:val="16"/>
              </w:rPr>
            </w:pPr>
            <w:r w:rsidRPr="00604A4A">
              <w:rPr>
                <w:color w:val="000000"/>
                <w:sz w:val="16"/>
                <w:szCs w:val="16"/>
              </w:rPr>
              <w:t xml:space="preserve">     35,936</w:t>
            </w:r>
            <w:r w:rsidR="002C0210" w:rsidRPr="00604A4A">
              <w:rPr>
                <w:color w:val="000000"/>
                <w:sz w:val="16"/>
                <w:szCs w:val="16"/>
              </w:rPr>
              <w:t xml:space="preserve"> </w:t>
            </w:r>
          </w:p>
        </w:tc>
        <w:tc>
          <w:tcPr>
            <w:tcW w:w="448" w:type="pct"/>
            <w:shd w:val="clear" w:color="auto" w:fill="auto"/>
            <w:noWrap/>
            <w:vAlign w:val="bottom"/>
            <w:hideMark/>
          </w:tcPr>
          <w:p w14:paraId="07ACB0C6" w14:textId="77777777" w:rsidR="002C0210" w:rsidRPr="00604A4A" w:rsidRDefault="002C0210" w:rsidP="00696EF9">
            <w:pPr>
              <w:spacing w:line="240" w:lineRule="auto"/>
              <w:jc w:val="right"/>
              <w:rPr>
                <w:color w:val="000000"/>
                <w:sz w:val="16"/>
                <w:szCs w:val="16"/>
              </w:rPr>
            </w:pPr>
            <w:r w:rsidRPr="00604A4A">
              <w:rPr>
                <w:color w:val="000000"/>
                <w:sz w:val="16"/>
                <w:szCs w:val="16"/>
              </w:rPr>
              <w:t> </w:t>
            </w:r>
          </w:p>
        </w:tc>
        <w:tc>
          <w:tcPr>
            <w:tcW w:w="450" w:type="pct"/>
            <w:shd w:val="clear" w:color="auto" w:fill="auto"/>
            <w:noWrap/>
            <w:vAlign w:val="bottom"/>
          </w:tcPr>
          <w:p w14:paraId="07065FE5" w14:textId="77777777" w:rsidR="002C0210" w:rsidRPr="00604A4A" w:rsidRDefault="000E66FA" w:rsidP="0071438E">
            <w:pPr>
              <w:spacing w:line="240" w:lineRule="auto"/>
              <w:jc w:val="right"/>
              <w:rPr>
                <w:color w:val="000000"/>
                <w:sz w:val="16"/>
                <w:szCs w:val="16"/>
              </w:rPr>
            </w:pPr>
            <w:r w:rsidRPr="00604A4A">
              <w:rPr>
                <w:color w:val="000000"/>
                <w:sz w:val="16"/>
                <w:szCs w:val="16"/>
              </w:rPr>
              <w:t xml:space="preserve">     38,547</w:t>
            </w:r>
            <w:r w:rsidR="002C0210" w:rsidRPr="00604A4A">
              <w:rPr>
                <w:color w:val="000000"/>
                <w:sz w:val="16"/>
                <w:szCs w:val="16"/>
              </w:rPr>
              <w:t xml:space="preserve"> </w:t>
            </w:r>
          </w:p>
        </w:tc>
        <w:tc>
          <w:tcPr>
            <w:tcW w:w="403" w:type="pct"/>
            <w:shd w:val="clear" w:color="auto" w:fill="auto"/>
            <w:noWrap/>
            <w:vAlign w:val="bottom"/>
            <w:hideMark/>
          </w:tcPr>
          <w:p w14:paraId="1A997E01" w14:textId="77777777" w:rsidR="002C0210" w:rsidRPr="00604A4A" w:rsidRDefault="002C0210" w:rsidP="00696EF9">
            <w:pPr>
              <w:spacing w:line="240" w:lineRule="auto"/>
              <w:jc w:val="right"/>
              <w:rPr>
                <w:color w:val="000000"/>
                <w:sz w:val="16"/>
                <w:szCs w:val="16"/>
              </w:rPr>
            </w:pPr>
            <w:r w:rsidRPr="00604A4A">
              <w:rPr>
                <w:color w:val="000000"/>
                <w:sz w:val="16"/>
                <w:szCs w:val="16"/>
              </w:rPr>
              <w:t> </w:t>
            </w:r>
          </w:p>
        </w:tc>
        <w:tc>
          <w:tcPr>
            <w:tcW w:w="450" w:type="pct"/>
            <w:shd w:val="clear" w:color="auto" w:fill="auto"/>
            <w:noWrap/>
            <w:vAlign w:val="bottom"/>
          </w:tcPr>
          <w:p w14:paraId="0D83AD7B" w14:textId="77777777" w:rsidR="002C0210" w:rsidRPr="00604A4A" w:rsidRDefault="000E66FA" w:rsidP="0071438E">
            <w:pPr>
              <w:spacing w:line="240" w:lineRule="auto"/>
              <w:jc w:val="right"/>
              <w:rPr>
                <w:color w:val="000000"/>
                <w:sz w:val="16"/>
                <w:szCs w:val="16"/>
              </w:rPr>
            </w:pPr>
            <w:r w:rsidRPr="00604A4A">
              <w:rPr>
                <w:color w:val="000000"/>
                <w:sz w:val="16"/>
                <w:szCs w:val="16"/>
              </w:rPr>
              <w:t xml:space="preserve">     41,231</w:t>
            </w:r>
            <w:r w:rsidR="002C0210" w:rsidRPr="00604A4A">
              <w:rPr>
                <w:color w:val="000000"/>
                <w:sz w:val="16"/>
                <w:szCs w:val="16"/>
              </w:rPr>
              <w:t xml:space="preserve"> </w:t>
            </w:r>
          </w:p>
        </w:tc>
        <w:tc>
          <w:tcPr>
            <w:tcW w:w="448" w:type="pct"/>
            <w:shd w:val="clear" w:color="auto" w:fill="auto"/>
            <w:noWrap/>
            <w:vAlign w:val="bottom"/>
            <w:hideMark/>
          </w:tcPr>
          <w:p w14:paraId="0FA2F53E" w14:textId="77777777" w:rsidR="002C0210" w:rsidRPr="00604A4A" w:rsidRDefault="002C0210" w:rsidP="00696EF9">
            <w:pPr>
              <w:spacing w:line="240" w:lineRule="auto"/>
              <w:jc w:val="right"/>
              <w:rPr>
                <w:color w:val="000000"/>
                <w:sz w:val="16"/>
                <w:szCs w:val="16"/>
              </w:rPr>
            </w:pPr>
            <w:r w:rsidRPr="00604A4A">
              <w:rPr>
                <w:color w:val="000000"/>
                <w:sz w:val="16"/>
                <w:szCs w:val="16"/>
              </w:rPr>
              <w:t> </w:t>
            </w:r>
          </w:p>
        </w:tc>
        <w:tc>
          <w:tcPr>
            <w:tcW w:w="450" w:type="pct"/>
            <w:shd w:val="clear" w:color="auto" w:fill="auto"/>
            <w:noWrap/>
            <w:vAlign w:val="bottom"/>
          </w:tcPr>
          <w:p w14:paraId="79A70FC8" w14:textId="77777777" w:rsidR="002C0210" w:rsidRPr="00604A4A" w:rsidRDefault="000E66FA" w:rsidP="0071438E">
            <w:pPr>
              <w:spacing w:line="240" w:lineRule="auto"/>
              <w:jc w:val="right"/>
              <w:rPr>
                <w:color w:val="000000"/>
                <w:sz w:val="16"/>
                <w:szCs w:val="16"/>
              </w:rPr>
            </w:pPr>
            <w:r w:rsidRPr="00604A4A">
              <w:rPr>
                <w:color w:val="000000"/>
                <w:sz w:val="16"/>
                <w:szCs w:val="16"/>
              </w:rPr>
              <w:t xml:space="preserve">     44,101</w:t>
            </w:r>
            <w:r w:rsidR="002C0210" w:rsidRPr="00604A4A">
              <w:rPr>
                <w:color w:val="000000"/>
                <w:sz w:val="16"/>
                <w:szCs w:val="16"/>
              </w:rPr>
              <w:t xml:space="preserve"> </w:t>
            </w:r>
          </w:p>
        </w:tc>
        <w:tc>
          <w:tcPr>
            <w:tcW w:w="403" w:type="pct"/>
            <w:shd w:val="clear" w:color="auto" w:fill="auto"/>
            <w:noWrap/>
            <w:vAlign w:val="bottom"/>
            <w:hideMark/>
          </w:tcPr>
          <w:p w14:paraId="191557B5" w14:textId="77777777" w:rsidR="002C0210" w:rsidRPr="00604A4A" w:rsidRDefault="002C0210" w:rsidP="00696EF9">
            <w:pPr>
              <w:spacing w:line="240" w:lineRule="auto"/>
              <w:jc w:val="right"/>
              <w:rPr>
                <w:color w:val="000000"/>
                <w:sz w:val="16"/>
                <w:szCs w:val="16"/>
              </w:rPr>
            </w:pPr>
            <w:r w:rsidRPr="00604A4A">
              <w:rPr>
                <w:color w:val="000000"/>
                <w:sz w:val="16"/>
                <w:szCs w:val="16"/>
              </w:rPr>
              <w:t> </w:t>
            </w:r>
          </w:p>
        </w:tc>
        <w:tc>
          <w:tcPr>
            <w:tcW w:w="457" w:type="pct"/>
            <w:shd w:val="clear" w:color="auto" w:fill="auto"/>
            <w:noWrap/>
            <w:vAlign w:val="bottom"/>
          </w:tcPr>
          <w:p w14:paraId="62D26B88" w14:textId="77777777" w:rsidR="002C0210" w:rsidRPr="00604A4A" w:rsidRDefault="000E66FA" w:rsidP="00696EF9">
            <w:pPr>
              <w:spacing w:line="240" w:lineRule="auto"/>
              <w:jc w:val="right"/>
              <w:rPr>
                <w:color w:val="000000"/>
                <w:sz w:val="16"/>
                <w:szCs w:val="16"/>
              </w:rPr>
            </w:pPr>
            <w:r w:rsidRPr="00604A4A">
              <w:rPr>
                <w:color w:val="000000"/>
                <w:sz w:val="16"/>
                <w:szCs w:val="16"/>
              </w:rPr>
              <w:t>50,225</w:t>
            </w:r>
          </w:p>
        </w:tc>
      </w:tr>
      <w:tr w:rsidR="002C0210" w:rsidRPr="00604A4A" w14:paraId="1F73F30F" w14:textId="77777777" w:rsidTr="00F96C11">
        <w:trPr>
          <w:trHeight w:val="288"/>
        </w:trPr>
        <w:tc>
          <w:tcPr>
            <w:tcW w:w="1040" w:type="pct"/>
            <w:shd w:val="clear" w:color="auto" w:fill="auto"/>
            <w:noWrap/>
            <w:vAlign w:val="bottom"/>
          </w:tcPr>
          <w:p w14:paraId="2B8CC423" w14:textId="77777777" w:rsidR="002C0210" w:rsidRPr="00604A4A" w:rsidRDefault="002C0210" w:rsidP="00696EF9">
            <w:pPr>
              <w:spacing w:line="240" w:lineRule="auto"/>
              <w:rPr>
                <w:color w:val="000000"/>
                <w:sz w:val="16"/>
                <w:szCs w:val="16"/>
              </w:rPr>
            </w:pPr>
            <w:r w:rsidRPr="00604A4A">
              <w:rPr>
                <w:color w:val="000000"/>
                <w:sz w:val="16"/>
                <w:szCs w:val="16"/>
              </w:rPr>
              <w:t>Population (Million)</w:t>
            </w:r>
          </w:p>
        </w:tc>
        <w:tc>
          <w:tcPr>
            <w:tcW w:w="450" w:type="pct"/>
            <w:shd w:val="clear" w:color="auto" w:fill="auto"/>
            <w:noWrap/>
            <w:vAlign w:val="bottom"/>
          </w:tcPr>
          <w:p w14:paraId="524D3374" w14:textId="77777777" w:rsidR="002C0210" w:rsidRPr="00604A4A" w:rsidRDefault="002C0210" w:rsidP="0071438E">
            <w:pPr>
              <w:spacing w:line="240" w:lineRule="auto"/>
              <w:jc w:val="right"/>
              <w:rPr>
                <w:color w:val="000000"/>
                <w:sz w:val="16"/>
                <w:szCs w:val="16"/>
              </w:rPr>
            </w:pPr>
            <w:r w:rsidRPr="00604A4A">
              <w:rPr>
                <w:color w:val="000000"/>
                <w:sz w:val="16"/>
                <w:szCs w:val="16"/>
              </w:rPr>
              <w:t>44.04</w:t>
            </w:r>
          </w:p>
        </w:tc>
        <w:tc>
          <w:tcPr>
            <w:tcW w:w="448" w:type="pct"/>
            <w:shd w:val="clear" w:color="auto" w:fill="auto"/>
            <w:noWrap/>
            <w:vAlign w:val="bottom"/>
          </w:tcPr>
          <w:p w14:paraId="76BBC094" w14:textId="77777777" w:rsidR="002C0210" w:rsidRPr="00604A4A" w:rsidRDefault="002C0210" w:rsidP="00696EF9">
            <w:pPr>
              <w:spacing w:line="240" w:lineRule="auto"/>
              <w:jc w:val="right"/>
              <w:rPr>
                <w:color w:val="000000"/>
                <w:sz w:val="16"/>
                <w:szCs w:val="16"/>
              </w:rPr>
            </w:pPr>
          </w:p>
        </w:tc>
        <w:tc>
          <w:tcPr>
            <w:tcW w:w="450" w:type="pct"/>
            <w:shd w:val="clear" w:color="auto" w:fill="auto"/>
            <w:noWrap/>
            <w:vAlign w:val="bottom"/>
          </w:tcPr>
          <w:p w14:paraId="1BD7ECFF" w14:textId="77777777" w:rsidR="002C0210" w:rsidRPr="00604A4A" w:rsidRDefault="002C0210" w:rsidP="0071438E">
            <w:pPr>
              <w:spacing w:line="240" w:lineRule="auto"/>
              <w:jc w:val="right"/>
              <w:rPr>
                <w:color w:val="000000"/>
                <w:sz w:val="16"/>
                <w:szCs w:val="16"/>
              </w:rPr>
            </w:pPr>
            <w:r w:rsidRPr="00604A4A">
              <w:rPr>
                <w:color w:val="000000"/>
                <w:sz w:val="16"/>
                <w:szCs w:val="16"/>
              </w:rPr>
              <w:t>45.26</w:t>
            </w:r>
          </w:p>
        </w:tc>
        <w:tc>
          <w:tcPr>
            <w:tcW w:w="403" w:type="pct"/>
            <w:shd w:val="clear" w:color="auto" w:fill="auto"/>
            <w:noWrap/>
            <w:vAlign w:val="bottom"/>
          </w:tcPr>
          <w:p w14:paraId="45ABB699" w14:textId="77777777" w:rsidR="002C0210" w:rsidRPr="00604A4A" w:rsidRDefault="002C0210" w:rsidP="00696EF9">
            <w:pPr>
              <w:spacing w:line="240" w:lineRule="auto"/>
              <w:jc w:val="right"/>
              <w:rPr>
                <w:color w:val="000000"/>
                <w:sz w:val="16"/>
                <w:szCs w:val="16"/>
              </w:rPr>
            </w:pPr>
          </w:p>
        </w:tc>
        <w:tc>
          <w:tcPr>
            <w:tcW w:w="450" w:type="pct"/>
            <w:shd w:val="clear" w:color="auto" w:fill="auto"/>
            <w:noWrap/>
            <w:vAlign w:val="bottom"/>
          </w:tcPr>
          <w:p w14:paraId="6788DBC1" w14:textId="77777777" w:rsidR="002C0210" w:rsidRPr="00604A4A" w:rsidRDefault="002C0210" w:rsidP="0071438E">
            <w:pPr>
              <w:spacing w:line="240" w:lineRule="auto"/>
              <w:jc w:val="right"/>
              <w:rPr>
                <w:color w:val="000000"/>
                <w:sz w:val="16"/>
                <w:szCs w:val="16"/>
              </w:rPr>
            </w:pPr>
            <w:r w:rsidRPr="00604A4A">
              <w:rPr>
                <w:color w:val="000000"/>
                <w:sz w:val="16"/>
                <w:szCs w:val="16"/>
              </w:rPr>
              <w:t>46.51</w:t>
            </w:r>
          </w:p>
        </w:tc>
        <w:tc>
          <w:tcPr>
            <w:tcW w:w="448" w:type="pct"/>
            <w:shd w:val="clear" w:color="auto" w:fill="auto"/>
            <w:noWrap/>
            <w:vAlign w:val="bottom"/>
          </w:tcPr>
          <w:p w14:paraId="08636298" w14:textId="77777777" w:rsidR="002C0210" w:rsidRPr="00604A4A" w:rsidRDefault="002C0210" w:rsidP="00696EF9">
            <w:pPr>
              <w:spacing w:line="240" w:lineRule="auto"/>
              <w:jc w:val="right"/>
              <w:rPr>
                <w:color w:val="000000"/>
                <w:sz w:val="16"/>
                <w:szCs w:val="16"/>
              </w:rPr>
            </w:pPr>
          </w:p>
        </w:tc>
        <w:tc>
          <w:tcPr>
            <w:tcW w:w="450" w:type="pct"/>
            <w:shd w:val="clear" w:color="auto" w:fill="auto"/>
            <w:noWrap/>
            <w:vAlign w:val="bottom"/>
          </w:tcPr>
          <w:p w14:paraId="67CA0EC6" w14:textId="77777777" w:rsidR="002C0210" w:rsidRPr="00604A4A" w:rsidRDefault="002C0210" w:rsidP="0071438E">
            <w:pPr>
              <w:spacing w:line="240" w:lineRule="auto"/>
              <w:jc w:val="right"/>
              <w:rPr>
                <w:color w:val="000000"/>
                <w:sz w:val="16"/>
                <w:szCs w:val="16"/>
              </w:rPr>
            </w:pPr>
            <w:r w:rsidRPr="00604A4A">
              <w:rPr>
                <w:color w:val="000000"/>
                <w:sz w:val="16"/>
                <w:szCs w:val="16"/>
              </w:rPr>
              <w:t>47.81</w:t>
            </w:r>
          </w:p>
        </w:tc>
        <w:tc>
          <w:tcPr>
            <w:tcW w:w="403" w:type="pct"/>
            <w:shd w:val="clear" w:color="auto" w:fill="auto"/>
            <w:noWrap/>
            <w:vAlign w:val="bottom"/>
          </w:tcPr>
          <w:p w14:paraId="4DA5AC8D" w14:textId="77777777" w:rsidR="002C0210" w:rsidRPr="00604A4A" w:rsidRDefault="002C0210" w:rsidP="00696EF9">
            <w:pPr>
              <w:spacing w:line="240" w:lineRule="auto"/>
              <w:jc w:val="right"/>
              <w:rPr>
                <w:color w:val="000000"/>
                <w:sz w:val="16"/>
                <w:szCs w:val="16"/>
              </w:rPr>
            </w:pPr>
          </w:p>
        </w:tc>
        <w:tc>
          <w:tcPr>
            <w:tcW w:w="457" w:type="pct"/>
            <w:shd w:val="clear" w:color="auto" w:fill="auto"/>
            <w:noWrap/>
            <w:vAlign w:val="bottom"/>
          </w:tcPr>
          <w:p w14:paraId="67D98944" w14:textId="77777777" w:rsidR="002C0210" w:rsidRPr="00604A4A" w:rsidRDefault="000E66FA" w:rsidP="00696EF9">
            <w:pPr>
              <w:spacing w:line="240" w:lineRule="auto"/>
              <w:jc w:val="right"/>
              <w:rPr>
                <w:color w:val="000000"/>
                <w:sz w:val="16"/>
                <w:szCs w:val="16"/>
              </w:rPr>
            </w:pPr>
            <w:r w:rsidRPr="00604A4A">
              <w:rPr>
                <w:color w:val="000000"/>
                <w:sz w:val="16"/>
                <w:szCs w:val="16"/>
              </w:rPr>
              <w:t>49</w:t>
            </w:r>
          </w:p>
        </w:tc>
      </w:tr>
      <w:tr w:rsidR="002C0210" w:rsidRPr="00604A4A" w14:paraId="102C5B33" w14:textId="77777777" w:rsidTr="00F96C11">
        <w:trPr>
          <w:trHeight w:val="288"/>
        </w:trPr>
        <w:tc>
          <w:tcPr>
            <w:tcW w:w="1040" w:type="pct"/>
            <w:shd w:val="clear" w:color="auto" w:fill="auto"/>
            <w:noWrap/>
            <w:vAlign w:val="bottom"/>
          </w:tcPr>
          <w:p w14:paraId="3E405BDE" w14:textId="77777777" w:rsidR="002C0210" w:rsidRPr="00604A4A" w:rsidRDefault="002C0210" w:rsidP="00696EF9">
            <w:pPr>
              <w:spacing w:line="240" w:lineRule="auto"/>
              <w:rPr>
                <w:color w:val="000000"/>
                <w:sz w:val="16"/>
                <w:szCs w:val="16"/>
              </w:rPr>
            </w:pPr>
            <w:r w:rsidRPr="00604A4A">
              <w:rPr>
                <w:color w:val="000000"/>
                <w:sz w:val="16"/>
                <w:szCs w:val="16"/>
              </w:rPr>
              <w:t>Exchange Rate</w:t>
            </w:r>
          </w:p>
        </w:tc>
        <w:tc>
          <w:tcPr>
            <w:tcW w:w="450" w:type="pct"/>
            <w:shd w:val="clear" w:color="auto" w:fill="auto"/>
            <w:noWrap/>
            <w:vAlign w:val="bottom"/>
          </w:tcPr>
          <w:p w14:paraId="4611302F" w14:textId="77777777" w:rsidR="002C0210" w:rsidRPr="00604A4A" w:rsidRDefault="002C0210" w:rsidP="0071438E">
            <w:pPr>
              <w:spacing w:line="240" w:lineRule="auto"/>
              <w:jc w:val="right"/>
              <w:rPr>
                <w:color w:val="000000"/>
                <w:sz w:val="16"/>
                <w:szCs w:val="16"/>
              </w:rPr>
            </w:pPr>
            <w:r w:rsidRPr="00604A4A">
              <w:rPr>
                <w:color w:val="000000"/>
                <w:sz w:val="16"/>
                <w:szCs w:val="16"/>
              </w:rPr>
              <w:t>1,579</w:t>
            </w:r>
          </w:p>
        </w:tc>
        <w:tc>
          <w:tcPr>
            <w:tcW w:w="448" w:type="pct"/>
            <w:shd w:val="clear" w:color="auto" w:fill="auto"/>
            <w:noWrap/>
            <w:vAlign w:val="bottom"/>
          </w:tcPr>
          <w:p w14:paraId="1C72616E" w14:textId="77777777" w:rsidR="002C0210" w:rsidRPr="00604A4A" w:rsidRDefault="002C0210" w:rsidP="00696EF9">
            <w:pPr>
              <w:spacing w:line="240" w:lineRule="auto"/>
              <w:jc w:val="right"/>
              <w:rPr>
                <w:color w:val="000000"/>
                <w:sz w:val="16"/>
                <w:szCs w:val="16"/>
              </w:rPr>
            </w:pPr>
          </w:p>
        </w:tc>
        <w:tc>
          <w:tcPr>
            <w:tcW w:w="450" w:type="pct"/>
            <w:shd w:val="clear" w:color="auto" w:fill="auto"/>
            <w:noWrap/>
            <w:vAlign w:val="bottom"/>
          </w:tcPr>
          <w:p w14:paraId="6B107114" w14:textId="77777777" w:rsidR="002C0210" w:rsidRPr="00604A4A" w:rsidRDefault="002C0210" w:rsidP="0071438E">
            <w:pPr>
              <w:spacing w:line="240" w:lineRule="auto"/>
              <w:jc w:val="right"/>
              <w:rPr>
                <w:color w:val="000000"/>
                <w:sz w:val="16"/>
                <w:szCs w:val="16"/>
              </w:rPr>
            </w:pPr>
            <w:r w:rsidRPr="00604A4A">
              <w:rPr>
                <w:color w:val="000000"/>
                <w:sz w:val="16"/>
                <w:szCs w:val="16"/>
              </w:rPr>
              <w:t>1,582</w:t>
            </w:r>
          </w:p>
        </w:tc>
        <w:tc>
          <w:tcPr>
            <w:tcW w:w="403" w:type="pct"/>
            <w:shd w:val="clear" w:color="auto" w:fill="auto"/>
            <w:noWrap/>
            <w:vAlign w:val="bottom"/>
          </w:tcPr>
          <w:p w14:paraId="70CF0E57" w14:textId="77777777" w:rsidR="002C0210" w:rsidRPr="00604A4A" w:rsidRDefault="002C0210" w:rsidP="00696EF9">
            <w:pPr>
              <w:spacing w:line="240" w:lineRule="auto"/>
              <w:jc w:val="right"/>
              <w:rPr>
                <w:color w:val="000000"/>
                <w:sz w:val="16"/>
                <w:szCs w:val="16"/>
              </w:rPr>
            </w:pPr>
          </w:p>
        </w:tc>
        <w:tc>
          <w:tcPr>
            <w:tcW w:w="450" w:type="pct"/>
            <w:shd w:val="clear" w:color="auto" w:fill="auto"/>
            <w:noWrap/>
            <w:vAlign w:val="bottom"/>
          </w:tcPr>
          <w:p w14:paraId="52660608" w14:textId="77777777" w:rsidR="002C0210" w:rsidRPr="00604A4A" w:rsidRDefault="000E66FA" w:rsidP="0071438E">
            <w:pPr>
              <w:spacing w:line="240" w:lineRule="auto"/>
              <w:jc w:val="right"/>
              <w:rPr>
                <w:color w:val="000000"/>
                <w:sz w:val="16"/>
                <w:szCs w:val="16"/>
              </w:rPr>
            </w:pPr>
            <w:r w:rsidRPr="00604A4A">
              <w:rPr>
                <w:color w:val="000000"/>
                <w:sz w:val="16"/>
                <w:szCs w:val="16"/>
              </w:rPr>
              <w:t>1,835</w:t>
            </w:r>
          </w:p>
        </w:tc>
        <w:tc>
          <w:tcPr>
            <w:tcW w:w="448" w:type="pct"/>
            <w:shd w:val="clear" w:color="auto" w:fill="auto"/>
            <w:noWrap/>
            <w:vAlign w:val="bottom"/>
          </w:tcPr>
          <w:p w14:paraId="2F02466F" w14:textId="77777777" w:rsidR="002C0210" w:rsidRPr="00604A4A" w:rsidRDefault="002C0210" w:rsidP="00696EF9">
            <w:pPr>
              <w:spacing w:line="240" w:lineRule="auto"/>
              <w:jc w:val="right"/>
              <w:rPr>
                <w:color w:val="000000"/>
                <w:sz w:val="16"/>
                <w:szCs w:val="16"/>
              </w:rPr>
            </w:pPr>
          </w:p>
        </w:tc>
        <w:tc>
          <w:tcPr>
            <w:tcW w:w="450" w:type="pct"/>
            <w:shd w:val="clear" w:color="auto" w:fill="auto"/>
            <w:noWrap/>
            <w:vAlign w:val="bottom"/>
          </w:tcPr>
          <w:p w14:paraId="0554EEE3" w14:textId="77777777" w:rsidR="002C0210" w:rsidRPr="00604A4A" w:rsidRDefault="002C0210" w:rsidP="0071438E">
            <w:pPr>
              <w:spacing w:line="240" w:lineRule="auto"/>
              <w:jc w:val="right"/>
              <w:rPr>
                <w:color w:val="000000"/>
                <w:sz w:val="16"/>
                <w:szCs w:val="16"/>
              </w:rPr>
            </w:pPr>
            <w:r w:rsidRPr="00604A4A">
              <w:rPr>
                <w:color w:val="000000"/>
                <w:sz w:val="16"/>
                <w:szCs w:val="16"/>
              </w:rPr>
              <w:t>1,730</w:t>
            </w:r>
          </w:p>
        </w:tc>
        <w:tc>
          <w:tcPr>
            <w:tcW w:w="403" w:type="pct"/>
            <w:shd w:val="clear" w:color="auto" w:fill="auto"/>
            <w:noWrap/>
            <w:vAlign w:val="bottom"/>
          </w:tcPr>
          <w:p w14:paraId="265D36C9" w14:textId="77777777" w:rsidR="002C0210" w:rsidRPr="00604A4A" w:rsidRDefault="002C0210" w:rsidP="00696EF9">
            <w:pPr>
              <w:spacing w:line="240" w:lineRule="auto"/>
              <w:jc w:val="right"/>
              <w:rPr>
                <w:color w:val="000000"/>
                <w:sz w:val="16"/>
                <w:szCs w:val="16"/>
              </w:rPr>
            </w:pPr>
          </w:p>
        </w:tc>
        <w:tc>
          <w:tcPr>
            <w:tcW w:w="457" w:type="pct"/>
            <w:shd w:val="clear" w:color="auto" w:fill="auto"/>
            <w:noWrap/>
            <w:vAlign w:val="bottom"/>
          </w:tcPr>
          <w:p w14:paraId="610B78F6" w14:textId="77777777" w:rsidR="002C0210" w:rsidRPr="00604A4A" w:rsidRDefault="000E66FA" w:rsidP="00696EF9">
            <w:pPr>
              <w:spacing w:line="240" w:lineRule="auto"/>
              <w:jc w:val="right"/>
              <w:rPr>
                <w:color w:val="000000"/>
                <w:sz w:val="16"/>
                <w:szCs w:val="16"/>
              </w:rPr>
            </w:pPr>
            <w:r w:rsidRPr="00604A4A">
              <w:rPr>
                <w:color w:val="000000"/>
                <w:sz w:val="16"/>
                <w:szCs w:val="16"/>
              </w:rPr>
              <w:t>2,170</w:t>
            </w:r>
          </w:p>
        </w:tc>
      </w:tr>
      <w:tr w:rsidR="002C0210" w:rsidRPr="00604A4A" w14:paraId="1CC58F25" w14:textId="77777777" w:rsidTr="00F96C11">
        <w:trPr>
          <w:trHeight w:val="288"/>
        </w:trPr>
        <w:tc>
          <w:tcPr>
            <w:tcW w:w="1040" w:type="pct"/>
            <w:shd w:val="clear" w:color="auto" w:fill="auto"/>
            <w:noWrap/>
            <w:vAlign w:val="bottom"/>
          </w:tcPr>
          <w:p w14:paraId="10B3613D" w14:textId="77777777" w:rsidR="002C0210" w:rsidRPr="00604A4A" w:rsidRDefault="002C0210" w:rsidP="00696EF9">
            <w:pPr>
              <w:spacing w:line="240" w:lineRule="auto"/>
              <w:rPr>
                <w:color w:val="000000"/>
                <w:sz w:val="16"/>
                <w:szCs w:val="16"/>
              </w:rPr>
            </w:pPr>
            <w:r w:rsidRPr="00604A4A">
              <w:rPr>
                <w:color w:val="000000"/>
                <w:sz w:val="16"/>
                <w:szCs w:val="16"/>
              </w:rPr>
              <w:t>Deflator (2007 prices)</w:t>
            </w:r>
          </w:p>
        </w:tc>
        <w:tc>
          <w:tcPr>
            <w:tcW w:w="450" w:type="pct"/>
            <w:shd w:val="clear" w:color="auto" w:fill="auto"/>
            <w:noWrap/>
            <w:vAlign w:val="bottom"/>
          </w:tcPr>
          <w:p w14:paraId="4CA60CFE" w14:textId="77777777" w:rsidR="002C0210" w:rsidRPr="00604A4A" w:rsidRDefault="000E66FA" w:rsidP="0071438E">
            <w:pPr>
              <w:spacing w:line="240" w:lineRule="auto"/>
              <w:jc w:val="right"/>
              <w:rPr>
                <w:color w:val="000000"/>
                <w:sz w:val="16"/>
                <w:szCs w:val="16"/>
              </w:rPr>
            </w:pPr>
            <w:r w:rsidRPr="00604A4A">
              <w:rPr>
                <w:color w:val="000000"/>
                <w:sz w:val="16"/>
                <w:szCs w:val="16"/>
              </w:rPr>
              <w:t>1.71</w:t>
            </w:r>
          </w:p>
        </w:tc>
        <w:tc>
          <w:tcPr>
            <w:tcW w:w="448" w:type="pct"/>
            <w:shd w:val="clear" w:color="auto" w:fill="auto"/>
            <w:noWrap/>
            <w:vAlign w:val="bottom"/>
          </w:tcPr>
          <w:p w14:paraId="194D5015" w14:textId="77777777" w:rsidR="002C0210" w:rsidRPr="00604A4A" w:rsidRDefault="002C0210" w:rsidP="00696EF9">
            <w:pPr>
              <w:spacing w:line="240" w:lineRule="auto"/>
              <w:jc w:val="right"/>
              <w:rPr>
                <w:color w:val="000000"/>
                <w:sz w:val="16"/>
                <w:szCs w:val="16"/>
              </w:rPr>
            </w:pPr>
          </w:p>
        </w:tc>
        <w:tc>
          <w:tcPr>
            <w:tcW w:w="450" w:type="pct"/>
            <w:shd w:val="clear" w:color="auto" w:fill="auto"/>
            <w:noWrap/>
            <w:vAlign w:val="bottom"/>
          </w:tcPr>
          <w:p w14:paraId="4605E702" w14:textId="77777777" w:rsidR="002C0210" w:rsidRPr="00604A4A" w:rsidRDefault="000E66FA" w:rsidP="0071438E">
            <w:pPr>
              <w:spacing w:line="240" w:lineRule="auto"/>
              <w:jc w:val="right"/>
              <w:rPr>
                <w:color w:val="000000"/>
                <w:sz w:val="16"/>
                <w:szCs w:val="16"/>
              </w:rPr>
            </w:pPr>
            <w:r w:rsidRPr="00604A4A">
              <w:rPr>
                <w:color w:val="000000"/>
                <w:sz w:val="16"/>
                <w:szCs w:val="16"/>
              </w:rPr>
              <w:t>1.84</w:t>
            </w:r>
          </w:p>
        </w:tc>
        <w:tc>
          <w:tcPr>
            <w:tcW w:w="403" w:type="pct"/>
            <w:shd w:val="clear" w:color="auto" w:fill="auto"/>
            <w:noWrap/>
            <w:vAlign w:val="bottom"/>
          </w:tcPr>
          <w:p w14:paraId="6B7C0619" w14:textId="77777777" w:rsidR="002C0210" w:rsidRPr="00604A4A" w:rsidRDefault="002C0210" w:rsidP="00696EF9">
            <w:pPr>
              <w:spacing w:line="240" w:lineRule="auto"/>
              <w:jc w:val="right"/>
              <w:rPr>
                <w:color w:val="000000"/>
                <w:sz w:val="16"/>
                <w:szCs w:val="16"/>
              </w:rPr>
            </w:pPr>
          </w:p>
        </w:tc>
        <w:tc>
          <w:tcPr>
            <w:tcW w:w="450" w:type="pct"/>
            <w:shd w:val="clear" w:color="auto" w:fill="auto"/>
            <w:noWrap/>
            <w:vAlign w:val="bottom"/>
          </w:tcPr>
          <w:p w14:paraId="1002ED23" w14:textId="77777777" w:rsidR="002C0210" w:rsidRPr="00604A4A" w:rsidRDefault="000E66FA" w:rsidP="0071438E">
            <w:pPr>
              <w:spacing w:line="240" w:lineRule="auto"/>
              <w:jc w:val="right"/>
              <w:rPr>
                <w:color w:val="000000"/>
                <w:sz w:val="16"/>
                <w:szCs w:val="16"/>
              </w:rPr>
            </w:pPr>
            <w:r w:rsidRPr="00604A4A">
              <w:rPr>
                <w:color w:val="000000"/>
                <w:sz w:val="16"/>
                <w:szCs w:val="16"/>
              </w:rPr>
              <w:t>1.93</w:t>
            </w:r>
          </w:p>
        </w:tc>
        <w:tc>
          <w:tcPr>
            <w:tcW w:w="448" w:type="pct"/>
            <w:shd w:val="clear" w:color="auto" w:fill="auto"/>
            <w:noWrap/>
            <w:vAlign w:val="bottom"/>
          </w:tcPr>
          <w:p w14:paraId="5B501B86" w14:textId="77777777" w:rsidR="002C0210" w:rsidRPr="00604A4A" w:rsidRDefault="002C0210" w:rsidP="00696EF9">
            <w:pPr>
              <w:spacing w:line="240" w:lineRule="auto"/>
              <w:jc w:val="right"/>
              <w:rPr>
                <w:color w:val="000000"/>
                <w:sz w:val="16"/>
                <w:szCs w:val="16"/>
              </w:rPr>
            </w:pPr>
          </w:p>
        </w:tc>
        <w:tc>
          <w:tcPr>
            <w:tcW w:w="450" w:type="pct"/>
            <w:shd w:val="clear" w:color="auto" w:fill="auto"/>
            <w:noWrap/>
            <w:vAlign w:val="bottom"/>
          </w:tcPr>
          <w:p w14:paraId="2B3CCC48" w14:textId="77777777" w:rsidR="002C0210" w:rsidRPr="00604A4A" w:rsidRDefault="000E66FA" w:rsidP="0071438E">
            <w:pPr>
              <w:spacing w:line="240" w:lineRule="auto"/>
              <w:jc w:val="right"/>
              <w:rPr>
                <w:color w:val="000000"/>
                <w:sz w:val="16"/>
                <w:szCs w:val="16"/>
              </w:rPr>
            </w:pPr>
            <w:r w:rsidRPr="00604A4A">
              <w:rPr>
                <w:color w:val="000000"/>
                <w:sz w:val="16"/>
                <w:szCs w:val="16"/>
              </w:rPr>
              <w:t>2.06</w:t>
            </w:r>
          </w:p>
        </w:tc>
        <w:tc>
          <w:tcPr>
            <w:tcW w:w="403" w:type="pct"/>
            <w:shd w:val="clear" w:color="auto" w:fill="auto"/>
            <w:noWrap/>
            <w:vAlign w:val="bottom"/>
          </w:tcPr>
          <w:p w14:paraId="5675AF83" w14:textId="77777777" w:rsidR="002C0210" w:rsidRPr="00604A4A" w:rsidRDefault="002C0210" w:rsidP="00696EF9">
            <w:pPr>
              <w:spacing w:line="240" w:lineRule="auto"/>
              <w:jc w:val="right"/>
              <w:rPr>
                <w:color w:val="000000"/>
                <w:sz w:val="16"/>
                <w:szCs w:val="16"/>
              </w:rPr>
            </w:pPr>
          </w:p>
        </w:tc>
        <w:tc>
          <w:tcPr>
            <w:tcW w:w="457" w:type="pct"/>
            <w:shd w:val="clear" w:color="auto" w:fill="auto"/>
            <w:noWrap/>
            <w:vAlign w:val="bottom"/>
          </w:tcPr>
          <w:p w14:paraId="7BDB07C2" w14:textId="77777777" w:rsidR="002C0210" w:rsidRPr="00604A4A" w:rsidRDefault="000E66FA" w:rsidP="00696EF9">
            <w:pPr>
              <w:spacing w:line="240" w:lineRule="auto"/>
              <w:jc w:val="right"/>
              <w:rPr>
                <w:color w:val="000000"/>
                <w:sz w:val="16"/>
                <w:szCs w:val="16"/>
              </w:rPr>
            </w:pPr>
            <w:r w:rsidRPr="00604A4A">
              <w:rPr>
                <w:color w:val="000000"/>
                <w:sz w:val="16"/>
                <w:szCs w:val="16"/>
              </w:rPr>
              <w:t>2.1</w:t>
            </w:r>
          </w:p>
        </w:tc>
      </w:tr>
    </w:tbl>
    <w:p w14:paraId="6211470C" w14:textId="77777777" w:rsidR="00696EF9" w:rsidRPr="001170AC" w:rsidRDefault="00696EF9" w:rsidP="00670B35"/>
    <w:p w14:paraId="4BDF7193" w14:textId="77777777" w:rsidR="00BB69FE" w:rsidRPr="001170AC" w:rsidRDefault="00F96C11" w:rsidP="00F96C11">
      <w:pPr>
        <w:pStyle w:val="Heading2"/>
      </w:pPr>
      <w:bookmarkStart w:id="39" w:name="_Toc331498491"/>
      <w:bookmarkStart w:id="40" w:name="_Toc488423252"/>
      <w:r>
        <w:t>3.3</w:t>
      </w:r>
      <w:r>
        <w:tab/>
      </w:r>
      <w:r w:rsidR="00BB69FE" w:rsidRPr="001170AC">
        <w:t>Sources of Funds for the Public Health Expenditure</w:t>
      </w:r>
      <w:bookmarkEnd w:id="39"/>
      <w:bookmarkEnd w:id="40"/>
    </w:p>
    <w:p w14:paraId="5614E28D" w14:textId="77777777" w:rsidR="00BB69FE" w:rsidRPr="001170AC" w:rsidRDefault="00BB69FE" w:rsidP="00670B35">
      <w:pPr>
        <w:pStyle w:val="NoSpacing"/>
        <w:spacing w:line="276" w:lineRule="auto"/>
        <w:rPr>
          <w:color w:val="000000"/>
          <w:lang w:val="en-GB" w:eastAsia="en-GB"/>
        </w:rPr>
      </w:pPr>
    </w:p>
    <w:p w14:paraId="7A44265E" w14:textId="77777777" w:rsidR="00694178" w:rsidRPr="00C07F0E" w:rsidRDefault="00E51B15" w:rsidP="00694178">
      <w:pPr>
        <w:pStyle w:val="NoSpacing"/>
        <w:spacing w:line="276" w:lineRule="auto"/>
        <w:rPr>
          <w:color w:val="000000"/>
          <w:lang w:val="en-GB" w:eastAsia="en-GB"/>
        </w:rPr>
      </w:pPr>
      <w:r w:rsidRPr="001170AC">
        <w:rPr>
          <w:color w:val="000000"/>
          <w:lang w:val="en-GB" w:eastAsia="en-GB"/>
        </w:rPr>
        <w:t>Table 3.2 presents a summary of government and foreign funding in health budget and expenditures from 201</w:t>
      </w:r>
      <w:r w:rsidR="00F73266">
        <w:rPr>
          <w:color w:val="000000"/>
          <w:lang w:val="en-GB" w:eastAsia="en-GB"/>
        </w:rPr>
        <w:t>2</w:t>
      </w:r>
      <w:r w:rsidRPr="001170AC">
        <w:rPr>
          <w:color w:val="000000"/>
          <w:lang w:val="en-GB" w:eastAsia="en-GB"/>
        </w:rPr>
        <w:t>/1</w:t>
      </w:r>
      <w:r w:rsidR="00F73266">
        <w:rPr>
          <w:color w:val="000000"/>
          <w:lang w:val="en-GB" w:eastAsia="en-GB"/>
        </w:rPr>
        <w:t>3</w:t>
      </w:r>
      <w:r w:rsidRPr="001170AC">
        <w:rPr>
          <w:color w:val="000000"/>
          <w:lang w:val="en-GB" w:eastAsia="en-GB"/>
        </w:rPr>
        <w:t xml:space="preserve"> to 201</w:t>
      </w:r>
      <w:r w:rsidR="00F73266">
        <w:rPr>
          <w:color w:val="000000"/>
          <w:lang w:val="en-GB" w:eastAsia="en-GB"/>
        </w:rPr>
        <w:t>6</w:t>
      </w:r>
      <w:r w:rsidRPr="001170AC">
        <w:rPr>
          <w:color w:val="000000"/>
          <w:lang w:val="en-GB" w:eastAsia="en-GB"/>
        </w:rPr>
        <w:t>/1</w:t>
      </w:r>
      <w:r w:rsidR="00F73266">
        <w:rPr>
          <w:color w:val="000000"/>
          <w:lang w:val="en-GB" w:eastAsia="en-GB"/>
        </w:rPr>
        <w:t>7</w:t>
      </w:r>
      <w:r w:rsidRPr="001170AC">
        <w:rPr>
          <w:color w:val="000000"/>
          <w:lang w:val="en-GB" w:eastAsia="en-GB"/>
        </w:rPr>
        <w:t>.</w:t>
      </w:r>
      <w:r w:rsidR="00F73266">
        <w:rPr>
          <w:color w:val="000000"/>
          <w:lang w:val="en-GB" w:eastAsia="en-GB"/>
        </w:rPr>
        <w:t xml:space="preserve"> </w:t>
      </w:r>
      <w:r w:rsidR="00BB69FE" w:rsidRPr="001170AC">
        <w:rPr>
          <w:color w:val="000000"/>
          <w:lang w:val="en-GB" w:eastAsia="en-GB"/>
        </w:rPr>
        <w:t>Government funding remains the dominant source of public health financing</w:t>
      </w:r>
      <w:r w:rsidR="00B44723" w:rsidRPr="001170AC">
        <w:rPr>
          <w:color w:val="000000"/>
          <w:lang w:val="en-GB" w:eastAsia="en-GB"/>
        </w:rPr>
        <w:t>. The actual government spending increased from TZS 7</w:t>
      </w:r>
      <w:r w:rsidR="00E17A85">
        <w:rPr>
          <w:color w:val="000000"/>
          <w:lang w:val="en-GB" w:eastAsia="en-GB"/>
        </w:rPr>
        <w:t>65</w:t>
      </w:r>
      <w:r w:rsidR="00FF1A1F">
        <w:rPr>
          <w:color w:val="000000"/>
          <w:lang w:val="en-GB" w:eastAsia="en-GB"/>
        </w:rPr>
        <w:t>.</w:t>
      </w:r>
      <w:r w:rsidR="00E17A85">
        <w:rPr>
          <w:color w:val="000000"/>
          <w:lang w:val="en-GB" w:eastAsia="en-GB"/>
        </w:rPr>
        <w:t>3</w:t>
      </w:r>
      <w:r w:rsidR="00B44723" w:rsidRPr="001170AC">
        <w:rPr>
          <w:color w:val="000000"/>
          <w:lang w:val="en-GB" w:eastAsia="en-GB"/>
        </w:rPr>
        <w:t xml:space="preserve"> billion in 201</w:t>
      </w:r>
      <w:r w:rsidR="00FF1A1F">
        <w:rPr>
          <w:color w:val="000000"/>
          <w:lang w:val="en-GB" w:eastAsia="en-GB"/>
        </w:rPr>
        <w:t>2</w:t>
      </w:r>
      <w:r w:rsidR="00B44723" w:rsidRPr="001170AC">
        <w:rPr>
          <w:color w:val="000000"/>
          <w:lang w:val="en-GB" w:eastAsia="en-GB"/>
        </w:rPr>
        <w:t>/1</w:t>
      </w:r>
      <w:r w:rsidR="00FF1A1F">
        <w:rPr>
          <w:color w:val="000000"/>
          <w:lang w:val="en-GB" w:eastAsia="en-GB"/>
        </w:rPr>
        <w:t>3</w:t>
      </w:r>
      <w:r w:rsidR="00B44723" w:rsidRPr="001170AC">
        <w:rPr>
          <w:color w:val="000000"/>
          <w:lang w:val="en-GB" w:eastAsia="en-GB"/>
        </w:rPr>
        <w:t xml:space="preserve"> to TZS </w:t>
      </w:r>
      <w:r w:rsidR="00FF1A1F" w:rsidRPr="00BD22E5">
        <w:rPr>
          <w:color w:val="000000"/>
          <w:lang w:val="en-GB" w:eastAsia="en-GB"/>
        </w:rPr>
        <w:t>1,</w:t>
      </w:r>
      <w:r w:rsidR="00963D8C" w:rsidRPr="00BD22E5">
        <w:rPr>
          <w:color w:val="000000"/>
          <w:lang w:val="en-GB" w:eastAsia="en-GB"/>
        </w:rPr>
        <w:t xml:space="preserve">343 </w:t>
      </w:r>
      <w:r w:rsidR="00B44723" w:rsidRPr="00BD22E5">
        <w:rPr>
          <w:color w:val="000000"/>
          <w:lang w:val="en-GB" w:eastAsia="en-GB"/>
        </w:rPr>
        <w:t>billion</w:t>
      </w:r>
      <w:r w:rsidR="00B44723" w:rsidRPr="001170AC">
        <w:rPr>
          <w:color w:val="000000"/>
          <w:lang w:val="en-GB" w:eastAsia="en-GB"/>
        </w:rPr>
        <w:t xml:space="preserve"> in 201</w:t>
      </w:r>
      <w:r w:rsidR="00FF1A1F">
        <w:rPr>
          <w:color w:val="000000"/>
          <w:lang w:val="en-GB" w:eastAsia="en-GB"/>
        </w:rPr>
        <w:t>5</w:t>
      </w:r>
      <w:r w:rsidR="00B44723" w:rsidRPr="001170AC">
        <w:rPr>
          <w:color w:val="000000"/>
          <w:lang w:val="en-GB" w:eastAsia="en-GB"/>
        </w:rPr>
        <w:t>/1</w:t>
      </w:r>
      <w:r w:rsidR="00FF1A1F">
        <w:rPr>
          <w:color w:val="000000"/>
          <w:lang w:val="en-GB" w:eastAsia="en-GB"/>
        </w:rPr>
        <w:t>6</w:t>
      </w:r>
      <w:r w:rsidR="00B44723" w:rsidRPr="001170AC">
        <w:rPr>
          <w:color w:val="000000"/>
          <w:lang w:val="en-GB" w:eastAsia="en-GB"/>
        </w:rPr>
        <w:t xml:space="preserve"> which is a </w:t>
      </w:r>
      <w:r w:rsidR="00963D8C">
        <w:rPr>
          <w:color w:val="000000"/>
          <w:lang w:val="en-GB" w:eastAsia="en-GB"/>
        </w:rPr>
        <w:t>75.5</w:t>
      </w:r>
      <w:r w:rsidR="00C07F0E" w:rsidRPr="001170AC">
        <w:rPr>
          <w:color w:val="000000"/>
          <w:lang w:val="en-GB" w:eastAsia="en-GB"/>
        </w:rPr>
        <w:t xml:space="preserve">% </w:t>
      </w:r>
      <w:r w:rsidR="00B44723" w:rsidRPr="001170AC">
        <w:rPr>
          <w:color w:val="000000"/>
          <w:lang w:val="en-GB" w:eastAsia="en-GB"/>
        </w:rPr>
        <w:t xml:space="preserve">increase. The actual expenditure for foreign funds declined from TZS </w:t>
      </w:r>
      <w:r w:rsidR="00FF1A1F">
        <w:rPr>
          <w:color w:val="000000"/>
          <w:lang w:val="en-GB" w:eastAsia="en-GB"/>
        </w:rPr>
        <w:t>289.9</w:t>
      </w:r>
      <w:r w:rsidR="00B44723" w:rsidRPr="001170AC">
        <w:rPr>
          <w:color w:val="000000"/>
          <w:lang w:val="en-GB" w:eastAsia="en-GB"/>
        </w:rPr>
        <w:t xml:space="preserve"> billion in 201</w:t>
      </w:r>
      <w:r w:rsidR="00FF1A1F">
        <w:rPr>
          <w:color w:val="000000"/>
          <w:lang w:val="en-GB" w:eastAsia="en-GB"/>
        </w:rPr>
        <w:t>2</w:t>
      </w:r>
      <w:r w:rsidR="00B44723" w:rsidRPr="001170AC">
        <w:rPr>
          <w:color w:val="000000"/>
          <w:lang w:val="en-GB" w:eastAsia="en-GB"/>
        </w:rPr>
        <w:t>/1</w:t>
      </w:r>
      <w:r w:rsidR="00FF1A1F">
        <w:rPr>
          <w:color w:val="000000"/>
          <w:lang w:val="en-GB" w:eastAsia="en-GB"/>
        </w:rPr>
        <w:t>3</w:t>
      </w:r>
      <w:r w:rsidR="00B44723" w:rsidRPr="001170AC">
        <w:rPr>
          <w:color w:val="000000"/>
          <w:lang w:val="en-GB" w:eastAsia="en-GB"/>
        </w:rPr>
        <w:t xml:space="preserve"> to </w:t>
      </w:r>
      <w:r w:rsidR="00B44723" w:rsidRPr="00BD22E5">
        <w:rPr>
          <w:color w:val="000000"/>
          <w:lang w:val="en-GB" w:eastAsia="en-GB"/>
        </w:rPr>
        <w:t xml:space="preserve">TZS </w:t>
      </w:r>
      <w:r w:rsidR="00FF1A1F" w:rsidRPr="00BD22E5">
        <w:rPr>
          <w:color w:val="000000"/>
          <w:lang w:val="en-GB" w:eastAsia="en-GB"/>
        </w:rPr>
        <w:t>1</w:t>
      </w:r>
      <w:r w:rsidR="00AF575D" w:rsidRPr="00BD22E5">
        <w:rPr>
          <w:color w:val="000000"/>
          <w:lang w:val="en-GB" w:eastAsia="en-GB"/>
        </w:rPr>
        <w:t>69</w:t>
      </w:r>
      <w:r w:rsidR="00FF1A1F" w:rsidRPr="00BD22E5">
        <w:rPr>
          <w:color w:val="000000"/>
          <w:lang w:val="en-GB" w:eastAsia="en-GB"/>
        </w:rPr>
        <w:t xml:space="preserve"> </w:t>
      </w:r>
      <w:r w:rsidR="00B44723" w:rsidRPr="00BD22E5">
        <w:rPr>
          <w:color w:val="000000"/>
          <w:lang w:val="en-GB" w:eastAsia="en-GB"/>
        </w:rPr>
        <w:t>billion</w:t>
      </w:r>
      <w:r w:rsidR="00B44723" w:rsidRPr="001170AC">
        <w:rPr>
          <w:color w:val="000000"/>
          <w:lang w:val="en-GB" w:eastAsia="en-GB"/>
        </w:rPr>
        <w:t xml:space="preserve"> in 201</w:t>
      </w:r>
      <w:r w:rsidR="00FF1A1F">
        <w:rPr>
          <w:color w:val="000000"/>
          <w:lang w:val="en-GB" w:eastAsia="en-GB"/>
        </w:rPr>
        <w:t>5</w:t>
      </w:r>
      <w:r w:rsidR="00B44723" w:rsidRPr="001170AC">
        <w:rPr>
          <w:color w:val="000000"/>
          <w:lang w:val="en-GB" w:eastAsia="en-GB"/>
        </w:rPr>
        <w:t>/1</w:t>
      </w:r>
      <w:r w:rsidR="00FF1A1F">
        <w:rPr>
          <w:color w:val="000000"/>
          <w:lang w:val="en-GB" w:eastAsia="en-GB"/>
        </w:rPr>
        <w:t>6</w:t>
      </w:r>
      <w:r w:rsidR="00B44723" w:rsidRPr="001170AC">
        <w:rPr>
          <w:color w:val="000000"/>
          <w:lang w:val="en-GB" w:eastAsia="en-GB"/>
        </w:rPr>
        <w:t xml:space="preserve"> which is a </w:t>
      </w:r>
      <w:r w:rsidR="00AF575D">
        <w:rPr>
          <w:color w:val="000000"/>
          <w:lang w:val="en-GB" w:eastAsia="en-GB"/>
        </w:rPr>
        <w:t>71</w:t>
      </w:r>
      <w:r w:rsidR="005C31C5">
        <w:rPr>
          <w:color w:val="000000"/>
          <w:lang w:val="en-GB" w:eastAsia="en-GB"/>
        </w:rPr>
        <w:t>.</w:t>
      </w:r>
      <w:r w:rsidR="00AF575D">
        <w:rPr>
          <w:color w:val="000000"/>
          <w:lang w:val="en-GB" w:eastAsia="en-GB"/>
        </w:rPr>
        <w:t>6</w:t>
      </w:r>
      <w:r w:rsidR="00C07F0E" w:rsidRPr="001170AC">
        <w:rPr>
          <w:color w:val="000000"/>
          <w:lang w:val="en-GB" w:eastAsia="en-GB"/>
        </w:rPr>
        <w:t xml:space="preserve">% </w:t>
      </w:r>
      <w:r w:rsidR="00B44723" w:rsidRPr="001170AC">
        <w:rPr>
          <w:color w:val="000000"/>
          <w:lang w:val="en-GB" w:eastAsia="en-GB"/>
        </w:rPr>
        <w:t>decline. The expenditure from health basket in particular</w:t>
      </w:r>
      <w:r w:rsidR="00C07F0E" w:rsidRPr="001170AC">
        <w:rPr>
          <w:color w:val="000000"/>
          <w:lang w:val="en-GB" w:eastAsia="en-GB"/>
        </w:rPr>
        <w:t>,</w:t>
      </w:r>
      <w:r w:rsidR="00AF575D">
        <w:rPr>
          <w:color w:val="000000"/>
          <w:lang w:val="en-GB" w:eastAsia="en-GB"/>
        </w:rPr>
        <w:t xml:space="preserve"> declined by 4</w:t>
      </w:r>
      <w:r w:rsidR="00B44723" w:rsidRPr="001170AC">
        <w:rPr>
          <w:color w:val="000000"/>
          <w:lang w:val="en-GB" w:eastAsia="en-GB"/>
        </w:rPr>
        <w:t>4</w:t>
      </w:r>
      <w:r w:rsidR="00AF575D">
        <w:rPr>
          <w:color w:val="000000"/>
          <w:lang w:val="en-GB" w:eastAsia="en-GB"/>
        </w:rPr>
        <w:t>.7</w:t>
      </w:r>
      <w:r w:rsidR="00C07F0E" w:rsidRPr="001170AC">
        <w:rPr>
          <w:color w:val="000000"/>
          <w:lang w:val="en-GB" w:eastAsia="en-GB"/>
        </w:rPr>
        <w:t xml:space="preserve">% </w:t>
      </w:r>
      <w:r w:rsidR="00B44723" w:rsidRPr="001170AC">
        <w:rPr>
          <w:color w:val="000000"/>
          <w:lang w:val="en-GB" w:eastAsia="en-GB"/>
        </w:rPr>
        <w:t>from TZS 1</w:t>
      </w:r>
      <w:r w:rsidR="005C31C5">
        <w:rPr>
          <w:color w:val="000000"/>
          <w:lang w:val="en-GB" w:eastAsia="en-GB"/>
        </w:rPr>
        <w:t xml:space="preserve">42.8 billion </w:t>
      </w:r>
      <w:r w:rsidR="00B44723" w:rsidRPr="001170AC">
        <w:rPr>
          <w:color w:val="000000"/>
          <w:lang w:val="en-GB" w:eastAsia="en-GB"/>
        </w:rPr>
        <w:t>in 201</w:t>
      </w:r>
      <w:r w:rsidR="005C31C5">
        <w:rPr>
          <w:color w:val="000000"/>
          <w:lang w:val="en-GB" w:eastAsia="en-GB"/>
        </w:rPr>
        <w:t>2</w:t>
      </w:r>
      <w:r w:rsidR="00B44723" w:rsidRPr="001170AC">
        <w:rPr>
          <w:color w:val="000000"/>
          <w:lang w:val="en-GB" w:eastAsia="en-GB"/>
        </w:rPr>
        <w:t>/1</w:t>
      </w:r>
      <w:r w:rsidR="005C31C5">
        <w:rPr>
          <w:color w:val="000000"/>
          <w:lang w:val="en-GB" w:eastAsia="en-GB"/>
        </w:rPr>
        <w:t>3</w:t>
      </w:r>
      <w:r w:rsidR="00B44723" w:rsidRPr="001170AC">
        <w:rPr>
          <w:color w:val="000000"/>
          <w:lang w:val="en-GB" w:eastAsia="en-GB"/>
        </w:rPr>
        <w:t xml:space="preserve"> to TZS </w:t>
      </w:r>
      <w:r w:rsidR="00AF575D" w:rsidRPr="00BD22E5">
        <w:rPr>
          <w:color w:val="000000"/>
          <w:lang w:val="en-GB" w:eastAsia="en-GB"/>
        </w:rPr>
        <w:t>7</w:t>
      </w:r>
      <w:r w:rsidR="005C31C5" w:rsidRPr="00BD22E5">
        <w:rPr>
          <w:color w:val="000000"/>
          <w:lang w:val="en-GB" w:eastAsia="en-GB"/>
        </w:rPr>
        <w:t xml:space="preserve">9 </w:t>
      </w:r>
      <w:r w:rsidR="00C07F0E" w:rsidRPr="00BD22E5">
        <w:rPr>
          <w:color w:val="000000"/>
          <w:lang w:val="en-GB" w:eastAsia="en-GB"/>
        </w:rPr>
        <w:t>billion</w:t>
      </w:r>
      <w:r w:rsidR="00F73266">
        <w:rPr>
          <w:color w:val="000000"/>
          <w:lang w:val="en-GB" w:eastAsia="en-GB"/>
        </w:rPr>
        <w:t xml:space="preserve"> </w:t>
      </w:r>
      <w:r w:rsidR="00B44723" w:rsidRPr="001170AC">
        <w:rPr>
          <w:color w:val="000000"/>
          <w:lang w:val="en-GB" w:eastAsia="en-GB"/>
        </w:rPr>
        <w:t>in 201</w:t>
      </w:r>
      <w:r w:rsidR="005C31C5">
        <w:rPr>
          <w:color w:val="000000"/>
          <w:lang w:val="en-GB" w:eastAsia="en-GB"/>
        </w:rPr>
        <w:t>5</w:t>
      </w:r>
      <w:r w:rsidR="00B44723" w:rsidRPr="001170AC">
        <w:rPr>
          <w:color w:val="000000"/>
          <w:lang w:val="en-GB" w:eastAsia="en-GB"/>
        </w:rPr>
        <w:t>/1</w:t>
      </w:r>
      <w:r w:rsidR="005C31C5">
        <w:rPr>
          <w:color w:val="000000"/>
          <w:lang w:val="en-GB" w:eastAsia="en-GB"/>
        </w:rPr>
        <w:t>6</w:t>
      </w:r>
      <w:r w:rsidR="00B44723" w:rsidRPr="001170AC">
        <w:rPr>
          <w:color w:val="000000"/>
          <w:lang w:val="en-GB" w:eastAsia="en-GB"/>
        </w:rPr>
        <w:t xml:space="preserve">. </w:t>
      </w:r>
      <w:r w:rsidRPr="001170AC">
        <w:rPr>
          <w:color w:val="000000"/>
          <w:lang w:val="en-GB" w:eastAsia="en-GB"/>
        </w:rPr>
        <w:t xml:space="preserve">Comparing the </w:t>
      </w:r>
      <w:r w:rsidR="005C31C5">
        <w:rPr>
          <w:color w:val="000000"/>
          <w:lang w:val="en-GB" w:eastAsia="en-GB"/>
        </w:rPr>
        <w:t>non-</w:t>
      </w:r>
      <w:r w:rsidRPr="001170AC">
        <w:rPr>
          <w:color w:val="000000"/>
          <w:lang w:val="en-GB" w:eastAsia="en-GB"/>
        </w:rPr>
        <w:t xml:space="preserve">basket funds </w:t>
      </w:r>
      <w:r w:rsidR="005C31C5">
        <w:rPr>
          <w:color w:val="000000"/>
          <w:lang w:val="en-GB" w:eastAsia="en-GB"/>
        </w:rPr>
        <w:t xml:space="preserve">approved estimates </w:t>
      </w:r>
      <w:r w:rsidRPr="001170AC">
        <w:rPr>
          <w:color w:val="000000"/>
          <w:lang w:val="en-GB" w:eastAsia="en-GB"/>
        </w:rPr>
        <w:t>for 201</w:t>
      </w:r>
      <w:r w:rsidR="005C31C5">
        <w:rPr>
          <w:color w:val="000000"/>
          <w:lang w:val="en-GB" w:eastAsia="en-GB"/>
        </w:rPr>
        <w:t>5</w:t>
      </w:r>
      <w:r w:rsidRPr="001170AC">
        <w:rPr>
          <w:color w:val="000000"/>
          <w:lang w:val="en-GB" w:eastAsia="en-GB"/>
        </w:rPr>
        <w:t>/1</w:t>
      </w:r>
      <w:r w:rsidR="005C31C5">
        <w:rPr>
          <w:color w:val="000000"/>
          <w:lang w:val="en-GB" w:eastAsia="en-GB"/>
        </w:rPr>
        <w:t>6</w:t>
      </w:r>
      <w:r w:rsidRPr="001170AC">
        <w:rPr>
          <w:color w:val="000000"/>
          <w:lang w:val="en-GB" w:eastAsia="en-GB"/>
        </w:rPr>
        <w:t xml:space="preserve"> with the </w:t>
      </w:r>
      <w:r w:rsidR="005C31C5">
        <w:rPr>
          <w:color w:val="000000"/>
          <w:lang w:val="en-GB" w:eastAsia="en-GB"/>
        </w:rPr>
        <w:t xml:space="preserve">actual expenditure </w:t>
      </w:r>
      <w:r w:rsidRPr="001170AC">
        <w:rPr>
          <w:color w:val="000000"/>
          <w:lang w:val="en-GB" w:eastAsia="en-GB"/>
        </w:rPr>
        <w:t xml:space="preserve">there is </w:t>
      </w:r>
      <w:r w:rsidR="005C31C5">
        <w:rPr>
          <w:color w:val="000000"/>
          <w:lang w:val="en-GB" w:eastAsia="en-GB"/>
        </w:rPr>
        <w:t xml:space="preserve">a </w:t>
      </w:r>
      <w:r w:rsidRPr="001170AC">
        <w:rPr>
          <w:color w:val="000000"/>
          <w:lang w:val="en-GB" w:eastAsia="en-GB"/>
        </w:rPr>
        <w:t xml:space="preserve">significant </w:t>
      </w:r>
      <w:r w:rsidR="005C31C5">
        <w:rPr>
          <w:color w:val="000000"/>
          <w:lang w:val="en-GB" w:eastAsia="en-GB"/>
        </w:rPr>
        <w:t xml:space="preserve">difference </w:t>
      </w:r>
      <w:r w:rsidRPr="001170AC">
        <w:rPr>
          <w:color w:val="000000"/>
          <w:lang w:val="en-GB" w:eastAsia="en-GB"/>
        </w:rPr>
        <w:t xml:space="preserve">– </w:t>
      </w:r>
      <w:r w:rsidRPr="00BD22E5">
        <w:rPr>
          <w:color w:val="000000"/>
          <w:lang w:val="en-GB" w:eastAsia="en-GB"/>
        </w:rPr>
        <w:t xml:space="preserve">TZS </w:t>
      </w:r>
      <w:r w:rsidR="005C31C5" w:rsidRPr="00BD22E5">
        <w:rPr>
          <w:color w:val="000000"/>
          <w:lang w:val="en-GB" w:eastAsia="en-GB"/>
        </w:rPr>
        <w:t>4</w:t>
      </w:r>
      <w:r w:rsidR="00AF575D" w:rsidRPr="00BD22E5">
        <w:rPr>
          <w:color w:val="000000"/>
          <w:lang w:val="en-GB" w:eastAsia="en-GB"/>
        </w:rPr>
        <w:t>07</w:t>
      </w:r>
      <w:r w:rsidR="005C31C5" w:rsidRPr="00BD22E5">
        <w:rPr>
          <w:color w:val="000000"/>
          <w:lang w:val="en-GB" w:eastAsia="en-GB"/>
        </w:rPr>
        <w:t xml:space="preserve"> </w:t>
      </w:r>
      <w:r w:rsidRPr="00BD22E5">
        <w:rPr>
          <w:color w:val="000000"/>
          <w:lang w:val="en-GB" w:eastAsia="en-GB"/>
        </w:rPr>
        <w:t>billion</w:t>
      </w:r>
      <w:r w:rsidR="005C31C5">
        <w:rPr>
          <w:color w:val="000000"/>
          <w:lang w:val="en-GB" w:eastAsia="en-GB"/>
        </w:rPr>
        <w:t>,</w:t>
      </w:r>
      <w:r w:rsidRPr="001170AC">
        <w:rPr>
          <w:color w:val="000000"/>
          <w:lang w:val="en-GB" w:eastAsia="en-GB"/>
        </w:rPr>
        <w:t xml:space="preserve"> </w:t>
      </w:r>
      <w:r w:rsidR="005C31C5">
        <w:rPr>
          <w:color w:val="000000"/>
          <w:lang w:val="en-GB" w:eastAsia="en-GB"/>
        </w:rPr>
        <w:t>meaning that only 18</w:t>
      </w:r>
      <w:r w:rsidR="00C07F0E" w:rsidRPr="001170AC">
        <w:rPr>
          <w:color w:val="000000"/>
          <w:lang w:val="en-GB" w:eastAsia="en-GB"/>
        </w:rPr>
        <w:t xml:space="preserve">% </w:t>
      </w:r>
      <w:r w:rsidR="005C31C5">
        <w:rPr>
          <w:color w:val="000000"/>
          <w:lang w:val="en-GB" w:eastAsia="en-GB"/>
        </w:rPr>
        <w:t xml:space="preserve">of the approved estimate was released. </w:t>
      </w:r>
      <w:r w:rsidRPr="001170AC">
        <w:rPr>
          <w:color w:val="000000"/>
          <w:lang w:val="en-GB" w:eastAsia="en-GB"/>
        </w:rPr>
        <w:t xml:space="preserve"> </w:t>
      </w:r>
      <w:r w:rsidR="00BB69FE" w:rsidRPr="001170AC">
        <w:rPr>
          <w:color w:val="000000"/>
          <w:lang w:val="en-GB" w:eastAsia="en-GB"/>
        </w:rPr>
        <w:t xml:space="preserve">The </w:t>
      </w:r>
      <w:r w:rsidRPr="001170AC">
        <w:rPr>
          <w:color w:val="000000"/>
          <w:lang w:val="en-GB" w:eastAsia="en-GB"/>
        </w:rPr>
        <w:t xml:space="preserve">overall decrease for the foreign funds is contributed by some donors dropping from the basket and decrease in the </w:t>
      </w:r>
      <w:r w:rsidR="00BB69FE" w:rsidRPr="001170AC">
        <w:rPr>
          <w:color w:val="000000"/>
          <w:lang w:val="en-GB" w:eastAsia="en-GB"/>
        </w:rPr>
        <w:t xml:space="preserve">Global Fund to Fight AIDS, Tuberculosis and Malaria (Global Fund). </w:t>
      </w:r>
      <w:bookmarkStart w:id="41" w:name="_Toc292713223"/>
      <w:bookmarkStart w:id="42" w:name="_Toc298250630"/>
      <w:bookmarkStart w:id="43" w:name="_Toc251562310"/>
      <w:bookmarkStart w:id="44" w:name="_Toc323525998"/>
      <w:bookmarkStart w:id="45" w:name="_Toc327143904"/>
      <w:r w:rsidR="00694178" w:rsidRPr="00C07F0E">
        <w:rPr>
          <w:color w:val="000000"/>
          <w:lang w:val="en-GB" w:eastAsia="en-GB"/>
        </w:rPr>
        <w:t>Figure 3.4 portrays the shares of government funding and foreign resources in health financing.</w:t>
      </w:r>
    </w:p>
    <w:p w14:paraId="2380DA9D" w14:textId="77777777" w:rsidR="00311A91" w:rsidRPr="001170AC" w:rsidRDefault="00311A91" w:rsidP="00670B35">
      <w:pPr>
        <w:rPr>
          <w:noProof/>
        </w:rPr>
      </w:pPr>
    </w:p>
    <w:p w14:paraId="214F7342" w14:textId="77777777" w:rsidR="00AA737B" w:rsidRPr="001170AC" w:rsidRDefault="00604A4A" w:rsidP="00604A4A">
      <w:pPr>
        <w:pStyle w:val="Caption"/>
      </w:pPr>
      <w:bookmarkStart w:id="46" w:name="_Toc327143932"/>
      <w:bookmarkStart w:id="47" w:name="_Toc331434240"/>
      <w:bookmarkStart w:id="48" w:name="_Toc488423280"/>
      <w:r>
        <w:t>Table 3.2:</w:t>
      </w:r>
      <w:r>
        <w:tab/>
      </w:r>
      <w:r w:rsidR="00E17A85">
        <w:t>Sources of Health Financing (B</w:t>
      </w:r>
      <w:r w:rsidR="00AA737B" w:rsidRPr="001170AC">
        <w:t>N TZS)</w:t>
      </w:r>
      <w:bookmarkEnd w:id="46"/>
      <w:bookmarkEnd w:id="47"/>
      <w:bookmarkEnd w:id="48"/>
    </w:p>
    <w:tbl>
      <w:tblPr>
        <w:tblW w:w="5000" w:type="pct"/>
        <w:tblBorders>
          <w:top w:val="double" w:sz="4" w:space="0" w:color="3333FF"/>
          <w:left w:val="double" w:sz="4" w:space="0" w:color="3333FF"/>
          <w:bottom w:val="double" w:sz="4" w:space="0" w:color="3333FF"/>
          <w:right w:val="double" w:sz="4" w:space="0" w:color="3333FF"/>
          <w:insideH w:val="single" w:sz="4" w:space="0" w:color="auto"/>
          <w:insideV w:val="single" w:sz="4" w:space="0" w:color="auto"/>
        </w:tblBorders>
        <w:tblLook w:val="04A0" w:firstRow="1" w:lastRow="0" w:firstColumn="1" w:lastColumn="0" w:noHBand="0" w:noVBand="1"/>
      </w:tblPr>
      <w:tblGrid>
        <w:gridCol w:w="1245"/>
        <w:gridCol w:w="860"/>
        <w:gridCol w:w="860"/>
        <w:gridCol w:w="860"/>
        <w:gridCol w:w="860"/>
        <w:gridCol w:w="865"/>
        <w:gridCol w:w="861"/>
        <w:gridCol w:w="862"/>
        <w:gridCol w:w="862"/>
        <w:gridCol w:w="861"/>
      </w:tblGrid>
      <w:tr w:rsidR="009A1795" w:rsidRPr="00604A4A" w14:paraId="35405FB8" w14:textId="77777777" w:rsidTr="00604A4A">
        <w:trPr>
          <w:trHeight w:val="288"/>
        </w:trPr>
        <w:tc>
          <w:tcPr>
            <w:tcW w:w="674" w:type="pct"/>
            <w:shd w:val="clear" w:color="auto" w:fill="C2D69B" w:themeFill="accent3" w:themeFillTint="99"/>
            <w:noWrap/>
            <w:vAlign w:val="center"/>
            <w:hideMark/>
          </w:tcPr>
          <w:p w14:paraId="000563A0" w14:textId="77777777" w:rsidR="009A1795" w:rsidRPr="00604A4A" w:rsidRDefault="009A1795" w:rsidP="009A1795">
            <w:pPr>
              <w:spacing w:line="240" w:lineRule="auto"/>
              <w:jc w:val="left"/>
              <w:rPr>
                <w:color w:val="000000"/>
                <w:sz w:val="18"/>
                <w:szCs w:val="18"/>
              </w:rPr>
            </w:pPr>
            <w:bookmarkStart w:id="49" w:name="_Toc331434348"/>
            <w:r w:rsidRPr="00604A4A">
              <w:rPr>
                <w:color w:val="000000"/>
                <w:sz w:val="18"/>
                <w:szCs w:val="18"/>
              </w:rPr>
              <w:t> </w:t>
            </w:r>
          </w:p>
        </w:tc>
        <w:tc>
          <w:tcPr>
            <w:tcW w:w="2403" w:type="pct"/>
            <w:gridSpan w:val="5"/>
            <w:shd w:val="clear" w:color="auto" w:fill="C2D69B" w:themeFill="accent3" w:themeFillTint="99"/>
            <w:noWrap/>
            <w:vAlign w:val="center"/>
            <w:hideMark/>
          </w:tcPr>
          <w:p w14:paraId="69CBB0E3" w14:textId="77777777" w:rsidR="009A1795" w:rsidRPr="00604A4A" w:rsidRDefault="009A1795" w:rsidP="009A1795">
            <w:pPr>
              <w:spacing w:line="240" w:lineRule="auto"/>
              <w:jc w:val="center"/>
              <w:rPr>
                <w:b/>
                <w:bCs/>
                <w:color w:val="000000"/>
                <w:sz w:val="18"/>
                <w:szCs w:val="18"/>
              </w:rPr>
            </w:pPr>
            <w:r w:rsidRPr="00604A4A">
              <w:rPr>
                <w:b/>
                <w:bCs/>
                <w:color w:val="000000"/>
                <w:sz w:val="18"/>
                <w:szCs w:val="18"/>
              </w:rPr>
              <w:t>Approved Budget</w:t>
            </w:r>
          </w:p>
        </w:tc>
        <w:tc>
          <w:tcPr>
            <w:tcW w:w="1924" w:type="pct"/>
            <w:gridSpan w:val="4"/>
            <w:shd w:val="clear" w:color="auto" w:fill="C2D69B" w:themeFill="accent3" w:themeFillTint="99"/>
            <w:noWrap/>
            <w:vAlign w:val="center"/>
            <w:hideMark/>
          </w:tcPr>
          <w:p w14:paraId="464DE469" w14:textId="77777777" w:rsidR="009A1795" w:rsidRPr="00604A4A" w:rsidRDefault="009A1795" w:rsidP="009A1795">
            <w:pPr>
              <w:spacing w:line="240" w:lineRule="auto"/>
              <w:jc w:val="center"/>
              <w:rPr>
                <w:b/>
                <w:bCs/>
                <w:color w:val="000000"/>
                <w:sz w:val="18"/>
                <w:szCs w:val="18"/>
              </w:rPr>
            </w:pPr>
            <w:r w:rsidRPr="00604A4A">
              <w:rPr>
                <w:b/>
                <w:bCs/>
                <w:color w:val="000000"/>
                <w:sz w:val="18"/>
                <w:szCs w:val="18"/>
              </w:rPr>
              <w:t>Actual Expenditure</w:t>
            </w:r>
          </w:p>
        </w:tc>
      </w:tr>
      <w:tr w:rsidR="009A1795" w:rsidRPr="00604A4A" w14:paraId="43391DC1" w14:textId="77777777" w:rsidTr="00604A4A">
        <w:trPr>
          <w:trHeight w:val="288"/>
        </w:trPr>
        <w:tc>
          <w:tcPr>
            <w:tcW w:w="674" w:type="pct"/>
            <w:shd w:val="clear" w:color="auto" w:fill="C2D69B" w:themeFill="accent3" w:themeFillTint="99"/>
            <w:noWrap/>
            <w:vAlign w:val="center"/>
            <w:hideMark/>
          </w:tcPr>
          <w:p w14:paraId="01A4EBF1" w14:textId="77777777" w:rsidR="009A1795" w:rsidRPr="00604A4A" w:rsidRDefault="009A1795" w:rsidP="009A1795">
            <w:pPr>
              <w:spacing w:line="240" w:lineRule="auto"/>
              <w:jc w:val="left"/>
              <w:rPr>
                <w:color w:val="000000"/>
                <w:sz w:val="18"/>
                <w:szCs w:val="18"/>
              </w:rPr>
            </w:pPr>
            <w:r w:rsidRPr="00604A4A">
              <w:rPr>
                <w:color w:val="000000"/>
                <w:sz w:val="18"/>
                <w:szCs w:val="18"/>
              </w:rPr>
              <w:t> </w:t>
            </w:r>
          </w:p>
        </w:tc>
        <w:tc>
          <w:tcPr>
            <w:tcW w:w="480" w:type="pct"/>
            <w:shd w:val="clear" w:color="auto" w:fill="C2D69B" w:themeFill="accent3" w:themeFillTint="99"/>
            <w:noWrap/>
            <w:vAlign w:val="center"/>
            <w:hideMark/>
          </w:tcPr>
          <w:p w14:paraId="2EFC24B7" w14:textId="77777777" w:rsidR="009A1795" w:rsidRPr="00604A4A" w:rsidRDefault="009A1795" w:rsidP="009A1795">
            <w:pPr>
              <w:spacing w:line="240" w:lineRule="auto"/>
              <w:jc w:val="left"/>
              <w:rPr>
                <w:b/>
                <w:bCs/>
                <w:color w:val="000000"/>
                <w:sz w:val="18"/>
                <w:szCs w:val="18"/>
              </w:rPr>
            </w:pPr>
            <w:r w:rsidRPr="00604A4A">
              <w:rPr>
                <w:b/>
                <w:bCs/>
                <w:color w:val="000000"/>
                <w:sz w:val="18"/>
                <w:szCs w:val="18"/>
              </w:rPr>
              <w:t>2012/13</w:t>
            </w:r>
          </w:p>
        </w:tc>
        <w:tc>
          <w:tcPr>
            <w:tcW w:w="480" w:type="pct"/>
            <w:shd w:val="clear" w:color="auto" w:fill="C2D69B" w:themeFill="accent3" w:themeFillTint="99"/>
            <w:noWrap/>
            <w:vAlign w:val="center"/>
            <w:hideMark/>
          </w:tcPr>
          <w:p w14:paraId="1A1941BF" w14:textId="77777777" w:rsidR="009A1795" w:rsidRPr="00604A4A" w:rsidRDefault="009A1795" w:rsidP="009A1795">
            <w:pPr>
              <w:spacing w:line="240" w:lineRule="auto"/>
              <w:jc w:val="left"/>
              <w:rPr>
                <w:b/>
                <w:bCs/>
                <w:color w:val="000000"/>
                <w:sz w:val="18"/>
                <w:szCs w:val="18"/>
              </w:rPr>
            </w:pPr>
            <w:r w:rsidRPr="00604A4A">
              <w:rPr>
                <w:b/>
                <w:bCs/>
                <w:color w:val="000000"/>
                <w:sz w:val="18"/>
                <w:szCs w:val="18"/>
              </w:rPr>
              <w:t>2013/14</w:t>
            </w:r>
          </w:p>
        </w:tc>
        <w:tc>
          <w:tcPr>
            <w:tcW w:w="480" w:type="pct"/>
            <w:shd w:val="clear" w:color="auto" w:fill="C2D69B" w:themeFill="accent3" w:themeFillTint="99"/>
            <w:noWrap/>
            <w:vAlign w:val="center"/>
            <w:hideMark/>
          </w:tcPr>
          <w:p w14:paraId="55FC0361" w14:textId="77777777" w:rsidR="009A1795" w:rsidRPr="00604A4A" w:rsidRDefault="009A1795" w:rsidP="009A1795">
            <w:pPr>
              <w:spacing w:line="240" w:lineRule="auto"/>
              <w:jc w:val="left"/>
              <w:rPr>
                <w:b/>
                <w:bCs/>
                <w:color w:val="000000"/>
                <w:sz w:val="18"/>
                <w:szCs w:val="18"/>
              </w:rPr>
            </w:pPr>
            <w:r w:rsidRPr="00604A4A">
              <w:rPr>
                <w:b/>
                <w:bCs/>
                <w:color w:val="000000"/>
                <w:sz w:val="18"/>
                <w:szCs w:val="18"/>
              </w:rPr>
              <w:t>2014/15</w:t>
            </w:r>
          </w:p>
        </w:tc>
        <w:tc>
          <w:tcPr>
            <w:tcW w:w="480" w:type="pct"/>
            <w:shd w:val="clear" w:color="auto" w:fill="C2D69B" w:themeFill="accent3" w:themeFillTint="99"/>
            <w:noWrap/>
            <w:vAlign w:val="center"/>
            <w:hideMark/>
          </w:tcPr>
          <w:p w14:paraId="401A9145" w14:textId="77777777" w:rsidR="009A1795" w:rsidRPr="00604A4A" w:rsidRDefault="009A1795" w:rsidP="009A1795">
            <w:pPr>
              <w:spacing w:line="240" w:lineRule="auto"/>
              <w:jc w:val="left"/>
              <w:rPr>
                <w:b/>
                <w:bCs/>
                <w:color w:val="000000"/>
                <w:sz w:val="18"/>
                <w:szCs w:val="18"/>
              </w:rPr>
            </w:pPr>
            <w:r w:rsidRPr="00604A4A">
              <w:rPr>
                <w:b/>
                <w:bCs/>
                <w:color w:val="000000"/>
                <w:sz w:val="18"/>
                <w:szCs w:val="18"/>
              </w:rPr>
              <w:t>2015/16</w:t>
            </w:r>
          </w:p>
        </w:tc>
        <w:tc>
          <w:tcPr>
            <w:tcW w:w="481" w:type="pct"/>
            <w:shd w:val="clear" w:color="auto" w:fill="C2D69B" w:themeFill="accent3" w:themeFillTint="99"/>
            <w:noWrap/>
            <w:vAlign w:val="center"/>
            <w:hideMark/>
          </w:tcPr>
          <w:p w14:paraId="5643CAF3" w14:textId="77777777" w:rsidR="009A1795" w:rsidRPr="00604A4A" w:rsidRDefault="009A1795" w:rsidP="009A1795">
            <w:pPr>
              <w:spacing w:line="240" w:lineRule="auto"/>
              <w:jc w:val="left"/>
              <w:rPr>
                <w:b/>
                <w:bCs/>
                <w:color w:val="000000"/>
                <w:sz w:val="18"/>
                <w:szCs w:val="18"/>
              </w:rPr>
            </w:pPr>
            <w:r w:rsidRPr="00604A4A">
              <w:rPr>
                <w:b/>
                <w:bCs/>
                <w:color w:val="000000"/>
                <w:sz w:val="18"/>
                <w:szCs w:val="18"/>
              </w:rPr>
              <w:t>2016/17</w:t>
            </w:r>
          </w:p>
        </w:tc>
        <w:tc>
          <w:tcPr>
            <w:tcW w:w="481" w:type="pct"/>
            <w:shd w:val="clear" w:color="auto" w:fill="C2D69B" w:themeFill="accent3" w:themeFillTint="99"/>
            <w:noWrap/>
            <w:vAlign w:val="center"/>
            <w:hideMark/>
          </w:tcPr>
          <w:p w14:paraId="01CD9FAD" w14:textId="77777777" w:rsidR="009A1795" w:rsidRPr="00604A4A" w:rsidRDefault="009A1795" w:rsidP="009A1795">
            <w:pPr>
              <w:spacing w:line="240" w:lineRule="auto"/>
              <w:jc w:val="left"/>
              <w:rPr>
                <w:b/>
                <w:bCs/>
                <w:color w:val="000000"/>
                <w:sz w:val="18"/>
                <w:szCs w:val="18"/>
              </w:rPr>
            </w:pPr>
            <w:r w:rsidRPr="00604A4A">
              <w:rPr>
                <w:b/>
                <w:bCs/>
                <w:color w:val="000000"/>
                <w:sz w:val="18"/>
                <w:szCs w:val="18"/>
              </w:rPr>
              <w:t>2012/13</w:t>
            </w:r>
          </w:p>
        </w:tc>
        <w:tc>
          <w:tcPr>
            <w:tcW w:w="481" w:type="pct"/>
            <w:shd w:val="clear" w:color="auto" w:fill="C2D69B" w:themeFill="accent3" w:themeFillTint="99"/>
            <w:noWrap/>
            <w:vAlign w:val="center"/>
            <w:hideMark/>
          </w:tcPr>
          <w:p w14:paraId="487369B1" w14:textId="77777777" w:rsidR="009A1795" w:rsidRPr="00604A4A" w:rsidRDefault="009A1795" w:rsidP="009A1795">
            <w:pPr>
              <w:spacing w:line="240" w:lineRule="auto"/>
              <w:jc w:val="left"/>
              <w:rPr>
                <w:b/>
                <w:bCs/>
                <w:color w:val="000000"/>
                <w:sz w:val="18"/>
                <w:szCs w:val="18"/>
              </w:rPr>
            </w:pPr>
            <w:r w:rsidRPr="00604A4A">
              <w:rPr>
                <w:b/>
                <w:bCs/>
                <w:color w:val="000000"/>
                <w:sz w:val="18"/>
                <w:szCs w:val="18"/>
              </w:rPr>
              <w:t>2013/14</w:t>
            </w:r>
          </w:p>
        </w:tc>
        <w:tc>
          <w:tcPr>
            <w:tcW w:w="481" w:type="pct"/>
            <w:shd w:val="clear" w:color="auto" w:fill="C2D69B" w:themeFill="accent3" w:themeFillTint="99"/>
            <w:noWrap/>
            <w:vAlign w:val="center"/>
            <w:hideMark/>
          </w:tcPr>
          <w:p w14:paraId="0EAA8DD6" w14:textId="77777777" w:rsidR="009A1795" w:rsidRPr="00604A4A" w:rsidRDefault="009A1795" w:rsidP="009A1795">
            <w:pPr>
              <w:spacing w:line="240" w:lineRule="auto"/>
              <w:jc w:val="left"/>
              <w:rPr>
                <w:b/>
                <w:bCs/>
                <w:color w:val="000000"/>
                <w:sz w:val="18"/>
                <w:szCs w:val="18"/>
              </w:rPr>
            </w:pPr>
            <w:r w:rsidRPr="00604A4A">
              <w:rPr>
                <w:b/>
                <w:bCs/>
                <w:color w:val="000000"/>
                <w:sz w:val="18"/>
                <w:szCs w:val="18"/>
              </w:rPr>
              <w:t>2014/15</w:t>
            </w:r>
          </w:p>
        </w:tc>
        <w:tc>
          <w:tcPr>
            <w:tcW w:w="481" w:type="pct"/>
            <w:shd w:val="clear" w:color="auto" w:fill="C2D69B" w:themeFill="accent3" w:themeFillTint="99"/>
            <w:noWrap/>
            <w:vAlign w:val="center"/>
            <w:hideMark/>
          </w:tcPr>
          <w:p w14:paraId="40100FC0" w14:textId="77777777" w:rsidR="009A1795" w:rsidRPr="00604A4A" w:rsidRDefault="009A1795" w:rsidP="009A1795">
            <w:pPr>
              <w:spacing w:line="240" w:lineRule="auto"/>
              <w:jc w:val="left"/>
              <w:rPr>
                <w:b/>
                <w:bCs/>
                <w:color w:val="000000"/>
                <w:sz w:val="18"/>
                <w:szCs w:val="18"/>
              </w:rPr>
            </w:pPr>
            <w:r w:rsidRPr="00604A4A">
              <w:rPr>
                <w:b/>
                <w:bCs/>
                <w:color w:val="000000"/>
                <w:sz w:val="18"/>
                <w:szCs w:val="18"/>
              </w:rPr>
              <w:t>2015/16</w:t>
            </w:r>
          </w:p>
        </w:tc>
      </w:tr>
      <w:tr w:rsidR="009A1795" w:rsidRPr="00604A4A" w14:paraId="624435AE" w14:textId="77777777" w:rsidTr="00604A4A">
        <w:trPr>
          <w:trHeight w:val="288"/>
        </w:trPr>
        <w:tc>
          <w:tcPr>
            <w:tcW w:w="674" w:type="pct"/>
            <w:shd w:val="clear" w:color="auto" w:fill="auto"/>
            <w:noWrap/>
            <w:vAlign w:val="center"/>
            <w:hideMark/>
          </w:tcPr>
          <w:p w14:paraId="01374943" w14:textId="77777777" w:rsidR="009A1795" w:rsidRPr="00604A4A" w:rsidRDefault="009A1795" w:rsidP="009A1795">
            <w:pPr>
              <w:spacing w:line="240" w:lineRule="auto"/>
              <w:jc w:val="left"/>
              <w:rPr>
                <w:color w:val="000000"/>
                <w:sz w:val="18"/>
                <w:szCs w:val="18"/>
              </w:rPr>
            </w:pPr>
            <w:r w:rsidRPr="00604A4A">
              <w:rPr>
                <w:color w:val="000000"/>
                <w:sz w:val="18"/>
                <w:szCs w:val="18"/>
              </w:rPr>
              <w:t>Govt</w:t>
            </w:r>
            <w:r w:rsidR="00AF575D" w:rsidRPr="00604A4A">
              <w:rPr>
                <w:color w:val="000000"/>
                <w:sz w:val="18"/>
                <w:szCs w:val="18"/>
              </w:rPr>
              <w:t>.</w:t>
            </w:r>
            <w:r w:rsidRPr="00604A4A">
              <w:rPr>
                <w:color w:val="000000"/>
                <w:sz w:val="18"/>
                <w:szCs w:val="18"/>
              </w:rPr>
              <w:t xml:space="preserve"> Funds</w:t>
            </w:r>
          </w:p>
        </w:tc>
        <w:tc>
          <w:tcPr>
            <w:tcW w:w="480" w:type="pct"/>
            <w:shd w:val="clear" w:color="auto" w:fill="auto"/>
            <w:noWrap/>
            <w:vAlign w:val="center"/>
            <w:hideMark/>
          </w:tcPr>
          <w:p w14:paraId="41024224" w14:textId="77777777" w:rsidR="009A1795" w:rsidRPr="00604A4A" w:rsidRDefault="00757A15" w:rsidP="009A1795">
            <w:pPr>
              <w:spacing w:line="240" w:lineRule="auto"/>
              <w:jc w:val="right"/>
              <w:rPr>
                <w:color w:val="000000"/>
                <w:sz w:val="18"/>
                <w:szCs w:val="18"/>
              </w:rPr>
            </w:pPr>
            <w:r w:rsidRPr="00604A4A">
              <w:rPr>
                <w:color w:val="000000"/>
                <w:sz w:val="18"/>
                <w:szCs w:val="18"/>
              </w:rPr>
              <w:t>886</w:t>
            </w:r>
          </w:p>
        </w:tc>
        <w:tc>
          <w:tcPr>
            <w:tcW w:w="480" w:type="pct"/>
            <w:shd w:val="clear" w:color="auto" w:fill="auto"/>
            <w:noWrap/>
            <w:vAlign w:val="center"/>
            <w:hideMark/>
          </w:tcPr>
          <w:p w14:paraId="0EB03EC4" w14:textId="77777777" w:rsidR="009A1795" w:rsidRPr="00604A4A" w:rsidRDefault="009A1795" w:rsidP="009A1795">
            <w:pPr>
              <w:spacing w:line="240" w:lineRule="auto"/>
              <w:jc w:val="right"/>
              <w:rPr>
                <w:color w:val="000000"/>
                <w:sz w:val="18"/>
                <w:szCs w:val="18"/>
              </w:rPr>
            </w:pPr>
            <w:r w:rsidRPr="00604A4A">
              <w:rPr>
                <w:color w:val="000000"/>
                <w:sz w:val="18"/>
                <w:szCs w:val="18"/>
              </w:rPr>
              <w:t>920</w:t>
            </w:r>
          </w:p>
        </w:tc>
        <w:tc>
          <w:tcPr>
            <w:tcW w:w="480" w:type="pct"/>
            <w:shd w:val="clear" w:color="auto" w:fill="auto"/>
            <w:noWrap/>
            <w:vAlign w:val="center"/>
            <w:hideMark/>
          </w:tcPr>
          <w:p w14:paraId="1A64A26C" w14:textId="77777777" w:rsidR="009A1795" w:rsidRPr="00604A4A" w:rsidRDefault="009A1795" w:rsidP="009A1795">
            <w:pPr>
              <w:spacing w:line="240" w:lineRule="auto"/>
              <w:jc w:val="right"/>
              <w:rPr>
                <w:color w:val="000000"/>
                <w:sz w:val="18"/>
                <w:szCs w:val="18"/>
              </w:rPr>
            </w:pPr>
            <w:r w:rsidRPr="00604A4A">
              <w:rPr>
                <w:color w:val="000000"/>
                <w:sz w:val="18"/>
                <w:szCs w:val="18"/>
              </w:rPr>
              <w:t>1</w:t>
            </w:r>
            <w:r w:rsidR="00AF575D" w:rsidRPr="00604A4A">
              <w:rPr>
                <w:color w:val="000000"/>
                <w:sz w:val="18"/>
                <w:szCs w:val="18"/>
              </w:rPr>
              <w:t>,</w:t>
            </w:r>
            <w:r w:rsidRPr="00604A4A">
              <w:rPr>
                <w:color w:val="000000"/>
                <w:sz w:val="18"/>
                <w:szCs w:val="18"/>
              </w:rPr>
              <w:t>252</w:t>
            </w:r>
          </w:p>
        </w:tc>
        <w:tc>
          <w:tcPr>
            <w:tcW w:w="480" w:type="pct"/>
            <w:shd w:val="clear" w:color="auto" w:fill="auto"/>
            <w:noWrap/>
            <w:vAlign w:val="center"/>
            <w:hideMark/>
          </w:tcPr>
          <w:p w14:paraId="21B7CC13" w14:textId="77777777" w:rsidR="009A1795" w:rsidRPr="00604A4A" w:rsidRDefault="009A1795" w:rsidP="009A1795">
            <w:pPr>
              <w:spacing w:line="240" w:lineRule="auto"/>
              <w:jc w:val="right"/>
              <w:rPr>
                <w:color w:val="000000"/>
                <w:sz w:val="18"/>
                <w:szCs w:val="18"/>
              </w:rPr>
            </w:pPr>
            <w:r w:rsidRPr="00604A4A">
              <w:rPr>
                <w:color w:val="000000"/>
                <w:sz w:val="18"/>
                <w:szCs w:val="18"/>
              </w:rPr>
              <w:t>1</w:t>
            </w:r>
            <w:r w:rsidR="00AF575D" w:rsidRPr="00604A4A">
              <w:rPr>
                <w:color w:val="000000"/>
                <w:sz w:val="18"/>
                <w:szCs w:val="18"/>
              </w:rPr>
              <w:t>,</w:t>
            </w:r>
            <w:r w:rsidRPr="00604A4A">
              <w:rPr>
                <w:color w:val="000000"/>
                <w:sz w:val="18"/>
                <w:szCs w:val="18"/>
              </w:rPr>
              <w:t>565</w:t>
            </w:r>
          </w:p>
        </w:tc>
        <w:tc>
          <w:tcPr>
            <w:tcW w:w="481" w:type="pct"/>
            <w:shd w:val="clear" w:color="auto" w:fill="auto"/>
            <w:noWrap/>
            <w:vAlign w:val="center"/>
            <w:hideMark/>
          </w:tcPr>
          <w:p w14:paraId="231CA948" w14:textId="77777777" w:rsidR="009A1795" w:rsidRPr="00604A4A" w:rsidRDefault="009A1795" w:rsidP="009A1795">
            <w:pPr>
              <w:spacing w:line="240" w:lineRule="auto"/>
              <w:jc w:val="right"/>
              <w:rPr>
                <w:color w:val="000000"/>
                <w:sz w:val="18"/>
                <w:szCs w:val="18"/>
              </w:rPr>
            </w:pPr>
            <w:r w:rsidRPr="00604A4A">
              <w:rPr>
                <w:color w:val="000000"/>
                <w:sz w:val="18"/>
                <w:szCs w:val="18"/>
              </w:rPr>
              <w:t>1</w:t>
            </w:r>
            <w:r w:rsidR="00AF575D" w:rsidRPr="00604A4A">
              <w:rPr>
                <w:color w:val="000000"/>
                <w:sz w:val="18"/>
                <w:szCs w:val="18"/>
              </w:rPr>
              <w:t>,</w:t>
            </w:r>
            <w:r w:rsidRPr="00604A4A">
              <w:rPr>
                <w:color w:val="000000"/>
                <w:sz w:val="18"/>
                <w:szCs w:val="18"/>
              </w:rPr>
              <w:t>875</w:t>
            </w:r>
          </w:p>
        </w:tc>
        <w:tc>
          <w:tcPr>
            <w:tcW w:w="481" w:type="pct"/>
            <w:shd w:val="clear" w:color="auto" w:fill="auto"/>
            <w:noWrap/>
            <w:vAlign w:val="center"/>
            <w:hideMark/>
          </w:tcPr>
          <w:p w14:paraId="1D96E15C" w14:textId="77777777" w:rsidR="009A1795" w:rsidRPr="00604A4A" w:rsidRDefault="009A1795" w:rsidP="009A1795">
            <w:pPr>
              <w:spacing w:line="240" w:lineRule="auto"/>
              <w:jc w:val="right"/>
              <w:rPr>
                <w:color w:val="000000"/>
                <w:sz w:val="18"/>
                <w:szCs w:val="18"/>
              </w:rPr>
            </w:pPr>
            <w:r w:rsidRPr="00604A4A">
              <w:rPr>
                <w:color w:val="000000"/>
                <w:sz w:val="18"/>
                <w:szCs w:val="18"/>
              </w:rPr>
              <w:t>765</w:t>
            </w:r>
          </w:p>
        </w:tc>
        <w:tc>
          <w:tcPr>
            <w:tcW w:w="481" w:type="pct"/>
            <w:shd w:val="clear" w:color="auto" w:fill="auto"/>
            <w:noWrap/>
            <w:vAlign w:val="center"/>
            <w:hideMark/>
          </w:tcPr>
          <w:p w14:paraId="405054B9" w14:textId="77777777" w:rsidR="009A1795" w:rsidRPr="00604A4A" w:rsidRDefault="009A1795" w:rsidP="009A1795">
            <w:pPr>
              <w:spacing w:line="240" w:lineRule="auto"/>
              <w:jc w:val="right"/>
              <w:rPr>
                <w:color w:val="000000"/>
                <w:sz w:val="18"/>
                <w:szCs w:val="18"/>
              </w:rPr>
            </w:pPr>
            <w:r w:rsidRPr="00604A4A">
              <w:rPr>
                <w:color w:val="000000"/>
                <w:sz w:val="18"/>
                <w:szCs w:val="18"/>
              </w:rPr>
              <w:t>804</w:t>
            </w:r>
          </w:p>
        </w:tc>
        <w:tc>
          <w:tcPr>
            <w:tcW w:w="481" w:type="pct"/>
            <w:shd w:val="clear" w:color="auto" w:fill="auto"/>
            <w:noWrap/>
            <w:vAlign w:val="center"/>
            <w:hideMark/>
          </w:tcPr>
          <w:p w14:paraId="64CF0FED" w14:textId="77777777" w:rsidR="009A1795" w:rsidRPr="00604A4A" w:rsidRDefault="009A1795" w:rsidP="009A1795">
            <w:pPr>
              <w:spacing w:line="240" w:lineRule="auto"/>
              <w:jc w:val="right"/>
              <w:rPr>
                <w:color w:val="000000"/>
                <w:sz w:val="18"/>
                <w:szCs w:val="18"/>
              </w:rPr>
            </w:pPr>
            <w:r w:rsidRPr="00604A4A">
              <w:rPr>
                <w:color w:val="000000"/>
                <w:sz w:val="18"/>
                <w:szCs w:val="18"/>
              </w:rPr>
              <w:t>972</w:t>
            </w:r>
          </w:p>
        </w:tc>
        <w:tc>
          <w:tcPr>
            <w:tcW w:w="481" w:type="pct"/>
            <w:shd w:val="clear" w:color="auto" w:fill="auto"/>
            <w:noWrap/>
            <w:vAlign w:val="center"/>
            <w:hideMark/>
          </w:tcPr>
          <w:p w14:paraId="76A2E550" w14:textId="77777777" w:rsidR="009A1795" w:rsidRPr="00604A4A" w:rsidRDefault="009A1795" w:rsidP="009A1795">
            <w:pPr>
              <w:spacing w:line="240" w:lineRule="auto"/>
              <w:jc w:val="right"/>
              <w:rPr>
                <w:color w:val="000000"/>
                <w:sz w:val="18"/>
                <w:szCs w:val="18"/>
              </w:rPr>
            </w:pPr>
            <w:r w:rsidRPr="00604A4A">
              <w:rPr>
                <w:color w:val="000000"/>
                <w:sz w:val="18"/>
                <w:szCs w:val="18"/>
              </w:rPr>
              <w:t>1</w:t>
            </w:r>
            <w:r w:rsidR="00AF575D" w:rsidRPr="00604A4A">
              <w:rPr>
                <w:color w:val="000000"/>
                <w:sz w:val="18"/>
                <w:szCs w:val="18"/>
              </w:rPr>
              <w:t>,</w:t>
            </w:r>
            <w:r w:rsidRPr="00604A4A">
              <w:rPr>
                <w:color w:val="000000"/>
                <w:sz w:val="18"/>
                <w:szCs w:val="18"/>
              </w:rPr>
              <w:t>343</w:t>
            </w:r>
          </w:p>
        </w:tc>
      </w:tr>
      <w:tr w:rsidR="009A1795" w:rsidRPr="00604A4A" w14:paraId="22217F82" w14:textId="77777777" w:rsidTr="00604A4A">
        <w:trPr>
          <w:trHeight w:val="288"/>
        </w:trPr>
        <w:tc>
          <w:tcPr>
            <w:tcW w:w="674" w:type="pct"/>
            <w:shd w:val="clear" w:color="auto" w:fill="auto"/>
            <w:noWrap/>
            <w:vAlign w:val="center"/>
            <w:hideMark/>
          </w:tcPr>
          <w:p w14:paraId="6DCC4BB8" w14:textId="77777777" w:rsidR="009A1795" w:rsidRPr="00604A4A" w:rsidRDefault="009A1795" w:rsidP="009A1795">
            <w:pPr>
              <w:spacing w:line="240" w:lineRule="auto"/>
              <w:jc w:val="left"/>
              <w:rPr>
                <w:color w:val="000000"/>
                <w:sz w:val="18"/>
                <w:szCs w:val="18"/>
              </w:rPr>
            </w:pPr>
            <w:r w:rsidRPr="00604A4A">
              <w:rPr>
                <w:color w:val="000000"/>
                <w:sz w:val="18"/>
                <w:szCs w:val="18"/>
              </w:rPr>
              <w:t>Foreign Funds</w:t>
            </w:r>
          </w:p>
        </w:tc>
        <w:tc>
          <w:tcPr>
            <w:tcW w:w="480" w:type="pct"/>
            <w:shd w:val="clear" w:color="auto" w:fill="auto"/>
            <w:noWrap/>
            <w:vAlign w:val="center"/>
            <w:hideMark/>
          </w:tcPr>
          <w:p w14:paraId="5181C72E" w14:textId="77777777" w:rsidR="009A1795" w:rsidRPr="00604A4A" w:rsidRDefault="009A1795" w:rsidP="009A1795">
            <w:pPr>
              <w:spacing w:line="240" w:lineRule="auto"/>
              <w:jc w:val="right"/>
              <w:rPr>
                <w:color w:val="000000"/>
                <w:sz w:val="18"/>
                <w:szCs w:val="18"/>
              </w:rPr>
            </w:pPr>
            <w:r w:rsidRPr="00604A4A">
              <w:rPr>
                <w:color w:val="000000"/>
                <w:sz w:val="18"/>
                <w:szCs w:val="18"/>
              </w:rPr>
              <w:t>386</w:t>
            </w:r>
          </w:p>
        </w:tc>
        <w:tc>
          <w:tcPr>
            <w:tcW w:w="480" w:type="pct"/>
            <w:shd w:val="clear" w:color="auto" w:fill="auto"/>
            <w:noWrap/>
            <w:vAlign w:val="center"/>
            <w:hideMark/>
          </w:tcPr>
          <w:p w14:paraId="7AC31AEE" w14:textId="77777777" w:rsidR="009A1795" w:rsidRPr="00604A4A" w:rsidRDefault="009A1795" w:rsidP="009A1795">
            <w:pPr>
              <w:spacing w:line="240" w:lineRule="auto"/>
              <w:jc w:val="right"/>
              <w:rPr>
                <w:color w:val="000000"/>
                <w:sz w:val="18"/>
                <w:szCs w:val="18"/>
              </w:rPr>
            </w:pPr>
            <w:r w:rsidRPr="00604A4A">
              <w:rPr>
                <w:color w:val="000000"/>
                <w:sz w:val="18"/>
                <w:szCs w:val="18"/>
              </w:rPr>
              <w:t>566</w:t>
            </w:r>
          </w:p>
        </w:tc>
        <w:tc>
          <w:tcPr>
            <w:tcW w:w="480" w:type="pct"/>
            <w:shd w:val="clear" w:color="auto" w:fill="auto"/>
            <w:noWrap/>
            <w:vAlign w:val="center"/>
            <w:hideMark/>
          </w:tcPr>
          <w:p w14:paraId="29ED19E5" w14:textId="77777777" w:rsidR="009A1795" w:rsidRPr="00604A4A" w:rsidRDefault="009A1795" w:rsidP="009A1795">
            <w:pPr>
              <w:spacing w:line="240" w:lineRule="auto"/>
              <w:jc w:val="right"/>
              <w:rPr>
                <w:color w:val="000000"/>
                <w:sz w:val="18"/>
                <w:szCs w:val="18"/>
              </w:rPr>
            </w:pPr>
            <w:r w:rsidRPr="00604A4A">
              <w:rPr>
                <w:color w:val="000000"/>
                <w:sz w:val="18"/>
                <w:szCs w:val="18"/>
              </w:rPr>
              <w:t>363</w:t>
            </w:r>
          </w:p>
        </w:tc>
        <w:tc>
          <w:tcPr>
            <w:tcW w:w="480" w:type="pct"/>
            <w:shd w:val="clear" w:color="auto" w:fill="auto"/>
            <w:noWrap/>
            <w:vAlign w:val="center"/>
            <w:hideMark/>
          </w:tcPr>
          <w:p w14:paraId="08071C5E" w14:textId="77777777" w:rsidR="009A1795" w:rsidRPr="00604A4A" w:rsidRDefault="009A1795" w:rsidP="009A1795">
            <w:pPr>
              <w:spacing w:line="240" w:lineRule="auto"/>
              <w:jc w:val="right"/>
              <w:rPr>
                <w:color w:val="000000"/>
                <w:sz w:val="18"/>
                <w:szCs w:val="18"/>
              </w:rPr>
            </w:pPr>
            <w:r w:rsidRPr="00604A4A">
              <w:rPr>
                <w:color w:val="000000"/>
                <w:sz w:val="18"/>
                <w:szCs w:val="18"/>
              </w:rPr>
              <w:t>570</w:t>
            </w:r>
          </w:p>
        </w:tc>
        <w:tc>
          <w:tcPr>
            <w:tcW w:w="481" w:type="pct"/>
            <w:shd w:val="clear" w:color="auto" w:fill="auto"/>
            <w:noWrap/>
            <w:vAlign w:val="center"/>
            <w:hideMark/>
          </w:tcPr>
          <w:p w14:paraId="13D80224" w14:textId="77777777" w:rsidR="009A1795" w:rsidRPr="00604A4A" w:rsidRDefault="009A1795" w:rsidP="009A1795">
            <w:pPr>
              <w:spacing w:line="240" w:lineRule="auto"/>
              <w:jc w:val="right"/>
              <w:rPr>
                <w:color w:val="000000"/>
                <w:sz w:val="18"/>
                <w:szCs w:val="18"/>
              </w:rPr>
            </w:pPr>
            <w:r w:rsidRPr="00604A4A">
              <w:rPr>
                <w:color w:val="000000"/>
                <w:sz w:val="18"/>
                <w:szCs w:val="18"/>
              </w:rPr>
              <w:t>584</w:t>
            </w:r>
          </w:p>
        </w:tc>
        <w:tc>
          <w:tcPr>
            <w:tcW w:w="481" w:type="pct"/>
            <w:shd w:val="clear" w:color="auto" w:fill="auto"/>
            <w:noWrap/>
            <w:vAlign w:val="center"/>
            <w:hideMark/>
          </w:tcPr>
          <w:p w14:paraId="60D6D733" w14:textId="77777777" w:rsidR="009A1795" w:rsidRPr="00604A4A" w:rsidRDefault="009A1795" w:rsidP="009A1795">
            <w:pPr>
              <w:spacing w:line="240" w:lineRule="auto"/>
              <w:jc w:val="right"/>
              <w:rPr>
                <w:color w:val="000000"/>
                <w:sz w:val="18"/>
                <w:szCs w:val="18"/>
              </w:rPr>
            </w:pPr>
            <w:r w:rsidRPr="00604A4A">
              <w:rPr>
                <w:color w:val="000000"/>
                <w:sz w:val="18"/>
                <w:szCs w:val="18"/>
              </w:rPr>
              <w:t>290</w:t>
            </w:r>
          </w:p>
        </w:tc>
        <w:tc>
          <w:tcPr>
            <w:tcW w:w="481" w:type="pct"/>
            <w:shd w:val="clear" w:color="auto" w:fill="auto"/>
            <w:noWrap/>
            <w:vAlign w:val="center"/>
            <w:hideMark/>
          </w:tcPr>
          <w:p w14:paraId="2D0A9B3E" w14:textId="77777777" w:rsidR="009A1795" w:rsidRPr="00604A4A" w:rsidRDefault="009A1795" w:rsidP="009A1795">
            <w:pPr>
              <w:spacing w:line="240" w:lineRule="auto"/>
              <w:jc w:val="right"/>
              <w:rPr>
                <w:color w:val="000000"/>
                <w:sz w:val="18"/>
                <w:szCs w:val="18"/>
              </w:rPr>
            </w:pPr>
            <w:r w:rsidRPr="00604A4A">
              <w:rPr>
                <w:color w:val="000000"/>
                <w:sz w:val="18"/>
                <w:szCs w:val="18"/>
              </w:rPr>
              <w:t>490</w:t>
            </w:r>
          </w:p>
        </w:tc>
        <w:tc>
          <w:tcPr>
            <w:tcW w:w="481" w:type="pct"/>
            <w:shd w:val="clear" w:color="auto" w:fill="auto"/>
            <w:noWrap/>
            <w:vAlign w:val="center"/>
            <w:hideMark/>
          </w:tcPr>
          <w:p w14:paraId="0AF25997" w14:textId="77777777" w:rsidR="009A1795" w:rsidRPr="00604A4A" w:rsidRDefault="009A1795" w:rsidP="009A1795">
            <w:pPr>
              <w:spacing w:line="240" w:lineRule="auto"/>
              <w:jc w:val="right"/>
              <w:rPr>
                <w:color w:val="000000"/>
                <w:sz w:val="18"/>
                <w:szCs w:val="18"/>
              </w:rPr>
            </w:pPr>
            <w:r w:rsidRPr="00604A4A">
              <w:rPr>
                <w:color w:val="000000"/>
                <w:sz w:val="18"/>
                <w:szCs w:val="18"/>
              </w:rPr>
              <w:t>186</w:t>
            </w:r>
          </w:p>
        </w:tc>
        <w:tc>
          <w:tcPr>
            <w:tcW w:w="481" w:type="pct"/>
            <w:shd w:val="clear" w:color="auto" w:fill="auto"/>
            <w:noWrap/>
            <w:vAlign w:val="center"/>
            <w:hideMark/>
          </w:tcPr>
          <w:p w14:paraId="0E63B4F3" w14:textId="77777777" w:rsidR="009A1795" w:rsidRPr="00604A4A" w:rsidRDefault="009A1795" w:rsidP="009A1795">
            <w:pPr>
              <w:spacing w:line="240" w:lineRule="auto"/>
              <w:jc w:val="right"/>
              <w:rPr>
                <w:color w:val="000000"/>
                <w:sz w:val="18"/>
                <w:szCs w:val="18"/>
              </w:rPr>
            </w:pPr>
            <w:r w:rsidRPr="00604A4A">
              <w:rPr>
                <w:color w:val="000000"/>
                <w:sz w:val="18"/>
                <w:szCs w:val="18"/>
              </w:rPr>
              <w:t>169</w:t>
            </w:r>
          </w:p>
        </w:tc>
      </w:tr>
      <w:tr w:rsidR="009A1795" w:rsidRPr="00604A4A" w14:paraId="2AE22DD3" w14:textId="77777777" w:rsidTr="00604A4A">
        <w:trPr>
          <w:trHeight w:val="288"/>
        </w:trPr>
        <w:tc>
          <w:tcPr>
            <w:tcW w:w="674" w:type="pct"/>
            <w:shd w:val="clear" w:color="auto" w:fill="auto"/>
            <w:noWrap/>
            <w:vAlign w:val="center"/>
            <w:hideMark/>
          </w:tcPr>
          <w:p w14:paraId="7A255EA9" w14:textId="77777777" w:rsidR="009A1795" w:rsidRPr="00604A4A" w:rsidRDefault="009A1795" w:rsidP="009A1795">
            <w:pPr>
              <w:spacing w:line="240" w:lineRule="auto"/>
              <w:jc w:val="left"/>
              <w:rPr>
                <w:i/>
                <w:color w:val="000000"/>
                <w:sz w:val="18"/>
                <w:szCs w:val="18"/>
              </w:rPr>
            </w:pPr>
            <w:r w:rsidRPr="00604A4A">
              <w:rPr>
                <w:i/>
                <w:color w:val="000000"/>
                <w:sz w:val="18"/>
                <w:szCs w:val="18"/>
              </w:rPr>
              <w:t xml:space="preserve">Basket </w:t>
            </w:r>
          </w:p>
        </w:tc>
        <w:tc>
          <w:tcPr>
            <w:tcW w:w="480" w:type="pct"/>
            <w:shd w:val="clear" w:color="auto" w:fill="auto"/>
            <w:noWrap/>
            <w:vAlign w:val="center"/>
            <w:hideMark/>
          </w:tcPr>
          <w:p w14:paraId="06AD81B1" w14:textId="77777777" w:rsidR="009A1795" w:rsidRPr="00604A4A" w:rsidRDefault="009A1795" w:rsidP="009A1795">
            <w:pPr>
              <w:spacing w:line="240" w:lineRule="auto"/>
              <w:jc w:val="right"/>
              <w:rPr>
                <w:color w:val="000000"/>
                <w:sz w:val="18"/>
                <w:szCs w:val="18"/>
              </w:rPr>
            </w:pPr>
            <w:r w:rsidRPr="00604A4A">
              <w:rPr>
                <w:color w:val="000000"/>
                <w:sz w:val="18"/>
                <w:szCs w:val="18"/>
              </w:rPr>
              <w:t>159</w:t>
            </w:r>
          </w:p>
        </w:tc>
        <w:tc>
          <w:tcPr>
            <w:tcW w:w="480" w:type="pct"/>
            <w:shd w:val="clear" w:color="auto" w:fill="auto"/>
            <w:noWrap/>
            <w:vAlign w:val="center"/>
            <w:hideMark/>
          </w:tcPr>
          <w:p w14:paraId="4955265D" w14:textId="77777777" w:rsidR="009A1795" w:rsidRPr="00604A4A" w:rsidRDefault="009A1795" w:rsidP="009A1795">
            <w:pPr>
              <w:spacing w:line="240" w:lineRule="auto"/>
              <w:jc w:val="right"/>
              <w:rPr>
                <w:color w:val="000000"/>
                <w:sz w:val="18"/>
                <w:szCs w:val="18"/>
              </w:rPr>
            </w:pPr>
            <w:r w:rsidRPr="00604A4A">
              <w:rPr>
                <w:color w:val="000000"/>
                <w:sz w:val="18"/>
                <w:szCs w:val="18"/>
              </w:rPr>
              <w:t>135</w:t>
            </w:r>
          </w:p>
        </w:tc>
        <w:tc>
          <w:tcPr>
            <w:tcW w:w="480" w:type="pct"/>
            <w:shd w:val="clear" w:color="auto" w:fill="auto"/>
            <w:noWrap/>
            <w:vAlign w:val="center"/>
            <w:hideMark/>
          </w:tcPr>
          <w:p w14:paraId="62AD8710" w14:textId="77777777" w:rsidR="009A1795" w:rsidRPr="00604A4A" w:rsidRDefault="009A1795" w:rsidP="009A1795">
            <w:pPr>
              <w:spacing w:line="240" w:lineRule="auto"/>
              <w:jc w:val="right"/>
              <w:rPr>
                <w:color w:val="000000"/>
                <w:sz w:val="18"/>
                <w:szCs w:val="18"/>
              </w:rPr>
            </w:pPr>
            <w:r w:rsidRPr="00604A4A">
              <w:rPr>
                <w:color w:val="000000"/>
                <w:sz w:val="18"/>
                <w:szCs w:val="18"/>
              </w:rPr>
              <w:t>109</w:t>
            </w:r>
          </w:p>
        </w:tc>
        <w:tc>
          <w:tcPr>
            <w:tcW w:w="480" w:type="pct"/>
            <w:shd w:val="clear" w:color="auto" w:fill="auto"/>
            <w:noWrap/>
            <w:vAlign w:val="center"/>
            <w:hideMark/>
          </w:tcPr>
          <w:p w14:paraId="36236361" w14:textId="77777777" w:rsidR="009A1795" w:rsidRPr="00604A4A" w:rsidRDefault="009A1795" w:rsidP="009A1795">
            <w:pPr>
              <w:spacing w:line="240" w:lineRule="auto"/>
              <w:jc w:val="right"/>
              <w:rPr>
                <w:color w:val="000000"/>
                <w:sz w:val="18"/>
                <w:szCs w:val="18"/>
              </w:rPr>
            </w:pPr>
            <w:r w:rsidRPr="00604A4A">
              <w:rPr>
                <w:color w:val="000000"/>
                <w:sz w:val="18"/>
                <w:szCs w:val="18"/>
              </w:rPr>
              <w:t>73</w:t>
            </w:r>
          </w:p>
        </w:tc>
        <w:tc>
          <w:tcPr>
            <w:tcW w:w="481" w:type="pct"/>
            <w:shd w:val="clear" w:color="auto" w:fill="auto"/>
            <w:noWrap/>
            <w:vAlign w:val="center"/>
            <w:hideMark/>
          </w:tcPr>
          <w:p w14:paraId="06A84FAB" w14:textId="77777777" w:rsidR="009A1795" w:rsidRPr="00604A4A" w:rsidRDefault="009A1795" w:rsidP="009A1795">
            <w:pPr>
              <w:spacing w:line="240" w:lineRule="auto"/>
              <w:jc w:val="right"/>
              <w:rPr>
                <w:color w:val="000000"/>
                <w:sz w:val="18"/>
                <w:szCs w:val="18"/>
              </w:rPr>
            </w:pPr>
            <w:r w:rsidRPr="00604A4A">
              <w:rPr>
                <w:color w:val="000000"/>
                <w:sz w:val="18"/>
                <w:szCs w:val="18"/>
              </w:rPr>
              <w:t>118</w:t>
            </w:r>
          </w:p>
        </w:tc>
        <w:tc>
          <w:tcPr>
            <w:tcW w:w="481" w:type="pct"/>
            <w:shd w:val="clear" w:color="auto" w:fill="auto"/>
            <w:noWrap/>
            <w:vAlign w:val="center"/>
            <w:hideMark/>
          </w:tcPr>
          <w:p w14:paraId="0204F4EB" w14:textId="77777777" w:rsidR="009A1795" w:rsidRPr="00604A4A" w:rsidRDefault="009A1795" w:rsidP="009A1795">
            <w:pPr>
              <w:spacing w:line="240" w:lineRule="auto"/>
              <w:jc w:val="right"/>
              <w:rPr>
                <w:color w:val="000000"/>
                <w:sz w:val="18"/>
                <w:szCs w:val="18"/>
              </w:rPr>
            </w:pPr>
            <w:r w:rsidRPr="00604A4A">
              <w:rPr>
                <w:color w:val="000000"/>
                <w:sz w:val="18"/>
                <w:szCs w:val="18"/>
              </w:rPr>
              <w:t>143</w:t>
            </w:r>
          </w:p>
        </w:tc>
        <w:tc>
          <w:tcPr>
            <w:tcW w:w="481" w:type="pct"/>
            <w:shd w:val="clear" w:color="auto" w:fill="auto"/>
            <w:noWrap/>
            <w:vAlign w:val="center"/>
            <w:hideMark/>
          </w:tcPr>
          <w:p w14:paraId="13348BC7" w14:textId="77777777" w:rsidR="009A1795" w:rsidRPr="00604A4A" w:rsidRDefault="009A1795" w:rsidP="009A1795">
            <w:pPr>
              <w:spacing w:line="240" w:lineRule="auto"/>
              <w:jc w:val="right"/>
              <w:rPr>
                <w:color w:val="000000"/>
                <w:sz w:val="18"/>
                <w:szCs w:val="18"/>
              </w:rPr>
            </w:pPr>
            <w:r w:rsidRPr="00604A4A">
              <w:rPr>
                <w:color w:val="000000"/>
                <w:sz w:val="18"/>
                <w:szCs w:val="18"/>
              </w:rPr>
              <w:t>135</w:t>
            </w:r>
          </w:p>
        </w:tc>
        <w:tc>
          <w:tcPr>
            <w:tcW w:w="481" w:type="pct"/>
            <w:shd w:val="clear" w:color="auto" w:fill="auto"/>
            <w:noWrap/>
            <w:vAlign w:val="center"/>
            <w:hideMark/>
          </w:tcPr>
          <w:p w14:paraId="61E311CF" w14:textId="77777777" w:rsidR="009A1795" w:rsidRPr="00604A4A" w:rsidRDefault="009A1795" w:rsidP="009A1795">
            <w:pPr>
              <w:spacing w:line="240" w:lineRule="auto"/>
              <w:jc w:val="right"/>
              <w:rPr>
                <w:color w:val="000000"/>
                <w:sz w:val="18"/>
                <w:szCs w:val="18"/>
              </w:rPr>
            </w:pPr>
            <w:r w:rsidRPr="00604A4A">
              <w:rPr>
                <w:color w:val="000000"/>
                <w:sz w:val="18"/>
                <w:szCs w:val="18"/>
              </w:rPr>
              <w:t>81</w:t>
            </w:r>
          </w:p>
        </w:tc>
        <w:tc>
          <w:tcPr>
            <w:tcW w:w="481" w:type="pct"/>
            <w:shd w:val="clear" w:color="auto" w:fill="auto"/>
            <w:noWrap/>
            <w:vAlign w:val="center"/>
            <w:hideMark/>
          </w:tcPr>
          <w:p w14:paraId="5F2F0BBD" w14:textId="77777777" w:rsidR="009A1795" w:rsidRPr="00604A4A" w:rsidRDefault="009A1795" w:rsidP="009A1795">
            <w:pPr>
              <w:spacing w:line="240" w:lineRule="auto"/>
              <w:jc w:val="right"/>
              <w:rPr>
                <w:color w:val="000000"/>
                <w:sz w:val="18"/>
                <w:szCs w:val="18"/>
              </w:rPr>
            </w:pPr>
            <w:r w:rsidRPr="00604A4A">
              <w:rPr>
                <w:color w:val="000000"/>
                <w:sz w:val="18"/>
                <w:szCs w:val="18"/>
              </w:rPr>
              <w:t>79</w:t>
            </w:r>
          </w:p>
        </w:tc>
      </w:tr>
      <w:tr w:rsidR="009A1795" w:rsidRPr="00604A4A" w14:paraId="583A01E6" w14:textId="77777777" w:rsidTr="00604A4A">
        <w:trPr>
          <w:trHeight w:val="516"/>
        </w:trPr>
        <w:tc>
          <w:tcPr>
            <w:tcW w:w="674" w:type="pct"/>
            <w:shd w:val="clear" w:color="auto" w:fill="auto"/>
            <w:vAlign w:val="center"/>
            <w:hideMark/>
          </w:tcPr>
          <w:p w14:paraId="4204BB2A" w14:textId="77777777" w:rsidR="009A1795" w:rsidRPr="00604A4A" w:rsidRDefault="009A1795" w:rsidP="009A1795">
            <w:pPr>
              <w:spacing w:line="240" w:lineRule="auto"/>
              <w:jc w:val="left"/>
              <w:rPr>
                <w:i/>
                <w:color w:val="000000"/>
                <w:sz w:val="18"/>
                <w:szCs w:val="18"/>
              </w:rPr>
            </w:pPr>
            <w:r w:rsidRPr="00604A4A">
              <w:rPr>
                <w:i/>
                <w:color w:val="000000"/>
                <w:sz w:val="18"/>
                <w:szCs w:val="18"/>
              </w:rPr>
              <w:t>Non Basket</w:t>
            </w:r>
          </w:p>
        </w:tc>
        <w:tc>
          <w:tcPr>
            <w:tcW w:w="480" w:type="pct"/>
            <w:shd w:val="clear" w:color="auto" w:fill="auto"/>
            <w:noWrap/>
            <w:vAlign w:val="center"/>
            <w:hideMark/>
          </w:tcPr>
          <w:p w14:paraId="4A8D06FC" w14:textId="77777777" w:rsidR="009A1795" w:rsidRPr="00604A4A" w:rsidRDefault="009A1795" w:rsidP="009A1795">
            <w:pPr>
              <w:spacing w:line="240" w:lineRule="auto"/>
              <w:jc w:val="right"/>
              <w:rPr>
                <w:color w:val="000000"/>
                <w:sz w:val="18"/>
                <w:szCs w:val="18"/>
              </w:rPr>
            </w:pPr>
            <w:r w:rsidRPr="00604A4A">
              <w:rPr>
                <w:color w:val="000000"/>
                <w:sz w:val="18"/>
                <w:szCs w:val="18"/>
              </w:rPr>
              <w:t>227</w:t>
            </w:r>
          </w:p>
        </w:tc>
        <w:tc>
          <w:tcPr>
            <w:tcW w:w="480" w:type="pct"/>
            <w:shd w:val="clear" w:color="auto" w:fill="auto"/>
            <w:noWrap/>
            <w:vAlign w:val="center"/>
            <w:hideMark/>
          </w:tcPr>
          <w:p w14:paraId="1F51CB63" w14:textId="77777777" w:rsidR="009A1795" w:rsidRPr="00604A4A" w:rsidRDefault="009A1795" w:rsidP="009A1795">
            <w:pPr>
              <w:spacing w:line="240" w:lineRule="auto"/>
              <w:jc w:val="right"/>
              <w:rPr>
                <w:color w:val="000000"/>
                <w:sz w:val="18"/>
                <w:szCs w:val="18"/>
              </w:rPr>
            </w:pPr>
            <w:r w:rsidRPr="00604A4A">
              <w:rPr>
                <w:color w:val="000000"/>
                <w:sz w:val="18"/>
                <w:szCs w:val="18"/>
              </w:rPr>
              <w:t>431</w:t>
            </w:r>
          </w:p>
        </w:tc>
        <w:tc>
          <w:tcPr>
            <w:tcW w:w="480" w:type="pct"/>
            <w:shd w:val="clear" w:color="auto" w:fill="auto"/>
            <w:noWrap/>
            <w:vAlign w:val="center"/>
            <w:hideMark/>
          </w:tcPr>
          <w:p w14:paraId="1FF466A4" w14:textId="77777777" w:rsidR="009A1795" w:rsidRPr="00604A4A" w:rsidRDefault="009A1795" w:rsidP="009A1795">
            <w:pPr>
              <w:spacing w:line="240" w:lineRule="auto"/>
              <w:jc w:val="right"/>
              <w:rPr>
                <w:color w:val="000000"/>
                <w:sz w:val="18"/>
                <w:szCs w:val="18"/>
              </w:rPr>
            </w:pPr>
            <w:r w:rsidRPr="00604A4A">
              <w:rPr>
                <w:color w:val="000000"/>
                <w:sz w:val="18"/>
                <w:szCs w:val="18"/>
              </w:rPr>
              <w:t>254</w:t>
            </w:r>
          </w:p>
        </w:tc>
        <w:tc>
          <w:tcPr>
            <w:tcW w:w="480" w:type="pct"/>
            <w:shd w:val="clear" w:color="auto" w:fill="auto"/>
            <w:noWrap/>
            <w:vAlign w:val="center"/>
            <w:hideMark/>
          </w:tcPr>
          <w:p w14:paraId="7E12549A" w14:textId="77777777" w:rsidR="009A1795" w:rsidRPr="00604A4A" w:rsidRDefault="009A1795" w:rsidP="009A1795">
            <w:pPr>
              <w:spacing w:line="240" w:lineRule="auto"/>
              <w:jc w:val="right"/>
              <w:rPr>
                <w:color w:val="000000"/>
                <w:sz w:val="18"/>
                <w:szCs w:val="18"/>
              </w:rPr>
            </w:pPr>
            <w:r w:rsidRPr="00604A4A">
              <w:rPr>
                <w:color w:val="000000"/>
                <w:sz w:val="18"/>
                <w:szCs w:val="18"/>
              </w:rPr>
              <w:t>497</w:t>
            </w:r>
          </w:p>
        </w:tc>
        <w:tc>
          <w:tcPr>
            <w:tcW w:w="481" w:type="pct"/>
            <w:shd w:val="clear" w:color="auto" w:fill="auto"/>
            <w:noWrap/>
            <w:vAlign w:val="center"/>
            <w:hideMark/>
          </w:tcPr>
          <w:p w14:paraId="20448C89" w14:textId="77777777" w:rsidR="009A1795" w:rsidRPr="00604A4A" w:rsidRDefault="009A1795" w:rsidP="009A1795">
            <w:pPr>
              <w:spacing w:line="240" w:lineRule="auto"/>
              <w:jc w:val="right"/>
              <w:rPr>
                <w:color w:val="000000"/>
                <w:sz w:val="18"/>
                <w:szCs w:val="18"/>
              </w:rPr>
            </w:pPr>
            <w:r w:rsidRPr="00604A4A">
              <w:rPr>
                <w:color w:val="000000"/>
                <w:sz w:val="18"/>
                <w:szCs w:val="18"/>
              </w:rPr>
              <w:t>466</w:t>
            </w:r>
          </w:p>
        </w:tc>
        <w:tc>
          <w:tcPr>
            <w:tcW w:w="481" w:type="pct"/>
            <w:shd w:val="clear" w:color="auto" w:fill="auto"/>
            <w:noWrap/>
            <w:vAlign w:val="center"/>
            <w:hideMark/>
          </w:tcPr>
          <w:p w14:paraId="00D02F87" w14:textId="77777777" w:rsidR="009A1795" w:rsidRPr="00604A4A" w:rsidRDefault="009A1795" w:rsidP="009A1795">
            <w:pPr>
              <w:spacing w:line="240" w:lineRule="auto"/>
              <w:jc w:val="right"/>
              <w:rPr>
                <w:color w:val="000000"/>
                <w:sz w:val="18"/>
                <w:szCs w:val="18"/>
              </w:rPr>
            </w:pPr>
            <w:r w:rsidRPr="00604A4A">
              <w:rPr>
                <w:color w:val="000000"/>
                <w:sz w:val="18"/>
                <w:szCs w:val="18"/>
              </w:rPr>
              <w:t>147</w:t>
            </w:r>
          </w:p>
        </w:tc>
        <w:tc>
          <w:tcPr>
            <w:tcW w:w="481" w:type="pct"/>
            <w:shd w:val="clear" w:color="auto" w:fill="auto"/>
            <w:noWrap/>
            <w:vAlign w:val="center"/>
            <w:hideMark/>
          </w:tcPr>
          <w:p w14:paraId="4DBBF3A8" w14:textId="77777777" w:rsidR="009A1795" w:rsidRPr="00604A4A" w:rsidRDefault="009A1795" w:rsidP="009A1795">
            <w:pPr>
              <w:spacing w:line="240" w:lineRule="auto"/>
              <w:jc w:val="right"/>
              <w:rPr>
                <w:color w:val="000000"/>
                <w:sz w:val="18"/>
                <w:szCs w:val="18"/>
              </w:rPr>
            </w:pPr>
            <w:r w:rsidRPr="00604A4A">
              <w:rPr>
                <w:color w:val="000000"/>
                <w:sz w:val="18"/>
                <w:szCs w:val="18"/>
              </w:rPr>
              <w:t>355</w:t>
            </w:r>
          </w:p>
        </w:tc>
        <w:tc>
          <w:tcPr>
            <w:tcW w:w="481" w:type="pct"/>
            <w:shd w:val="clear" w:color="auto" w:fill="auto"/>
            <w:noWrap/>
            <w:vAlign w:val="center"/>
            <w:hideMark/>
          </w:tcPr>
          <w:p w14:paraId="3E7F54EA" w14:textId="77777777" w:rsidR="009A1795" w:rsidRPr="00604A4A" w:rsidRDefault="009A1795" w:rsidP="009A1795">
            <w:pPr>
              <w:spacing w:line="240" w:lineRule="auto"/>
              <w:jc w:val="right"/>
              <w:rPr>
                <w:color w:val="000000"/>
                <w:sz w:val="18"/>
                <w:szCs w:val="18"/>
              </w:rPr>
            </w:pPr>
            <w:r w:rsidRPr="00604A4A">
              <w:rPr>
                <w:color w:val="000000"/>
                <w:sz w:val="18"/>
                <w:szCs w:val="18"/>
              </w:rPr>
              <w:t>105</w:t>
            </w:r>
          </w:p>
        </w:tc>
        <w:tc>
          <w:tcPr>
            <w:tcW w:w="481" w:type="pct"/>
            <w:shd w:val="clear" w:color="auto" w:fill="auto"/>
            <w:noWrap/>
            <w:vAlign w:val="center"/>
            <w:hideMark/>
          </w:tcPr>
          <w:p w14:paraId="35E974FE" w14:textId="77777777" w:rsidR="009A1795" w:rsidRPr="00604A4A" w:rsidRDefault="009A1795" w:rsidP="009A1795">
            <w:pPr>
              <w:spacing w:line="240" w:lineRule="auto"/>
              <w:jc w:val="right"/>
              <w:rPr>
                <w:color w:val="000000"/>
                <w:sz w:val="18"/>
                <w:szCs w:val="18"/>
              </w:rPr>
            </w:pPr>
            <w:r w:rsidRPr="00604A4A">
              <w:rPr>
                <w:color w:val="000000"/>
                <w:sz w:val="18"/>
                <w:szCs w:val="18"/>
              </w:rPr>
              <w:t>90</w:t>
            </w:r>
          </w:p>
        </w:tc>
      </w:tr>
      <w:tr w:rsidR="009A1795" w:rsidRPr="00604A4A" w14:paraId="2B1FADD4" w14:textId="77777777" w:rsidTr="00604A4A">
        <w:trPr>
          <w:trHeight w:val="516"/>
        </w:trPr>
        <w:tc>
          <w:tcPr>
            <w:tcW w:w="674" w:type="pct"/>
            <w:shd w:val="clear" w:color="auto" w:fill="auto"/>
            <w:vAlign w:val="center"/>
            <w:hideMark/>
          </w:tcPr>
          <w:p w14:paraId="4467B54A" w14:textId="77777777" w:rsidR="009A1795" w:rsidRPr="00604A4A" w:rsidRDefault="009A1795" w:rsidP="009A1795">
            <w:pPr>
              <w:spacing w:line="240" w:lineRule="auto"/>
              <w:jc w:val="left"/>
              <w:rPr>
                <w:b/>
                <w:bCs/>
                <w:color w:val="000000"/>
                <w:sz w:val="18"/>
                <w:szCs w:val="18"/>
              </w:rPr>
            </w:pPr>
            <w:r w:rsidRPr="00604A4A">
              <w:rPr>
                <w:b/>
                <w:bCs/>
                <w:color w:val="000000"/>
                <w:sz w:val="18"/>
                <w:szCs w:val="18"/>
              </w:rPr>
              <w:t xml:space="preserve">Total </w:t>
            </w:r>
            <w:r w:rsidR="00AF575D" w:rsidRPr="00604A4A">
              <w:rPr>
                <w:b/>
                <w:bCs/>
                <w:color w:val="000000"/>
                <w:sz w:val="18"/>
                <w:szCs w:val="18"/>
              </w:rPr>
              <w:t>On-budget</w:t>
            </w:r>
          </w:p>
        </w:tc>
        <w:tc>
          <w:tcPr>
            <w:tcW w:w="480" w:type="pct"/>
            <w:shd w:val="clear" w:color="auto" w:fill="auto"/>
            <w:noWrap/>
            <w:vAlign w:val="center"/>
            <w:hideMark/>
          </w:tcPr>
          <w:p w14:paraId="59A29E77" w14:textId="77777777" w:rsidR="009A1795" w:rsidRPr="00604A4A" w:rsidRDefault="009A1795" w:rsidP="009A1795">
            <w:pPr>
              <w:spacing w:line="240" w:lineRule="auto"/>
              <w:jc w:val="right"/>
              <w:rPr>
                <w:b/>
                <w:bCs/>
                <w:color w:val="000000"/>
                <w:sz w:val="18"/>
                <w:szCs w:val="18"/>
              </w:rPr>
            </w:pPr>
            <w:r w:rsidRPr="00604A4A">
              <w:rPr>
                <w:b/>
                <w:bCs/>
                <w:color w:val="000000"/>
                <w:sz w:val="18"/>
                <w:szCs w:val="18"/>
              </w:rPr>
              <w:t>1,270</w:t>
            </w:r>
          </w:p>
        </w:tc>
        <w:tc>
          <w:tcPr>
            <w:tcW w:w="480" w:type="pct"/>
            <w:shd w:val="clear" w:color="auto" w:fill="auto"/>
            <w:noWrap/>
            <w:vAlign w:val="center"/>
            <w:hideMark/>
          </w:tcPr>
          <w:p w14:paraId="4EA6191D" w14:textId="77777777" w:rsidR="009A1795" w:rsidRPr="00604A4A" w:rsidRDefault="009A1795" w:rsidP="009A1795">
            <w:pPr>
              <w:spacing w:line="240" w:lineRule="auto"/>
              <w:jc w:val="right"/>
              <w:rPr>
                <w:b/>
                <w:bCs/>
                <w:color w:val="000000"/>
                <w:sz w:val="18"/>
                <w:szCs w:val="18"/>
              </w:rPr>
            </w:pPr>
            <w:r w:rsidRPr="00604A4A">
              <w:rPr>
                <w:b/>
                <w:bCs/>
                <w:color w:val="000000"/>
                <w:sz w:val="18"/>
                <w:szCs w:val="18"/>
              </w:rPr>
              <w:t>1,486</w:t>
            </w:r>
          </w:p>
        </w:tc>
        <w:tc>
          <w:tcPr>
            <w:tcW w:w="480" w:type="pct"/>
            <w:shd w:val="clear" w:color="auto" w:fill="auto"/>
            <w:noWrap/>
            <w:vAlign w:val="center"/>
            <w:hideMark/>
          </w:tcPr>
          <w:p w14:paraId="551E5E3A" w14:textId="77777777" w:rsidR="009A1795" w:rsidRPr="00604A4A" w:rsidRDefault="009A1795" w:rsidP="009A1795">
            <w:pPr>
              <w:spacing w:line="240" w:lineRule="auto"/>
              <w:jc w:val="right"/>
              <w:rPr>
                <w:b/>
                <w:bCs/>
                <w:color w:val="000000"/>
                <w:sz w:val="18"/>
                <w:szCs w:val="18"/>
              </w:rPr>
            </w:pPr>
            <w:r w:rsidRPr="00604A4A">
              <w:rPr>
                <w:b/>
                <w:bCs/>
                <w:color w:val="000000"/>
                <w:sz w:val="18"/>
                <w:szCs w:val="18"/>
              </w:rPr>
              <w:t>1,614</w:t>
            </w:r>
          </w:p>
        </w:tc>
        <w:tc>
          <w:tcPr>
            <w:tcW w:w="480" w:type="pct"/>
            <w:shd w:val="clear" w:color="auto" w:fill="auto"/>
            <w:noWrap/>
            <w:vAlign w:val="center"/>
            <w:hideMark/>
          </w:tcPr>
          <w:p w14:paraId="0911B81B" w14:textId="77777777" w:rsidR="009A1795" w:rsidRPr="00604A4A" w:rsidRDefault="009A1795" w:rsidP="009A1795">
            <w:pPr>
              <w:spacing w:line="240" w:lineRule="auto"/>
              <w:jc w:val="right"/>
              <w:rPr>
                <w:b/>
                <w:bCs/>
                <w:color w:val="000000"/>
                <w:sz w:val="18"/>
                <w:szCs w:val="18"/>
              </w:rPr>
            </w:pPr>
            <w:r w:rsidRPr="00604A4A">
              <w:rPr>
                <w:b/>
                <w:bCs/>
                <w:color w:val="000000"/>
                <w:sz w:val="18"/>
                <w:szCs w:val="18"/>
              </w:rPr>
              <w:t>2,136</w:t>
            </w:r>
          </w:p>
        </w:tc>
        <w:tc>
          <w:tcPr>
            <w:tcW w:w="481" w:type="pct"/>
            <w:shd w:val="clear" w:color="auto" w:fill="auto"/>
            <w:noWrap/>
            <w:vAlign w:val="center"/>
            <w:hideMark/>
          </w:tcPr>
          <w:p w14:paraId="07D09FE8" w14:textId="77777777" w:rsidR="009A1795" w:rsidRPr="00604A4A" w:rsidRDefault="009A1795" w:rsidP="009A1795">
            <w:pPr>
              <w:spacing w:line="240" w:lineRule="auto"/>
              <w:jc w:val="right"/>
              <w:rPr>
                <w:b/>
                <w:bCs/>
                <w:color w:val="000000"/>
                <w:sz w:val="18"/>
                <w:szCs w:val="18"/>
              </w:rPr>
            </w:pPr>
            <w:r w:rsidRPr="00604A4A">
              <w:rPr>
                <w:b/>
                <w:bCs/>
                <w:color w:val="000000"/>
                <w:sz w:val="18"/>
                <w:szCs w:val="18"/>
              </w:rPr>
              <w:t>2,458</w:t>
            </w:r>
          </w:p>
        </w:tc>
        <w:tc>
          <w:tcPr>
            <w:tcW w:w="481" w:type="pct"/>
            <w:shd w:val="clear" w:color="auto" w:fill="auto"/>
            <w:noWrap/>
            <w:vAlign w:val="center"/>
            <w:hideMark/>
          </w:tcPr>
          <w:p w14:paraId="69932E51" w14:textId="77777777" w:rsidR="009A1795" w:rsidRPr="00604A4A" w:rsidRDefault="009A1795" w:rsidP="009A1795">
            <w:pPr>
              <w:spacing w:line="240" w:lineRule="auto"/>
              <w:jc w:val="right"/>
              <w:rPr>
                <w:b/>
                <w:bCs/>
                <w:color w:val="000000"/>
                <w:sz w:val="18"/>
                <w:szCs w:val="18"/>
              </w:rPr>
            </w:pPr>
            <w:r w:rsidRPr="00604A4A">
              <w:rPr>
                <w:b/>
                <w:bCs/>
                <w:color w:val="000000"/>
                <w:sz w:val="18"/>
                <w:szCs w:val="18"/>
              </w:rPr>
              <w:t>1,055</w:t>
            </w:r>
          </w:p>
        </w:tc>
        <w:tc>
          <w:tcPr>
            <w:tcW w:w="481" w:type="pct"/>
            <w:shd w:val="clear" w:color="auto" w:fill="auto"/>
            <w:noWrap/>
            <w:vAlign w:val="center"/>
            <w:hideMark/>
          </w:tcPr>
          <w:p w14:paraId="4E64CB9E" w14:textId="77777777" w:rsidR="009A1795" w:rsidRPr="00604A4A" w:rsidRDefault="009A1795" w:rsidP="009A1795">
            <w:pPr>
              <w:spacing w:line="240" w:lineRule="auto"/>
              <w:jc w:val="right"/>
              <w:rPr>
                <w:b/>
                <w:bCs/>
                <w:color w:val="000000"/>
                <w:sz w:val="18"/>
                <w:szCs w:val="18"/>
              </w:rPr>
            </w:pPr>
            <w:r w:rsidRPr="00604A4A">
              <w:rPr>
                <w:b/>
                <w:bCs/>
                <w:color w:val="000000"/>
                <w:sz w:val="18"/>
                <w:szCs w:val="18"/>
              </w:rPr>
              <w:t>1,294</w:t>
            </w:r>
          </w:p>
        </w:tc>
        <w:tc>
          <w:tcPr>
            <w:tcW w:w="481" w:type="pct"/>
            <w:shd w:val="clear" w:color="auto" w:fill="auto"/>
            <w:noWrap/>
            <w:vAlign w:val="center"/>
            <w:hideMark/>
          </w:tcPr>
          <w:p w14:paraId="0BE43F59" w14:textId="77777777" w:rsidR="009A1795" w:rsidRPr="00604A4A" w:rsidRDefault="009A1795" w:rsidP="009A1795">
            <w:pPr>
              <w:spacing w:line="240" w:lineRule="auto"/>
              <w:jc w:val="right"/>
              <w:rPr>
                <w:b/>
                <w:bCs/>
                <w:color w:val="000000"/>
                <w:sz w:val="18"/>
                <w:szCs w:val="18"/>
              </w:rPr>
            </w:pPr>
            <w:r w:rsidRPr="00604A4A">
              <w:rPr>
                <w:b/>
                <w:bCs/>
                <w:color w:val="000000"/>
                <w:sz w:val="18"/>
                <w:szCs w:val="18"/>
              </w:rPr>
              <w:t>1,159</w:t>
            </w:r>
          </w:p>
        </w:tc>
        <w:tc>
          <w:tcPr>
            <w:tcW w:w="481" w:type="pct"/>
            <w:shd w:val="clear" w:color="auto" w:fill="auto"/>
            <w:noWrap/>
            <w:vAlign w:val="center"/>
            <w:hideMark/>
          </w:tcPr>
          <w:p w14:paraId="4E5EEFBB" w14:textId="77777777" w:rsidR="009A1795" w:rsidRPr="00604A4A" w:rsidRDefault="009A1795" w:rsidP="009A1795">
            <w:pPr>
              <w:spacing w:line="240" w:lineRule="auto"/>
              <w:jc w:val="right"/>
              <w:rPr>
                <w:b/>
                <w:bCs/>
                <w:color w:val="000000"/>
                <w:sz w:val="18"/>
                <w:szCs w:val="18"/>
              </w:rPr>
            </w:pPr>
            <w:r w:rsidRPr="00604A4A">
              <w:rPr>
                <w:b/>
                <w:bCs/>
                <w:color w:val="000000"/>
                <w:sz w:val="18"/>
                <w:szCs w:val="18"/>
              </w:rPr>
              <w:t>1,513</w:t>
            </w:r>
          </w:p>
        </w:tc>
      </w:tr>
    </w:tbl>
    <w:p w14:paraId="795C7022" w14:textId="77777777" w:rsidR="009A1795" w:rsidRDefault="009A1795" w:rsidP="00670B35">
      <w:pPr>
        <w:pStyle w:val="FigureTitle"/>
        <w:spacing w:before="0" w:after="0" w:line="276" w:lineRule="auto"/>
        <w:jc w:val="left"/>
        <w:rPr>
          <w:rFonts w:ascii="Calibri" w:hAnsi="Calibri"/>
          <w:caps w:val="0"/>
          <w:sz w:val="24"/>
          <w:szCs w:val="24"/>
        </w:rPr>
      </w:pPr>
    </w:p>
    <w:p w14:paraId="6A46CB8C" w14:textId="77777777" w:rsidR="00604A4A" w:rsidRDefault="00604A4A" w:rsidP="00670B35">
      <w:pPr>
        <w:pStyle w:val="FigureTitle"/>
        <w:spacing w:before="0" w:after="0" w:line="276" w:lineRule="auto"/>
        <w:jc w:val="left"/>
        <w:rPr>
          <w:rFonts w:ascii="Calibri" w:hAnsi="Calibri"/>
          <w:caps w:val="0"/>
          <w:sz w:val="24"/>
          <w:szCs w:val="24"/>
        </w:rPr>
      </w:pPr>
    </w:p>
    <w:p w14:paraId="38FBBC29" w14:textId="77777777" w:rsidR="009D6776" w:rsidRDefault="009D6776" w:rsidP="00670B35">
      <w:pPr>
        <w:pStyle w:val="FigureTitle"/>
        <w:spacing w:before="0" w:after="0" w:line="276" w:lineRule="auto"/>
        <w:jc w:val="left"/>
        <w:rPr>
          <w:rFonts w:ascii="Calibri" w:hAnsi="Calibri"/>
          <w:caps w:val="0"/>
          <w:sz w:val="24"/>
          <w:szCs w:val="24"/>
        </w:rPr>
      </w:pPr>
    </w:p>
    <w:p w14:paraId="2C6E45DD" w14:textId="77777777" w:rsidR="009D6776" w:rsidRDefault="009D6776" w:rsidP="00670B35">
      <w:pPr>
        <w:pStyle w:val="FigureTitle"/>
        <w:spacing w:before="0" w:after="0" w:line="276" w:lineRule="auto"/>
        <w:jc w:val="left"/>
        <w:rPr>
          <w:rFonts w:ascii="Calibri" w:hAnsi="Calibri"/>
          <w:caps w:val="0"/>
          <w:sz w:val="24"/>
          <w:szCs w:val="24"/>
        </w:rPr>
      </w:pPr>
    </w:p>
    <w:p w14:paraId="1D7B0861" w14:textId="77777777" w:rsidR="009D6776" w:rsidRDefault="009D6776" w:rsidP="00670B35">
      <w:pPr>
        <w:pStyle w:val="FigureTitle"/>
        <w:spacing w:before="0" w:after="0" w:line="276" w:lineRule="auto"/>
        <w:jc w:val="left"/>
        <w:rPr>
          <w:rFonts w:ascii="Calibri" w:hAnsi="Calibri"/>
          <w:caps w:val="0"/>
          <w:sz w:val="24"/>
          <w:szCs w:val="24"/>
        </w:rPr>
      </w:pPr>
    </w:p>
    <w:p w14:paraId="13FD2398" w14:textId="77777777" w:rsidR="009D6776" w:rsidRDefault="009D6776" w:rsidP="00670B35">
      <w:pPr>
        <w:pStyle w:val="FigureTitle"/>
        <w:spacing w:before="0" w:after="0" w:line="276" w:lineRule="auto"/>
        <w:jc w:val="left"/>
        <w:rPr>
          <w:rFonts w:ascii="Calibri" w:hAnsi="Calibri"/>
          <w:caps w:val="0"/>
          <w:sz w:val="24"/>
          <w:szCs w:val="24"/>
        </w:rPr>
      </w:pPr>
    </w:p>
    <w:p w14:paraId="714B3417" w14:textId="77777777" w:rsidR="009D6776" w:rsidRDefault="009D6776" w:rsidP="00670B35">
      <w:pPr>
        <w:pStyle w:val="FigureTitle"/>
        <w:spacing w:before="0" w:after="0" w:line="276" w:lineRule="auto"/>
        <w:jc w:val="left"/>
        <w:rPr>
          <w:rFonts w:ascii="Calibri" w:hAnsi="Calibri"/>
          <w:caps w:val="0"/>
          <w:sz w:val="24"/>
          <w:szCs w:val="24"/>
        </w:rPr>
      </w:pPr>
    </w:p>
    <w:p w14:paraId="6D1A4732" w14:textId="77777777" w:rsidR="009D6776" w:rsidRDefault="009D6776" w:rsidP="00670B35">
      <w:pPr>
        <w:pStyle w:val="FigureTitle"/>
        <w:spacing w:before="0" w:after="0" w:line="276" w:lineRule="auto"/>
        <w:jc w:val="left"/>
        <w:rPr>
          <w:rFonts w:ascii="Calibri" w:hAnsi="Calibri"/>
          <w:caps w:val="0"/>
          <w:sz w:val="24"/>
          <w:szCs w:val="24"/>
        </w:rPr>
      </w:pPr>
    </w:p>
    <w:p w14:paraId="242A3849" w14:textId="77777777" w:rsidR="009D6776" w:rsidRDefault="009D6776" w:rsidP="00670B35">
      <w:pPr>
        <w:pStyle w:val="FigureTitle"/>
        <w:spacing w:before="0" w:after="0" w:line="276" w:lineRule="auto"/>
        <w:jc w:val="left"/>
        <w:rPr>
          <w:rFonts w:ascii="Calibri" w:hAnsi="Calibri"/>
          <w:caps w:val="0"/>
          <w:sz w:val="24"/>
          <w:szCs w:val="24"/>
        </w:rPr>
      </w:pPr>
    </w:p>
    <w:p w14:paraId="02BE0A63" w14:textId="77777777" w:rsidR="009D6776" w:rsidRDefault="009D6776" w:rsidP="00670B35">
      <w:pPr>
        <w:pStyle w:val="FigureTitle"/>
        <w:spacing w:before="0" w:after="0" w:line="276" w:lineRule="auto"/>
        <w:jc w:val="left"/>
        <w:rPr>
          <w:rFonts w:ascii="Calibri" w:hAnsi="Calibri"/>
          <w:caps w:val="0"/>
          <w:sz w:val="24"/>
          <w:szCs w:val="24"/>
        </w:rPr>
      </w:pPr>
    </w:p>
    <w:p w14:paraId="4FA11E7A" w14:textId="77777777" w:rsidR="009D6776" w:rsidRDefault="009D6776" w:rsidP="00670B35">
      <w:pPr>
        <w:pStyle w:val="FigureTitle"/>
        <w:spacing w:before="0" w:after="0" w:line="276" w:lineRule="auto"/>
        <w:jc w:val="left"/>
        <w:rPr>
          <w:rFonts w:ascii="Calibri" w:hAnsi="Calibri"/>
          <w:caps w:val="0"/>
          <w:sz w:val="24"/>
          <w:szCs w:val="24"/>
        </w:rPr>
      </w:pPr>
    </w:p>
    <w:p w14:paraId="731B1618" w14:textId="77777777" w:rsidR="009D6776" w:rsidRDefault="009D6776" w:rsidP="00670B35">
      <w:pPr>
        <w:pStyle w:val="FigureTitle"/>
        <w:spacing w:before="0" w:after="0" w:line="276" w:lineRule="auto"/>
        <w:jc w:val="left"/>
        <w:rPr>
          <w:rFonts w:ascii="Calibri" w:hAnsi="Calibri"/>
          <w:caps w:val="0"/>
          <w:sz w:val="24"/>
          <w:szCs w:val="24"/>
        </w:rPr>
      </w:pPr>
    </w:p>
    <w:p w14:paraId="712B9D83" w14:textId="77777777" w:rsidR="009D6776" w:rsidRDefault="009D6776" w:rsidP="00670B35">
      <w:pPr>
        <w:pStyle w:val="FigureTitle"/>
        <w:spacing w:before="0" w:after="0" w:line="276" w:lineRule="auto"/>
        <w:jc w:val="left"/>
        <w:rPr>
          <w:rFonts w:ascii="Calibri" w:hAnsi="Calibri"/>
          <w:caps w:val="0"/>
          <w:sz w:val="24"/>
          <w:szCs w:val="24"/>
        </w:rPr>
      </w:pPr>
    </w:p>
    <w:p w14:paraId="3146A21A" w14:textId="77777777" w:rsidR="009D6776" w:rsidRDefault="009D6776" w:rsidP="00670B35">
      <w:pPr>
        <w:pStyle w:val="FigureTitle"/>
        <w:spacing w:before="0" w:after="0" w:line="276" w:lineRule="auto"/>
        <w:jc w:val="left"/>
        <w:rPr>
          <w:rFonts w:ascii="Calibri" w:hAnsi="Calibri"/>
          <w:caps w:val="0"/>
          <w:sz w:val="24"/>
          <w:szCs w:val="24"/>
        </w:rPr>
      </w:pPr>
    </w:p>
    <w:p w14:paraId="7DC58E7E" w14:textId="77777777" w:rsidR="009D6776" w:rsidRDefault="009D6776" w:rsidP="00670B35">
      <w:pPr>
        <w:pStyle w:val="FigureTitle"/>
        <w:spacing w:before="0" w:after="0" w:line="276" w:lineRule="auto"/>
        <w:jc w:val="left"/>
        <w:rPr>
          <w:rFonts w:ascii="Calibri" w:hAnsi="Calibri"/>
          <w:caps w:val="0"/>
          <w:sz w:val="24"/>
          <w:szCs w:val="24"/>
        </w:rPr>
      </w:pPr>
    </w:p>
    <w:p w14:paraId="1EF869D1" w14:textId="77777777" w:rsidR="00E51B15" w:rsidRDefault="00DF4EDD" w:rsidP="00DF4EDD">
      <w:pPr>
        <w:pStyle w:val="Caption1"/>
        <w:rPr>
          <w:lang w:eastAsia="en-GB"/>
        </w:rPr>
      </w:pPr>
      <w:bookmarkStart w:id="50" w:name="_Toc488423297"/>
      <w:r>
        <w:lastRenderedPageBreak/>
        <w:t>Figure 3.4:</w:t>
      </w:r>
      <w:r>
        <w:tab/>
      </w:r>
      <w:r w:rsidR="00E51B15" w:rsidRPr="001170AC">
        <w:rPr>
          <w:lang w:eastAsia="en-GB"/>
        </w:rPr>
        <w:t>Government and Foreign Contribution to Health Expenditures</w:t>
      </w:r>
      <w:bookmarkEnd w:id="49"/>
      <w:bookmarkEnd w:id="50"/>
    </w:p>
    <w:bookmarkEnd w:id="41"/>
    <w:bookmarkEnd w:id="42"/>
    <w:bookmarkEnd w:id="43"/>
    <w:bookmarkEnd w:id="44"/>
    <w:bookmarkEnd w:id="45"/>
    <w:p w14:paraId="3B003C16" w14:textId="77777777" w:rsidR="00C069F8" w:rsidRPr="001170AC" w:rsidRDefault="000B5E1A" w:rsidP="00F96C11">
      <w:pPr>
        <w:pStyle w:val="NoSpacing"/>
        <w:spacing w:line="276" w:lineRule="auto"/>
        <w:jc w:val="left"/>
        <w:rPr>
          <w:b/>
        </w:rPr>
      </w:pPr>
      <w:r>
        <w:rPr>
          <w:noProof/>
          <w:bdr w:val="double" w:sz="4" w:space="0" w:color="3333FF"/>
        </w:rPr>
        <w:drawing>
          <wp:inline distT="0" distB="0" distL="0" distR="0" wp14:anchorId="0B0E92D6" wp14:editId="4923C4F4">
            <wp:extent cx="5360379" cy="2563129"/>
            <wp:effectExtent l="11461" t="4811" r="7880" b="0"/>
            <wp:docPr id="135"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130DE492" w14:textId="77777777" w:rsidR="001734C4" w:rsidRDefault="00F96C11" w:rsidP="00F96C11">
      <w:pPr>
        <w:pStyle w:val="Heading2"/>
      </w:pPr>
      <w:bookmarkStart w:id="51" w:name="_Toc331498492"/>
      <w:bookmarkStart w:id="52" w:name="_Toc488423253"/>
      <w:r>
        <w:t>3.4</w:t>
      </w:r>
      <w:r>
        <w:tab/>
      </w:r>
      <w:r w:rsidRPr="001170AC">
        <w:t>Trends in Recurrent and Development Expenditures</w:t>
      </w:r>
      <w:bookmarkEnd w:id="51"/>
      <w:bookmarkEnd w:id="52"/>
    </w:p>
    <w:p w14:paraId="170680F2" w14:textId="77777777" w:rsidR="00F96C11" w:rsidRPr="00F96C11" w:rsidRDefault="00F96C11" w:rsidP="00F96C11"/>
    <w:p w14:paraId="6F8D7776" w14:textId="77777777" w:rsidR="00C069F8" w:rsidRPr="001170AC" w:rsidRDefault="00C069F8" w:rsidP="00670B35">
      <w:pPr>
        <w:pStyle w:val="NoSpacing"/>
        <w:spacing w:line="276" w:lineRule="auto"/>
        <w:rPr>
          <w:color w:val="000000"/>
          <w:lang w:val="en-GB" w:eastAsia="en-GB"/>
        </w:rPr>
      </w:pPr>
      <w:r w:rsidRPr="001170AC">
        <w:rPr>
          <w:color w:val="000000"/>
          <w:lang w:val="en-GB" w:eastAsia="en-GB"/>
        </w:rPr>
        <w:t>During the review period (20</w:t>
      </w:r>
      <w:r w:rsidR="002A060A" w:rsidRPr="001170AC">
        <w:rPr>
          <w:color w:val="000000"/>
          <w:lang w:val="en-GB" w:eastAsia="en-GB"/>
        </w:rPr>
        <w:t>1</w:t>
      </w:r>
      <w:r w:rsidR="00077F7E">
        <w:rPr>
          <w:color w:val="000000"/>
          <w:lang w:val="en-GB" w:eastAsia="en-GB"/>
        </w:rPr>
        <w:t>2</w:t>
      </w:r>
      <w:r w:rsidRPr="001170AC">
        <w:rPr>
          <w:color w:val="000000"/>
          <w:lang w:val="en-GB" w:eastAsia="en-GB"/>
        </w:rPr>
        <w:t>/</w:t>
      </w:r>
      <w:r w:rsidR="002A060A" w:rsidRPr="001170AC">
        <w:rPr>
          <w:color w:val="000000"/>
          <w:lang w:val="en-GB" w:eastAsia="en-GB"/>
        </w:rPr>
        <w:t>1</w:t>
      </w:r>
      <w:r w:rsidR="00077F7E">
        <w:rPr>
          <w:color w:val="000000"/>
          <w:lang w:val="en-GB" w:eastAsia="en-GB"/>
        </w:rPr>
        <w:t>3</w:t>
      </w:r>
      <w:r w:rsidRPr="001170AC">
        <w:rPr>
          <w:color w:val="000000"/>
          <w:lang w:val="en-GB" w:eastAsia="en-GB"/>
        </w:rPr>
        <w:t>–201</w:t>
      </w:r>
      <w:r w:rsidR="00077F7E">
        <w:rPr>
          <w:color w:val="000000"/>
          <w:lang w:val="en-GB" w:eastAsia="en-GB"/>
        </w:rPr>
        <w:t>6</w:t>
      </w:r>
      <w:r w:rsidRPr="001170AC">
        <w:rPr>
          <w:color w:val="000000"/>
          <w:lang w:val="en-GB" w:eastAsia="en-GB"/>
        </w:rPr>
        <w:t>/1</w:t>
      </w:r>
      <w:r w:rsidR="00077F7E">
        <w:rPr>
          <w:color w:val="000000"/>
          <w:lang w:val="en-GB" w:eastAsia="en-GB"/>
        </w:rPr>
        <w:t>7</w:t>
      </w:r>
      <w:r w:rsidRPr="001170AC">
        <w:rPr>
          <w:color w:val="000000"/>
          <w:lang w:val="en-GB" w:eastAsia="en-GB"/>
        </w:rPr>
        <w:t xml:space="preserve">), </w:t>
      </w:r>
      <w:r w:rsidR="002A060A" w:rsidRPr="001170AC">
        <w:rPr>
          <w:color w:val="000000"/>
          <w:lang w:val="en-GB" w:eastAsia="en-GB"/>
        </w:rPr>
        <w:t xml:space="preserve">the development budget </w:t>
      </w:r>
      <w:r w:rsidR="00147CA0">
        <w:rPr>
          <w:color w:val="000000"/>
          <w:lang w:val="en-GB" w:eastAsia="en-GB"/>
        </w:rPr>
        <w:t>incr</w:t>
      </w:r>
      <w:r w:rsidRPr="001170AC">
        <w:rPr>
          <w:color w:val="000000"/>
          <w:lang w:val="en-GB" w:eastAsia="en-GB"/>
        </w:rPr>
        <w:t>eased from TZS</w:t>
      </w:r>
      <w:r w:rsidR="002A060A" w:rsidRPr="001170AC">
        <w:rPr>
          <w:color w:val="000000"/>
          <w:lang w:val="en-GB" w:eastAsia="en-GB"/>
        </w:rPr>
        <w:t xml:space="preserve"> </w:t>
      </w:r>
      <w:r w:rsidR="00077F7E">
        <w:rPr>
          <w:color w:val="000000"/>
          <w:lang w:val="en-GB" w:eastAsia="en-GB"/>
        </w:rPr>
        <w:t>469.6 bi</w:t>
      </w:r>
      <w:r w:rsidRPr="001170AC">
        <w:rPr>
          <w:color w:val="000000"/>
          <w:lang w:val="en-GB" w:eastAsia="en-GB"/>
        </w:rPr>
        <w:t>l</w:t>
      </w:r>
      <w:r w:rsidR="00077F7E">
        <w:rPr>
          <w:color w:val="000000"/>
          <w:lang w:val="en-GB" w:eastAsia="en-GB"/>
        </w:rPr>
        <w:t>l</w:t>
      </w:r>
      <w:r w:rsidRPr="001170AC">
        <w:rPr>
          <w:color w:val="000000"/>
          <w:lang w:val="en-GB" w:eastAsia="en-GB"/>
        </w:rPr>
        <w:t xml:space="preserve">ion </w:t>
      </w:r>
      <w:r w:rsidR="002A060A" w:rsidRPr="001170AC">
        <w:rPr>
          <w:color w:val="000000"/>
          <w:lang w:val="en-GB" w:eastAsia="en-GB"/>
        </w:rPr>
        <w:t>in 201</w:t>
      </w:r>
      <w:r w:rsidR="00077F7E">
        <w:rPr>
          <w:color w:val="000000"/>
          <w:lang w:val="en-GB" w:eastAsia="en-GB"/>
        </w:rPr>
        <w:t>2</w:t>
      </w:r>
      <w:r w:rsidR="002A060A" w:rsidRPr="001170AC">
        <w:rPr>
          <w:color w:val="000000"/>
          <w:lang w:val="en-GB" w:eastAsia="en-GB"/>
        </w:rPr>
        <w:t>/1</w:t>
      </w:r>
      <w:r w:rsidR="00077F7E">
        <w:rPr>
          <w:color w:val="000000"/>
          <w:lang w:val="en-GB" w:eastAsia="en-GB"/>
        </w:rPr>
        <w:t>3</w:t>
      </w:r>
      <w:r w:rsidR="002A060A" w:rsidRPr="001170AC">
        <w:rPr>
          <w:color w:val="000000"/>
          <w:lang w:val="en-GB" w:eastAsia="en-GB"/>
        </w:rPr>
        <w:t xml:space="preserve"> </w:t>
      </w:r>
      <w:r w:rsidRPr="001170AC">
        <w:rPr>
          <w:color w:val="000000"/>
          <w:lang w:val="en-GB" w:eastAsia="en-GB"/>
        </w:rPr>
        <w:t>to TZS</w:t>
      </w:r>
      <w:r w:rsidR="002A060A" w:rsidRPr="001170AC">
        <w:rPr>
          <w:color w:val="000000"/>
          <w:lang w:val="en-GB" w:eastAsia="en-GB"/>
        </w:rPr>
        <w:t xml:space="preserve"> </w:t>
      </w:r>
      <w:r w:rsidR="00147CA0">
        <w:rPr>
          <w:color w:val="000000"/>
          <w:lang w:val="en-GB" w:eastAsia="en-GB"/>
        </w:rPr>
        <w:t xml:space="preserve">694.1 </w:t>
      </w:r>
      <w:r w:rsidRPr="001170AC">
        <w:rPr>
          <w:color w:val="000000"/>
          <w:lang w:val="en-GB" w:eastAsia="en-GB"/>
        </w:rPr>
        <w:t>billion in 201</w:t>
      </w:r>
      <w:r w:rsidR="002A060A" w:rsidRPr="001170AC">
        <w:rPr>
          <w:color w:val="000000"/>
          <w:lang w:val="en-GB" w:eastAsia="en-GB"/>
        </w:rPr>
        <w:t>5</w:t>
      </w:r>
      <w:r w:rsidRPr="001170AC">
        <w:rPr>
          <w:color w:val="000000"/>
          <w:lang w:val="en-GB" w:eastAsia="en-GB"/>
        </w:rPr>
        <w:t>/1</w:t>
      </w:r>
      <w:r w:rsidR="002A060A" w:rsidRPr="001170AC">
        <w:rPr>
          <w:color w:val="000000"/>
          <w:lang w:val="en-GB" w:eastAsia="en-GB"/>
        </w:rPr>
        <w:t>6</w:t>
      </w:r>
      <w:r w:rsidRPr="001170AC">
        <w:rPr>
          <w:color w:val="000000"/>
          <w:lang w:val="en-GB" w:eastAsia="en-GB"/>
        </w:rPr>
        <w:t xml:space="preserve"> (a </w:t>
      </w:r>
      <w:r w:rsidR="00147CA0">
        <w:rPr>
          <w:color w:val="000000"/>
          <w:lang w:val="en-GB" w:eastAsia="en-GB"/>
        </w:rPr>
        <w:t>48</w:t>
      </w:r>
      <w:r w:rsidR="00ED7A43">
        <w:rPr>
          <w:color w:val="000000"/>
          <w:lang w:val="en-GB" w:eastAsia="en-GB"/>
        </w:rPr>
        <w:t>%</w:t>
      </w:r>
      <w:r w:rsidRPr="001170AC">
        <w:rPr>
          <w:color w:val="000000"/>
          <w:lang w:val="en-GB" w:eastAsia="en-GB"/>
        </w:rPr>
        <w:t xml:space="preserve"> </w:t>
      </w:r>
      <w:r w:rsidR="00147CA0">
        <w:rPr>
          <w:color w:val="000000"/>
          <w:lang w:val="en-GB" w:eastAsia="en-GB"/>
        </w:rPr>
        <w:t>increase</w:t>
      </w:r>
      <w:r w:rsidR="002A060A" w:rsidRPr="001170AC">
        <w:rPr>
          <w:color w:val="000000"/>
          <w:lang w:val="en-GB" w:eastAsia="en-GB"/>
        </w:rPr>
        <w:t>)</w:t>
      </w:r>
      <w:r w:rsidRPr="001170AC">
        <w:rPr>
          <w:color w:val="000000"/>
          <w:lang w:val="en-GB" w:eastAsia="en-GB"/>
        </w:rPr>
        <w:t xml:space="preserve">. </w:t>
      </w:r>
      <w:r w:rsidR="00147CA0">
        <w:rPr>
          <w:color w:val="000000"/>
          <w:lang w:val="en-GB" w:eastAsia="en-GB"/>
        </w:rPr>
        <w:t>However, a</w:t>
      </w:r>
      <w:r w:rsidRPr="001170AC">
        <w:rPr>
          <w:color w:val="000000"/>
          <w:lang w:val="en-GB" w:eastAsia="en-GB"/>
        </w:rPr>
        <w:t xml:space="preserve">ctual development expenditure </w:t>
      </w:r>
      <w:r w:rsidR="002A060A" w:rsidRPr="001170AC">
        <w:rPr>
          <w:color w:val="000000"/>
          <w:lang w:val="en-GB" w:eastAsia="en-GB"/>
        </w:rPr>
        <w:t xml:space="preserve">decreased </w:t>
      </w:r>
      <w:r w:rsidR="00077F7E">
        <w:rPr>
          <w:color w:val="000000"/>
          <w:lang w:val="en-GB" w:eastAsia="en-GB"/>
        </w:rPr>
        <w:t xml:space="preserve">by </w:t>
      </w:r>
      <w:r w:rsidR="00147CA0">
        <w:rPr>
          <w:color w:val="000000"/>
          <w:lang w:val="en-GB" w:eastAsia="en-GB"/>
        </w:rPr>
        <w:t>41</w:t>
      </w:r>
      <w:r w:rsidR="00ED7A43">
        <w:rPr>
          <w:color w:val="000000"/>
          <w:lang w:val="en-GB" w:eastAsia="en-GB"/>
        </w:rPr>
        <w:t>%</w:t>
      </w:r>
      <w:r w:rsidR="00077F7E">
        <w:rPr>
          <w:color w:val="000000"/>
          <w:lang w:val="en-GB" w:eastAsia="en-GB"/>
        </w:rPr>
        <w:t>,</w:t>
      </w:r>
      <w:r w:rsidR="002A060A" w:rsidRPr="001170AC">
        <w:rPr>
          <w:color w:val="000000"/>
          <w:lang w:val="en-GB" w:eastAsia="en-GB"/>
        </w:rPr>
        <w:t xml:space="preserve"> </w:t>
      </w:r>
      <w:r w:rsidRPr="001170AC">
        <w:rPr>
          <w:color w:val="000000"/>
          <w:lang w:val="en-GB" w:eastAsia="en-GB"/>
        </w:rPr>
        <w:t>from TZS</w:t>
      </w:r>
      <w:r w:rsidR="002A060A" w:rsidRPr="001170AC">
        <w:rPr>
          <w:color w:val="000000"/>
          <w:lang w:val="en-GB" w:eastAsia="en-GB"/>
        </w:rPr>
        <w:t xml:space="preserve"> </w:t>
      </w:r>
      <w:r w:rsidR="00147CA0">
        <w:rPr>
          <w:color w:val="000000"/>
          <w:lang w:val="en-GB" w:eastAsia="en-GB"/>
        </w:rPr>
        <w:t>324.3</w:t>
      </w:r>
      <w:r w:rsidR="00077F7E">
        <w:rPr>
          <w:color w:val="000000"/>
          <w:lang w:val="en-GB" w:eastAsia="en-GB"/>
        </w:rPr>
        <w:t xml:space="preserve"> </w:t>
      </w:r>
      <w:r w:rsidRPr="001170AC">
        <w:rPr>
          <w:color w:val="000000"/>
          <w:lang w:val="en-GB" w:eastAsia="en-GB"/>
        </w:rPr>
        <w:t>billion</w:t>
      </w:r>
      <w:r w:rsidR="00D17E46">
        <w:rPr>
          <w:color w:val="000000"/>
          <w:lang w:val="en-GB" w:eastAsia="en-GB"/>
        </w:rPr>
        <w:t>,</w:t>
      </w:r>
      <w:r w:rsidR="00147CA0">
        <w:rPr>
          <w:color w:val="000000"/>
          <w:lang w:val="en-GB" w:eastAsia="en-GB"/>
        </w:rPr>
        <w:t xml:space="preserve"> </w:t>
      </w:r>
      <w:r w:rsidRPr="001170AC">
        <w:rPr>
          <w:color w:val="000000"/>
          <w:lang w:val="en-GB" w:eastAsia="en-GB"/>
        </w:rPr>
        <w:t>in 20</w:t>
      </w:r>
      <w:r w:rsidR="002A060A" w:rsidRPr="001170AC">
        <w:rPr>
          <w:color w:val="000000"/>
          <w:lang w:val="en-GB" w:eastAsia="en-GB"/>
        </w:rPr>
        <w:t>1</w:t>
      </w:r>
      <w:r w:rsidR="00077F7E">
        <w:rPr>
          <w:color w:val="000000"/>
          <w:lang w:val="en-GB" w:eastAsia="en-GB"/>
        </w:rPr>
        <w:t>2</w:t>
      </w:r>
      <w:r w:rsidRPr="001170AC">
        <w:rPr>
          <w:color w:val="000000"/>
          <w:lang w:val="en-GB" w:eastAsia="en-GB"/>
        </w:rPr>
        <w:t>/</w:t>
      </w:r>
      <w:r w:rsidR="002A060A" w:rsidRPr="001170AC">
        <w:rPr>
          <w:color w:val="000000"/>
          <w:lang w:val="en-GB" w:eastAsia="en-GB"/>
        </w:rPr>
        <w:t>1</w:t>
      </w:r>
      <w:r w:rsidR="00077F7E">
        <w:rPr>
          <w:color w:val="000000"/>
          <w:lang w:val="en-GB" w:eastAsia="en-GB"/>
        </w:rPr>
        <w:t>3</w:t>
      </w:r>
      <w:r w:rsidRPr="001170AC">
        <w:rPr>
          <w:color w:val="000000"/>
          <w:lang w:val="en-GB" w:eastAsia="en-GB"/>
        </w:rPr>
        <w:t xml:space="preserve"> to TZS</w:t>
      </w:r>
      <w:r w:rsidR="002A060A" w:rsidRPr="001170AC">
        <w:rPr>
          <w:color w:val="000000"/>
          <w:lang w:val="en-GB" w:eastAsia="en-GB"/>
        </w:rPr>
        <w:t xml:space="preserve"> </w:t>
      </w:r>
      <w:r w:rsidR="00077F7E">
        <w:rPr>
          <w:color w:val="000000"/>
          <w:lang w:val="en-GB" w:eastAsia="en-GB"/>
        </w:rPr>
        <w:t xml:space="preserve">191.4 </w:t>
      </w:r>
      <w:r w:rsidR="002A060A" w:rsidRPr="001170AC">
        <w:rPr>
          <w:color w:val="000000"/>
          <w:lang w:val="en-GB" w:eastAsia="en-GB"/>
        </w:rPr>
        <w:t>i</w:t>
      </w:r>
      <w:r w:rsidRPr="001170AC">
        <w:rPr>
          <w:color w:val="000000"/>
          <w:lang w:val="en-GB" w:eastAsia="en-GB"/>
        </w:rPr>
        <w:t>n 201</w:t>
      </w:r>
      <w:r w:rsidR="00077F7E">
        <w:rPr>
          <w:color w:val="000000"/>
          <w:lang w:val="en-GB" w:eastAsia="en-GB"/>
        </w:rPr>
        <w:t>5</w:t>
      </w:r>
      <w:r w:rsidRPr="001170AC">
        <w:rPr>
          <w:color w:val="000000"/>
          <w:lang w:val="en-GB" w:eastAsia="en-GB"/>
        </w:rPr>
        <w:t>/1</w:t>
      </w:r>
      <w:r w:rsidR="00077F7E">
        <w:rPr>
          <w:color w:val="000000"/>
          <w:lang w:val="en-GB" w:eastAsia="en-GB"/>
        </w:rPr>
        <w:t>6</w:t>
      </w:r>
      <w:r w:rsidRPr="001170AC">
        <w:rPr>
          <w:color w:val="000000"/>
          <w:lang w:val="en-GB" w:eastAsia="en-GB"/>
        </w:rPr>
        <w:t xml:space="preserve">. </w:t>
      </w:r>
      <w:r w:rsidR="002A060A" w:rsidRPr="001170AC">
        <w:rPr>
          <w:color w:val="000000"/>
          <w:lang w:val="en-GB" w:eastAsia="en-GB"/>
        </w:rPr>
        <w:t xml:space="preserve">Throughout the review period, </w:t>
      </w:r>
      <w:r w:rsidRPr="001170AC">
        <w:rPr>
          <w:color w:val="000000"/>
          <w:lang w:val="en-GB" w:eastAsia="en-GB"/>
        </w:rPr>
        <w:t xml:space="preserve">development </w:t>
      </w:r>
      <w:r w:rsidR="00147CA0">
        <w:rPr>
          <w:color w:val="000000"/>
          <w:lang w:val="en-GB" w:eastAsia="en-GB"/>
        </w:rPr>
        <w:t xml:space="preserve">expenditure </w:t>
      </w:r>
      <w:r w:rsidR="002A060A" w:rsidRPr="001170AC">
        <w:rPr>
          <w:color w:val="000000"/>
          <w:lang w:val="en-GB" w:eastAsia="en-GB"/>
        </w:rPr>
        <w:t xml:space="preserve">has been consistently low than the recurrent </w:t>
      </w:r>
      <w:r w:rsidR="00147CA0">
        <w:rPr>
          <w:color w:val="000000"/>
          <w:lang w:val="en-GB" w:eastAsia="en-GB"/>
        </w:rPr>
        <w:t>expenditure</w:t>
      </w:r>
      <w:r w:rsidR="0084177F" w:rsidRPr="001170AC">
        <w:rPr>
          <w:color w:val="000000"/>
          <w:lang w:val="en-GB" w:eastAsia="en-GB"/>
        </w:rPr>
        <w:t xml:space="preserve">. </w:t>
      </w:r>
      <w:r w:rsidRPr="001170AC">
        <w:rPr>
          <w:color w:val="000000"/>
          <w:lang w:val="en-GB" w:eastAsia="en-GB"/>
        </w:rPr>
        <w:t xml:space="preserve">The recurrent </w:t>
      </w:r>
      <w:r w:rsidR="00147CA0">
        <w:rPr>
          <w:color w:val="000000"/>
          <w:lang w:val="en-GB" w:eastAsia="en-GB"/>
        </w:rPr>
        <w:t xml:space="preserve">expenditure </w:t>
      </w:r>
      <w:r w:rsidRPr="001170AC">
        <w:rPr>
          <w:color w:val="000000"/>
          <w:lang w:val="en-GB" w:eastAsia="en-GB"/>
        </w:rPr>
        <w:t xml:space="preserve">has grown consistently throughout the review period, increasing by </w:t>
      </w:r>
      <w:r w:rsidR="00147CA0">
        <w:rPr>
          <w:color w:val="000000"/>
          <w:lang w:val="en-GB" w:eastAsia="en-GB"/>
        </w:rPr>
        <w:t>8</w:t>
      </w:r>
      <w:r w:rsidR="0084177F" w:rsidRPr="001170AC">
        <w:rPr>
          <w:color w:val="000000"/>
          <w:lang w:val="en-GB" w:eastAsia="en-GB"/>
        </w:rPr>
        <w:t>1</w:t>
      </w:r>
      <w:r w:rsidR="00ED7A43">
        <w:rPr>
          <w:color w:val="000000"/>
          <w:lang w:val="en-GB" w:eastAsia="en-GB"/>
        </w:rPr>
        <w:t>%</w:t>
      </w:r>
      <w:r w:rsidRPr="001170AC">
        <w:rPr>
          <w:color w:val="000000"/>
          <w:lang w:val="en-GB" w:eastAsia="en-GB"/>
        </w:rPr>
        <w:t xml:space="preserve"> from TZS</w:t>
      </w:r>
      <w:r w:rsidR="0084177F" w:rsidRPr="001170AC">
        <w:rPr>
          <w:color w:val="000000"/>
          <w:lang w:val="en-GB" w:eastAsia="en-GB"/>
        </w:rPr>
        <w:t xml:space="preserve"> </w:t>
      </w:r>
      <w:r w:rsidR="00147CA0">
        <w:rPr>
          <w:color w:val="000000"/>
          <w:lang w:val="en-GB" w:eastAsia="en-GB"/>
        </w:rPr>
        <w:t>730.8</w:t>
      </w:r>
      <w:r w:rsidR="0084177F" w:rsidRPr="001170AC">
        <w:rPr>
          <w:color w:val="000000"/>
          <w:lang w:val="en-GB" w:eastAsia="en-GB"/>
        </w:rPr>
        <w:t xml:space="preserve"> </w:t>
      </w:r>
      <w:r w:rsidRPr="001170AC">
        <w:rPr>
          <w:color w:val="000000"/>
          <w:lang w:val="en-GB" w:eastAsia="en-GB"/>
        </w:rPr>
        <w:t>billion in 20</w:t>
      </w:r>
      <w:r w:rsidR="0084177F" w:rsidRPr="001170AC">
        <w:rPr>
          <w:color w:val="000000"/>
          <w:lang w:val="en-GB" w:eastAsia="en-GB"/>
        </w:rPr>
        <w:t>1</w:t>
      </w:r>
      <w:r w:rsidR="00147CA0">
        <w:rPr>
          <w:color w:val="000000"/>
          <w:lang w:val="en-GB" w:eastAsia="en-GB"/>
        </w:rPr>
        <w:t>2</w:t>
      </w:r>
      <w:r w:rsidRPr="001170AC">
        <w:rPr>
          <w:color w:val="000000"/>
          <w:lang w:val="en-GB" w:eastAsia="en-GB"/>
        </w:rPr>
        <w:t>/</w:t>
      </w:r>
      <w:r w:rsidR="0084177F" w:rsidRPr="001170AC">
        <w:rPr>
          <w:color w:val="000000"/>
          <w:lang w:val="en-GB" w:eastAsia="en-GB"/>
        </w:rPr>
        <w:t>1</w:t>
      </w:r>
      <w:r w:rsidR="00147CA0">
        <w:rPr>
          <w:color w:val="000000"/>
          <w:lang w:val="en-GB" w:eastAsia="en-GB"/>
        </w:rPr>
        <w:t>3</w:t>
      </w:r>
      <w:r w:rsidRPr="001170AC">
        <w:rPr>
          <w:color w:val="000000"/>
          <w:lang w:val="en-GB" w:eastAsia="en-GB"/>
        </w:rPr>
        <w:t xml:space="preserve"> to TZS</w:t>
      </w:r>
      <w:r w:rsidR="0084177F" w:rsidRPr="001170AC">
        <w:rPr>
          <w:color w:val="000000"/>
          <w:lang w:val="en-GB" w:eastAsia="en-GB"/>
        </w:rPr>
        <w:t xml:space="preserve"> 1,</w:t>
      </w:r>
      <w:r w:rsidR="00147CA0">
        <w:rPr>
          <w:color w:val="000000"/>
          <w:lang w:val="en-GB" w:eastAsia="en-GB"/>
        </w:rPr>
        <w:t>3</w:t>
      </w:r>
      <w:r w:rsidR="0084177F" w:rsidRPr="001170AC">
        <w:rPr>
          <w:color w:val="000000"/>
          <w:lang w:val="en-GB" w:eastAsia="en-GB"/>
        </w:rPr>
        <w:t>21</w:t>
      </w:r>
      <w:r w:rsidR="00147CA0">
        <w:rPr>
          <w:color w:val="000000"/>
          <w:lang w:val="en-GB" w:eastAsia="en-GB"/>
        </w:rPr>
        <w:t>.3</w:t>
      </w:r>
      <w:r w:rsidR="0084177F" w:rsidRPr="001170AC">
        <w:rPr>
          <w:color w:val="000000"/>
          <w:lang w:val="en-GB" w:eastAsia="en-GB"/>
        </w:rPr>
        <w:t xml:space="preserve"> </w:t>
      </w:r>
      <w:r w:rsidRPr="001170AC">
        <w:rPr>
          <w:color w:val="000000"/>
          <w:lang w:val="en-GB" w:eastAsia="en-GB"/>
        </w:rPr>
        <w:t>billion in 201</w:t>
      </w:r>
      <w:r w:rsidR="0084177F" w:rsidRPr="001170AC">
        <w:rPr>
          <w:color w:val="000000"/>
          <w:lang w:val="en-GB" w:eastAsia="en-GB"/>
        </w:rPr>
        <w:t>5</w:t>
      </w:r>
      <w:r w:rsidRPr="001170AC">
        <w:rPr>
          <w:color w:val="000000"/>
          <w:lang w:val="en-GB" w:eastAsia="en-GB"/>
        </w:rPr>
        <w:t>/1</w:t>
      </w:r>
      <w:r w:rsidR="0084177F" w:rsidRPr="001170AC">
        <w:rPr>
          <w:color w:val="000000"/>
          <w:lang w:val="en-GB" w:eastAsia="en-GB"/>
        </w:rPr>
        <w:t>6</w:t>
      </w:r>
      <w:r w:rsidRPr="001170AC">
        <w:rPr>
          <w:color w:val="000000"/>
          <w:lang w:val="en-GB" w:eastAsia="en-GB"/>
        </w:rPr>
        <w:t>. Table 3.3 presents a summary of the development and recurrent budget and actual expenditures from 20</w:t>
      </w:r>
      <w:r w:rsidR="0084177F" w:rsidRPr="001170AC">
        <w:rPr>
          <w:color w:val="000000"/>
          <w:lang w:val="en-GB" w:eastAsia="en-GB"/>
        </w:rPr>
        <w:t>11</w:t>
      </w:r>
      <w:r w:rsidRPr="001170AC">
        <w:rPr>
          <w:color w:val="000000"/>
          <w:lang w:val="en-GB" w:eastAsia="en-GB"/>
        </w:rPr>
        <w:t>/</w:t>
      </w:r>
      <w:r w:rsidR="0084177F" w:rsidRPr="001170AC">
        <w:rPr>
          <w:color w:val="000000"/>
          <w:lang w:val="en-GB" w:eastAsia="en-GB"/>
        </w:rPr>
        <w:t>12</w:t>
      </w:r>
      <w:r w:rsidRPr="001170AC">
        <w:rPr>
          <w:color w:val="000000"/>
          <w:lang w:val="en-GB" w:eastAsia="en-GB"/>
        </w:rPr>
        <w:t xml:space="preserve"> to 201</w:t>
      </w:r>
      <w:r w:rsidR="0084177F" w:rsidRPr="001170AC">
        <w:rPr>
          <w:color w:val="000000"/>
          <w:lang w:val="en-GB" w:eastAsia="en-GB"/>
        </w:rPr>
        <w:t>5</w:t>
      </w:r>
      <w:r w:rsidRPr="001170AC">
        <w:rPr>
          <w:color w:val="000000"/>
          <w:lang w:val="en-GB" w:eastAsia="en-GB"/>
        </w:rPr>
        <w:t>/1</w:t>
      </w:r>
      <w:r w:rsidR="0084177F" w:rsidRPr="001170AC">
        <w:rPr>
          <w:color w:val="000000"/>
          <w:lang w:val="en-GB" w:eastAsia="en-GB"/>
        </w:rPr>
        <w:t>6</w:t>
      </w:r>
      <w:r w:rsidRPr="001170AC">
        <w:rPr>
          <w:color w:val="000000"/>
          <w:lang w:val="en-GB" w:eastAsia="en-GB"/>
        </w:rPr>
        <w:t>.</w:t>
      </w:r>
    </w:p>
    <w:p w14:paraId="212CE8DF" w14:textId="77777777" w:rsidR="00C069F8" w:rsidRPr="001170AC" w:rsidRDefault="00C069F8" w:rsidP="00670B35"/>
    <w:p w14:paraId="52EE885B" w14:textId="77777777" w:rsidR="002A060A" w:rsidRPr="001170AC" w:rsidRDefault="00604A4A" w:rsidP="00604A4A">
      <w:pPr>
        <w:pStyle w:val="Caption"/>
      </w:pPr>
      <w:bookmarkStart w:id="53" w:name="_Toc327143933"/>
      <w:bookmarkStart w:id="54" w:name="_Toc331434241"/>
      <w:bookmarkStart w:id="55" w:name="_Toc488423281"/>
      <w:r>
        <w:t>Table 3.3:</w:t>
      </w:r>
      <w:r>
        <w:tab/>
      </w:r>
      <w:r w:rsidR="002A060A" w:rsidRPr="001170AC">
        <w:t>Summary of Recurrent and Development Budget and Expenditures (BN TZS)</w:t>
      </w:r>
      <w:bookmarkEnd w:id="53"/>
      <w:bookmarkEnd w:id="54"/>
      <w:bookmarkEnd w:id="55"/>
    </w:p>
    <w:tbl>
      <w:tblPr>
        <w:tblW w:w="8834" w:type="dxa"/>
        <w:tblInd w:w="108" w:type="dxa"/>
        <w:tblBorders>
          <w:top w:val="double" w:sz="6" w:space="0" w:color="0000FF"/>
          <w:left w:val="double" w:sz="6" w:space="0" w:color="0000FF"/>
          <w:bottom w:val="double" w:sz="6" w:space="0" w:color="0000FF"/>
          <w:right w:val="double" w:sz="6" w:space="0" w:color="0000FF"/>
          <w:insideH w:val="single" w:sz="4" w:space="0" w:color="auto"/>
          <w:insideV w:val="single" w:sz="4" w:space="0" w:color="auto"/>
        </w:tblBorders>
        <w:tblLook w:val="04A0" w:firstRow="1" w:lastRow="0" w:firstColumn="1" w:lastColumn="0" w:noHBand="0" w:noVBand="1"/>
      </w:tblPr>
      <w:tblGrid>
        <w:gridCol w:w="959"/>
        <w:gridCol w:w="952"/>
        <w:gridCol w:w="693"/>
        <w:gridCol w:w="993"/>
        <w:gridCol w:w="837"/>
        <w:gridCol w:w="959"/>
        <w:gridCol w:w="837"/>
        <w:gridCol w:w="959"/>
        <w:gridCol w:w="693"/>
        <w:gridCol w:w="952"/>
      </w:tblGrid>
      <w:tr w:rsidR="00DE0253" w:rsidRPr="00DE0253" w14:paraId="044C79FB" w14:textId="77777777" w:rsidTr="00604A4A">
        <w:trPr>
          <w:trHeight w:val="315"/>
        </w:trPr>
        <w:tc>
          <w:tcPr>
            <w:tcW w:w="959" w:type="dxa"/>
            <w:vMerge w:val="restart"/>
            <w:shd w:val="clear" w:color="auto" w:fill="C2D69B" w:themeFill="accent3" w:themeFillTint="99"/>
            <w:vAlign w:val="center"/>
            <w:hideMark/>
          </w:tcPr>
          <w:p w14:paraId="23F1E0A1" w14:textId="77777777" w:rsidR="00DE0253" w:rsidRPr="00DE0253" w:rsidRDefault="00DE0253" w:rsidP="00D17E46">
            <w:pPr>
              <w:spacing w:line="240" w:lineRule="auto"/>
              <w:rPr>
                <w:color w:val="000000"/>
                <w:sz w:val="18"/>
                <w:szCs w:val="18"/>
              </w:rPr>
            </w:pPr>
            <w:r w:rsidRPr="00DE0253">
              <w:rPr>
                <w:color w:val="000000"/>
                <w:sz w:val="18"/>
                <w:szCs w:val="18"/>
              </w:rPr>
              <w:t> </w:t>
            </w:r>
          </w:p>
        </w:tc>
        <w:tc>
          <w:tcPr>
            <w:tcW w:w="1645" w:type="dxa"/>
            <w:gridSpan w:val="2"/>
            <w:vMerge w:val="restart"/>
            <w:shd w:val="clear" w:color="auto" w:fill="C2D69B" w:themeFill="accent3" w:themeFillTint="99"/>
            <w:vAlign w:val="center"/>
            <w:hideMark/>
          </w:tcPr>
          <w:p w14:paraId="1143449A" w14:textId="77777777" w:rsidR="00DE0253" w:rsidRPr="00DE0253" w:rsidRDefault="00DE0253" w:rsidP="00604A4A">
            <w:pPr>
              <w:spacing w:line="240" w:lineRule="auto"/>
              <w:jc w:val="center"/>
              <w:rPr>
                <w:b/>
                <w:bCs/>
                <w:color w:val="000000"/>
                <w:sz w:val="18"/>
                <w:szCs w:val="18"/>
              </w:rPr>
            </w:pPr>
            <w:r w:rsidRPr="00DE0253">
              <w:rPr>
                <w:b/>
                <w:bCs/>
                <w:color w:val="000000"/>
                <w:sz w:val="18"/>
                <w:szCs w:val="18"/>
              </w:rPr>
              <w:t>2012/13</w:t>
            </w:r>
          </w:p>
        </w:tc>
        <w:tc>
          <w:tcPr>
            <w:tcW w:w="1830" w:type="dxa"/>
            <w:gridSpan w:val="2"/>
            <w:vMerge w:val="restart"/>
            <w:shd w:val="clear" w:color="auto" w:fill="C2D69B" w:themeFill="accent3" w:themeFillTint="99"/>
            <w:vAlign w:val="center"/>
            <w:hideMark/>
          </w:tcPr>
          <w:p w14:paraId="5CAB7FB1" w14:textId="77777777" w:rsidR="00DE0253" w:rsidRPr="00DE0253" w:rsidRDefault="00DE0253" w:rsidP="00604A4A">
            <w:pPr>
              <w:spacing w:line="240" w:lineRule="auto"/>
              <w:jc w:val="center"/>
              <w:rPr>
                <w:b/>
                <w:bCs/>
                <w:color w:val="000000"/>
                <w:sz w:val="18"/>
                <w:szCs w:val="18"/>
              </w:rPr>
            </w:pPr>
            <w:r w:rsidRPr="00DE0253">
              <w:rPr>
                <w:b/>
                <w:bCs/>
                <w:color w:val="000000"/>
                <w:sz w:val="18"/>
                <w:szCs w:val="18"/>
              </w:rPr>
              <w:t>2013/14</w:t>
            </w:r>
          </w:p>
        </w:tc>
        <w:tc>
          <w:tcPr>
            <w:tcW w:w="1796" w:type="dxa"/>
            <w:gridSpan w:val="2"/>
            <w:vMerge w:val="restart"/>
            <w:shd w:val="clear" w:color="auto" w:fill="C2D69B" w:themeFill="accent3" w:themeFillTint="99"/>
            <w:vAlign w:val="center"/>
            <w:hideMark/>
          </w:tcPr>
          <w:p w14:paraId="3A4E8889" w14:textId="77777777" w:rsidR="00DE0253" w:rsidRPr="00DE0253" w:rsidRDefault="00DE0253" w:rsidP="00604A4A">
            <w:pPr>
              <w:spacing w:line="240" w:lineRule="auto"/>
              <w:jc w:val="center"/>
              <w:rPr>
                <w:b/>
                <w:bCs/>
                <w:color w:val="000000"/>
                <w:sz w:val="18"/>
                <w:szCs w:val="18"/>
              </w:rPr>
            </w:pPr>
            <w:r w:rsidRPr="00DE0253">
              <w:rPr>
                <w:b/>
                <w:bCs/>
                <w:color w:val="000000"/>
                <w:sz w:val="18"/>
                <w:szCs w:val="18"/>
              </w:rPr>
              <w:t>2014/15</w:t>
            </w:r>
          </w:p>
        </w:tc>
        <w:tc>
          <w:tcPr>
            <w:tcW w:w="1652" w:type="dxa"/>
            <w:gridSpan w:val="2"/>
            <w:vMerge w:val="restart"/>
            <w:shd w:val="clear" w:color="auto" w:fill="C2D69B" w:themeFill="accent3" w:themeFillTint="99"/>
            <w:vAlign w:val="center"/>
            <w:hideMark/>
          </w:tcPr>
          <w:p w14:paraId="71D8C470" w14:textId="77777777" w:rsidR="00DE0253" w:rsidRPr="00DE0253" w:rsidRDefault="00DE0253" w:rsidP="00604A4A">
            <w:pPr>
              <w:spacing w:line="240" w:lineRule="auto"/>
              <w:jc w:val="center"/>
              <w:rPr>
                <w:b/>
                <w:bCs/>
                <w:color w:val="000000"/>
                <w:sz w:val="18"/>
                <w:szCs w:val="18"/>
              </w:rPr>
            </w:pPr>
            <w:r w:rsidRPr="00DE0253">
              <w:rPr>
                <w:b/>
                <w:bCs/>
                <w:color w:val="000000"/>
                <w:sz w:val="18"/>
                <w:szCs w:val="18"/>
              </w:rPr>
              <w:t>2015/16</w:t>
            </w:r>
          </w:p>
        </w:tc>
        <w:tc>
          <w:tcPr>
            <w:tcW w:w="952" w:type="dxa"/>
            <w:vMerge w:val="restart"/>
            <w:shd w:val="clear" w:color="auto" w:fill="C2D69B" w:themeFill="accent3" w:themeFillTint="99"/>
            <w:vAlign w:val="center"/>
            <w:hideMark/>
          </w:tcPr>
          <w:p w14:paraId="23F4E045" w14:textId="77777777" w:rsidR="00DE0253" w:rsidRPr="00DE0253" w:rsidRDefault="00DE0253" w:rsidP="00604A4A">
            <w:pPr>
              <w:spacing w:line="240" w:lineRule="auto"/>
              <w:jc w:val="center"/>
              <w:rPr>
                <w:b/>
                <w:bCs/>
                <w:color w:val="000000"/>
                <w:sz w:val="18"/>
                <w:szCs w:val="18"/>
              </w:rPr>
            </w:pPr>
            <w:r w:rsidRPr="00DE0253">
              <w:rPr>
                <w:b/>
                <w:bCs/>
                <w:color w:val="000000"/>
                <w:sz w:val="18"/>
                <w:szCs w:val="18"/>
              </w:rPr>
              <w:t>2016/17</w:t>
            </w:r>
          </w:p>
        </w:tc>
      </w:tr>
      <w:tr w:rsidR="00DE0253" w:rsidRPr="00DE0253" w14:paraId="3832F60B" w14:textId="77777777" w:rsidTr="00604A4A">
        <w:trPr>
          <w:trHeight w:val="315"/>
        </w:trPr>
        <w:tc>
          <w:tcPr>
            <w:tcW w:w="959" w:type="dxa"/>
            <w:vMerge/>
            <w:shd w:val="clear" w:color="auto" w:fill="C2D69B" w:themeFill="accent3" w:themeFillTint="99"/>
            <w:vAlign w:val="center"/>
            <w:hideMark/>
          </w:tcPr>
          <w:p w14:paraId="04F04D88" w14:textId="77777777" w:rsidR="00DE0253" w:rsidRPr="00DE0253" w:rsidRDefault="00DE0253" w:rsidP="00D17E46">
            <w:pPr>
              <w:spacing w:line="240" w:lineRule="auto"/>
              <w:jc w:val="left"/>
              <w:rPr>
                <w:color w:val="000000"/>
                <w:sz w:val="18"/>
                <w:szCs w:val="18"/>
              </w:rPr>
            </w:pPr>
          </w:p>
        </w:tc>
        <w:tc>
          <w:tcPr>
            <w:tcW w:w="1645" w:type="dxa"/>
            <w:gridSpan w:val="2"/>
            <w:vMerge/>
            <w:shd w:val="clear" w:color="auto" w:fill="C2D69B" w:themeFill="accent3" w:themeFillTint="99"/>
            <w:vAlign w:val="center"/>
            <w:hideMark/>
          </w:tcPr>
          <w:p w14:paraId="11DB087E" w14:textId="77777777" w:rsidR="00DE0253" w:rsidRPr="00DE0253" w:rsidRDefault="00DE0253" w:rsidP="00604A4A">
            <w:pPr>
              <w:spacing w:line="240" w:lineRule="auto"/>
              <w:jc w:val="center"/>
              <w:rPr>
                <w:b/>
                <w:bCs/>
                <w:color w:val="000000"/>
                <w:sz w:val="18"/>
                <w:szCs w:val="18"/>
              </w:rPr>
            </w:pPr>
          </w:p>
        </w:tc>
        <w:tc>
          <w:tcPr>
            <w:tcW w:w="1830" w:type="dxa"/>
            <w:gridSpan w:val="2"/>
            <w:vMerge/>
            <w:shd w:val="clear" w:color="auto" w:fill="C2D69B" w:themeFill="accent3" w:themeFillTint="99"/>
            <w:vAlign w:val="center"/>
            <w:hideMark/>
          </w:tcPr>
          <w:p w14:paraId="1AE17216" w14:textId="77777777" w:rsidR="00DE0253" w:rsidRPr="00DE0253" w:rsidRDefault="00DE0253" w:rsidP="00604A4A">
            <w:pPr>
              <w:spacing w:line="240" w:lineRule="auto"/>
              <w:jc w:val="center"/>
              <w:rPr>
                <w:b/>
                <w:bCs/>
                <w:color w:val="000000"/>
                <w:sz w:val="18"/>
                <w:szCs w:val="18"/>
              </w:rPr>
            </w:pPr>
          </w:p>
        </w:tc>
        <w:tc>
          <w:tcPr>
            <w:tcW w:w="1796" w:type="dxa"/>
            <w:gridSpan w:val="2"/>
            <w:vMerge/>
            <w:shd w:val="clear" w:color="auto" w:fill="C2D69B" w:themeFill="accent3" w:themeFillTint="99"/>
            <w:vAlign w:val="center"/>
            <w:hideMark/>
          </w:tcPr>
          <w:p w14:paraId="55E28531" w14:textId="77777777" w:rsidR="00DE0253" w:rsidRPr="00DE0253" w:rsidRDefault="00DE0253" w:rsidP="00604A4A">
            <w:pPr>
              <w:spacing w:line="240" w:lineRule="auto"/>
              <w:jc w:val="center"/>
              <w:rPr>
                <w:b/>
                <w:bCs/>
                <w:color w:val="000000"/>
                <w:sz w:val="18"/>
                <w:szCs w:val="18"/>
              </w:rPr>
            </w:pPr>
          </w:p>
        </w:tc>
        <w:tc>
          <w:tcPr>
            <w:tcW w:w="1652" w:type="dxa"/>
            <w:gridSpan w:val="2"/>
            <w:vMerge/>
            <w:shd w:val="clear" w:color="auto" w:fill="C2D69B" w:themeFill="accent3" w:themeFillTint="99"/>
            <w:vAlign w:val="center"/>
            <w:hideMark/>
          </w:tcPr>
          <w:p w14:paraId="6E1C826A" w14:textId="77777777" w:rsidR="00DE0253" w:rsidRPr="00DE0253" w:rsidRDefault="00DE0253" w:rsidP="00604A4A">
            <w:pPr>
              <w:spacing w:line="240" w:lineRule="auto"/>
              <w:jc w:val="center"/>
              <w:rPr>
                <w:b/>
                <w:bCs/>
                <w:color w:val="000000"/>
                <w:sz w:val="18"/>
                <w:szCs w:val="18"/>
              </w:rPr>
            </w:pPr>
          </w:p>
        </w:tc>
        <w:tc>
          <w:tcPr>
            <w:tcW w:w="952" w:type="dxa"/>
            <w:vMerge/>
            <w:shd w:val="clear" w:color="auto" w:fill="C2D69B" w:themeFill="accent3" w:themeFillTint="99"/>
            <w:vAlign w:val="center"/>
            <w:hideMark/>
          </w:tcPr>
          <w:p w14:paraId="56C3FFA3" w14:textId="77777777" w:rsidR="00DE0253" w:rsidRPr="00DE0253" w:rsidRDefault="00DE0253" w:rsidP="00604A4A">
            <w:pPr>
              <w:spacing w:line="240" w:lineRule="auto"/>
              <w:jc w:val="center"/>
              <w:rPr>
                <w:b/>
                <w:bCs/>
                <w:color w:val="000000"/>
                <w:sz w:val="18"/>
                <w:szCs w:val="18"/>
              </w:rPr>
            </w:pPr>
          </w:p>
        </w:tc>
      </w:tr>
      <w:tr w:rsidR="00DE0253" w:rsidRPr="00DE0253" w14:paraId="13CBA437" w14:textId="77777777" w:rsidTr="00604A4A">
        <w:trPr>
          <w:trHeight w:val="495"/>
        </w:trPr>
        <w:tc>
          <w:tcPr>
            <w:tcW w:w="959" w:type="dxa"/>
            <w:vMerge/>
            <w:shd w:val="clear" w:color="auto" w:fill="C2D69B" w:themeFill="accent3" w:themeFillTint="99"/>
            <w:vAlign w:val="center"/>
            <w:hideMark/>
          </w:tcPr>
          <w:p w14:paraId="1615D812" w14:textId="77777777" w:rsidR="00DE0253" w:rsidRPr="00DE0253" w:rsidRDefault="00DE0253" w:rsidP="00D17E46">
            <w:pPr>
              <w:spacing w:line="240" w:lineRule="auto"/>
              <w:jc w:val="left"/>
              <w:rPr>
                <w:color w:val="000000"/>
                <w:sz w:val="18"/>
                <w:szCs w:val="18"/>
              </w:rPr>
            </w:pPr>
          </w:p>
        </w:tc>
        <w:tc>
          <w:tcPr>
            <w:tcW w:w="952" w:type="dxa"/>
            <w:shd w:val="clear" w:color="auto" w:fill="C2D69B" w:themeFill="accent3" w:themeFillTint="99"/>
            <w:vAlign w:val="center"/>
            <w:hideMark/>
          </w:tcPr>
          <w:p w14:paraId="5F0ED65F" w14:textId="77777777" w:rsidR="00DE0253" w:rsidRPr="00DE0253" w:rsidRDefault="00DE0253" w:rsidP="00604A4A">
            <w:pPr>
              <w:spacing w:line="240" w:lineRule="auto"/>
              <w:jc w:val="center"/>
              <w:rPr>
                <w:b/>
                <w:bCs/>
                <w:color w:val="000000"/>
                <w:sz w:val="18"/>
                <w:szCs w:val="18"/>
              </w:rPr>
            </w:pPr>
            <w:r w:rsidRPr="00DE0253">
              <w:rPr>
                <w:b/>
                <w:bCs/>
                <w:color w:val="000000"/>
                <w:sz w:val="18"/>
                <w:szCs w:val="18"/>
              </w:rPr>
              <w:t>Approved Estimates</w:t>
            </w:r>
          </w:p>
        </w:tc>
        <w:tc>
          <w:tcPr>
            <w:tcW w:w="693" w:type="dxa"/>
            <w:shd w:val="clear" w:color="auto" w:fill="C2D69B" w:themeFill="accent3" w:themeFillTint="99"/>
            <w:vAlign w:val="center"/>
            <w:hideMark/>
          </w:tcPr>
          <w:p w14:paraId="5742DE51" w14:textId="77777777" w:rsidR="00DE0253" w:rsidRPr="00DE0253" w:rsidRDefault="00DE0253" w:rsidP="00604A4A">
            <w:pPr>
              <w:spacing w:line="240" w:lineRule="auto"/>
              <w:jc w:val="center"/>
              <w:rPr>
                <w:b/>
                <w:bCs/>
                <w:color w:val="000000"/>
                <w:sz w:val="18"/>
                <w:szCs w:val="18"/>
              </w:rPr>
            </w:pPr>
            <w:r w:rsidRPr="00DE0253">
              <w:rPr>
                <w:b/>
                <w:bCs/>
                <w:color w:val="000000"/>
                <w:sz w:val="18"/>
                <w:szCs w:val="18"/>
              </w:rPr>
              <w:t>Actual Exp.</w:t>
            </w:r>
          </w:p>
        </w:tc>
        <w:tc>
          <w:tcPr>
            <w:tcW w:w="993" w:type="dxa"/>
            <w:shd w:val="clear" w:color="auto" w:fill="C2D69B" w:themeFill="accent3" w:themeFillTint="99"/>
            <w:vAlign w:val="center"/>
            <w:hideMark/>
          </w:tcPr>
          <w:p w14:paraId="3B57A12B" w14:textId="77777777" w:rsidR="00DE0253" w:rsidRPr="00DE0253" w:rsidRDefault="00DE0253" w:rsidP="00604A4A">
            <w:pPr>
              <w:spacing w:line="240" w:lineRule="auto"/>
              <w:jc w:val="center"/>
              <w:rPr>
                <w:b/>
                <w:bCs/>
                <w:color w:val="000000"/>
                <w:sz w:val="18"/>
                <w:szCs w:val="18"/>
              </w:rPr>
            </w:pPr>
            <w:r w:rsidRPr="00DE0253">
              <w:rPr>
                <w:b/>
                <w:bCs/>
                <w:color w:val="000000"/>
                <w:sz w:val="18"/>
                <w:szCs w:val="18"/>
              </w:rPr>
              <w:t>Approved Estimates</w:t>
            </w:r>
          </w:p>
        </w:tc>
        <w:tc>
          <w:tcPr>
            <w:tcW w:w="837" w:type="dxa"/>
            <w:shd w:val="clear" w:color="auto" w:fill="C2D69B" w:themeFill="accent3" w:themeFillTint="99"/>
            <w:vAlign w:val="center"/>
            <w:hideMark/>
          </w:tcPr>
          <w:p w14:paraId="2BCEBCFF" w14:textId="77777777" w:rsidR="00DE0253" w:rsidRPr="00DE0253" w:rsidRDefault="00DE0253" w:rsidP="00604A4A">
            <w:pPr>
              <w:spacing w:line="240" w:lineRule="auto"/>
              <w:jc w:val="center"/>
              <w:rPr>
                <w:b/>
                <w:bCs/>
                <w:color w:val="000000"/>
                <w:sz w:val="18"/>
                <w:szCs w:val="18"/>
              </w:rPr>
            </w:pPr>
            <w:r w:rsidRPr="00DE0253">
              <w:rPr>
                <w:b/>
                <w:bCs/>
                <w:color w:val="000000"/>
                <w:sz w:val="18"/>
                <w:szCs w:val="18"/>
              </w:rPr>
              <w:t>Actual Exp.</w:t>
            </w:r>
          </w:p>
        </w:tc>
        <w:tc>
          <w:tcPr>
            <w:tcW w:w="959" w:type="dxa"/>
            <w:shd w:val="clear" w:color="auto" w:fill="C2D69B" w:themeFill="accent3" w:themeFillTint="99"/>
            <w:vAlign w:val="center"/>
            <w:hideMark/>
          </w:tcPr>
          <w:p w14:paraId="35355C54" w14:textId="77777777" w:rsidR="00DE0253" w:rsidRPr="00DE0253" w:rsidRDefault="00DE0253" w:rsidP="00604A4A">
            <w:pPr>
              <w:spacing w:line="240" w:lineRule="auto"/>
              <w:jc w:val="center"/>
              <w:rPr>
                <w:b/>
                <w:bCs/>
                <w:color w:val="000000"/>
                <w:sz w:val="18"/>
                <w:szCs w:val="18"/>
              </w:rPr>
            </w:pPr>
            <w:r w:rsidRPr="00DE0253">
              <w:rPr>
                <w:b/>
                <w:bCs/>
                <w:color w:val="000000"/>
                <w:sz w:val="18"/>
                <w:szCs w:val="18"/>
              </w:rPr>
              <w:t>Approved Estimates</w:t>
            </w:r>
          </w:p>
        </w:tc>
        <w:tc>
          <w:tcPr>
            <w:tcW w:w="837" w:type="dxa"/>
            <w:shd w:val="clear" w:color="auto" w:fill="C2D69B" w:themeFill="accent3" w:themeFillTint="99"/>
            <w:vAlign w:val="center"/>
            <w:hideMark/>
          </w:tcPr>
          <w:p w14:paraId="5B23C640" w14:textId="77777777" w:rsidR="00DE0253" w:rsidRPr="00DE0253" w:rsidRDefault="00DE0253" w:rsidP="00604A4A">
            <w:pPr>
              <w:spacing w:line="240" w:lineRule="auto"/>
              <w:jc w:val="center"/>
              <w:rPr>
                <w:b/>
                <w:bCs/>
                <w:color w:val="000000"/>
                <w:sz w:val="18"/>
                <w:szCs w:val="18"/>
              </w:rPr>
            </w:pPr>
            <w:r w:rsidRPr="00DE0253">
              <w:rPr>
                <w:b/>
                <w:bCs/>
                <w:color w:val="000000"/>
                <w:sz w:val="18"/>
                <w:szCs w:val="18"/>
              </w:rPr>
              <w:t>Actual Exp.</w:t>
            </w:r>
          </w:p>
        </w:tc>
        <w:tc>
          <w:tcPr>
            <w:tcW w:w="959" w:type="dxa"/>
            <w:shd w:val="clear" w:color="auto" w:fill="C2D69B" w:themeFill="accent3" w:themeFillTint="99"/>
            <w:vAlign w:val="center"/>
            <w:hideMark/>
          </w:tcPr>
          <w:p w14:paraId="067966E3" w14:textId="77777777" w:rsidR="00DE0253" w:rsidRPr="00DE0253" w:rsidRDefault="00DE0253" w:rsidP="00604A4A">
            <w:pPr>
              <w:spacing w:line="240" w:lineRule="auto"/>
              <w:jc w:val="center"/>
              <w:rPr>
                <w:b/>
                <w:bCs/>
                <w:color w:val="000000"/>
                <w:sz w:val="18"/>
                <w:szCs w:val="18"/>
              </w:rPr>
            </w:pPr>
            <w:r w:rsidRPr="00DE0253">
              <w:rPr>
                <w:b/>
                <w:bCs/>
                <w:color w:val="000000"/>
                <w:sz w:val="18"/>
                <w:szCs w:val="18"/>
              </w:rPr>
              <w:t>Approved Estimates</w:t>
            </w:r>
          </w:p>
        </w:tc>
        <w:tc>
          <w:tcPr>
            <w:tcW w:w="693" w:type="dxa"/>
            <w:shd w:val="clear" w:color="auto" w:fill="C2D69B" w:themeFill="accent3" w:themeFillTint="99"/>
            <w:vAlign w:val="center"/>
            <w:hideMark/>
          </w:tcPr>
          <w:p w14:paraId="7A6CB993" w14:textId="77777777" w:rsidR="00DE0253" w:rsidRPr="00DE0253" w:rsidRDefault="00DE0253" w:rsidP="00604A4A">
            <w:pPr>
              <w:spacing w:line="240" w:lineRule="auto"/>
              <w:jc w:val="center"/>
              <w:rPr>
                <w:b/>
                <w:bCs/>
                <w:color w:val="000000"/>
                <w:sz w:val="18"/>
                <w:szCs w:val="18"/>
              </w:rPr>
            </w:pPr>
            <w:r w:rsidRPr="00DE0253">
              <w:rPr>
                <w:b/>
                <w:bCs/>
                <w:color w:val="000000"/>
                <w:sz w:val="18"/>
                <w:szCs w:val="18"/>
              </w:rPr>
              <w:t>Actual Exp.</w:t>
            </w:r>
          </w:p>
        </w:tc>
        <w:tc>
          <w:tcPr>
            <w:tcW w:w="952" w:type="dxa"/>
            <w:shd w:val="clear" w:color="auto" w:fill="C2D69B" w:themeFill="accent3" w:themeFillTint="99"/>
            <w:vAlign w:val="center"/>
            <w:hideMark/>
          </w:tcPr>
          <w:p w14:paraId="38183590" w14:textId="77777777" w:rsidR="00DE0253" w:rsidRPr="00DE0253" w:rsidRDefault="00DE0253" w:rsidP="00604A4A">
            <w:pPr>
              <w:spacing w:line="240" w:lineRule="auto"/>
              <w:jc w:val="center"/>
              <w:rPr>
                <w:b/>
                <w:bCs/>
                <w:color w:val="000000"/>
                <w:sz w:val="18"/>
                <w:szCs w:val="18"/>
              </w:rPr>
            </w:pPr>
            <w:r w:rsidRPr="00DE0253">
              <w:rPr>
                <w:b/>
                <w:bCs/>
                <w:color w:val="000000"/>
                <w:sz w:val="18"/>
                <w:szCs w:val="18"/>
              </w:rPr>
              <w:t>Approved Budget</w:t>
            </w:r>
          </w:p>
        </w:tc>
      </w:tr>
      <w:tr w:rsidR="00DE0253" w:rsidRPr="00DE0253" w14:paraId="25AC9FFB" w14:textId="77777777" w:rsidTr="00462BDF">
        <w:trPr>
          <w:trHeight w:val="315"/>
        </w:trPr>
        <w:tc>
          <w:tcPr>
            <w:tcW w:w="959" w:type="dxa"/>
            <w:shd w:val="clear" w:color="auto" w:fill="auto"/>
            <w:vAlign w:val="center"/>
            <w:hideMark/>
          </w:tcPr>
          <w:p w14:paraId="06678FBA" w14:textId="77777777" w:rsidR="00DE0253" w:rsidRPr="00DE0253" w:rsidRDefault="00DE0253" w:rsidP="00D17E46">
            <w:pPr>
              <w:spacing w:line="240" w:lineRule="auto"/>
              <w:rPr>
                <w:color w:val="000000"/>
                <w:sz w:val="18"/>
                <w:szCs w:val="18"/>
              </w:rPr>
            </w:pPr>
            <w:r w:rsidRPr="00DE0253">
              <w:rPr>
                <w:color w:val="000000"/>
                <w:sz w:val="18"/>
                <w:szCs w:val="18"/>
              </w:rPr>
              <w:t>Recurrent</w:t>
            </w:r>
          </w:p>
        </w:tc>
        <w:tc>
          <w:tcPr>
            <w:tcW w:w="952" w:type="dxa"/>
            <w:shd w:val="clear" w:color="auto" w:fill="auto"/>
            <w:vAlign w:val="center"/>
            <w:hideMark/>
          </w:tcPr>
          <w:p w14:paraId="4E017975" w14:textId="77777777" w:rsidR="00DE0253" w:rsidRPr="00DE0253" w:rsidRDefault="00DE0253" w:rsidP="00D17E46">
            <w:pPr>
              <w:spacing w:line="240" w:lineRule="auto"/>
              <w:jc w:val="right"/>
              <w:rPr>
                <w:color w:val="000000"/>
                <w:sz w:val="18"/>
                <w:szCs w:val="18"/>
              </w:rPr>
            </w:pPr>
            <w:r w:rsidRPr="00DE0253">
              <w:rPr>
                <w:color w:val="000000"/>
                <w:sz w:val="18"/>
                <w:szCs w:val="18"/>
              </w:rPr>
              <w:t xml:space="preserve">            801 </w:t>
            </w:r>
          </w:p>
        </w:tc>
        <w:tc>
          <w:tcPr>
            <w:tcW w:w="693" w:type="dxa"/>
            <w:shd w:val="clear" w:color="auto" w:fill="auto"/>
            <w:vAlign w:val="center"/>
            <w:hideMark/>
          </w:tcPr>
          <w:p w14:paraId="299D61C2" w14:textId="77777777" w:rsidR="00DE0253" w:rsidRPr="00DE0253" w:rsidRDefault="00DE0253" w:rsidP="00D17E46">
            <w:pPr>
              <w:spacing w:line="240" w:lineRule="auto"/>
              <w:jc w:val="right"/>
              <w:rPr>
                <w:color w:val="000000"/>
                <w:sz w:val="18"/>
                <w:szCs w:val="18"/>
              </w:rPr>
            </w:pPr>
            <w:r w:rsidRPr="00DE0253">
              <w:rPr>
                <w:color w:val="000000"/>
                <w:sz w:val="18"/>
                <w:szCs w:val="18"/>
              </w:rPr>
              <w:t xml:space="preserve">            731 </w:t>
            </w:r>
          </w:p>
        </w:tc>
        <w:tc>
          <w:tcPr>
            <w:tcW w:w="993" w:type="dxa"/>
            <w:shd w:val="clear" w:color="auto" w:fill="auto"/>
            <w:vAlign w:val="center"/>
            <w:hideMark/>
          </w:tcPr>
          <w:p w14:paraId="15BC2AAB" w14:textId="77777777" w:rsidR="00DE0253" w:rsidRPr="00DE0253" w:rsidRDefault="00DE0253" w:rsidP="00D17E46">
            <w:pPr>
              <w:spacing w:line="240" w:lineRule="auto"/>
              <w:jc w:val="right"/>
              <w:rPr>
                <w:color w:val="000000"/>
                <w:sz w:val="18"/>
                <w:szCs w:val="18"/>
              </w:rPr>
            </w:pPr>
            <w:r w:rsidRPr="00DE0253">
              <w:rPr>
                <w:color w:val="000000"/>
                <w:sz w:val="18"/>
                <w:szCs w:val="18"/>
              </w:rPr>
              <w:t xml:space="preserve">            872 </w:t>
            </w:r>
          </w:p>
        </w:tc>
        <w:tc>
          <w:tcPr>
            <w:tcW w:w="837" w:type="dxa"/>
            <w:shd w:val="clear" w:color="auto" w:fill="auto"/>
            <w:vAlign w:val="center"/>
            <w:hideMark/>
          </w:tcPr>
          <w:p w14:paraId="6EBD97C4" w14:textId="77777777" w:rsidR="00DE0253" w:rsidRPr="00DE0253" w:rsidRDefault="00DE0253" w:rsidP="00D17E46">
            <w:pPr>
              <w:spacing w:line="240" w:lineRule="auto"/>
              <w:jc w:val="right"/>
              <w:rPr>
                <w:color w:val="000000"/>
                <w:sz w:val="18"/>
                <w:szCs w:val="18"/>
              </w:rPr>
            </w:pPr>
            <w:r w:rsidRPr="00DE0253">
              <w:rPr>
                <w:color w:val="000000"/>
                <w:sz w:val="18"/>
                <w:szCs w:val="18"/>
              </w:rPr>
              <w:t xml:space="preserve">            794 </w:t>
            </w:r>
          </w:p>
        </w:tc>
        <w:tc>
          <w:tcPr>
            <w:tcW w:w="959" w:type="dxa"/>
            <w:shd w:val="clear" w:color="auto" w:fill="auto"/>
            <w:vAlign w:val="center"/>
            <w:hideMark/>
          </w:tcPr>
          <w:p w14:paraId="7A743C80" w14:textId="77777777" w:rsidR="00DE0253" w:rsidRPr="00DE0253" w:rsidRDefault="00DE0253" w:rsidP="00D17E46">
            <w:pPr>
              <w:spacing w:line="240" w:lineRule="auto"/>
              <w:jc w:val="right"/>
              <w:rPr>
                <w:color w:val="000000"/>
                <w:sz w:val="18"/>
                <w:szCs w:val="18"/>
              </w:rPr>
            </w:pPr>
            <w:r w:rsidRPr="00DE0253">
              <w:rPr>
                <w:color w:val="000000"/>
                <w:sz w:val="18"/>
                <w:szCs w:val="18"/>
              </w:rPr>
              <w:t xml:space="preserve">         1,131 </w:t>
            </w:r>
          </w:p>
        </w:tc>
        <w:tc>
          <w:tcPr>
            <w:tcW w:w="837" w:type="dxa"/>
            <w:shd w:val="clear" w:color="auto" w:fill="auto"/>
            <w:vAlign w:val="center"/>
            <w:hideMark/>
          </w:tcPr>
          <w:p w14:paraId="5841F5E8" w14:textId="77777777" w:rsidR="00DE0253" w:rsidRPr="00DE0253" w:rsidRDefault="00DE0253" w:rsidP="00D17E46">
            <w:pPr>
              <w:spacing w:line="240" w:lineRule="auto"/>
              <w:jc w:val="right"/>
              <w:rPr>
                <w:color w:val="000000"/>
                <w:sz w:val="18"/>
                <w:szCs w:val="18"/>
              </w:rPr>
            </w:pPr>
            <w:r w:rsidRPr="00DE0253">
              <w:rPr>
                <w:color w:val="000000"/>
                <w:sz w:val="18"/>
                <w:szCs w:val="18"/>
              </w:rPr>
              <w:t xml:space="preserve">            944 </w:t>
            </w:r>
          </w:p>
        </w:tc>
        <w:tc>
          <w:tcPr>
            <w:tcW w:w="959" w:type="dxa"/>
            <w:shd w:val="clear" w:color="auto" w:fill="auto"/>
            <w:vAlign w:val="center"/>
            <w:hideMark/>
          </w:tcPr>
          <w:p w14:paraId="7583A569" w14:textId="77777777" w:rsidR="00DE0253" w:rsidRPr="00DE0253" w:rsidRDefault="00DE0253" w:rsidP="00D17E46">
            <w:pPr>
              <w:spacing w:line="240" w:lineRule="auto"/>
              <w:jc w:val="right"/>
              <w:rPr>
                <w:color w:val="000000"/>
                <w:sz w:val="18"/>
                <w:szCs w:val="18"/>
              </w:rPr>
            </w:pPr>
            <w:r w:rsidRPr="00DE0253">
              <w:rPr>
                <w:color w:val="000000"/>
                <w:sz w:val="18"/>
                <w:szCs w:val="18"/>
              </w:rPr>
              <w:t xml:space="preserve">         1,442 </w:t>
            </w:r>
          </w:p>
        </w:tc>
        <w:tc>
          <w:tcPr>
            <w:tcW w:w="693" w:type="dxa"/>
            <w:shd w:val="clear" w:color="auto" w:fill="auto"/>
            <w:vAlign w:val="center"/>
            <w:hideMark/>
          </w:tcPr>
          <w:p w14:paraId="566DAF12" w14:textId="77777777" w:rsidR="00DE0253" w:rsidRPr="00DE0253" w:rsidRDefault="00DE0253" w:rsidP="00D17E46">
            <w:pPr>
              <w:spacing w:line="240" w:lineRule="auto"/>
              <w:jc w:val="right"/>
              <w:rPr>
                <w:color w:val="000000"/>
                <w:sz w:val="18"/>
                <w:szCs w:val="18"/>
              </w:rPr>
            </w:pPr>
            <w:r w:rsidRPr="00DE0253">
              <w:rPr>
                <w:color w:val="000000"/>
                <w:sz w:val="18"/>
                <w:szCs w:val="18"/>
              </w:rPr>
              <w:t xml:space="preserve">         1,321 </w:t>
            </w:r>
          </w:p>
        </w:tc>
        <w:tc>
          <w:tcPr>
            <w:tcW w:w="952" w:type="dxa"/>
            <w:shd w:val="clear" w:color="auto" w:fill="auto"/>
            <w:vAlign w:val="center"/>
            <w:hideMark/>
          </w:tcPr>
          <w:p w14:paraId="48E21E2E" w14:textId="77777777" w:rsidR="00DE0253" w:rsidRPr="00DE0253" w:rsidRDefault="00DE0253" w:rsidP="00D17E46">
            <w:pPr>
              <w:spacing w:line="240" w:lineRule="auto"/>
              <w:jc w:val="right"/>
              <w:rPr>
                <w:color w:val="000000"/>
                <w:sz w:val="18"/>
                <w:szCs w:val="18"/>
              </w:rPr>
            </w:pPr>
            <w:r w:rsidRPr="00DE0253">
              <w:rPr>
                <w:color w:val="000000"/>
                <w:sz w:val="18"/>
                <w:szCs w:val="18"/>
              </w:rPr>
              <w:t xml:space="preserve">         1,513 </w:t>
            </w:r>
          </w:p>
        </w:tc>
      </w:tr>
      <w:tr w:rsidR="00DE0253" w:rsidRPr="00DE0253" w14:paraId="6E9AA260" w14:textId="77777777" w:rsidTr="00462BDF">
        <w:trPr>
          <w:trHeight w:val="315"/>
        </w:trPr>
        <w:tc>
          <w:tcPr>
            <w:tcW w:w="959" w:type="dxa"/>
            <w:shd w:val="clear" w:color="auto" w:fill="auto"/>
            <w:vAlign w:val="center"/>
            <w:hideMark/>
          </w:tcPr>
          <w:p w14:paraId="6A822EC8" w14:textId="77777777" w:rsidR="00DE0253" w:rsidRPr="00DE0253" w:rsidRDefault="00DE0253" w:rsidP="00D17E46">
            <w:pPr>
              <w:spacing w:line="240" w:lineRule="auto"/>
              <w:rPr>
                <w:color w:val="000000"/>
                <w:sz w:val="18"/>
                <w:szCs w:val="18"/>
              </w:rPr>
            </w:pPr>
            <w:r w:rsidRPr="00DE0253">
              <w:rPr>
                <w:color w:val="000000"/>
                <w:sz w:val="18"/>
                <w:szCs w:val="18"/>
              </w:rPr>
              <w:t>Dev.</w:t>
            </w:r>
          </w:p>
        </w:tc>
        <w:tc>
          <w:tcPr>
            <w:tcW w:w="952" w:type="dxa"/>
            <w:shd w:val="clear" w:color="auto" w:fill="auto"/>
            <w:vAlign w:val="center"/>
            <w:hideMark/>
          </w:tcPr>
          <w:p w14:paraId="1F499D41" w14:textId="77777777" w:rsidR="00DE0253" w:rsidRPr="00DE0253" w:rsidRDefault="00DE0253" w:rsidP="00D17E46">
            <w:pPr>
              <w:spacing w:line="240" w:lineRule="auto"/>
              <w:jc w:val="right"/>
              <w:rPr>
                <w:color w:val="000000"/>
                <w:sz w:val="18"/>
                <w:szCs w:val="18"/>
              </w:rPr>
            </w:pPr>
            <w:r w:rsidRPr="00DE0253">
              <w:rPr>
                <w:color w:val="000000"/>
                <w:sz w:val="18"/>
                <w:szCs w:val="18"/>
              </w:rPr>
              <w:t xml:space="preserve">            470 </w:t>
            </w:r>
          </w:p>
        </w:tc>
        <w:tc>
          <w:tcPr>
            <w:tcW w:w="693" w:type="dxa"/>
            <w:shd w:val="clear" w:color="auto" w:fill="auto"/>
            <w:vAlign w:val="center"/>
            <w:hideMark/>
          </w:tcPr>
          <w:p w14:paraId="66227DFC" w14:textId="77777777" w:rsidR="00DE0253" w:rsidRPr="00DE0253" w:rsidRDefault="00DE0253" w:rsidP="00D17E46">
            <w:pPr>
              <w:spacing w:line="240" w:lineRule="auto"/>
              <w:jc w:val="right"/>
              <w:rPr>
                <w:color w:val="000000"/>
                <w:sz w:val="18"/>
                <w:szCs w:val="18"/>
              </w:rPr>
            </w:pPr>
            <w:r w:rsidRPr="00DE0253">
              <w:rPr>
                <w:color w:val="000000"/>
                <w:sz w:val="18"/>
                <w:szCs w:val="18"/>
              </w:rPr>
              <w:t xml:space="preserve">            324 </w:t>
            </w:r>
          </w:p>
        </w:tc>
        <w:tc>
          <w:tcPr>
            <w:tcW w:w="993" w:type="dxa"/>
            <w:shd w:val="clear" w:color="auto" w:fill="auto"/>
            <w:vAlign w:val="center"/>
            <w:hideMark/>
          </w:tcPr>
          <w:p w14:paraId="54480F4D" w14:textId="77777777" w:rsidR="00DE0253" w:rsidRPr="00DE0253" w:rsidRDefault="00DE0253" w:rsidP="00D17E46">
            <w:pPr>
              <w:spacing w:line="240" w:lineRule="auto"/>
              <w:jc w:val="right"/>
              <w:rPr>
                <w:color w:val="000000"/>
                <w:sz w:val="18"/>
                <w:szCs w:val="18"/>
              </w:rPr>
            </w:pPr>
            <w:r w:rsidRPr="00DE0253">
              <w:rPr>
                <w:color w:val="000000"/>
                <w:sz w:val="18"/>
                <w:szCs w:val="18"/>
              </w:rPr>
              <w:t xml:space="preserve">            614 </w:t>
            </w:r>
          </w:p>
        </w:tc>
        <w:tc>
          <w:tcPr>
            <w:tcW w:w="837" w:type="dxa"/>
            <w:shd w:val="clear" w:color="auto" w:fill="auto"/>
            <w:vAlign w:val="center"/>
            <w:hideMark/>
          </w:tcPr>
          <w:p w14:paraId="6B7FE63F" w14:textId="77777777" w:rsidR="00DE0253" w:rsidRPr="00DE0253" w:rsidRDefault="00DE0253" w:rsidP="00D17E46">
            <w:pPr>
              <w:spacing w:line="240" w:lineRule="auto"/>
              <w:jc w:val="right"/>
              <w:rPr>
                <w:color w:val="000000"/>
                <w:sz w:val="18"/>
                <w:szCs w:val="18"/>
              </w:rPr>
            </w:pPr>
            <w:r w:rsidRPr="00DE0253">
              <w:rPr>
                <w:color w:val="000000"/>
                <w:sz w:val="18"/>
                <w:szCs w:val="18"/>
              </w:rPr>
              <w:t xml:space="preserve">            500 </w:t>
            </w:r>
          </w:p>
        </w:tc>
        <w:tc>
          <w:tcPr>
            <w:tcW w:w="959" w:type="dxa"/>
            <w:shd w:val="clear" w:color="auto" w:fill="auto"/>
            <w:vAlign w:val="center"/>
            <w:hideMark/>
          </w:tcPr>
          <w:p w14:paraId="24B0E098" w14:textId="77777777" w:rsidR="00DE0253" w:rsidRPr="00DE0253" w:rsidRDefault="00DE0253" w:rsidP="00D17E46">
            <w:pPr>
              <w:spacing w:line="240" w:lineRule="auto"/>
              <w:jc w:val="right"/>
              <w:rPr>
                <w:color w:val="000000"/>
                <w:sz w:val="18"/>
                <w:szCs w:val="18"/>
              </w:rPr>
            </w:pPr>
            <w:r w:rsidRPr="00DE0253">
              <w:rPr>
                <w:color w:val="000000"/>
                <w:sz w:val="18"/>
                <w:szCs w:val="18"/>
              </w:rPr>
              <w:t xml:space="preserve">            483 </w:t>
            </w:r>
          </w:p>
        </w:tc>
        <w:tc>
          <w:tcPr>
            <w:tcW w:w="837" w:type="dxa"/>
            <w:shd w:val="clear" w:color="auto" w:fill="auto"/>
            <w:vAlign w:val="center"/>
            <w:hideMark/>
          </w:tcPr>
          <w:p w14:paraId="30A4FBAA" w14:textId="77777777" w:rsidR="00DE0253" w:rsidRPr="00DE0253" w:rsidRDefault="00DE0253" w:rsidP="00D17E46">
            <w:pPr>
              <w:spacing w:line="240" w:lineRule="auto"/>
              <w:jc w:val="right"/>
              <w:rPr>
                <w:color w:val="000000"/>
                <w:sz w:val="18"/>
                <w:szCs w:val="18"/>
              </w:rPr>
            </w:pPr>
            <w:r w:rsidRPr="00DE0253">
              <w:rPr>
                <w:color w:val="000000"/>
                <w:sz w:val="18"/>
                <w:szCs w:val="18"/>
              </w:rPr>
              <w:t xml:space="preserve">            215 </w:t>
            </w:r>
          </w:p>
        </w:tc>
        <w:tc>
          <w:tcPr>
            <w:tcW w:w="959" w:type="dxa"/>
            <w:shd w:val="clear" w:color="auto" w:fill="auto"/>
            <w:vAlign w:val="center"/>
            <w:hideMark/>
          </w:tcPr>
          <w:p w14:paraId="4457776F" w14:textId="77777777" w:rsidR="00DE0253" w:rsidRPr="00DE0253" w:rsidRDefault="00DE0253" w:rsidP="00D17E46">
            <w:pPr>
              <w:spacing w:line="240" w:lineRule="auto"/>
              <w:jc w:val="right"/>
              <w:rPr>
                <w:color w:val="000000"/>
                <w:sz w:val="18"/>
                <w:szCs w:val="18"/>
              </w:rPr>
            </w:pPr>
            <w:r w:rsidRPr="00DE0253">
              <w:rPr>
                <w:color w:val="000000"/>
                <w:sz w:val="18"/>
                <w:szCs w:val="18"/>
              </w:rPr>
              <w:t xml:space="preserve">            694 </w:t>
            </w:r>
          </w:p>
        </w:tc>
        <w:tc>
          <w:tcPr>
            <w:tcW w:w="693" w:type="dxa"/>
            <w:shd w:val="clear" w:color="auto" w:fill="auto"/>
            <w:vAlign w:val="center"/>
            <w:hideMark/>
          </w:tcPr>
          <w:p w14:paraId="6A8DAC85" w14:textId="77777777" w:rsidR="00DE0253" w:rsidRPr="00DE0253" w:rsidRDefault="00DE0253" w:rsidP="00D17E46">
            <w:pPr>
              <w:spacing w:line="240" w:lineRule="auto"/>
              <w:jc w:val="right"/>
              <w:rPr>
                <w:color w:val="000000"/>
                <w:sz w:val="18"/>
                <w:szCs w:val="18"/>
              </w:rPr>
            </w:pPr>
            <w:r w:rsidRPr="00DE0253">
              <w:rPr>
                <w:color w:val="000000"/>
                <w:sz w:val="18"/>
                <w:szCs w:val="18"/>
              </w:rPr>
              <w:t xml:space="preserve">            191 </w:t>
            </w:r>
          </w:p>
        </w:tc>
        <w:tc>
          <w:tcPr>
            <w:tcW w:w="952" w:type="dxa"/>
            <w:shd w:val="clear" w:color="auto" w:fill="auto"/>
            <w:vAlign w:val="center"/>
            <w:hideMark/>
          </w:tcPr>
          <w:p w14:paraId="58206A4B" w14:textId="77777777" w:rsidR="00DE0253" w:rsidRPr="00DE0253" w:rsidRDefault="00DE0253" w:rsidP="00D17E46">
            <w:pPr>
              <w:spacing w:line="240" w:lineRule="auto"/>
              <w:jc w:val="right"/>
              <w:rPr>
                <w:color w:val="000000"/>
                <w:sz w:val="18"/>
                <w:szCs w:val="18"/>
              </w:rPr>
            </w:pPr>
            <w:r w:rsidRPr="00DE0253">
              <w:rPr>
                <w:color w:val="000000"/>
                <w:sz w:val="18"/>
                <w:szCs w:val="18"/>
              </w:rPr>
              <w:t xml:space="preserve">            945 </w:t>
            </w:r>
          </w:p>
        </w:tc>
      </w:tr>
      <w:tr w:rsidR="00DE0253" w:rsidRPr="00DE0253" w14:paraId="43F431D3" w14:textId="77777777" w:rsidTr="00462BDF">
        <w:trPr>
          <w:trHeight w:val="315"/>
        </w:trPr>
        <w:tc>
          <w:tcPr>
            <w:tcW w:w="959" w:type="dxa"/>
            <w:shd w:val="clear" w:color="auto" w:fill="auto"/>
            <w:vAlign w:val="center"/>
            <w:hideMark/>
          </w:tcPr>
          <w:p w14:paraId="3D5422A1" w14:textId="77777777" w:rsidR="00DE0253" w:rsidRPr="00DE0253" w:rsidRDefault="00DE0253" w:rsidP="00D17E46">
            <w:pPr>
              <w:spacing w:line="240" w:lineRule="auto"/>
              <w:rPr>
                <w:i/>
                <w:iCs/>
                <w:color w:val="000000"/>
                <w:sz w:val="18"/>
                <w:szCs w:val="18"/>
              </w:rPr>
            </w:pPr>
            <w:r w:rsidRPr="00DE0253">
              <w:rPr>
                <w:i/>
                <w:iCs/>
                <w:color w:val="000000"/>
                <w:sz w:val="18"/>
                <w:szCs w:val="18"/>
              </w:rPr>
              <w:t>Dev-GOT</w:t>
            </w:r>
          </w:p>
        </w:tc>
        <w:tc>
          <w:tcPr>
            <w:tcW w:w="952" w:type="dxa"/>
            <w:shd w:val="clear" w:color="auto" w:fill="auto"/>
            <w:vAlign w:val="center"/>
            <w:hideMark/>
          </w:tcPr>
          <w:p w14:paraId="5FC147BD"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84 </w:t>
            </w:r>
          </w:p>
        </w:tc>
        <w:tc>
          <w:tcPr>
            <w:tcW w:w="693" w:type="dxa"/>
            <w:shd w:val="clear" w:color="auto" w:fill="auto"/>
            <w:vAlign w:val="center"/>
            <w:hideMark/>
          </w:tcPr>
          <w:p w14:paraId="14EA01EB"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34 </w:t>
            </w:r>
          </w:p>
        </w:tc>
        <w:tc>
          <w:tcPr>
            <w:tcW w:w="993" w:type="dxa"/>
            <w:shd w:val="clear" w:color="auto" w:fill="auto"/>
            <w:vAlign w:val="center"/>
            <w:hideMark/>
          </w:tcPr>
          <w:p w14:paraId="70584931"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48 </w:t>
            </w:r>
          </w:p>
        </w:tc>
        <w:tc>
          <w:tcPr>
            <w:tcW w:w="837" w:type="dxa"/>
            <w:shd w:val="clear" w:color="auto" w:fill="auto"/>
            <w:vAlign w:val="center"/>
            <w:hideMark/>
          </w:tcPr>
          <w:p w14:paraId="05FCDF2E"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10 </w:t>
            </w:r>
          </w:p>
        </w:tc>
        <w:tc>
          <w:tcPr>
            <w:tcW w:w="959" w:type="dxa"/>
            <w:shd w:val="clear" w:color="auto" w:fill="auto"/>
            <w:vAlign w:val="center"/>
            <w:hideMark/>
          </w:tcPr>
          <w:p w14:paraId="510A9D49"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121 </w:t>
            </w:r>
          </w:p>
        </w:tc>
        <w:tc>
          <w:tcPr>
            <w:tcW w:w="837" w:type="dxa"/>
            <w:shd w:val="clear" w:color="auto" w:fill="auto"/>
            <w:vAlign w:val="center"/>
            <w:hideMark/>
          </w:tcPr>
          <w:p w14:paraId="1F40CE7E"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28 </w:t>
            </w:r>
          </w:p>
        </w:tc>
        <w:tc>
          <w:tcPr>
            <w:tcW w:w="959" w:type="dxa"/>
            <w:shd w:val="clear" w:color="auto" w:fill="auto"/>
            <w:vAlign w:val="center"/>
            <w:hideMark/>
          </w:tcPr>
          <w:p w14:paraId="143E6A81"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124 </w:t>
            </w:r>
          </w:p>
        </w:tc>
        <w:tc>
          <w:tcPr>
            <w:tcW w:w="693" w:type="dxa"/>
            <w:shd w:val="clear" w:color="auto" w:fill="auto"/>
            <w:vAlign w:val="center"/>
            <w:hideMark/>
          </w:tcPr>
          <w:p w14:paraId="39888937"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22 </w:t>
            </w:r>
          </w:p>
        </w:tc>
        <w:tc>
          <w:tcPr>
            <w:tcW w:w="952" w:type="dxa"/>
            <w:shd w:val="clear" w:color="auto" w:fill="auto"/>
            <w:vAlign w:val="center"/>
            <w:hideMark/>
          </w:tcPr>
          <w:p w14:paraId="4604DF38"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362 </w:t>
            </w:r>
          </w:p>
        </w:tc>
      </w:tr>
      <w:tr w:rsidR="00DE0253" w:rsidRPr="00DE0253" w14:paraId="5DCC6E1A" w14:textId="77777777" w:rsidTr="00462BDF">
        <w:trPr>
          <w:trHeight w:val="315"/>
        </w:trPr>
        <w:tc>
          <w:tcPr>
            <w:tcW w:w="959" w:type="dxa"/>
            <w:shd w:val="clear" w:color="auto" w:fill="auto"/>
            <w:vAlign w:val="center"/>
            <w:hideMark/>
          </w:tcPr>
          <w:p w14:paraId="0A283443" w14:textId="77777777" w:rsidR="00DE0253" w:rsidRPr="00DE0253" w:rsidRDefault="00DE0253" w:rsidP="00D17E46">
            <w:pPr>
              <w:spacing w:line="240" w:lineRule="auto"/>
              <w:rPr>
                <w:i/>
                <w:iCs/>
                <w:color w:val="000000"/>
                <w:sz w:val="18"/>
                <w:szCs w:val="18"/>
              </w:rPr>
            </w:pPr>
            <w:r w:rsidRPr="00DE0253">
              <w:rPr>
                <w:i/>
                <w:iCs/>
                <w:color w:val="000000"/>
                <w:sz w:val="18"/>
                <w:szCs w:val="18"/>
              </w:rPr>
              <w:t>Dev-HBF</w:t>
            </w:r>
          </w:p>
        </w:tc>
        <w:tc>
          <w:tcPr>
            <w:tcW w:w="952" w:type="dxa"/>
            <w:shd w:val="clear" w:color="auto" w:fill="auto"/>
            <w:vAlign w:val="center"/>
            <w:hideMark/>
          </w:tcPr>
          <w:p w14:paraId="4369A231"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159 </w:t>
            </w:r>
          </w:p>
        </w:tc>
        <w:tc>
          <w:tcPr>
            <w:tcW w:w="693" w:type="dxa"/>
            <w:shd w:val="clear" w:color="auto" w:fill="auto"/>
            <w:vAlign w:val="center"/>
            <w:hideMark/>
          </w:tcPr>
          <w:p w14:paraId="467FFFF3"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143 </w:t>
            </w:r>
          </w:p>
        </w:tc>
        <w:tc>
          <w:tcPr>
            <w:tcW w:w="993" w:type="dxa"/>
            <w:shd w:val="clear" w:color="auto" w:fill="auto"/>
            <w:vAlign w:val="center"/>
            <w:hideMark/>
          </w:tcPr>
          <w:p w14:paraId="378AF86D"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136 </w:t>
            </w:r>
          </w:p>
        </w:tc>
        <w:tc>
          <w:tcPr>
            <w:tcW w:w="837" w:type="dxa"/>
            <w:shd w:val="clear" w:color="auto" w:fill="auto"/>
            <w:vAlign w:val="center"/>
            <w:hideMark/>
          </w:tcPr>
          <w:p w14:paraId="69693DB2"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135 </w:t>
            </w:r>
          </w:p>
        </w:tc>
        <w:tc>
          <w:tcPr>
            <w:tcW w:w="959" w:type="dxa"/>
            <w:shd w:val="clear" w:color="auto" w:fill="auto"/>
            <w:vAlign w:val="center"/>
            <w:hideMark/>
          </w:tcPr>
          <w:p w14:paraId="0570B62D"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109 </w:t>
            </w:r>
          </w:p>
        </w:tc>
        <w:tc>
          <w:tcPr>
            <w:tcW w:w="837" w:type="dxa"/>
            <w:shd w:val="clear" w:color="auto" w:fill="auto"/>
            <w:vAlign w:val="center"/>
            <w:hideMark/>
          </w:tcPr>
          <w:p w14:paraId="50098E06"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81 </w:t>
            </w:r>
          </w:p>
        </w:tc>
        <w:tc>
          <w:tcPr>
            <w:tcW w:w="959" w:type="dxa"/>
            <w:shd w:val="clear" w:color="auto" w:fill="auto"/>
            <w:vAlign w:val="center"/>
            <w:hideMark/>
          </w:tcPr>
          <w:p w14:paraId="199A666E"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73 </w:t>
            </w:r>
          </w:p>
        </w:tc>
        <w:tc>
          <w:tcPr>
            <w:tcW w:w="693" w:type="dxa"/>
            <w:shd w:val="clear" w:color="auto" w:fill="auto"/>
            <w:vAlign w:val="center"/>
            <w:hideMark/>
          </w:tcPr>
          <w:p w14:paraId="5358532A"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79 </w:t>
            </w:r>
          </w:p>
        </w:tc>
        <w:tc>
          <w:tcPr>
            <w:tcW w:w="952" w:type="dxa"/>
            <w:shd w:val="clear" w:color="auto" w:fill="auto"/>
            <w:vAlign w:val="center"/>
            <w:hideMark/>
          </w:tcPr>
          <w:p w14:paraId="7E7B5DDA"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118 </w:t>
            </w:r>
          </w:p>
        </w:tc>
      </w:tr>
      <w:tr w:rsidR="00DE0253" w:rsidRPr="00DE0253" w14:paraId="34D08273" w14:textId="77777777" w:rsidTr="00462BDF">
        <w:trPr>
          <w:trHeight w:val="495"/>
        </w:trPr>
        <w:tc>
          <w:tcPr>
            <w:tcW w:w="959" w:type="dxa"/>
            <w:shd w:val="clear" w:color="auto" w:fill="auto"/>
            <w:vAlign w:val="center"/>
            <w:hideMark/>
          </w:tcPr>
          <w:p w14:paraId="06A8C9AB" w14:textId="77777777" w:rsidR="00DE0253" w:rsidRPr="00DE0253" w:rsidRDefault="00DE0253" w:rsidP="00D17E46">
            <w:pPr>
              <w:spacing w:line="240" w:lineRule="auto"/>
              <w:rPr>
                <w:i/>
                <w:iCs/>
                <w:color w:val="000000"/>
                <w:sz w:val="18"/>
                <w:szCs w:val="18"/>
              </w:rPr>
            </w:pPr>
            <w:r w:rsidRPr="00DE0253">
              <w:rPr>
                <w:i/>
                <w:iCs/>
                <w:color w:val="000000"/>
                <w:sz w:val="18"/>
                <w:szCs w:val="18"/>
              </w:rPr>
              <w:t>Dev-non-basket</w:t>
            </w:r>
          </w:p>
        </w:tc>
        <w:tc>
          <w:tcPr>
            <w:tcW w:w="952" w:type="dxa"/>
            <w:shd w:val="clear" w:color="auto" w:fill="auto"/>
            <w:vAlign w:val="center"/>
            <w:hideMark/>
          </w:tcPr>
          <w:p w14:paraId="144D6005"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227 </w:t>
            </w:r>
          </w:p>
        </w:tc>
        <w:tc>
          <w:tcPr>
            <w:tcW w:w="693" w:type="dxa"/>
            <w:shd w:val="clear" w:color="auto" w:fill="auto"/>
            <w:vAlign w:val="center"/>
            <w:hideMark/>
          </w:tcPr>
          <w:p w14:paraId="77694A73"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147 </w:t>
            </w:r>
          </w:p>
        </w:tc>
        <w:tc>
          <w:tcPr>
            <w:tcW w:w="993" w:type="dxa"/>
            <w:shd w:val="clear" w:color="auto" w:fill="auto"/>
            <w:vAlign w:val="center"/>
            <w:hideMark/>
          </w:tcPr>
          <w:p w14:paraId="1D5A052E"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431 </w:t>
            </w:r>
          </w:p>
        </w:tc>
        <w:tc>
          <w:tcPr>
            <w:tcW w:w="837" w:type="dxa"/>
            <w:shd w:val="clear" w:color="auto" w:fill="auto"/>
            <w:vAlign w:val="center"/>
            <w:hideMark/>
          </w:tcPr>
          <w:p w14:paraId="218582AA"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355 </w:t>
            </w:r>
          </w:p>
        </w:tc>
        <w:tc>
          <w:tcPr>
            <w:tcW w:w="959" w:type="dxa"/>
            <w:shd w:val="clear" w:color="auto" w:fill="auto"/>
            <w:vAlign w:val="center"/>
            <w:hideMark/>
          </w:tcPr>
          <w:p w14:paraId="19F27C24"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254 </w:t>
            </w:r>
          </w:p>
        </w:tc>
        <w:tc>
          <w:tcPr>
            <w:tcW w:w="837" w:type="dxa"/>
            <w:shd w:val="clear" w:color="auto" w:fill="auto"/>
            <w:vAlign w:val="center"/>
            <w:hideMark/>
          </w:tcPr>
          <w:p w14:paraId="06913664"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105 </w:t>
            </w:r>
          </w:p>
        </w:tc>
        <w:tc>
          <w:tcPr>
            <w:tcW w:w="959" w:type="dxa"/>
            <w:shd w:val="clear" w:color="auto" w:fill="auto"/>
            <w:vAlign w:val="center"/>
            <w:hideMark/>
          </w:tcPr>
          <w:p w14:paraId="0BE04E7B"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497 </w:t>
            </w:r>
          </w:p>
        </w:tc>
        <w:tc>
          <w:tcPr>
            <w:tcW w:w="693" w:type="dxa"/>
            <w:shd w:val="clear" w:color="auto" w:fill="auto"/>
            <w:vAlign w:val="center"/>
            <w:hideMark/>
          </w:tcPr>
          <w:p w14:paraId="372F8858"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90 </w:t>
            </w:r>
          </w:p>
        </w:tc>
        <w:tc>
          <w:tcPr>
            <w:tcW w:w="952" w:type="dxa"/>
            <w:shd w:val="clear" w:color="auto" w:fill="auto"/>
            <w:vAlign w:val="center"/>
            <w:hideMark/>
          </w:tcPr>
          <w:p w14:paraId="358E72A2" w14:textId="77777777" w:rsidR="00DE0253" w:rsidRPr="00DE0253" w:rsidRDefault="00DE0253" w:rsidP="00D17E46">
            <w:pPr>
              <w:spacing w:line="240" w:lineRule="auto"/>
              <w:jc w:val="right"/>
              <w:rPr>
                <w:i/>
                <w:iCs/>
                <w:color w:val="000000"/>
                <w:sz w:val="18"/>
                <w:szCs w:val="18"/>
              </w:rPr>
            </w:pPr>
            <w:r w:rsidRPr="00DE0253">
              <w:rPr>
                <w:i/>
                <w:iCs/>
                <w:color w:val="000000"/>
                <w:sz w:val="18"/>
                <w:szCs w:val="18"/>
              </w:rPr>
              <w:t xml:space="preserve">            466 </w:t>
            </w:r>
          </w:p>
        </w:tc>
      </w:tr>
      <w:tr w:rsidR="00DE0253" w:rsidRPr="00DE0253" w14:paraId="1B65D09E" w14:textId="77777777" w:rsidTr="00462BDF">
        <w:trPr>
          <w:trHeight w:val="315"/>
        </w:trPr>
        <w:tc>
          <w:tcPr>
            <w:tcW w:w="959" w:type="dxa"/>
            <w:shd w:val="clear" w:color="auto" w:fill="auto"/>
            <w:vAlign w:val="center"/>
            <w:hideMark/>
          </w:tcPr>
          <w:p w14:paraId="3E294833" w14:textId="77777777" w:rsidR="00DE0253" w:rsidRPr="00DE0253" w:rsidRDefault="00DE0253" w:rsidP="00D17E46">
            <w:pPr>
              <w:spacing w:line="240" w:lineRule="auto"/>
              <w:rPr>
                <w:b/>
                <w:bCs/>
                <w:color w:val="000000"/>
                <w:sz w:val="18"/>
                <w:szCs w:val="18"/>
              </w:rPr>
            </w:pPr>
            <w:r w:rsidRPr="00DE0253">
              <w:rPr>
                <w:b/>
                <w:bCs/>
                <w:color w:val="000000"/>
                <w:sz w:val="18"/>
                <w:szCs w:val="18"/>
              </w:rPr>
              <w:t>Total</w:t>
            </w:r>
          </w:p>
        </w:tc>
        <w:tc>
          <w:tcPr>
            <w:tcW w:w="952" w:type="dxa"/>
            <w:shd w:val="clear" w:color="auto" w:fill="auto"/>
            <w:vAlign w:val="center"/>
            <w:hideMark/>
          </w:tcPr>
          <w:p w14:paraId="50C39EDF" w14:textId="77777777" w:rsidR="00DE0253" w:rsidRPr="00DE0253" w:rsidRDefault="00DE0253" w:rsidP="00D17E46">
            <w:pPr>
              <w:spacing w:line="240" w:lineRule="auto"/>
              <w:jc w:val="right"/>
              <w:rPr>
                <w:b/>
                <w:bCs/>
                <w:color w:val="000000"/>
                <w:sz w:val="18"/>
                <w:szCs w:val="18"/>
              </w:rPr>
            </w:pPr>
            <w:r w:rsidRPr="00DE0253">
              <w:rPr>
                <w:b/>
                <w:bCs/>
                <w:color w:val="000000"/>
                <w:sz w:val="18"/>
                <w:szCs w:val="18"/>
              </w:rPr>
              <w:t xml:space="preserve">         </w:t>
            </w:r>
            <w:r w:rsidR="00757A15">
              <w:rPr>
                <w:b/>
                <w:bCs/>
                <w:color w:val="000000"/>
                <w:sz w:val="18"/>
                <w:szCs w:val="18"/>
              </w:rPr>
              <w:t>1,270</w:t>
            </w:r>
          </w:p>
        </w:tc>
        <w:tc>
          <w:tcPr>
            <w:tcW w:w="693" w:type="dxa"/>
            <w:shd w:val="clear" w:color="auto" w:fill="auto"/>
            <w:vAlign w:val="center"/>
            <w:hideMark/>
          </w:tcPr>
          <w:p w14:paraId="7BB2C2C0" w14:textId="77777777" w:rsidR="00DE0253" w:rsidRPr="00DE0253" w:rsidRDefault="00DE0253" w:rsidP="00D17E46">
            <w:pPr>
              <w:spacing w:line="240" w:lineRule="auto"/>
              <w:jc w:val="right"/>
              <w:rPr>
                <w:b/>
                <w:bCs/>
                <w:color w:val="000000"/>
                <w:sz w:val="18"/>
                <w:szCs w:val="18"/>
              </w:rPr>
            </w:pPr>
            <w:r w:rsidRPr="00DE0253">
              <w:rPr>
                <w:b/>
                <w:bCs/>
                <w:color w:val="000000"/>
                <w:sz w:val="18"/>
                <w:szCs w:val="18"/>
              </w:rPr>
              <w:t xml:space="preserve">         </w:t>
            </w:r>
            <w:r w:rsidR="00757A15">
              <w:rPr>
                <w:b/>
                <w:bCs/>
                <w:color w:val="000000"/>
                <w:sz w:val="18"/>
                <w:szCs w:val="18"/>
              </w:rPr>
              <w:t>1,05</w:t>
            </w:r>
            <w:r w:rsidRPr="00DE0253">
              <w:rPr>
                <w:b/>
                <w:bCs/>
                <w:color w:val="000000"/>
                <w:sz w:val="18"/>
                <w:szCs w:val="18"/>
              </w:rPr>
              <w:t xml:space="preserve">5 </w:t>
            </w:r>
          </w:p>
        </w:tc>
        <w:tc>
          <w:tcPr>
            <w:tcW w:w="993" w:type="dxa"/>
            <w:shd w:val="clear" w:color="auto" w:fill="auto"/>
            <w:vAlign w:val="center"/>
            <w:hideMark/>
          </w:tcPr>
          <w:p w14:paraId="13E6359D" w14:textId="77777777" w:rsidR="00DE0253" w:rsidRPr="00DE0253" w:rsidRDefault="00DE0253" w:rsidP="00D17E46">
            <w:pPr>
              <w:spacing w:line="240" w:lineRule="auto"/>
              <w:jc w:val="right"/>
              <w:rPr>
                <w:b/>
                <w:bCs/>
                <w:color w:val="000000"/>
                <w:sz w:val="18"/>
                <w:szCs w:val="18"/>
              </w:rPr>
            </w:pPr>
            <w:r w:rsidRPr="00DE0253">
              <w:rPr>
                <w:b/>
                <w:bCs/>
                <w:color w:val="000000"/>
                <w:sz w:val="18"/>
                <w:szCs w:val="18"/>
              </w:rPr>
              <w:t xml:space="preserve">         1,486 </w:t>
            </w:r>
          </w:p>
        </w:tc>
        <w:tc>
          <w:tcPr>
            <w:tcW w:w="837" w:type="dxa"/>
            <w:shd w:val="clear" w:color="auto" w:fill="auto"/>
            <w:vAlign w:val="center"/>
            <w:hideMark/>
          </w:tcPr>
          <w:p w14:paraId="01A3973D" w14:textId="77777777" w:rsidR="00DE0253" w:rsidRPr="00DE0253" w:rsidRDefault="00DE0253" w:rsidP="00D17E46">
            <w:pPr>
              <w:spacing w:line="240" w:lineRule="auto"/>
              <w:jc w:val="right"/>
              <w:rPr>
                <w:b/>
                <w:bCs/>
                <w:color w:val="000000"/>
                <w:sz w:val="18"/>
                <w:szCs w:val="18"/>
              </w:rPr>
            </w:pPr>
            <w:r w:rsidRPr="00DE0253">
              <w:rPr>
                <w:b/>
                <w:bCs/>
                <w:color w:val="000000"/>
                <w:sz w:val="18"/>
                <w:szCs w:val="18"/>
              </w:rPr>
              <w:t xml:space="preserve">         1,294 </w:t>
            </w:r>
          </w:p>
        </w:tc>
        <w:tc>
          <w:tcPr>
            <w:tcW w:w="959" w:type="dxa"/>
            <w:shd w:val="clear" w:color="auto" w:fill="auto"/>
            <w:vAlign w:val="center"/>
            <w:hideMark/>
          </w:tcPr>
          <w:p w14:paraId="7BEDB268" w14:textId="77777777" w:rsidR="00DE0253" w:rsidRPr="00DE0253" w:rsidRDefault="00DE0253" w:rsidP="00D17E46">
            <w:pPr>
              <w:spacing w:line="240" w:lineRule="auto"/>
              <w:jc w:val="right"/>
              <w:rPr>
                <w:b/>
                <w:bCs/>
                <w:color w:val="000000"/>
                <w:sz w:val="18"/>
                <w:szCs w:val="18"/>
              </w:rPr>
            </w:pPr>
            <w:r w:rsidRPr="00DE0253">
              <w:rPr>
                <w:b/>
                <w:bCs/>
                <w:color w:val="000000"/>
                <w:sz w:val="18"/>
                <w:szCs w:val="18"/>
              </w:rPr>
              <w:t xml:space="preserve">         1,614 </w:t>
            </w:r>
          </w:p>
        </w:tc>
        <w:tc>
          <w:tcPr>
            <w:tcW w:w="837" w:type="dxa"/>
            <w:shd w:val="clear" w:color="auto" w:fill="auto"/>
            <w:vAlign w:val="center"/>
            <w:hideMark/>
          </w:tcPr>
          <w:p w14:paraId="68E24946" w14:textId="77777777" w:rsidR="00DE0253" w:rsidRPr="00DE0253" w:rsidRDefault="00DE0253" w:rsidP="00D17E46">
            <w:pPr>
              <w:spacing w:line="240" w:lineRule="auto"/>
              <w:jc w:val="right"/>
              <w:rPr>
                <w:b/>
                <w:bCs/>
                <w:color w:val="000000"/>
                <w:sz w:val="18"/>
                <w:szCs w:val="18"/>
              </w:rPr>
            </w:pPr>
            <w:r w:rsidRPr="00DE0253">
              <w:rPr>
                <w:b/>
                <w:bCs/>
                <w:color w:val="000000"/>
                <w:sz w:val="18"/>
                <w:szCs w:val="18"/>
              </w:rPr>
              <w:t xml:space="preserve">         1,159 </w:t>
            </w:r>
          </w:p>
        </w:tc>
        <w:tc>
          <w:tcPr>
            <w:tcW w:w="959" w:type="dxa"/>
            <w:shd w:val="clear" w:color="auto" w:fill="auto"/>
            <w:vAlign w:val="center"/>
            <w:hideMark/>
          </w:tcPr>
          <w:p w14:paraId="4C21F3CC" w14:textId="77777777" w:rsidR="00DE0253" w:rsidRPr="00DE0253" w:rsidRDefault="00DE0253" w:rsidP="00D17E46">
            <w:pPr>
              <w:spacing w:line="240" w:lineRule="auto"/>
              <w:jc w:val="right"/>
              <w:rPr>
                <w:b/>
                <w:bCs/>
                <w:color w:val="000000"/>
                <w:sz w:val="18"/>
                <w:szCs w:val="18"/>
              </w:rPr>
            </w:pPr>
            <w:r w:rsidRPr="00DE0253">
              <w:rPr>
                <w:b/>
                <w:bCs/>
                <w:color w:val="000000"/>
                <w:sz w:val="18"/>
                <w:szCs w:val="18"/>
              </w:rPr>
              <w:t xml:space="preserve">         2,136 </w:t>
            </w:r>
          </w:p>
        </w:tc>
        <w:tc>
          <w:tcPr>
            <w:tcW w:w="693" w:type="dxa"/>
            <w:shd w:val="clear" w:color="auto" w:fill="auto"/>
            <w:vAlign w:val="center"/>
            <w:hideMark/>
          </w:tcPr>
          <w:p w14:paraId="4D92AC21" w14:textId="77777777" w:rsidR="00DE0253" w:rsidRPr="00DE0253" w:rsidRDefault="00DE0253" w:rsidP="00D17E46">
            <w:pPr>
              <w:spacing w:line="240" w:lineRule="auto"/>
              <w:jc w:val="right"/>
              <w:rPr>
                <w:b/>
                <w:bCs/>
                <w:color w:val="000000"/>
                <w:sz w:val="18"/>
                <w:szCs w:val="18"/>
              </w:rPr>
            </w:pPr>
            <w:r w:rsidRPr="00DE0253">
              <w:rPr>
                <w:b/>
                <w:bCs/>
                <w:color w:val="000000"/>
                <w:sz w:val="18"/>
                <w:szCs w:val="18"/>
              </w:rPr>
              <w:t xml:space="preserve">         1,513 </w:t>
            </w:r>
          </w:p>
        </w:tc>
        <w:tc>
          <w:tcPr>
            <w:tcW w:w="952" w:type="dxa"/>
            <w:shd w:val="clear" w:color="auto" w:fill="auto"/>
            <w:vAlign w:val="center"/>
            <w:hideMark/>
          </w:tcPr>
          <w:p w14:paraId="0EE251B9" w14:textId="77777777" w:rsidR="00DE0253" w:rsidRPr="00DE0253" w:rsidRDefault="00DE0253" w:rsidP="00D17E46">
            <w:pPr>
              <w:spacing w:line="240" w:lineRule="auto"/>
              <w:jc w:val="right"/>
              <w:rPr>
                <w:b/>
                <w:bCs/>
                <w:color w:val="000000"/>
                <w:sz w:val="18"/>
                <w:szCs w:val="18"/>
              </w:rPr>
            </w:pPr>
            <w:r w:rsidRPr="00DE0253">
              <w:rPr>
                <w:b/>
                <w:bCs/>
                <w:color w:val="000000"/>
                <w:sz w:val="18"/>
                <w:szCs w:val="18"/>
              </w:rPr>
              <w:t xml:space="preserve">         2,458 </w:t>
            </w:r>
          </w:p>
        </w:tc>
      </w:tr>
    </w:tbl>
    <w:p w14:paraId="2C010FE5" w14:textId="77777777" w:rsidR="002A060A" w:rsidRPr="001170AC" w:rsidRDefault="002A060A" w:rsidP="00670B35"/>
    <w:p w14:paraId="3FCB9D82" w14:textId="77777777" w:rsidR="00C46EA8" w:rsidRPr="001170AC" w:rsidRDefault="00C46EA8" w:rsidP="00670B35">
      <w:pPr>
        <w:pStyle w:val="1-DocText"/>
        <w:spacing w:before="0" w:after="0" w:line="276" w:lineRule="auto"/>
        <w:jc w:val="both"/>
        <w:rPr>
          <w:rFonts w:ascii="Calibri" w:hAnsi="Calibri"/>
          <w:color w:val="000000"/>
          <w:sz w:val="24"/>
          <w:szCs w:val="24"/>
          <w:lang w:val="en-GB" w:eastAsia="en-GB"/>
        </w:rPr>
      </w:pPr>
      <w:r w:rsidRPr="001170AC">
        <w:rPr>
          <w:rFonts w:ascii="Calibri" w:hAnsi="Calibri"/>
          <w:color w:val="000000"/>
          <w:sz w:val="24"/>
          <w:szCs w:val="24"/>
          <w:lang w:val="en-GB" w:eastAsia="en-GB"/>
        </w:rPr>
        <w:lastRenderedPageBreak/>
        <w:t>Following faster growth in the recurrent budget and expenditures relative to development budget and expenditures, the share of the recurrent budget increased significantly from 6</w:t>
      </w:r>
      <w:r w:rsidR="00147CA0">
        <w:rPr>
          <w:rFonts w:ascii="Calibri" w:hAnsi="Calibri"/>
          <w:color w:val="000000"/>
          <w:sz w:val="24"/>
          <w:szCs w:val="24"/>
          <w:lang w:val="en-GB" w:eastAsia="en-GB"/>
        </w:rPr>
        <w:t>3</w:t>
      </w:r>
      <w:r w:rsidR="00006303" w:rsidRPr="001170AC">
        <w:rPr>
          <w:rFonts w:ascii="Calibri" w:hAnsi="Calibri"/>
          <w:color w:val="000000"/>
          <w:sz w:val="24"/>
          <w:szCs w:val="24"/>
          <w:lang w:val="en-GB" w:eastAsia="en-GB"/>
        </w:rPr>
        <w:t xml:space="preserve">% </w:t>
      </w:r>
      <w:r w:rsidRPr="001170AC">
        <w:rPr>
          <w:rFonts w:ascii="Calibri" w:hAnsi="Calibri"/>
          <w:color w:val="000000"/>
          <w:sz w:val="24"/>
          <w:szCs w:val="24"/>
          <w:lang w:val="en-GB" w:eastAsia="en-GB"/>
        </w:rPr>
        <w:t>in 201</w:t>
      </w:r>
      <w:r w:rsidR="00147CA0">
        <w:rPr>
          <w:rFonts w:ascii="Calibri" w:hAnsi="Calibri"/>
          <w:color w:val="000000"/>
          <w:sz w:val="24"/>
          <w:szCs w:val="24"/>
          <w:lang w:val="en-GB" w:eastAsia="en-GB"/>
        </w:rPr>
        <w:t>2</w:t>
      </w:r>
      <w:r w:rsidRPr="001170AC">
        <w:rPr>
          <w:rFonts w:ascii="Calibri" w:hAnsi="Calibri"/>
          <w:color w:val="000000"/>
          <w:sz w:val="24"/>
          <w:szCs w:val="24"/>
          <w:lang w:val="en-GB" w:eastAsia="en-GB"/>
        </w:rPr>
        <w:t>/1</w:t>
      </w:r>
      <w:r w:rsidR="00147CA0">
        <w:rPr>
          <w:rFonts w:ascii="Calibri" w:hAnsi="Calibri"/>
          <w:color w:val="000000"/>
          <w:sz w:val="24"/>
          <w:szCs w:val="24"/>
          <w:lang w:val="en-GB" w:eastAsia="en-GB"/>
        </w:rPr>
        <w:t>3</w:t>
      </w:r>
      <w:r w:rsidRPr="001170AC">
        <w:rPr>
          <w:rFonts w:ascii="Calibri" w:hAnsi="Calibri"/>
          <w:color w:val="000000"/>
          <w:sz w:val="24"/>
          <w:szCs w:val="24"/>
          <w:lang w:val="en-GB" w:eastAsia="en-GB"/>
        </w:rPr>
        <w:t xml:space="preserve"> to </w:t>
      </w:r>
      <w:r w:rsidR="00147CA0">
        <w:rPr>
          <w:rFonts w:ascii="Calibri" w:hAnsi="Calibri"/>
          <w:color w:val="000000"/>
          <w:sz w:val="24"/>
          <w:szCs w:val="24"/>
          <w:lang w:val="en-GB" w:eastAsia="en-GB"/>
        </w:rPr>
        <w:t>70</w:t>
      </w:r>
      <w:r w:rsidR="00006303" w:rsidRPr="001170AC">
        <w:rPr>
          <w:rFonts w:ascii="Calibri" w:hAnsi="Calibri"/>
          <w:color w:val="000000"/>
          <w:sz w:val="24"/>
          <w:szCs w:val="24"/>
          <w:lang w:val="en-GB" w:eastAsia="en-GB"/>
        </w:rPr>
        <w:t xml:space="preserve">% </w:t>
      </w:r>
      <w:r w:rsidRPr="001170AC">
        <w:rPr>
          <w:rFonts w:ascii="Calibri" w:hAnsi="Calibri"/>
          <w:color w:val="000000"/>
          <w:sz w:val="24"/>
          <w:szCs w:val="24"/>
          <w:lang w:val="en-GB" w:eastAsia="en-GB"/>
        </w:rPr>
        <w:t>in 201</w:t>
      </w:r>
      <w:r w:rsidR="00147CA0">
        <w:rPr>
          <w:rFonts w:ascii="Calibri" w:hAnsi="Calibri"/>
          <w:color w:val="000000"/>
          <w:sz w:val="24"/>
          <w:szCs w:val="24"/>
          <w:lang w:val="en-GB" w:eastAsia="en-GB"/>
        </w:rPr>
        <w:t>4</w:t>
      </w:r>
      <w:r w:rsidRPr="001170AC">
        <w:rPr>
          <w:rFonts w:ascii="Calibri" w:hAnsi="Calibri"/>
          <w:color w:val="000000"/>
          <w:sz w:val="24"/>
          <w:szCs w:val="24"/>
          <w:lang w:val="en-GB" w:eastAsia="en-GB"/>
        </w:rPr>
        <w:t>/1</w:t>
      </w:r>
      <w:r w:rsidR="00147CA0">
        <w:rPr>
          <w:rFonts w:ascii="Calibri" w:hAnsi="Calibri"/>
          <w:color w:val="000000"/>
          <w:sz w:val="24"/>
          <w:szCs w:val="24"/>
          <w:lang w:val="en-GB" w:eastAsia="en-GB"/>
        </w:rPr>
        <w:t xml:space="preserve">5 but declined to </w:t>
      </w:r>
      <w:r w:rsidRPr="001170AC">
        <w:rPr>
          <w:rFonts w:ascii="Calibri" w:hAnsi="Calibri"/>
          <w:color w:val="000000"/>
          <w:sz w:val="24"/>
          <w:szCs w:val="24"/>
          <w:lang w:val="en-GB" w:eastAsia="en-GB"/>
        </w:rPr>
        <w:t>6</w:t>
      </w:r>
      <w:r w:rsidR="00147CA0">
        <w:rPr>
          <w:rFonts w:ascii="Calibri" w:hAnsi="Calibri"/>
          <w:color w:val="000000"/>
          <w:sz w:val="24"/>
          <w:szCs w:val="24"/>
          <w:lang w:val="en-GB" w:eastAsia="en-GB"/>
        </w:rPr>
        <w:t>2% in 2016/17</w:t>
      </w:r>
      <w:r w:rsidRPr="001170AC">
        <w:rPr>
          <w:rFonts w:ascii="Calibri" w:hAnsi="Calibri"/>
          <w:color w:val="000000"/>
          <w:sz w:val="24"/>
          <w:szCs w:val="24"/>
          <w:lang w:val="en-GB" w:eastAsia="en-GB"/>
        </w:rPr>
        <w:t xml:space="preserve">. Also, the share of actual recurrent expenditure increased </w:t>
      </w:r>
      <w:r w:rsidR="00147CA0">
        <w:rPr>
          <w:rFonts w:ascii="Calibri" w:hAnsi="Calibri"/>
          <w:color w:val="000000"/>
          <w:sz w:val="24"/>
          <w:szCs w:val="24"/>
          <w:lang w:val="en-GB" w:eastAsia="en-GB"/>
        </w:rPr>
        <w:t xml:space="preserve">significantly </w:t>
      </w:r>
      <w:r w:rsidRPr="001170AC">
        <w:rPr>
          <w:rFonts w:ascii="Calibri" w:hAnsi="Calibri"/>
          <w:color w:val="000000"/>
          <w:sz w:val="24"/>
          <w:szCs w:val="24"/>
          <w:lang w:val="en-GB" w:eastAsia="en-GB"/>
        </w:rPr>
        <w:t>from 64</w:t>
      </w:r>
      <w:r w:rsidR="00006303" w:rsidRPr="001170AC">
        <w:rPr>
          <w:rFonts w:ascii="Calibri" w:hAnsi="Calibri"/>
          <w:color w:val="000000"/>
          <w:sz w:val="24"/>
          <w:szCs w:val="24"/>
          <w:lang w:val="en-GB" w:eastAsia="en-GB"/>
        </w:rPr>
        <w:t xml:space="preserve">% </w:t>
      </w:r>
      <w:r w:rsidRPr="001170AC">
        <w:rPr>
          <w:rFonts w:ascii="Calibri" w:hAnsi="Calibri"/>
          <w:color w:val="000000"/>
          <w:sz w:val="24"/>
          <w:szCs w:val="24"/>
          <w:lang w:val="en-GB" w:eastAsia="en-GB"/>
        </w:rPr>
        <w:t>in 201</w:t>
      </w:r>
      <w:r w:rsidR="00147CA0">
        <w:rPr>
          <w:rFonts w:ascii="Calibri" w:hAnsi="Calibri"/>
          <w:color w:val="000000"/>
          <w:sz w:val="24"/>
          <w:szCs w:val="24"/>
          <w:lang w:val="en-GB" w:eastAsia="en-GB"/>
        </w:rPr>
        <w:t>2</w:t>
      </w:r>
      <w:r w:rsidRPr="001170AC">
        <w:rPr>
          <w:rFonts w:ascii="Calibri" w:hAnsi="Calibri"/>
          <w:color w:val="000000"/>
          <w:sz w:val="24"/>
          <w:szCs w:val="24"/>
          <w:lang w:val="en-GB" w:eastAsia="en-GB"/>
        </w:rPr>
        <w:t>/1</w:t>
      </w:r>
      <w:r w:rsidR="00147CA0">
        <w:rPr>
          <w:rFonts w:ascii="Calibri" w:hAnsi="Calibri"/>
          <w:color w:val="000000"/>
          <w:sz w:val="24"/>
          <w:szCs w:val="24"/>
          <w:lang w:val="en-GB" w:eastAsia="en-GB"/>
        </w:rPr>
        <w:t>3</w:t>
      </w:r>
      <w:r w:rsidRPr="001170AC">
        <w:rPr>
          <w:rFonts w:ascii="Calibri" w:hAnsi="Calibri"/>
          <w:color w:val="000000"/>
          <w:sz w:val="24"/>
          <w:szCs w:val="24"/>
          <w:lang w:val="en-GB" w:eastAsia="en-GB"/>
        </w:rPr>
        <w:t xml:space="preserve"> to </w:t>
      </w:r>
      <w:r w:rsidR="00147CA0">
        <w:rPr>
          <w:rFonts w:ascii="Calibri" w:hAnsi="Calibri"/>
          <w:color w:val="000000"/>
          <w:sz w:val="24"/>
          <w:szCs w:val="24"/>
          <w:lang w:val="en-GB" w:eastAsia="en-GB"/>
        </w:rPr>
        <w:t>8</w:t>
      </w:r>
      <w:r w:rsidR="00073975" w:rsidRPr="001170AC">
        <w:rPr>
          <w:rFonts w:ascii="Calibri" w:hAnsi="Calibri"/>
          <w:color w:val="000000"/>
          <w:sz w:val="24"/>
          <w:szCs w:val="24"/>
          <w:lang w:val="en-GB" w:eastAsia="en-GB"/>
        </w:rPr>
        <w:t>7</w:t>
      </w:r>
      <w:r w:rsidR="00006303" w:rsidRPr="001170AC">
        <w:rPr>
          <w:rFonts w:ascii="Calibri" w:hAnsi="Calibri"/>
          <w:color w:val="000000"/>
          <w:sz w:val="24"/>
          <w:szCs w:val="24"/>
          <w:lang w:val="en-GB" w:eastAsia="en-GB"/>
        </w:rPr>
        <w:t xml:space="preserve">% </w:t>
      </w:r>
      <w:r w:rsidRPr="001170AC">
        <w:rPr>
          <w:rFonts w:ascii="Calibri" w:hAnsi="Calibri"/>
          <w:color w:val="000000"/>
          <w:sz w:val="24"/>
          <w:szCs w:val="24"/>
          <w:lang w:val="en-GB" w:eastAsia="en-GB"/>
        </w:rPr>
        <w:t>in 201</w:t>
      </w:r>
      <w:r w:rsidR="00147CA0">
        <w:rPr>
          <w:rFonts w:ascii="Calibri" w:hAnsi="Calibri"/>
          <w:color w:val="000000"/>
          <w:sz w:val="24"/>
          <w:szCs w:val="24"/>
          <w:lang w:val="en-GB" w:eastAsia="en-GB"/>
        </w:rPr>
        <w:t>5</w:t>
      </w:r>
      <w:r w:rsidRPr="001170AC">
        <w:rPr>
          <w:rFonts w:ascii="Calibri" w:hAnsi="Calibri"/>
          <w:color w:val="000000"/>
          <w:sz w:val="24"/>
          <w:szCs w:val="24"/>
          <w:lang w:val="en-GB" w:eastAsia="en-GB"/>
        </w:rPr>
        <w:t>/1</w:t>
      </w:r>
      <w:r w:rsidR="00147CA0">
        <w:rPr>
          <w:rFonts w:ascii="Calibri" w:hAnsi="Calibri"/>
          <w:color w:val="000000"/>
          <w:sz w:val="24"/>
          <w:szCs w:val="24"/>
          <w:lang w:val="en-GB" w:eastAsia="en-GB"/>
        </w:rPr>
        <w:t>6</w:t>
      </w:r>
      <w:r w:rsidRPr="001170AC">
        <w:rPr>
          <w:rFonts w:ascii="Calibri" w:hAnsi="Calibri"/>
          <w:color w:val="000000"/>
          <w:sz w:val="24"/>
          <w:szCs w:val="24"/>
          <w:lang w:val="en-GB" w:eastAsia="en-GB"/>
        </w:rPr>
        <w:t>. Figure 3.5 presents the trend of the relative shares of development and recurrent budget and expenditures during the period under review.</w:t>
      </w:r>
      <w:r w:rsidR="00D17E46">
        <w:rPr>
          <w:rFonts w:ascii="Calibri" w:hAnsi="Calibri"/>
          <w:color w:val="000000"/>
          <w:sz w:val="24"/>
          <w:szCs w:val="24"/>
          <w:lang w:val="en-GB" w:eastAsia="en-GB"/>
        </w:rPr>
        <w:t xml:space="preserve"> Dwindling development expenditure is a concern given the need to improve health facility infrastructure especially in the rural areas.</w:t>
      </w:r>
    </w:p>
    <w:p w14:paraId="01664B7D" w14:textId="77777777" w:rsidR="00C46EA8" w:rsidRPr="001170AC" w:rsidRDefault="00C46EA8" w:rsidP="00670B35"/>
    <w:p w14:paraId="4C6AA3EC" w14:textId="77777777" w:rsidR="00C46EA8" w:rsidRPr="001170AC" w:rsidRDefault="00757A15" w:rsidP="004D090A">
      <w:pPr>
        <w:pStyle w:val="Caption1"/>
        <w:rPr>
          <w:lang w:eastAsia="en-GB"/>
        </w:rPr>
      </w:pPr>
      <w:bookmarkStart w:id="56" w:name="_Toc327142364"/>
      <w:bookmarkStart w:id="57" w:name="_Toc331434349"/>
      <w:r>
        <w:br w:type="page"/>
      </w:r>
      <w:bookmarkStart w:id="58" w:name="_Toc488423298"/>
      <w:r w:rsidR="004D090A">
        <w:lastRenderedPageBreak/>
        <w:t>Figure 3.5:</w:t>
      </w:r>
      <w:r w:rsidR="004D090A">
        <w:tab/>
      </w:r>
      <w:r w:rsidR="00C46EA8" w:rsidRPr="001170AC">
        <w:t>T</w:t>
      </w:r>
      <w:r w:rsidR="00C46EA8" w:rsidRPr="001170AC">
        <w:rPr>
          <w:lang w:eastAsia="en-GB"/>
        </w:rPr>
        <w:t>rend of Shares of Recurrent and Development Budget and Expenditures</w:t>
      </w:r>
      <w:bookmarkEnd w:id="56"/>
      <w:bookmarkEnd w:id="57"/>
      <w:bookmarkEnd w:id="58"/>
    </w:p>
    <w:p w14:paraId="321F6057" w14:textId="77777777" w:rsidR="005B28C2" w:rsidRPr="001170AC" w:rsidRDefault="000B5E1A" w:rsidP="00670B35">
      <w:pPr>
        <w:pStyle w:val="NoSpacing"/>
        <w:spacing w:line="276" w:lineRule="auto"/>
        <w:rPr>
          <w:b/>
        </w:rPr>
      </w:pPr>
      <w:bookmarkStart w:id="59" w:name="_Toc331498493"/>
      <w:r>
        <w:rPr>
          <w:noProof/>
          <w:bdr w:val="double" w:sz="6" w:space="0" w:color="0000FF"/>
        </w:rPr>
        <w:drawing>
          <wp:inline distT="0" distB="0" distL="0" distR="0" wp14:anchorId="7C479ABB" wp14:editId="6207ECD2">
            <wp:extent cx="5597144" cy="2850896"/>
            <wp:effectExtent l="12192" t="6096" r="6604" b="508"/>
            <wp:docPr id="134"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78BFB31B" w14:textId="77777777" w:rsidR="00A65D47" w:rsidRDefault="00A65D47" w:rsidP="00670B35">
      <w:pPr>
        <w:pStyle w:val="NoSpacing"/>
        <w:spacing w:line="276" w:lineRule="auto"/>
        <w:rPr>
          <w:b/>
        </w:rPr>
      </w:pPr>
    </w:p>
    <w:p w14:paraId="6D471A47" w14:textId="77777777" w:rsidR="004A7A80" w:rsidRPr="001170AC" w:rsidRDefault="00462BDF" w:rsidP="00462BDF">
      <w:pPr>
        <w:pStyle w:val="Heading2"/>
      </w:pPr>
      <w:bookmarkStart w:id="60" w:name="_Toc488423254"/>
      <w:r>
        <w:t>3.5</w:t>
      </w:r>
      <w:r>
        <w:tab/>
      </w:r>
      <w:r w:rsidR="004A7A80" w:rsidRPr="001170AC">
        <w:t>Performance of the Health Sector Budget</w:t>
      </w:r>
      <w:bookmarkEnd w:id="59"/>
      <w:bookmarkEnd w:id="60"/>
    </w:p>
    <w:p w14:paraId="5BC7FF37" w14:textId="77777777" w:rsidR="004A7A80" w:rsidRPr="001170AC" w:rsidRDefault="004A7A80" w:rsidP="00670B35">
      <w:pPr>
        <w:pStyle w:val="NoSpacing"/>
        <w:spacing w:line="276" w:lineRule="auto"/>
        <w:rPr>
          <w:color w:val="000000"/>
          <w:lang w:val="en-GB" w:eastAsia="en-GB"/>
        </w:rPr>
      </w:pPr>
    </w:p>
    <w:p w14:paraId="2296D0B3" w14:textId="77777777" w:rsidR="00B95B55" w:rsidRPr="001170AC" w:rsidRDefault="00EF7759" w:rsidP="00670B35">
      <w:pPr>
        <w:pStyle w:val="NoSpacing"/>
        <w:spacing w:line="276" w:lineRule="auto"/>
        <w:rPr>
          <w:color w:val="000000"/>
          <w:lang w:val="en-GB" w:eastAsia="en-GB"/>
        </w:rPr>
      </w:pPr>
      <w:r w:rsidRPr="001170AC">
        <w:rPr>
          <w:color w:val="000000"/>
          <w:lang w:val="en-GB" w:eastAsia="en-GB"/>
        </w:rPr>
        <w:t>Figure</w:t>
      </w:r>
      <w:r w:rsidR="003F2EB6" w:rsidRPr="001170AC">
        <w:rPr>
          <w:color w:val="000000"/>
          <w:lang w:val="en-GB" w:eastAsia="en-GB"/>
        </w:rPr>
        <w:t>s</w:t>
      </w:r>
      <w:r w:rsidRPr="001170AC">
        <w:rPr>
          <w:color w:val="000000"/>
          <w:lang w:val="en-GB" w:eastAsia="en-GB"/>
        </w:rPr>
        <w:t xml:space="preserve"> </w:t>
      </w:r>
      <w:r w:rsidR="004A7A80" w:rsidRPr="001170AC">
        <w:rPr>
          <w:color w:val="000000"/>
          <w:lang w:val="en-GB" w:eastAsia="en-GB"/>
        </w:rPr>
        <w:t>3.</w:t>
      </w:r>
      <w:r w:rsidRPr="001170AC">
        <w:rPr>
          <w:color w:val="000000"/>
          <w:lang w:val="en-GB" w:eastAsia="en-GB"/>
        </w:rPr>
        <w:t>6</w:t>
      </w:r>
      <w:r w:rsidR="003F2EB6" w:rsidRPr="001170AC">
        <w:rPr>
          <w:color w:val="000000"/>
          <w:lang w:val="en-GB" w:eastAsia="en-GB"/>
        </w:rPr>
        <w:t>a, 3.6b and 3.6c</w:t>
      </w:r>
      <w:r w:rsidR="004A7A80" w:rsidRPr="001170AC">
        <w:rPr>
          <w:color w:val="000000"/>
          <w:lang w:val="en-GB" w:eastAsia="en-GB"/>
        </w:rPr>
        <w:t xml:space="preserve"> present </w:t>
      </w:r>
      <w:r w:rsidR="00426D19" w:rsidRPr="001170AC">
        <w:rPr>
          <w:color w:val="000000"/>
          <w:lang w:val="en-GB" w:eastAsia="en-GB"/>
        </w:rPr>
        <w:t xml:space="preserve">the </w:t>
      </w:r>
      <w:r w:rsidR="004A7A80" w:rsidRPr="001170AC">
        <w:rPr>
          <w:color w:val="000000"/>
          <w:lang w:val="en-GB" w:eastAsia="en-GB"/>
        </w:rPr>
        <w:t>budget performance indicators over the period 20</w:t>
      </w:r>
      <w:r w:rsidR="00507C7C" w:rsidRPr="001170AC">
        <w:rPr>
          <w:color w:val="000000"/>
          <w:lang w:val="en-GB" w:eastAsia="en-GB"/>
        </w:rPr>
        <w:t>1</w:t>
      </w:r>
      <w:r w:rsidR="00405008">
        <w:rPr>
          <w:color w:val="000000"/>
          <w:lang w:val="en-GB" w:eastAsia="en-GB"/>
        </w:rPr>
        <w:t>1</w:t>
      </w:r>
      <w:r w:rsidR="00507C7C" w:rsidRPr="001170AC">
        <w:rPr>
          <w:color w:val="000000"/>
          <w:lang w:val="en-GB" w:eastAsia="en-GB"/>
        </w:rPr>
        <w:t>/1</w:t>
      </w:r>
      <w:r w:rsidR="00405008">
        <w:rPr>
          <w:color w:val="000000"/>
          <w:lang w:val="en-GB" w:eastAsia="en-GB"/>
        </w:rPr>
        <w:t>2</w:t>
      </w:r>
      <w:r w:rsidR="004A7A80" w:rsidRPr="001170AC">
        <w:rPr>
          <w:color w:val="000000"/>
          <w:lang w:val="en-GB" w:eastAsia="en-GB"/>
        </w:rPr>
        <w:t>–201</w:t>
      </w:r>
      <w:r w:rsidR="00405008">
        <w:rPr>
          <w:color w:val="000000"/>
          <w:lang w:val="en-GB" w:eastAsia="en-GB"/>
        </w:rPr>
        <w:t>5</w:t>
      </w:r>
      <w:r w:rsidR="004A7A80" w:rsidRPr="001170AC">
        <w:rPr>
          <w:color w:val="000000"/>
          <w:lang w:val="en-GB" w:eastAsia="en-GB"/>
        </w:rPr>
        <w:t>/1</w:t>
      </w:r>
      <w:r w:rsidR="00405008">
        <w:rPr>
          <w:color w:val="000000"/>
          <w:lang w:val="en-GB" w:eastAsia="en-GB"/>
        </w:rPr>
        <w:t>6</w:t>
      </w:r>
      <w:r w:rsidR="004A7A80" w:rsidRPr="001170AC">
        <w:rPr>
          <w:color w:val="000000"/>
          <w:lang w:val="en-GB" w:eastAsia="en-GB"/>
        </w:rPr>
        <w:t>, summarized according to budget classification (recurrent and development budget), and sources of funds (government and foreign funds).</w:t>
      </w:r>
      <w:r w:rsidRPr="001170AC">
        <w:rPr>
          <w:color w:val="000000"/>
          <w:lang w:val="en-GB" w:eastAsia="en-GB"/>
        </w:rPr>
        <w:t xml:space="preserve"> Overall, the execution of the </w:t>
      </w:r>
      <w:r w:rsidR="003F2EB6" w:rsidRPr="001170AC">
        <w:rPr>
          <w:color w:val="000000"/>
          <w:lang w:val="en-GB" w:eastAsia="en-GB"/>
        </w:rPr>
        <w:t>total budget was consistently high (above 80%) from 2011/12 but it experienced a significant decline in 201</w:t>
      </w:r>
      <w:r w:rsidR="00D332A5">
        <w:rPr>
          <w:color w:val="000000"/>
          <w:lang w:val="en-GB" w:eastAsia="en-GB"/>
        </w:rPr>
        <w:t>5</w:t>
      </w:r>
      <w:r w:rsidR="003F2EB6" w:rsidRPr="001170AC">
        <w:rPr>
          <w:color w:val="000000"/>
          <w:lang w:val="en-GB" w:eastAsia="en-GB"/>
        </w:rPr>
        <w:t>/1</w:t>
      </w:r>
      <w:r w:rsidR="00D332A5">
        <w:rPr>
          <w:color w:val="000000"/>
          <w:lang w:val="en-GB" w:eastAsia="en-GB"/>
        </w:rPr>
        <w:t>6</w:t>
      </w:r>
      <w:r w:rsidR="00B95B55" w:rsidRPr="001170AC">
        <w:rPr>
          <w:color w:val="000000"/>
          <w:lang w:val="en-GB" w:eastAsia="en-GB"/>
        </w:rPr>
        <w:t>; decline</w:t>
      </w:r>
      <w:r w:rsidR="00D332A5">
        <w:rPr>
          <w:color w:val="000000"/>
          <w:lang w:val="en-GB" w:eastAsia="en-GB"/>
        </w:rPr>
        <w:t>d</w:t>
      </w:r>
      <w:r w:rsidR="00B95B55" w:rsidRPr="001170AC">
        <w:rPr>
          <w:color w:val="000000"/>
          <w:lang w:val="en-GB" w:eastAsia="en-GB"/>
        </w:rPr>
        <w:t xml:space="preserve"> to </w:t>
      </w:r>
      <w:r w:rsidR="003F2EB6" w:rsidRPr="001170AC">
        <w:rPr>
          <w:color w:val="000000"/>
          <w:lang w:val="en-GB" w:eastAsia="en-GB"/>
        </w:rPr>
        <w:t>7</w:t>
      </w:r>
      <w:r w:rsidR="00D332A5">
        <w:rPr>
          <w:color w:val="000000"/>
          <w:lang w:val="en-GB" w:eastAsia="en-GB"/>
        </w:rPr>
        <w:t>0</w:t>
      </w:r>
      <w:r w:rsidR="003F2EB6" w:rsidRPr="001170AC">
        <w:rPr>
          <w:color w:val="000000"/>
          <w:lang w:val="en-GB" w:eastAsia="en-GB"/>
        </w:rPr>
        <w:t>%</w:t>
      </w:r>
      <w:r w:rsidR="002D3961">
        <w:rPr>
          <w:color w:val="000000"/>
          <w:lang w:val="en-GB" w:eastAsia="en-GB"/>
        </w:rPr>
        <w:t xml:space="preserve"> (Figure 3.6a)</w:t>
      </w:r>
      <w:r w:rsidR="00B95B55" w:rsidRPr="001170AC">
        <w:rPr>
          <w:color w:val="000000"/>
          <w:lang w:val="en-GB" w:eastAsia="en-GB"/>
        </w:rPr>
        <w:t xml:space="preserve">. </w:t>
      </w:r>
    </w:p>
    <w:p w14:paraId="0ED13633" w14:textId="77777777" w:rsidR="00B95B55" w:rsidRPr="001170AC" w:rsidRDefault="00B95B55" w:rsidP="00670B35">
      <w:pPr>
        <w:pStyle w:val="NoSpacing"/>
        <w:spacing w:line="276" w:lineRule="auto"/>
        <w:rPr>
          <w:color w:val="000000"/>
          <w:lang w:val="en-GB" w:eastAsia="en-GB"/>
        </w:rPr>
      </w:pPr>
    </w:p>
    <w:p w14:paraId="0B190DD5" w14:textId="77777777" w:rsidR="00EF7759" w:rsidRDefault="00EF7759" w:rsidP="004D090A">
      <w:pPr>
        <w:pStyle w:val="Caption1"/>
        <w:rPr>
          <w:lang w:eastAsia="en-GB"/>
        </w:rPr>
      </w:pPr>
      <w:bookmarkStart w:id="61" w:name="_Toc488423299"/>
      <w:r>
        <w:t xml:space="preserve">Figure </w:t>
      </w:r>
      <w:r w:rsidRPr="00EF7759">
        <w:t>3.</w:t>
      </w:r>
      <w:r>
        <w:t>6</w:t>
      </w:r>
      <w:r w:rsidR="003F2EB6">
        <w:t>a</w:t>
      </w:r>
      <w:r w:rsidR="004D090A">
        <w:t>:</w:t>
      </w:r>
      <w:r w:rsidR="004D090A">
        <w:tab/>
      </w:r>
      <w:r w:rsidR="003F2EB6">
        <w:t xml:space="preserve">Overal </w:t>
      </w:r>
      <w:r w:rsidRPr="00EF7759">
        <w:t>B</w:t>
      </w:r>
      <w:r w:rsidRPr="00EF7759">
        <w:rPr>
          <w:lang w:eastAsia="en-GB"/>
        </w:rPr>
        <w:t>udget Execution</w:t>
      </w:r>
      <w:bookmarkEnd w:id="61"/>
      <w:r w:rsidRPr="00EF7759">
        <w:rPr>
          <w:lang w:eastAsia="en-GB"/>
        </w:rPr>
        <w:t xml:space="preserve"> </w:t>
      </w:r>
    </w:p>
    <w:p w14:paraId="5B346CE8" w14:textId="77777777" w:rsidR="00EF7759" w:rsidRPr="00EF7759" w:rsidRDefault="000B5E1A" w:rsidP="00EF7759">
      <w:pPr>
        <w:pStyle w:val="TableTitle"/>
        <w:spacing w:before="0" w:after="0" w:line="276" w:lineRule="auto"/>
        <w:jc w:val="left"/>
        <w:rPr>
          <w:rFonts w:ascii="Calibri" w:hAnsi="Calibri"/>
          <w:sz w:val="24"/>
          <w:szCs w:val="24"/>
          <w:lang w:eastAsia="en-GB"/>
        </w:rPr>
      </w:pPr>
      <w:r>
        <w:rPr>
          <w:bdr w:val="double" w:sz="6" w:space="0" w:color="0000FF"/>
        </w:rPr>
        <w:drawing>
          <wp:inline distT="0" distB="0" distL="0" distR="0" wp14:anchorId="65151BEA" wp14:editId="75DCC1DC">
            <wp:extent cx="5465445" cy="2607056"/>
            <wp:effectExtent l="12192" t="6096" r="8763" b="508"/>
            <wp:docPr id="133"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0542F9E5" w14:textId="77777777" w:rsidR="003F2EB6" w:rsidRDefault="003F2EB6" w:rsidP="003F2EB6">
      <w:pPr>
        <w:widowControl w:val="0"/>
        <w:autoSpaceDE w:val="0"/>
        <w:autoSpaceDN w:val="0"/>
        <w:adjustRightInd w:val="0"/>
        <w:spacing w:line="259" w:lineRule="atLeast"/>
        <w:rPr>
          <w:rFonts w:cs="Calibri"/>
        </w:rPr>
      </w:pPr>
    </w:p>
    <w:p w14:paraId="75797219" w14:textId="77777777" w:rsidR="00E63080" w:rsidRDefault="00E63080" w:rsidP="003F2EB6">
      <w:pPr>
        <w:widowControl w:val="0"/>
        <w:autoSpaceDE w:val="0"/>
        <w:autoSpaceDN w:val="0"/>
        <w:adjustRightInd w:val="0"/>
        <w:spacing w:line="259" w:lineRule="atLeast"/>
        <w:rPr>
          <w:rFonts w:cs="Calibri"/>
        </w:rPr>
      </w:pPr>
    </w:p>
    <w:p w14:paraId="4F1B13DB" w14:textId="77777777" w:rsidR="006215A3" w:rsidRDefault="006215A3" w:rsidP="00E63080">
      <w:pPr>
        <w:rPr>
          <w:lang w:val="en-GB" w:eastAsia="en-GB"/>
        </w:rPr>
      </w:pPr>
      <w:r w:rsidRPr="001170AC">
        <w:rPr>
          <w:lang w:val="en-GB" w:eastAsia="en-GB"/>
        </w:rPr>
        <w:lastRenderedPageBreak/>
        <w:t xml:space="preserve">The performance of </w:t>
      </w:r>
      <w:r>
        <w:rPr>
          <w:lang w:val="en-GB" w:eastAsia="en-GB"/>
        </w:rPr>
        <w:t xml:space="preserve">recurrent budget is </w:t>
      </w:r>
      <w:r w:rsidRPr="001170AC">
        <w:rPr>
          <w:lang w:val="en-GB" w:eastAsia="en-GB"/>
        </w:rPr>
        <w:t>consistently high – above 8</w:t>
      </w:r>
      <w:r>
        <w:rPr>
          <w:lang w:val="en-GB" w:eastAsia="en-GB"/>
        </w:rPr>
        <w:t>3%</w:t>
      </w:r>
      <w:r w:rsidRPr="001170AC">
        <w:rPr>
          <w:lang w:val="en-GB" w:eastAsia="en-GB"/>
        </w:rPr>
        <w:t xml:space="preserve"> for each year in the review period. </w:t>
      </w:r>
      <w:r>
        <w:rPr>
          <w:lang w:val="en-GB" w:eastAsia="en-GB"/>
        </w:rPr>
        <w:t xml:space="preserve">However, the performance of the development budget is very poor. Only 20% and 23% of the development budget was spent in 2013/14 and 2014/15 financial years respectively (Figure 3.6b). </w:t>
      </w:r>
    </w:p>
    <w:p w14:paraId="5CD58C41" w14:textId="77777777" w:rsidR="00E63080" w:rsidRPr="006215A3" w:rsidRDefault="00E63080" w:rsidP="00E63080">
      <w:pPr>
        <w:rPr>
          <w:rFonts w:cs="Calibri"/>
          <w:iCs/>
        </w:rPr>
      </w:pPr>
    </w:p>
    <w:p w14:paraId="07726F56" w14:textId="77777777" w:rsidR="003F2EB6" w:rsidRPr="001170AC" w:rsidRDefault="00E63080" w:rsidP="00E63080">
      <w:pPr>
        <w:pStyle w:val="Caption1"/>
      </w:pPr>
      <w:bookmarkStart w:id="62" w:name="_Toc488423300"/>
      <w:r>
        <w:t>Figure 3.6b:</w:t>
      </w:r>
      <w:r>
        <w:tab/>
      </w:r>
      <w:r w:rsidR="003F2EB6" w:rsidRPr="001170AC">
        <w:t>Local Funding Budget Execution</w:t>
      </w:r>
      <w:bookmarkEnd w:id="62"/>
    </w:p>
    <w:p w14:paraId="4C25E1ED" w14:textId="77777777" w:rsidR="00D332A5" w:rsidRDefault="009525A0" w:rsidP="00D332A5">
      <w:pPr>
        <w:widowControl w:val="0"/>
        <w:autoSpaceDE w:val="0"/>
        <w:autoSpaceDN w:val="0"/>
        <w:adjustRightInd w:val="0"/>
        <w:spacing w:line="259" w:lineRule="atLeast"/>
      </w:pPr>
      <w:r>
        <w:rPr>
          <w:noProof/>
        </w:rPr>
        <w:drawing>
          <wp:inline distT="0" distB="0" distL="0" distR="0" wp14:anchorId="31061DAB" wp14:editId="52ACEFA1">
            <wp:extent cx="4572000" cy="2743200"/>
            <wp:effectExtent l="0" t="0" r="0" b="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645916F7" w14:textId="77777777" w:rsidR="00D332A5" w:rsidRDefault="00D332A5" w:rsidP="00D332A5">
      <w:pPr>
        <w:widowControl w:val="0"/>
        <w:autoSpaceDE w:val="0"/>
        <w:autoSpaceDN w:val="0"/>
        <w:adjustRightInd w:val="0"/>
        <w:spacing w:line="259" w:lineRule="atLeast"/>
      </w:pPr>
    </w:p>
    <w:p w14:paraId="48D2E1B7" w14:textId="77777777" w:rsidR="006215A3" w:rsidRDefault="006215A3" w:rsidP="00E63080">
      <w:pPr>
        <w:rPr>
          <w:lang w:val="en-GB" w:eastAsia="en-GB"/>
        </w:rPr>
      </w:pPr>
      <w:r w:rsidRPr="001170AC">
        <w:rPr>
          <w:lang w:val="en-GB" w:eastAsia="en-GB"/>
        </w:rPr>
        <w:t>The performance of the basket fun</w:t>
      </w:r>
      <w:r w:rsidR="009525A0">
        <w:rPr>
          <w:lang w:val="en-GB" w:eastAsia="en-GB"/>
        </w:rPr>
        <w:t>d is consistently high – above 75</w:t>
      </w:r>
      <w:r w:rsidRPr="001170AC">
        <w:rPr>
          <w:lang w:val="en-GB" w:eastAsia="en-GB"/>
        </w:rPr>
        <w:t xml:space="preserve">% for each year in the review period. Execution of </w:t>
      </w:r>
      <w:r>
        <w:rPr>
          <w:lang w:val="en-GB" w:eastAsia="en-GB"/>
        </w:rPr>
        <w:t xml:space="preserve">non-basked funding </w:t>
      </w:r>
      <w:r w:rsidRPr="001170AC">
        <w:rPr>
          <w:lang w:val="en-GB" w:eastAsia="en-GB"/>
        </w:rPr>
        <w:t>is the lowest</w:t>
      </w:r>
      <w:r>
        <w:rPr>
          <w:lang w:val="en-GB" w:eastAsia="en-GB"/>
        </w:rPr>
        <w:t xml:space="preserve">. Although the performance was 82% in 2013/14 it declined to 41% in 2014/15 and as </w:t>
      </w:r>
      <w:r w:rsidRPr="001170AC">
        <w:rPr>
          <w:lang w:val="en-GB" w:eastAsia="en-GB"/>
        </w:rPr>
        <w:t xml:space="preserve">low as </w:t>
      </w:r>
      <w:r>
        <w:rPr>
          <w:lang w:val="en-GB" w:eastAsia="en-GB"/>
        </w:rPr>
        <w:t>18</w:t>
      </w:r>
      <w:r w:rsidRPr="001170AC">
        <w:rPr>
          <w:lang w:val="en-GB" w:eastAsia="en-GB"/>
        </w:rPr>
        <w:t>% in 201</w:t>
      </w:r>
      <w:r>
        <w:rPr>
          <w:lang w:val="en-GB" w:eastAsia="en-GB"/>
        </w:rPr>
        <w:t>5</w:t>
      </w:r>
      <w:r w:rsidRPr="001170AC">
        <w:rPr>
          <w:lang w:val="en-GB" w:eastAsia="en-GB"/>
        </w:rPr>
        <w:t>/1</w:t>
      </w:r>
      <w:r>
        <w:rPr>
          <w:lang w:val="en-GB" w:eastAsia="en-GB"/>
        </w:rPr>
        <w:t>6</w:t>
      </w:r>
      <w:r w:rsidR="00170FE6">
        <w:rPr>
          <w:lang w:val="en-GB" w:eastAsia="en-GB"/>
        </w:rPr>
        <w:t xml:space="preserve"> (Figure 3.6c)</w:t>
      </w:r>
      <w:r w:rsidRPr="001170AC">
        <w:rPr>
          <w:lang w:val="en-GB" w:eastAsia="en-GB"/>
        </w:rPr>
        <w:t>.</w:t>
      </w:r>
    </w:p>
    <w:p w14:paraId="5D29F71B" w14:textId="77777777" w:rsidR="006215A3" w:rsidRDefault="006215A3" w:rsidP="00D332A5">
      <w:pPr>
        <w:widowControl w:val="0"/>
        <w:autoSpaceDE w:val="0"/>
        <w:autoSpaceDN w:val="0"/>
        <w:adjustRightInd w:val="0"/>
        <w:spacing w:line="259" w:lineRule="atLeast"/>
      </w:pPr>
    </w:p>
    <w:p w14:paraId="2DF9A78B" w14:textId="77777777" w:rsidR="003F2EB6" w:rsidRDefault="003F2EB6" w:rsidP="00E63080">
      <w:pPr>
        <w:pStyle w:val="Caption1"/>
      </w:pPr>
      <w:bookmarkStart w:id="63" w:name="_Toc488423301"/>
      <w:r w:rsidRPr="001170AC">
        <w:t>Figure 3.6</w:t>
      </w:r>
      <w:r w:rsidR="000468C9" w:rsidRPr="001170AC">
        <w:t>c</w:t>
      </w:r>
      <w:r w:rsidR="00E63080">
        <w:t>:</w:t>
      </w:r>
      <w:r w:rsidR="00E63080">
        <w:tab/>
      </w:r>
      <w:r w:rsidRPr="001170AC">
        <w:t>Foreign Funding Budget Execution</w:t>
      </w:r>
      <w:bookmarkEnd w:id="63"/>
    </w:p>
    <w:p w14:paraId="5D9D4614" w14:textId="77777777" w:rsidR="0047218F" w:rsidRDefault="0047218F" w:rsidP="00E63080">
      <w:pPr>
        <w:rPr>
          <w:lang w:val="en-GB" w:eastAsia="en-GB"/>
        </w:rPr>
      </w:pPr>
      <w:r>
        <w:rPr>
          <w:noProof/>
        </w:rPr>
        <w:drawing>
          <wp:inline distT="0" distB="0" distL="0" distR="0" wp14:anchorId="4F71CA68" wp14:editId="5B6EC63B">
            <wp:extent cx="4572000" cy="27432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75964B26" w14:textId="77777777" w:rsidR="0047218F" w:rsidRDefault="0047218F" w:rsidP="00E63080">
      <w:pPr>
        <w:rPr>
          <w:lang w:val="en-GB" w:eastAsia="en-GB"/>
        </w:rPr>
      </w:pPr>
    </w:p>
    <w:p w14:paraId="21CDE180" w14:textId="77777777" w:rsidR="0047218F" w:rsidRDefault="0047218F" w:rsidP="00E63080">
      <w:pPr>
        <w:rPr>
          <w:lang w:val="en-GB" w:eastAsia="en-GB"/>
        </w:rPr>
      </w:pPr>
    </w:p>
    <w:p w14:paraId="7250A62B" w14:textId="77777777" w:rsidR="00E63080" w:rsidRDefault="007865E1" w:rsidP="00E63080">
      <w:pPr>
        <w:rPr>
          <w:lang w:val="en-GB" w:eastAsia="en-GB"/>
        </w:rPr>
      </w:pPr>
      <w:r w:rsidRPr="007865E1">
        <w:rPr>
          <w:lang w:val="en-GB" w:eastAsia="en-GB"/>
        </w:rPr>
        <w:lastRenderedPageBreak/>
        <w:t xml:space="preserve">Examination of budget performance by the Departments in the Ministry of Health shows inconsistent pattern (Figure 3.6d). While Departments such as </w:t>
      </w:r>
      <w:r>
        <w:rPr>
          <w:lang w:val="en-GB" w:eastAsia="en-GB"/>
        </w:rPr>
        <w:t xml:space="preserve">Administration and Personal, </w:t>
      </w:r>
      <w:r w:rsidRPr="007865E1">
        <w:rPr>
          <w:lang w:val="en-GB" w:eastAsia="en-GB"/>
        </w:rPr>
        <w:t xml:space="preserve">Finance and Accounts, </w:t>
      </w:r>
      <w:r>
        <w:rPr>
          <w:lang w:val="en-GB" w:eastAsia="en-GB"/>
        </w:rPr>
        <w:t xml:space="preserve">Chief Medical Officer, and Pharmaceutical services </w:t>
      </w:r>
      <w:r w:rsidRPr="007865E1">
        <w:rPr>
          <w:lang w:val="en-GB" w:eastAsia="en-GB"/>
        </w:rPr>
        <w:t xml:space="preserve">have high performance </w:t>
      </w:r>
      <w:r>
        <w:rPr>
          <w:lang w:val="en-GB" w:eastAsia="en-GB"/>
        </w:rPr>
        <w:t>(80</w:t>
      </w:r>
      <w:r w:rsidRPr="007865E1">
        <w:rPr>
          <w:lang w:val="en-GB" w:eastAsia="en-GB"/>
        </w:rPr>
        <w:t xml:space="preserve">% and above) </w:t>
      </w:r>
      <w:r>
        <w:rPr>
          <w:lang w:val="en-GB" w:eastAsia="en-GB"/>
        </w:rPr>
        <w:t xml:space="preserve">Nursing and Midwifery Services, </w:t>
      </w:r>
      <w:r w:rsidR="004C6ED8">
        <w:rPr>
          <w:lang w:val="en-GB" w:eastAsia="en-GB"/>
        </w:rPr>
        <w:t>Information, Community, and Technology (</w:t>
      </w:r>
      <w:r>
        <w:rPr>
          <w:lang w:val="en-GB" w:eastAsia="en-GB"/>
        </w:rPr>
        <w:t>ICT</w:t>
      </w:r>
      <w:r w:rsidR="004C6ED8">
        <w:rPr>
          <w:lang w:val="en-GB" w:eastAsia="en-GB"/>
        </w:rPr>
        <w:t>)</w:t>
      </w:r>
      <w:r>
        <w:rPr>
          <w:lang w:val="en-GB" w:eastAsia="en-GB"/>
        </w:rPr>
        <w:t xml:space="preserve">, Procurement and Management, Policy and Planning have a performance that is less than 50%. </w:t>
      </w:r>
      <w:r w:rsidRPr="001170AC">
        <w:rPr>
          <w:lang w:val="en-GB" w:eastAsia="en-GB"/>
        </w:rPr>
        <w:t xml:space="preserve"> </w:t>
      </w:r>
    </w:p>
    <w:p w14:paraId="1B03A214" w14:textId="77777777" w:rsidR="007865E1" w:rsidRPr="001170AC" w:rsidRDefault="007865E1" w:rsidP="00E63080">
      <w:pPr>
        <w:rPr>
          <w:lang w:val="en-GB" w:eastAsia="en-GB"/>
        </w:rPr>
      </w:pPr>
      <w:r w:rsidRPr="001170AC">
        <w:rPr>
          <w:lang w:val="en-GB" w:eastAsia="en-GB"/>
        </w:rPr>
        <w:t xml:space="preserve"> </w:t>
      </w:r>
    </w:p>
    <w:p w14:paraId="756DA6D0" w14:textId="77777777" w:rsidR="00B95B55" w:rsidRPr="001170AC" w:rsidRDefault="00B95B55" w:rsidP="00E63080">
      <w:pPr>
        <w:pStyle w:val="Caption1"/>
      </w:pPr>
      <w:bookmarkStart w:id="64" w:name="_Toc488423302"/>
      <w:r w:rsidRPr="001170AC">
        <w:t xml:space="preserve">Figure </w:t>
      </w:r>
      <w:r w:rsidR="000468C9" w:rsidRPr="001170AC">
        <w:t>3.6d</w:t>
      </w:r>
      <w:r w:rsidR="00E63080">
        <w:t>:</w:t>
      </w:r>
      <w:r w:rsidR="00E63080">
        <w:tab/>
      </w:r>
      <w:r w:rsidR="000468C9">
        <w:t>Budget E</w:t>
      </w:r>
      <w:r w:rsidR="000468C9" w:rsidRPr="000468C9">
        <w:t xml:space="preserve">xecution </w:t>
      </w:r>
      <w:r w:rsidR="000468C9">
        <w:t xml:space="preserve">by </w:t>
      </w:r>
      <w:r w:rsidRPr="001170AC">
        <w:t>M</w:t>
      </w:r>
      <w:r w:rsidR="000468C9" w:rsidRPr="001170AC">
        <w:t>o</w:t>
      </w:r>
      <w:r w:rsidRPr="001170AC">
        <w:t>H</w:t>
      </w:r>
      <w:r w:rsidR="000468C9" w:rsidRPr="001170AC">
        <w:t>CDGEC</w:t>
      </w:r>
      <w:r w:rsidRPr="001170AC">
        <w:t xml:space="preserve"> </w:t>
      </w:r>
      <w:r w:rsidR="000468C9" w:rsidRPr="001170AC">
        <w:t>De</w:t>
      </w:r>
      <w:r w:rsidRPr="001170AC">
        <w:t>partment</w:t>
      </w:r>
      <w:r w:rsidR="000468C9" w:rsidRPr="001170AC">
        <w:t xml:space="preserve">, </w:t>
      </w:r>
      <w:r w:rsidR="007865E1">
        <w:t>2015/16</w:t>
      </w:r>
      <w:bookmarkEnd w:id="64"/>
    </w:p>
    <w:p w14:paraId="0AA579B2" w14:textId="77777777" w:rsidR="00DC0733" w:rsidRDefault="00FA7BE5" w:rsidP="00B95B55">
      <w:pPr>
        <w:widowControl w:val="0"/>
        <w:autoSpaceDE w:val="0"/>
        <w:autoSpaceDN w:val="0"/>
        <w:adjustRightInd w:val="0"/>
        <w:spacing w:line="259" w:lineRule="atLeast"/>
        <w:rPr>
          <w:rFonts w:cs="Calibri"/>
        </w:rPr>
      </w:pPr>
      <w:r>
        <w:rPr>
          <w:noProof/>
        </w:rPr>
        <w:drawing>
          <wp:inline distT="0" distB="0" distL="0" distR="0" wp14:anchorId="43B7A617" wp14:editId="776BA654">
            <wp:extent cx="5731510" cy="3752850"/>
            <wp:effectExtent l="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093A4628" w14:textId="77777777" w:rsidR="007865E1" w:rsidRDefault="007865E1" w:rsidP="00670B35">
      <w:pPr>
        <w:pStyle w:val="NoSpacing"/>
        <w:spacing w:line="276" w:lineRule="auto"/>
        <w:rPr>
          <w:b/>
        </w:rPr>
      </w:pPr>
      <w:bookmarkStart w:id="65" w:name="_Toc331498499"/>
    </w:p>
    <w:p w14:paraId="1BA2319E" w14:textId="77777777" w:rsidR="00F8467A" w:rsidRPr="001170AC" w:rsidRDefault="00E63080" w:rsidP="00E63080">
      <w:pPr>
        <w:pStyle w:val="Heading2"/>
      </w:pPr>
      <w:bookmarkStart w:id="66" w:name="_Toc488423255"/>
      <w:r>
        <w:t>3.6</w:t>
      </w:r>
      <w:r>
        <w:tab/>
      </w:r>
      <w:r w:rsidR="00F8467A" w:rsidRPr="001170AC">
        <w:t>Health Sector Budget and Expenditure by Levels of Government</w:t>
      </w:r>
      <w:bookmarkEnd w:id="65"/>
      <w:bookmarkEnd w:id="66"/>
    </w:p>
    <w:p w14:paraId="38564002" w14:textId="77777777" w:rsidR="00184272" w:rsidRDefault="00184272" w:rsidP="00670B35">
      <w:pPr>
        <w:pStyle w:val="NoSpacing"/>
        <w:spacing w:line="276" w:lineRule="auto"/>
        <w:rPr>
          <w:color w:val="000000"/>
          <w:lang w:val="en-GB" w:eastAsia="en-GB"/>
        </w:rPr>
      </w:pPr>
    </w:p>
    <w:p w14:paraId="5FE25CC0" w14:textId="77777777" w:rsidR="00F8467A" w:rsidRPr="001170AC" w:rsidRDefault="002F5CA3" w:rsidP="00E577CB">
      <w:pPr>
        <w:rPr>
          <w:lang w:val="en-GB" w:eastAsia="en-GB"/>
        </w:rPr>
      </w:pPr>
      <w:r>
        <w:rPr>
          <w:lang w:val="en-GB" w:eastAsia="en-GB"/>
        </w:rPr>
        <w:t xml:space="preserve">There is a significant change of </w:t>
      </w:r>
      <w:r w:rsidR="00F8467A" w:rsidRPr="001170AC">
        <w:rPr>
          <w:lang w:val="en-GB" w:eastAsia="en-GB"/>
        </w:rPr>
        <w:t xml:space="preserve">shares of resources among levels of government </w:t>
      </w:r>
      <w:r>
        <w:rPr>
          <w:lang w:val="en-GB" w:eastAsia="en-GB"/>
        </w:rPr>
        <w:t>during the 2015/16 and 2016/17 budget cycle. T</w:t>
      </w:r>
      <w:r w:rsidR="00F8467A" w:rsidRPr="001170AC">
        <w:rPr>
          <w:lang w:val="en-GB" w:eastAsia="en-GB"/>
        </w:rPr>
        <w:t xml:space="preserve">he share of centrally controlled </w:t>
      </w:r>
      <w:r w:rsidR="00252011" w:rsidRPr="001170AC">
        <w:rPr>
          <w:lang w:val="en-GB" w:eastAsia="en-GB"/>
        </w:rPr>
        <w:t xml:space="preserve">budgeted </w:t>
      </w:r>
      <w:r w:rsidR="00F8467A" w:rsidRPr="001170AC">
        <w:rPr>
          <w:lang w:val="en-GB" w:eastAsia="en-GB"/>
        </w:rPr>
        <w:t>resources, which includes MoH</w:t>
      </w:r>
      <w:r w:rsidR="00547A95">
        <w:rPr>
          <w:lang w:val="en-GB" w:eastAsia="en-GB"/>
        </w:rPr>
        <w:t>CDGEC</w:t>
      </w:r>
      <w:r w:rsidR="00F8467A" w:rsidRPr="001170AC">
        <w:rPr>
          <w:lang w:val="en-GB" w:eastAsia="en-GB"/>
        </w:rPr>
        <w:t>, PO-RAL</w:t>
      </w:r>
      <w:r>
        <w:rPr>
          <w:lang w:val="en-GB" w:eastAsia="en-GB"/>
        </w:rPr>
        <w:t>G, and the NHIF, declined from 5</w:t>
      </w:r>
      <w:r w:rsidR="00252011" w:rsidRPr="001170AC">
        <w:rPr>
          <w:lang w:val="en-GB" w:eastAsia="en-GB"/>
        </w:rPr>
        <w:t>0</w:t>
      </w:r>
      <w:r w:rsidR="002D4437" w:rsidRPr="001170AC">
        <w:rPr>
          <w:lang w:val="en-GB" w:eastAsia="en-GB"/>
        </w:rPr>
        <w:t xml:space="preserve">% </w:t>
      </w:r>
      <w:r w:rsidR="00F8467A" w:rsidRPr="001170AC">
        <w:rPr>
          <w:lang w:val="en-GB" w:eastAsia="en-GB"/>
        </w:rPr>
        <w:t>in 20</w:t>
      </w:r>
      <w:r w:rsidR="00252011" w:rsidRPr="001170AC">
        <w:rPr>
          <w:lang w:val="en-GB" w:eastAsia="en-GB"/>
        </w:rPr>
        <w:t>1</w:t>
      </w:r>
      <w:r>
        <w:rPr>
          <w:lang w:val="en-GB" w:eastAsia="en-GB"/>
        </w:rPr>
        <w:t>2</w:t>
      </w:r>
      <w:r w:rsidR="00F8467A" w:rsidRPr="001170AC">
        <w:rPr>
          <w:lang w:val="en-GB" w:eastAsia="en-GB"/>
        </w:rPr>
        <w:t>/</w:t>
      </w:r>
      <w:r>
        <w:rPr>
          <w:lang w:val="en-GB" w:eastAsia="en-GB"/>
        </w:rPr>
        <w:t xml:space="preserve">13 to </w:t>
      </w:r>
      <w:r w:rsidR="00252011" w:rsidRPr="001170AC">
        <w:rPr>
          <w:lang w:val="en-GB" w:eastAsia="en-GB"/>
        </w:rPr>
        <w:t>4</w:t>
      </w:r>
      <w:r>
        <w:rPr>
          <w:lang w:val="en-GB" w:eastAsia="en-GB"/>
        </w:rPr>
        <w:t>2</w:t>
      </w:r>
      <w:r w:rsidR="002D4437" w:rsidRPr="001170AC">
        <w:rPr>
          <w:lang w:val="en-GB" w:eastAsia="en-GB"/>
        </w:rPr>
        <w:t xml:space="preserve">% </w:t>
      </w:r>
      <w:r w:rsidR="00F8467A" w:rsidRPr="001170AC">
        <w:rPr>
          <w:lang w:val="en-GB" w:eastAsia="en-GB"/>
        </w:rPr>
        <w:t>in 201</w:t>
      </w:r>
      <w:r>
        <w:rPr>
          <w:lang w:val="en-GB" w:eastAsia="en-GB"/>
        </w:rPr>
        <w:t>5</w:t>
      </w:r>
      <w:r w:rsidR="00F8467A" w:rsidRPr="001170AC">
        <w:rPr>
          <w:lang w:val="en-GB" w:eastAsia="en-GB"/>
        </w:rPr>
        <w:t>/1</w:t>
      </w:r>
      <w:r>
        <w:rPr>
          <w:lang w:val="en-GB" w:eastAsia="en-GB"/>
        </w:rPr>
        <w:t>6.</w:t>
      </w:r>
      <w:r w:rsidR="002D4437" w:rsidRPr="001170AC">
        <w:rPr>
          <w:lang w:val="en-GB" w:eastAsia="en-GB"/>
        </w:rPr>
        <w:t xml:space="preserve"> </w:t>
      </w:r>
      <w:r w:rsidR="00252011" w:rsidRPr="001170AC">
        <w:rPr>
          <w:lang w:val="en-GB" w:eastAsia="en-GB"/>
        </w:rPr>
        <w:t xml:space="preserve">The actual expenditure </w:t>
      </w:r>
      <w:r>
        <w:rPr>
          <w:lang w:val="en-GB" w:eastAsia="en-GB"/>
        </w:rPr>
        <w:t>also dec</w:t>
      </w:r>
      <w:r w:rsidR="002D4437" w:rsidRPr="001170AC">
        <w:rPr>
          <w:lang w:val="en-GB" w:eastAsia="en-GB"/>
        </w:rPr>
        <w:t xml:space="preserve">reased </w:t>
      </w:r>
      <w:r w:rsidR="00252011" w:rsidRPr="001170AC">
        <w:rPr>
          <w:lang w:val="en-GB" w:eastAsia="en-GB"/>
        </w:rPr>
        <w:t>from 5</w:t>
      </w:r>
      <w:r>
        <w:rPr>
          <w:lang w:val="en-GB" w:eastAsia="en-GB"/>
        </w:rPr>
        <w:t>0</w:t>
      </w:r>
      <w:r w:rsidR="002D4437" w:rsidRPr="001170AC">
        <w:rPr>
          <w:lang w:val="en-GB" w:eastAsia="en-GB"/>
        </w:rPr>
        <w:t>% in 201</w:t>
      </w:r>
      <w:r>
        <w:rPr>
          <w:lang w:val="en-GB" w:eastAsia="en-GB"/>
        </w:rPr>
        <w:t>2</w:t>
      </w:r>
      <w:r w:rsidR="002D4437" w:rsidRPr="001170AC">
        <w:rPr>
          <w:lang w:val="en-GB" w:eastAsia="en-GB"/>
        </w:rPr>
        <w:t>/1</w:t>
      </w:r>
      <w:r>
        <w:rPr>
          <w:lang w:val="en-GB" w:eastAsia="en-GB"/>
        </w:rPr>
        <w:t>3</w:t>
      </w:r>
      <w:r w:rsidR="002D4437" w:rsidRPr="001170AC">
        <w:rPr>
          <w:lang w:val="en-GB" w:eastAsia="en-GB"/>
        </w:rPr>
        <w:t xml:space="preserve"> </w:t>
      </w:r>
      <w:r w:rsidR="00252011" w:rsidRPr="001170AC">
        <w:rPr>
          <w:lang w:val="en-GB" w:eastAsia="en-GB"/>
        </w:rPr>
        <w:t xml:space="preserve">to </w:t>
      </w:r>
      <w:r>
        <w:rPr>
          <w:lang w:val="en-GB" w:eastAsia="en-GB"/>
        </w:rPr>
        <w:t>2</w:t>
      </w:r>
      <w:r w:rsidR="002D4437" w:rsidRPr="001170AC">
        <w:rPr>
          <w:lang w:val="en-GB" w:eastAsia="en-GB"/>
        </w:rPr>
        <w:t>9% in 201</w:t>
      </w:r>
      <w:r>
        <w:rPr>
          <w:lang w:val="en-GB" w:eastAsia="en-GB"/>
        </w:rPr>
        <w:t>5</w:t>
      </w:r>
      <w:r w:rsidR="002D4437" w:rsidRPr="001170AC">
        <w:rPr>
          <w:lang w:val="en-GB" w:eastAsia="en-GB"/>
        </w:rPr>
        <w:t>/1</w:t>
      </w:r>
      <w:r>
        <w:rPr>
          <w:lang w:val="en-GB" w:eastAsia="en-GB"/>
        </w:rPr>
        <w:t>6</w:t>
      </w:r>
      <w:r w:rsidR="00252011" w:rsidRPr="001170AC">
        <w:rPr>
          <w:lang w:val="en-GB" w:eastAsia="en-GB"/>
        </w:rPr>
        <w:t xml:space="preserve">. </w:t>
      </w:r>
      <w:r w:rsidR="00F8467A" w:rsidRPr="001170AC">
        <w:rPr>
          <w:lang w:val="en-GB" w:eastAsia="en-GB"/>
        </w:rPr>
        <w:t xml:space="preserve">The share of </w:t>
      </w:r>
      <w:r w:rsidR="009E2F6B">
        <w:rPr>
          <w:lang w:val="en-GB" w:eastAsia="en-GB"/>
        </w:rPr>
        <w:t xml:space="preserve">budgeted </w:t>
      </w:r>
      <w:r w:rsidR="00F8467A" w:rsidRPr="001170AC">
        <w:rPr>
          <w:lang w:val="en-GB" w:eastAsia="en-GB"/>
        </w:rPr>
        <w:t xml:space="preserve">resources going to the </w:t>
      </w:r>
      <w:r w:rsidR="00252011" w:rsidRPr="001170AC">
        <w:rPr>
          <w:lang w:val="en-GB" w:eastAsia="en-GB"/>
        </w:rPr>
        <w:t>Local Government Authorities (</w:t>
      </w:r>
      <w:r w:rsidR="00F8467A" w:rsidRPr="001170AC">
        <w:rPr>
          <w:lang w:val="en-GB" w:eastAsia="en-GB"/>
        </w:rPr>
        <w:t>LGAs</w:t>
      </w:r>
      <w:r w:rsidR="00252011" w:rsidRPr="001170AC">
        <w:rPr>
          <w:lang w:val="en-GB" w:eastAsia="en-GB"/>
        </w:rPr>
        <w:t>)</w:t>
      </w:r>
      <w:r w:rsidR="00F8467A" w:rsidRPr="001170AC">
        <w:rPr>
          <w:lang w:val="en-GB" w:eastAsia="en-GB"/>
        </w:rPr>
        <w:t xml:space="preserve"> </w:t>
      </w:r>
      <w:r w:rsidR="004E3A1A" w:rsidRPr="001170AC">
        <w:rPr>
          <w:lang w:val="en-GB" w:eastAsia="en-GB"/>
        </w:rPr>
        <w:t xml:space="preserve">increased </w:t>
      </w:r>
      <w:r w:rsidR="00F8467A" w:rsidRPr="001170AC">
        <w:rPr>
          <w:lang w:val="en-GB" w:eastAsia="en-GB"/>
        </w:rPr>
        <w:t xml:space="preserve">from </w:t>
      </w:r>
      <w:r>
        <w:rPr>
          <w:lang w:val="en-GB" w:eastAsia="en-GB"/>
        </w:rPr>
        <w:t>42</w:t>
      </w:r>
      <w:r w:rsidR="004E3A1A" w:rsidRPr="001170AC">
        <w:rPr>
          <w:lang w:val="en-GB" w:eastAsia="en-GB"/>
        </w:rPr>
        <w:t xml:space="preserve">% </w:t>
      </w:r>
      <w:r w:rsidR="00F8467A" w:rsidRPr="001170AC">
        <w:rPr>
          <w:lang w:val="en-GB" w:eastAsia="en-GB"/>
        </w:rPr>
        <w:t>of the budget in 20</w:t>
      </w:r>
      <w:r w:rsidR="00252011" w:rsidRPr="001170AC">
        <w:rPr>
          <w:lang w:val="en-GB" w:eastAsia="en-GB"/>
        </w:rPr>
        <w:t>1</w:t>
      </w:r>
      <w:r>
        <w:rPr>
          <w:lang w:val="en-GB" w:eastAsia="en-GB"/>
        </w:rPr>
        <w:t>2</w:t>
      </w:r>
      <w:r w:rsidR="00F8467A" w:rsidRPr="001170AC">
        <w:rPr>
          <w:lang w:val="en-GB" w:eastAsia="en-GB"/>
        </w:rPr>
        <w:t>/</w:t>
      </w:r>
      <w:r w:rsidR="00252011" w:rsidRPr="001170AC">
        <w:rPr>
          <w:lang w:val="en-GB" w:eastAsia="en-GB"/>
        </w:rPr>
        <w:t>1</w:t>
      </w:r>
      <w:r>
        <w:rPr>
          <w:lang w:val="en-GB" w:eastAsia="en-GB"/>
        </w:rPr>
        <w:t>3</w:t>
      </w:r>
      <w:r w:rsidR="00F8467A" w:rsidRPr="001170AC">
        <w:rPr>
          <w:lang w:val="en-GB" w:eastAsia="en-GB"/>
        </w:rPr>
        <w:t xml:space="preserve"> to </w:t>
      </w:r>
      <w:r>
        <w:rPr>
          <w:lang w:val="en-GB" w:eastAsia="en-GB"/>
        </w:rPr>
        <w:t>58</w:t>
      </w:r>
      <w:r w:rsidR="004E3A1A" w:rsidRPr="001170AC">
        <w:rPr>
          <w:lang w:val="en-GB" w:eastAsia="en-GB"/>
        </w:rPr>
        <w:t>% in 201</w:t>
      </w:r>
      <w:r>
        <w:rPr>
          <w:lang w:val="en-GB" w:eastAsia="en-GB"/>
        </w:rPr>
        <w:t>6</w:t>
      </w:r>
      <w:r w:rsidR="004E3A1A" w:rsidRPr="001170AC">
        <w:rPr>
          <w:lang w:val="en-GB" w:eastAsia="en-GB"/>
        </w:rPr>
        <w:t>/1</w:t>
      </w:r>
      <w:r>
        <w:rPr>
          <w:lang w:val="en-GB" w:eastAsia="en-GB"/>
        </w:rPr>
        <w:t>7</w:t>
      </w:r>
      <w:r w:rsidR="004E3A1A" w:rsidRPr="001170AC">
        <w:rPr>
          <w:lang w:val="en-GB" w:eastAsia="en-GB"/>
        </w:rPr>
        <w:t xml:space="preserve"> while the actual spending </w:t>
      </w:r>
      <w:r>
        <w:rPr>
          <w:lang w:val="en-GB" w:eastAsia="en-GB"/>
        </w:rPr>
        <w:t xml:space="preserve">increased </w:t>
      </w:r>
      <w:r w:rsidR="00252011" w:rsidRPr="001170AC">
        <w:rPr>
          <w:lang w:val="en-GB" w:eastAsia="en-GB"/>
        </w:rPr>
        <w:t xml:space="preserve">from </w:t>
      </w:r>
      <w:r>
        <w:rPr>
          <w:lang w:val="en-GB" w:eastAsia="en-GB"/>
        </w:rPr>
        <w:t>41</w:t>
      </w:r>
      <w:r w:rsidR="004E3A1A" w:rsidRPr="001170AC">
        <w:rPr>
          <w:lang w:val="en-GB" w:eastAsia="en-GB"/>
        </w:rPr>
        <w:t xml:space="preserve">% </w:t>
      </w:r>
      <w:r w:rsidR="00252011" w:rsidRPr="001170AC">
        <w:rPr>
          <w:lang w:val="en-GB" w:eastAsia="en-GB"/>
        </w:rPr>
        <w:t>in 201</w:t>
      </w:r>
      <w:r>
        <w:rPr>
          <w:lang w:val="en-GB" w:eastAsia="en-GB"/>
        </w:rPr>
        <w:t>2</w:t>
      </w:r>
      <w:r w:rsidR="00252011" w:rsidRPr="001170AC">
        <w:rPr>
          <w:lang w:val="en-GB" w:eastAsia="en-GB"/>
        </w:rPr>
        <w:t>/1</w:t>
      </w:r>
      <w:r>
        <w:rPr>
          <w:lang w:val="en-GB" w:eastAsia="en-GB"/>
        </w:rPr>
        <w:t>3</w:t>
      </w:r>
      <w:r w:rsidR="00252011" w:rsidRPr="001170AC">
        <w:rPr>
          <w:lang w:val="en-GB" w:eastAsia="en-GB"/>
        </w:rPr>
        <w:t xml:space="preserve"> to </w:t>
      </w:r>
      <w:r>
        <w:rPr>
          <w:lang w:val="en-GB" w:eastAsia="en-GB"/>
        </w:rPr>
        <w:t xml:space="preserve">49% </w:t>
      </w:r>
      <w:r w:rsidR="00252011" w:rsidRPr="001170AC">
        <w:rPr>
          <w:lang w:val="en-GB" w:eastAsia="en-GB"/>
        </w:rPr>
        <w:t>201</w:t>
      </w:r>
      <w:r>
        <w:rPr>
          <w:lang w:val="en-GB" w:eastAsia="en-GB"/>
        </w:rPr>
        <w:t>6</w:t>
      </w:r>
      <w:r w:rsidR="00252011" w:rsidRPr="001170AC">
        <w:rPr>
          <w:lang w:val="en-GB" w:eastAsia="en-GB"/>
        </w:rPr>
        <w:t>/1</w:t>
      </w:r>
      <w:r>
        <w:rPr>
          <w:lang w:val="en-GB" w:eastAsia="en-GB"/>
        </w:rPr>
        <w:t>7</w:t>
      </w:r>
      <w:r w:rsidR="00F8467A" w:rsidRPr="001170AC">
        <w:rPr>
          <w:lang w:val="en-GB" w:eastAsia="en-GB"/>
        </w:rPr>
        <w:t>.</w:t>
      </w:r>
      <w:r w:rsidR="00A70161">
        <w:rPr>
          <w:lang w:val="en-GB" w:eastAsia="en-GB"/>
        </w:rPr>
        <w:t xml:space="preserve"> </w:t>
      </w:r>
      <w:r w:rsidR="0073078C">
        <w:rPr>
          <w:lang w:val="en-GB" w:eastAsia="en-GB"/>
        </w:rPr>
        <w:t xml:space="preserve">This increase reflects the efforts of the current Government to channel </w:t>
      </w:r>
      <w:r w:rsidR="008217CF">
        <w:rPr>
          <w:lang w:val="en-GB" w:eastAsia="en-GB"/>
        </w:rPr>
        <w:t xml:space="preserve">more </w:t>
      </w:r>
      <w:r w:rsidR="0073078C">
        <w:rPr>
          <w:lang w:val="en-GB" w:eastAsia="en-GB"/>
        </w:rPr>
        <w:t xml:space="preserve">resources to the local level where poverty levels are high. </w:t>
      </w:r>
      <w:r w:rsidR="00A70161" w:rsidRPr="008217CF">
        <w:rPr>
          <w:lang w:val="en-GB" w:eastAsia="en-GB"/>
        </w:rPr>
        <w:t>T</w:t>
      </w:r>
      <w:r w:rsidR="00A70161" w:rsidRPr="008217CF">
        <w:t xml:space="preserve">he funds spent at regional level </w:t>
      </w:r>
      <w:r w:rsidR="003458C1">
        <w:t>h</w:t>
      </w:r>
      <w:r w:rsidR="00A70161" w:rsidRPr="008217CF">
        <w:t>a</w:t>
      </w:r>
      <w:r w:rsidR="003458C1">
        <w:t>ve</w:t>
      </w:r>
      <w:r w:rsidR="00A70161" w:rsidRPr="008217CF">
        <w:t xml:space="preserve"> fluctuated but remained below 10%</w:t>
      </w:r>
      <w:r w:rsidR="008217CF" w:rsidRPr="008217CF">
        <w:t xml:space="preserve"> </w:t>
      </w:r>
      <w:r w:rsidR="003458C1">
        <w:t xml:space="preserve">in 2012/13 to 2014/15. The regional level expenditure reached 10% in 2015/16. </w:t>
      </w:r>
      <w:r w:rsidR="009B6799">
        <w:t>F</w:t>
      </w:r>
      <w:r w:rsidR="00CF3AC5" w:rsidRPr="001170AC">
        <w:rPr>
          <w:lang w:val="en-GB" w:eastAsia="en-GB"/>
        </w:rPr>
        <w:t xml:space="preserve">igure </w:t>
      </w:r>
      <w:r w:rsidR="00F8467A" w:rsidRPr="001170AC">
        <w:rPr>
          <w:lang w:val="en-GB" w:eastAsia="en-GB"/>
        </w:rPr>
        <w:t>3.</w:t>
      </w:r>
      <w:r w:rsidR="00CF3AC5" w:rsidRPr="001170AC">
        <w:rPr>
          <w:lang w:val="en-GB" w:eastAsia="en-GB"/>
        </w:rPr>
        <w:t xml:space="preserve">7 </w:t>
      </w:r>
      <w:r w:rsidR="00F8467A" w:rsidRPr="001170AC">
        <w:rPr>
          <w:lang w:val="en-GB" w:eastAsia="en-GB"/>
        </w:rPr>
        <w:t xml:space="preserve">present a summary of total funding and shares of resources for the health sector at different levels of the government. </w:t>
      </w:r>
    </w:p>
    <w:p w14:paraId="0A0D0B4B" w14:textId="77777777" w:rsidR="001734C4" w:rsidRDefault="001734C4" w:rsidP="00670B35">
      <w:pPr>
        <w:pStyle w:val="TableTitle"/>
        <w:spacing w:before="0" w:after="0" w:line="276" w:lineRule="auto"/>
        <w:jc w:val="left"/>
        <w:rPr>
          <w:rFonts w:ascii="Calibri" w:hAnsi="Calibri"/>
          <w:caps w:val="0"/>
          <w:sz w:val="24"/>
          <w:szCs w:val="24"/>
        </w:rPr>
      </w:pPr>
      <w:bookmarkStart w:id="67" w:name="_Toc327143938"/>
      <w:bookmarkStart w:id="68" w:name="_Toc331434246"/>
    </w:p>
    <w:p w14:paraId="3176F20C" w14:textId="77777777" w:rsidR="000B065A" w:rsidRPr="001170AC" w:rsidRDefault="002D4437" w:rsidP="00E63080">
      <w:pPr>
        <w:pStyle w:val="Caption1"/>
      </w:pPr>
      <w:bookmarkStart w:id="69" w:name="_Toc331434247"/>
      <w:bookmarkStart w:id="70" w:name="_Toc488423303"/>
      <w:bookmarkStart w:id="71" w:name="_Toc327143939"/>
      <w:bookmarkEnd w:id="67"/>
      <w:bookmarkEnd w:id="68"/>
      <w:r w:rsidRPr="001170AC">
        <w:lastRenderedPageBreak/>
        <w:t xml:space="preserve">Figure </w:t>
      </w:r>
      <w:r w:rsidR="000B065A" w:rsidRPr="001170AC">
        <w:t>3.</w:t>
      </w:r>
      <w:r w:rsidRPr="001170AC">
        <w:t>7</w:t>
      </w:r>
      <w:r w:rsidR="00E63080">
        <w:t>:</w:t>
      </w:r>
      <w:r w:rsidR="00E63080">
        <w:tab/>
      </w:r>
      <w:r w:rsidRPr="001170AC">
        <w:rPr>
          <w:lang w:eastAsia="en-GB"/>
        </w:rPr>
        <w:t>Share</w:t>
      </w:r>
      <w:r w:rsidR="00CF3AC5" w:rsidRPr="001170AC">
        <w:rPr>
          <w:lang w:eastAsia="en-GB"/>
        </w:rPr>
        <w:t>s</w:t>
      </w:r>
      <w:r w:rsidRPr="001170AC">
        <w:rPr>
          <w:lang w:eastAsia="en-GB"/>
        </w:rPr>
        <w:t xml:space="preserve"> of Health R</w:t>
      </w:r>
      <w:r w:rsidR="000B065A" w:rsidRPr="001170AC">
        <w:rPr>
          <w:lang w:eastAsia="en-GB"/>
        </w:rPr>
        <w:t xml:space="preserve">esources </w:t>
      </w:r>
      <w:r w:rsidRPr="001170AC">
        <w:rPr>
          <w:lang w:eastAsia="en-GB"/>
        </w:rPr>
        <w:t>to the Different Levels of G</w:t>
      </w:r>
      <w:r w:rsidR="000B065A" w:rsidRPr="001170AC">
        <w:rPr>
          <w:lang w:eastAsia="en-GB"/>
        </w:rPr>
        <w:t>overnment</w:t>
      </w:r>
      <w:bookmarkEnd w:id="69"/>
      <w:bookmarkEnd w:id="70"/>
      <w:r w:rsidR="000B065A" w:rsidRPr="001170AC">
        <w:rPr>
          <w:lang w:eastAsia="en-GB"/>
        </w:rPr>
        <w:t xml:space="preserve"> </w:t>
      </w:r>
      <w:bookmarkEnd w:id="71"/>
    </w:p>
    <w:p w14:paraId="3B3079DF" w14:textId="77777777" w:rsidR="000468C9" w:rsidRPr="001170AC" w:rsidRDefault="000B5E1A" w:rsidP="00670B35">
      <w:pPr>
        <w:rPr>
          <w:b/>
        </w:rPr>
      </w:pPr>
      <w:bookmarkStart w:id="72" w:name="_Toc296596574"/>
      <w:bookmarkStart w:id="73" w:name="_Toc323526009"/>
      <w:bookmarkStart w:id="74" w:name="_Toc327143914"/>
      <w:bookmarkStart w:id="75" w:name="_Toc408467905"/>
      <w:bookmarkStart w:id="76" w:name="_Toc422287333"/>
      <w:bookmarkStart w:id="77" w:name="_Toc296596576"/>
      <w:bookmarkStart w:id="78" w:name="_Toc323526011"/>
      <w:bookmarkStart w:id="79" w:name="_Toc327143916"/>
      <w:bookmarkStart w:id="80" w:name="_Toc331498502"/>
      <w:bookmarkStart w:id="81" w:name="_Toc283889000"/>
      <w:r>
        <w:rPr>
          <w:noProof/>
        </w:rPr>
        <w:drawing>
          <wp:inline distT="0" distB="0" distL="0" distR="0" wp14:anchorId="77D8ECE2" wp14:editId="58048A6B">
            <wp:extent cx="5280660" cy="2887980"/>
            <wp:effectExtent l="19050" t="19050" r="15240" b="26670"/>
            <wp:docPr id="129" name="Chart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1"/>
                    <pic:cNvPicPr>
                      <a:picLocks noChangeArrowheads="1"/>
                    </pic:cNvPicPr>
                  </pic:nvPicPr>
                  <pic:blipFill>
                    <a:blip r:embed="rId23"/>
                    <a:srcRect b="-21"/>
                    <a:stretch>
                      <a:fillRect/>
                    </a:stretch>
                  </pic:blipFill>
                  <pic:spPr bwMode="auto">
                    <a:xfrm>
                      <a:off x="0" y="0"/>
                      <a:ext cx="5280660" cy="2887980"/>
                    </a:xfrm>
                    <a:prstGeom prst="rect">
                      <a:avLst/>
                    </a:prstGeom>
                    <a:noFill/>
                    <a:ln w="19050" cmpd="dbl">
                      <a:solidFill>
                        <a:srgbClr val="3333FF"/>
                      </a:solidFill>
                      <a:miter lim="800000"/>
                      <a:headEnd/>
                      <a:tailEnd/>
                    </a:ln>
                    <a:effectLst/>
                  </pic:spPr>
                </pic:pic>
              </a:graphicData>
            </a:graphic>
          </wp:inline>
        </w:drawing>
      </w:r>
    </w:p>
    <w:p w14:paraId="4DC02CBD" w14:textId="77777777" w:rsidR="006C238F" w:rsidRPr="001170AC" w:rsidRDefault="000468C9" w:rsidP="00E63080">
      <w:pPr>
        <w:pStyle w:val="Heading1"/>
      </w:pPr>
      <w:r w:rsidRPr="001170AC">
        <w:br w:type="page"/>
      </w:r>
      <w:bookmarkStart w:id="82" w:name="_Toc488423256"/>
      <w:r w:rsidR="00E63080">
        <w:lastRenderedPageBreak/>
        <w:t>4.0</w:t>
      </w:r>
      <w:r w:rsidR="00E63080">
        <w:tab/>
      </w:r>
      <w:r w:rsidR="006C238F" w:rsidRPr="001170AC">
        <w:t>Complementary Health Financing</w:t>
      </w:r>
      <w:bookmarkEnd w:id="72"/>
      <w:bookmarkEnd w:id="73"/>
      <w:bookmarkEnd w:id="74"/>
      <w:bookmarkEnd w:id="75"/>
      <w:bookmarkEnd w:id="76"/>
      <w:bookmarkEnd w:id="82"/>
    </w:p>
    <w:p w14:paraId="6081287F" w14:textId="77777777" w:rsidR="006C238F" w:rsidRPr="001170AC" w:rsidRDefault="006C238F" w:rsidP="00670B35">
      <w:pPr>
        <w:pStyle w:val="NoSpacing"/>
        <w:spacing w:line="276" w:lineRule="auto"/>
      </w:pPr>
    </w:p>
    <w:p w14:paraId="55FB882C" w14:textId="77777777" w:rsidR="00C64B0E" w:rsidRPr="001170AC" w:rsidRDefault="00E63080" w:rsidP="00E63080">
      <w:pPr>
        <w:pStyle w:val="Heading2"/>
      </w:pPr>
      <w:bookmarkStart w:id="83" w:name="_Toc488423257"/>
      <w:r>
        <w:t>4.1</w:t>
      </w:r>
      <w:r>
        <w:tab/>
      </w:r>
      <w:r w:rsidR="00C64B0E" w:rsidRPr="001170AC">
        <w:t>Introduction</w:t>
      </w:r>
      <w:bookmarkEnd w:id="83"/>
    </w:p>
    <w:p w14:paraId="2DA3D960" w14:textId="77777777" w:rsidR="002F4630" w:rsidRPr="001170AC" w:rsidRDefault="002F4630" w:rsidP="00670B35"/>
    <w:p w14:paraId="0EAFB463" w14:textId="77777777" w:rsidR="004C6EFE" w:rsidRDefault="00C64B0E" w:rsidP="00E63080">
      <w:r w:rsidRPr="001170AC">
        <w:t>This section reviews three main sources of complementary funding: Health Services Fund</w:t>
      </w:r>
      <w:r w:rsidR="002F4630" w:rsidRPr="001170AC">
        <w:t xml:space="preserve"> (HSF</w:t>
      </w:r>
      <w:r w:rsidRPr="001170AC">
        <w:t>)</w:t>
      </w:r>
      <w:r w:rsidR="00403B55" w:rsidRPr="001170AC">
        <w:t xml:space="preserve">, </w:t>
      </w:r>
      <w:r w:rsidR="002F4630" w:rsidRPr="001170AC">
        <w:t>the National Health Insurance Fund (</w:t>
      </w:r>
      <w:r w:rsidRPr="001170AC">
        <w:t>NHIF</w:t>
      </w:r>
      <w:r w:rsidR="002F4630" w:rsidRPr="001170AC">
        <w:t>)</w:t>
      </w:r>
      <w:r w:rsidR="00403B55" w:rsidRPr="001170AC">
        <w:t xml:space="preserve">, </w:t>
      </w:r>
      <w:r w:rsidRPr="001170AC">
        <w:t xml:space="preserve">and </w:t>
      </w:r>
      <w:r w:rsidR="002F4630" w:rsidRPr="001170AC">
        <w:t>the Community Health Fund (</w:t>
      </w:r>
      <w:r w:rsidRPr="001170AC">
        <w:t>CHF</w:t>
      </w:r>
      <w:r w:rsidR="002F4630" w:rsidRPr="001170AC">
        <w:t>)</w:t>
      </w:r>
      <w:r w:rsidR="00403B55" w:rsidRPr="001170AC">
        <w:t xml:space="preserve">. HSF is basically the user fees paid by patients at the point of health service delivery. </w:t>
      </w:r>
      <w:r w:rsidR="00403B55" w:rsidRPr="001170AC">
        <w:rPr>
          <w:color w:val="000000"/>
          <w:lang w:val="en-GB" w:eastAsia="en-GB"/>
        </w:rPr>
        <w:t>NHIF mobilizes funds from employees and employers to finance health care services for its members. The contribution rate is provided in the Act establishing the Fund as 6</w:t>
      </w:r>
      <w:r w:rsidR="00FA0ABC" w:rsidRPr="001170AC">
        <w:rPr>
          <w:color w:val="000000"/>
          <w:lang w:val="en-GB" w:eastAsia="en-GB"/>
        </w:rPr>
        <w:t xml:space="preserve">% </w:t>
      </w:r>
      <w:r w:rsidR="00403B55" w:rsidRPr="001170AC">
        <w:rPr>
          <w:color w:val="000000"/>
          <w:lang w:val="en-GB" w:eastAsia="en-GB"/>
        </w:rPr>
        <w:t>of the employee’s gross monthly salary (met equally by both employer and employee – 3</w:t>
      </w:r>
      <w:r w:rsidR="00FA0ABC" w:rsidRPr="001170AC">
        <w:rPr>
          <w:color w:val="000000"/>
          <w:lang w:val="en-GB" w:eastAsia="en-GB"/>
        </w:rPr>
        <w:t xml:space="preserve">% </w:t>
      </w:r>
      <w:r w:rsidR="00403B55" w:rsidRPr="001170AC">
        <w:rPr>
          <w:color w:val="000000"/>
          <w:lang w:val="en-GB" w:eastAsia="en-GB"/>
        </w:rPr>
        <w:t xml:space="preserve">each). </w:t>
      </w:r>
      <w:r w:rsidR="00403B55" w:rsidRPr="001170AC">
        <w:t xml:space="preserve"> CHF is a rural health insurance mechanism whereby districts set their own payment premium and the number of beneficiaries per CHF card as directed by the CHF Act of 2001.</w:t>
      </w:r>
      <w:r w:rsidR="004C6EFE">
        <w:t xml:space="preserve"> </w:t>
      </w:r>
    </w:p>
    <w:p w14:paraId="18580230" w14:textId="77777777" w:rsidR="004C6EFE" w:rsidRDefault="004C6EFE" w:rsidP="00E63080"/>
    <w:p w14:paraId="01D7061B" w14:textId="03EEBC1D" w:rsidR="00403B55" w:rsidRPr="001170AC" w:rsidRDefault="004C6EFE" w:rsidP="00E63080">
      <w:r>
        <w:t xml:space="preserve">The availability of budget and expenditure data in the complementary financing has been a challenge mostly because the Epicor system is not  linked to health facilities where user fee and CHF  are collected and spent at the point of collection. This pose a challenge on having accurate data on the complementary financing. </w:t>
      </w:r>
    </w:p>
    <w:p w14:paraId="3111DF33" w14:textId="77777777" w:rsidR="00403B55" w:rsidRPr="001170AC" w:rsidRDefault="00403B55" w:rsidP="00670B35"/>
    <w:p w14:paraId="15AC7383" w14:textId="77777777" w:rsidR="00C64B0E" w:rsidRPr="001170AC" w:rsidRDefault="005F296B" w:rsidP="00E63080">
      <w:pPr>
        <w:pStyle w:val="Heading2"/>
      </w:pPr>
      <w:bookmarkStart w:id="84" w:name="_Toc408467906"/>
      <w:bookmarkStart w:id="85" w:name="_Toc422287334"/>
      <w:bookmarkStart w:id="86" w:name="_Toc488423258"/>
      <w:r>
        <w:t>4.2</w:t>
      </w:r>
      <w:r>
        <w:tab/>
      </w:r>
      <w:r w:rsidR="00C64B0E" w:rsidRPr="001170AC">
        <w:t>Health Services Fund</w:t>
      </w:r>
      <w:bookmarkEnd w:id="84"/>
      <w:bookmarkEnd w:id="85"/>
      <w:bookmarkEnd w:id="86"/>
    </w:p>
    <w:p w14:paraId="13D813C0" w14:textId="77777777" w:rsidR="002F4630" w:rsidRPr="001170AC" w:rsidRDefault="002F4630" w:rsidP="00670B35">
      <w:pPr>
        <w:pStyle w:val="NoSpacing"/>
        <w:spacing w:line="276" w:lineRule="auto"/>
        <w:rPr>
          <w:color w:val="000000"/>
          <w:lang w:val="en-GB" w:eastAsia="en-GB"/>
        </w:rPr>
      </w:pPr>
    </w:p>
    <w:p w14:paraId="637A7833" w14:textId="77777777" w:rsidR="002F4630" w:rsidRPr="001170AC" w:rsidRDefault="002F4630" w:rsidP="00670B35">
      <w:pPr>
        <w:pStyle w:val="NoSpacing"/>
        <w:spacing w:line="276" w:lineRule="auto"/>
        <w:rPr>
          <w:color w:val="000000"/>
          <w:lang w:val="en-GB" w:eastAsia="en-GB"/>
        </w:rPr>
      </w:pPr>
      <w:r w:rsidRPr="001170AC">
        <w:rPr>
          <w:color w:val="000000"/>
          <w:lang w:val="en-GB" w:eastAsia="en-GB"/>
        </w:rPr>
        <w:t xml:space="preserve">The HSF continues to be an important source of funding for health facilities especially for operations and maintenance. </w:t>
      </w:r>
    </w:p>
    <w:p w14:paraId="6C62395B" w14:textId="77777777" w:rsidR="00C64B0E" w:rsidRPr="001170AC" w:rsidRDefault="00C64B0E" w:rsidP="00670B35">
      <w:pPr>
        <w:rPr>
          <w:highlight w:val="yellow"/>
        </w:rPr>
      </w:pPr>
    </w:p>
    <w:p w14:paraId="0F3F496E" w14:textId="77777777" w:rsidR="00C64B0E" w:rsidRPr="001170AC" w:rsidRDefault="00C64B0E" w:rsidP="005843C2">
      <w:pPr>
        <w:pStyle w:val="Caption"/>
      </w:pPr>
      <w:bookmarkStart w:id="87" w:name="_Toc488423283"/>
      <w:r w:rsidRPr="001170AC">
        <w:t xml:space="preserve">Table </w:t>
      </w:r>
      <w:r w:rsidR="005F296B">
        <w:t>4.1:</w:t>
      </w:r>
      <w:r w:rsidR="005F296B">
        <w:tab/>
      </w:r>
      <w:r w:rsidR="002F4630" w:rsidRPr="001170AC">
        <w:t>HSF Revenues and E</w:t>
      </w:r>
      <w:r w:rsidRPr="001170AC">
        <w:t>xpenditures, FY201</w:t>
      </w:r>
      <w:r w:rsidR="00416EB2">
        <w:t>2</w:t>
      </w:r>
      <w:r w:rsidRPr="001170AC">
        <w:t>/1</w:t>
      </w:r>
      <w:r w:rsidR="00416EB2">
        <w:t>3</w:t>
      </w:r>
      <w:r w:rsidR="002F4630" w:rsidRPr="001170AC">
        <w:t xml:space="preserve"> – FY</w:t>
      </w:r>
      <w:r w:rsidRPr="001170AC">
        <w:t>201</w:t>
      </w:r>
      <w:r w:rsidR="00416EB2">
        <w:t>5</w:t>
      </w:r>
      <w:r w:rsidRPr="001170AC">
        <w:t>/1</w:t>
      </w:r>
      <w:r w:rsidR="00416EB2">
        <w:t>6</w:t>
      </w:r>
      <w:bookmarkEnd w:id="87"/>
    </w:p>
    <w:tbl>
      <w:tblPr>
        <w:tblW w:w="5000" w:type="pct"/>
        <w:tblBorders>
          <w:top w:val="double" w:sz="4" w:space="0" w:color="0000FF"/>
          <w:left w:val="double" w:sz="4" w:space="0" w:color="0000FF"/>
          <w:bottom w:val="double" w:sz="4" w:space="0" w:color="0000FF"/>
          <w:right w:val="double" w:sz="4" w:space="0" w:color="0000FF"/>
          <w:insideH w:val="single" w:sz="4" w:space="0" w:color="auto"/>
          <w:insideV w:val="single" w:sz="4" w:space="0" w:color="auto"/>
        </w:tblBorders>
        <w:tblLook w:val="04A0" w:firstRow="1" w:lastRow="0" w:firstColumn="1" w:lastColumn="0" w:noHBand="0" w:noVBand="1"/>
      </w:tblPr>
      <w:tblGrid>
        <w:gridCol w:w="1250"/>
        <w:gridCol w:w="1949"/>
        <w:gridCol w:w="1972"/>
        <w:gridCol w:w="1997"/>
        <w:gridCol w:w="1828"/>
      </w:tblGrid>
      <w:tr w:rsidR="0073078C" w:rsidRPr="00E63080" w14:paraId="64282500" w14:textId="77777777" w:rsidTr="00E63080">
        <w:trPr>
          <w:trHeight w:val="296"/>
        </w:trPr>
        <w:tc>
          <w:tcPr>
            <w:tcW w:w="695" w:type="pct"/>
            <w:shd w:val="clear" w:color="auto" w:fill="C2D69B" w:themeFill="accent3" w:themeFillTint="99"/>
            <w:noWrap/>
            <w:vAlign w:val="center"/>
            <w:hideMark/>
          </w:tcPr>
          <w:p w14:paraId="09F0ADB2" w14:textId="77777777" w:rsidR="0073078C" w:rsidRPr="00E63080" w:rsidRDefault="00566F9E" w:rsidP="00E63080">
            <w:pPr>
              <w:spacing w:line="240" w:lineRule="auto"/>
              <w:jc w:val="center"/>
              <w:rPr>
                <w:b/>
                <w:color w:val="000000"/>
                <w:sz w:val="22"/>
                <w:szCs w:val="22"/>
              </w:rPr>
            </w:pPr>
            <w:r w:rsidRPr="00E63080">
              <w:rPr>
                <w:b/>
                <w:color w:val="000000"/>
                <w:sz w:val="22"/>
                <w:szCs w:val="22"/>
              </w:rPr>
              <w:t>F</w:t>
            </w:r>
            <w:r w:rsidR="0073078C" w:rsidRPr="00E63080">
              <w:rPr>
                <w:b/>
                <w:color w:val="000000"/>
                <w:sz w:val="22"/>
                <w:szCs w:val="22"/>
              </w:rPr>
              <w:t>Y</w:t>
            </w:r>
          </w:p>
        </w:tc>
        <w:tc>
          <w:tcPr>
            <w:tcW w:w="1083" w:type="pct"/>
            <w:shd w:val="clear" w:color="auto" w:fill="C2D69B" w:themeFill="accent3" w:themeFillTint="99"/>
            <w:vAlign w:val="center"/>
            <w:hideMark/>
          </w:tcPr>
          <w:p w14:paraId="714449FF" w14:textId="77777777" w:rsidR="0073078C" w:rsidRPr="00E63080" w:rsidRDefault="0073078C" w:rsidP="00E63080">
            <w:pPr>
              <w:spacing w:line="240" w:lineRule="auto"/>
              <w:jc w:val="center"/>
              <w:rPr>
                <w:b/>
                <w:bCs/>
                <w:color w:val="000000"/>
                <w:sz w:val="22"/>
                <w:szCs w:val="22"/>
              </w:rPr>
            </w:pPr>
            <w:r w:rsidRPr="00E63080">
              <w:rPr>
                <w:b/>
                <w:bCs/>
                <w:color w:val="000000"/>
                <w:sz w:val="22"/>
                <w:szCs w:val="22"/>
              </w:rPr>
              <w:t>Balance B</w:t>
            </w:r>
            <w:r w:rsidR="000175EB" w:rsidRPr="00E63080">
              <w:rPr>
                <w:b/>
                <w:bCs/>
                <w:color w:val="000000"/>
                <w:sz w:val="22"/>
                <w:szCs w:val="22"/>
              </w:rPr>
              <w:t xml:space="preserve">rought </w:t>
            </w:r>
            <w:r w:rsidRPr="00E63080">
              <w:rPr>
                <w:b/>
                <w:bCs/>
                <w:color w:val="000000"/>
                <w:sz w:val="22"/>
                <w:szCs w:val="22"/>
              </w:rPr>
              <w:t>F</w:t>
            </w:r>
            <w:r w:rsidR="000175EB" w:rsidRPr="00E63080">
              <w:rPr>
                <w:b/>
                <w:bCs/>
                <w:color w:val="000000"/>
                <w:sz w:val="22"/>
                <w:szCs w:val="22"/>
              </w:rPr>
              <w:t>orward</w:t>
            </w:r>
          </w:p>
        </w:tc>
        <w:tc>
          <w:tcPr>
            <w:tcW w:w="1096" w:type="pct"/>
            <w:shd w:val="clear" w:color="auto" w:fill="C2D69B" w:themeFill="accent3" w:themeFillTint="99"/>
            <w:vAlign w:val="center"/>
            <w:hideMark/>
          </w:tcPr>
          <w:p w14:paraId="63D7AEA6" w14:textId="77777777" w:rsidR="0073078C" w:rsidRPr="00E63080" w:rsidRDefault="0073078C" w:rsidP="00E63080">
            <w:pPr>
              <w:spacing w:line="240" w:lineRule="auto"/>
              <w:jc w:val="center"/>
              <w:rPr>
                <w:b/>
                <w:bCs/>
                <w:color w:val="000000"/>
                <w:sz w:val="22"/>
                <w:szCs w:val="22"/>
              </w:rPr>
            </w:pPr>
            <w:r w:rsidRPr="00E63080">
              <w:rPr>
                <w:b/>
                <w:bCs/>
                <w:color w:val="000000"/>
                <w:sz w:val="22"/>
                <w:szCs w:val="22"/>
              </w:rPr>
              <w:t>Receipts</w:t>
            </w:r>
          </w:p>
        </w:tc>
        <w:tc>
          <w:tcPr>
            <w:tcW w:w="1110" w:type="pct"/>
            <w:shd w:val="clear" w:color="auto" w:fill="C2D69B" w:themeFill="accent3" w:themeFillTint="99"/>
            <w:vAlign w:val="center"/>
            <w:hideMark/>
          </w:tcPr>
          <w:p w14:paraId="64540F9D" w14:textId="77777777" w:rsidR="0073078C" w:rsidRPr="00E63080" w:rsidRDefault="0073078C" w:rsidP="00E63080">
            <w:pPr>
              <w:spacing w:line="240" w:lineRule="auto"/>
              <w:jc w:val="center"/>
              <w:rPr>
                <w:b/>
                <w:bCs/>
                <w:color w:val="000000"/>
                <w:sz w:val="22"/>
                <w:szCs w:val="22"/>
              </w:rPr>
            </w:pPr>
            <w:r w:rsidRPr="00E63080">
              <w:rPr>
                <w:b/>
                <w:bCs/>
                <w:color w:val="000000"/>
                <w:sz w:val="22"/>
                <w:szCs w:val="22"/>
              </w:rPr>
              <w:t>Payments</w:t>
            </w:r>
          </w:p>
        </w:tc>
        <w:tc>
          <w:tcPr>
            <w:tcW w:w="1016" w:type="pct"/>
            <w:shd w:val="clear" w:color="auto" w:fill="C2D69B" w:themeFill="accent3" w:themeFillTint="99"/>
            <w:vAlign w:val="center"/>
            <w:hideMark/>
          </w:tcPr>
          <w:p w14:paraId="07E7D6CD" w14:textId="77777777" w:rsidR="0073078C" w:rsidRPr="00E63080" w:rsidRDefault="0073078C" w:rsidP="00E63080">
            <w:pPr>
              <w:spacing w:line="240" w:lineRule="auto"/>
              <w:jc w:val="center"/>
              <w:rPr>
                <w:b/>
                <w:bCs/>
                <w:color w:val="000000"/>
                <w:sz w:val="22"/>
                <w:szCs w:val="22"/>
              </w:rPr>
            </w:pPr>
            <w:r w:rsidRPr="00E63080">
              <w:rPr>
                <w:b/>
                <w:bCs/>
                <w:color w:val="000000"/>
                <w:sz w:val="22"/>
                <w:szCs w:val="22"/>
              </w:rPr>
              <w:t>Closing Balance</w:t>
            </w:r>
          </w:p>
        </w:tc>
      </w:tr>
      <w:tr w:rsidR="0073078C" w:rsidRPr="00E63080" w14:paraId="4D0656FC" w14:textId="77777777" w:rsidTr="00E63080">
        <w:trPr>
          <w:trHeight w:val="315"/>
        </w:trPr>
        <w:tc>
          <w:tcPr>
            <w:tcW w:w="695" w:type="pct"/>
            <w:shd w:val="clear" w:color="auto" w:fill="auto"/>
            <w:vAlign w:val="center"/>
            <w:hideMark/>
          </w:tcPr>
          <w:p w14:paraId="7320697B" w14:textId="77777777" w:rsidR="0073078C" w:rsidRPr="00E63080" w:rsidRDefault="0073078C" w:rsidP="00E63080">
            <w:pPr>
              <w:spacing w:line="240" w:lineRule="auto"/>
              <w:jc w:val="center"/>
              <w:rPr>
                <w:color w:val="000000"/>
                <w:sz w:val="22"/>
                <w:szCs w:val="22"/>
              </w:rPr>
            </w:pPr>
            <w:r w:rsidRPr="00E63080">
              <w:rPr>
                <w:color w:val="000000"/>
                <w:sz w:val="22"/>
                <w:szCs w:val="22"/>
              </w:rPr>
              <w:t>2012/13</w:t>
            </w:r>
          </w:p>
        </w:tc>
        <w:tc>
          <w:tcPr>
            <w:tcW w:w="1083" w:type="pct"/>
            <w:shd w:val="clear" w:color="auto" w:fill="auto"/>
            <w:vAlign w:val="center"/>
            <w:hideMark/>
          </w:tcPr>
          <w:p w14:paraId="3D7B96E2" w14:textId="77777777" w:rsidR="0073078C" w:rsidRPr="00E63080" w:rsidRDefault="0073078C" w:rsidP="00E63080">
            <w:pPr>
              <w:spacing w:line="240" w:lineRule="auto"/>
              <w:jc w:val="right"/>
              <w:rPr>
                <w:color w:val="000000"/>
                <w:sz w:val="22"/>
                <w:szCs w:val="22"/>
              </w:rPr>
            </w:pPr>
            <w:r w:rsidRPr="00E63080">
              <w:rPr>
                <w:color w:val="000000"/>
                <w:sz w:val="22"/>
                <w:szCs w:val="22"/>
              </w:rPr>
              <w:t>405.00</w:t>
            </w:r>
          </w:p>
        </w:tc>
        <w:tc>
          <w:tcPr>
            <w:tcW w:w="1096" w:type="pct"/>
            <w:shd w:val="clear" w:color="auto" w:fill="auto"/>
            <w:vAlign w:val="center"/>
            <w:hideMark/>
          </w:tcPr>
          <w:p w14:paraId="4958380A" w14:textId="77777777" w:rsidR="0073078C" w:rsidRPr="00E63080" w:rsidRDefault="0073078C" w:rsidP="00E63080">
            <w:pPr>
              <w:spacing w:line="240" w:lineRule="auto"/>
              <w:jc w:val="right"/>
              <w:rPr>
                <w:color w:val="000000"/>
                <w:sz w:val="22"/>
                <w:szCs w:val="22"/>
              </w:rPr>
            </w:pPr>
            <w:r w:rsidRPr="00E63080">
              <w:rPr>
                <w:color w:val="000000"/>
                <w:sz w:val="22"/>
                <w:szCs w:val="22"/>
              </w:rPr>
              <w:t>10.49</w:t>
            </w:r>
          </w:p>
        </w:tc>
        <w:tc>
          <w:tcPr>
            <w:tcW w:w="1110" w:type="pct"/>
            <w:shd w:val="clear" w:color="auto" w:fill="auto"/>
            <w:vAlign w:val="center"/>
            <w:hideMark/>
          </w:tcPr>
          <w:p w14:paraId="586AAC9A" w14:textId="77777777" w:rsidR="0073078C" w:rsidRPr="00E63080" w:rsidRDefault="0073078C" w:rsidP="00E63080">
            <w:pPr>
              <w:spacing w:line="240" w:lineRule="auto"/>
              <w:jc w:val="right"/>
              <w:rPr>
                <w:color w:val="000000"/>
                <w:sz w:val="22"/>
                <w:szCs w:val="22"/>
              </w:rPr>
            </w:pPr>
            <w:r w:rsidRPr="00E63080">
              <w:rPr>
                <w:color w:val="000000"/>
                <w:sz w:val="22"/>
                <w:szCs w:val="22"/>
              </w:rPr>
              <w:t>14.08</w:t>
            </w:r>
          </w:p>
        </w:tc>
        <w:tc>
          <w:tcPr>
            <w:tcW w:w="1016" w:type="pct"/>
            <w:shd w:val="clear" w:color="auto" w:fill="auto"/>
            <w:vAlign w:val="center"/>
            <w:hideMark/>
          </w:tcPr>
          <w:p w14:paraId="0F6C690A" w14:textId="77777777" w:rsidR="0073078C" w:rsidRPr="00E63080" w:rsidRDefault="0073078C" w:rsidP="00E63080">
            <w:pPr>
              <w:spacing w:line="240" w:lineRule="auto"/>
              <w:jc w:val="right"/>
              <w:rPr>
                <w:color w:val="000000"/>
                <w:sz w:val="22"/>
                <w:szCs w:val="22"/>
              </w:rPr>
            </w:pPr>
            <w:r w:rsidRPr="00E63080">
              <w:rPr>
                <w:color w:val="000000"/>
                <w:sz w:val="22"/>
                <w:szCs w:val="22"/>
              </w:rPr>
              <w:t>(4.00)</w:t>
            </w:r>
          </w:p>
        </w:tc>
      </w:tr>
      <w:tr w:rsidR="0073078C" w:rsidRPr="00E63080" w14:paraId="395D20AA" w14:textId="77777777" w:rsidTr="00E63080">
        <w:trPr>
          <w:trHeight w:val="206"/>
        </w:trPr>
        <w:tc>
          <w:tcPr>
            <w:tcW w:w="695" w:type="pct"/>
            <w:shd w:val="clear" w:color="auto" w:fill="auto"/>
            <w:noWrap/>
            <w:vAlign w:val="center"/>
            <w:hideMark/>
          </w:tcPr>
          <w:p w14:paraId="0743DDCA" w14:textId="77777777" w:rsidR="0073078C" w:rsidRPr="00E63080" w:rsidRDefault="0073078C" w:rsidP="00E63080">
            <w:pPr>
              <w:spacing w:line="240" w:lineRule="auto"/>
              <w:jc w:val="center"/>
              <w:rPr>
                <w:color w:val="000000"/>
                <w:sz w:val="22"/>
                <w:szCs w:val="22"/>
              </w:rPr>
            </w:pPr>
            <w:r w:rsidRPr="00E63080">
              <w:rPr>
                <w:color w:val="000000"/>
                <w:sz w:val="22"/>
                <w:szCs w:val="22"/>
              </w:rPr>
              <w:t>2014/15</w:t>
            </w:r>
          </w:p>
        </w:tc>
        <w:tc>
          <w:tcPr>
            <w:tcW w:w="1083" w:type="pct"/>
            <w:shd w:val="clear" w:color="auto" w:fill="auto"/>
            <w:noWrap/>
            <w:vAlign w:val="center"/>
            <w:hideMark/>
          </w:tcPr>
          <w:p w14:paraId="51A0327F" w14:textId="77777777" w:rsidR="0073078C" w:rsidRPr="00E63080" w:rsidRDefault="0073078C" w:rsidP="00E63080">
            <w:pPr>
              <w:spacing w:line="240" w:lineRule="auto"/>
              <w:jc w:val="right"/>
              <w:rPr>
                <w:color w:val="000000"/>
                <w:sz w:val="22"/>
                <w:szCs w:val="22"/>
              </w:rPr>
            </w:pPr>
            <w:r w:rsidRPr="00E63080">
              <w:rPr>
                <w:color w:val="000000"/>
                <w:sz w:val="22"/>
                <w:szCs w:val="22"/>
              </w:rPr>
              <w:t>(8,003.16)</w:t>
            </w:r>
          </w:p>
        </w:tc>
        <w:tc>
          <w:tcPr>
            <w:tcW w:w="1096" w:type="pct"/>
            <w:shd w:val="clear" w:color="auto" w:fill="auto"/>
            <w:noWrap/>
            <w:vAlign w:val="center"/>
            <w:hideMark/>
          </w:tcPr>
          <w:p w14:paraId="09BE211C" w14:textId="77777777" w:rsidR="0073078C" w:rsidRPr="00E63080" w:rsidRDefault="0073078C" w:rsidP="00E63080">
            <w:pPr>
              <w:spacing w:line="240" w:lineRule="auto"/>
              <w:jc w:val="right"/>
              <w:rPr>
                <w:color w:val="000000"/>
                <w:sz w:val="22"/>
                <w:szCs w:val="22"/>
              </w:rPr>
            </w:pPr>
            <w:r w:rsidRPr="00E63080">
              <w:rPr>
                <w:color w:val="000000"/>
                <w:sz w:val="22"/>
                <w:szCs w:val="22"/>
              </w:rPr>
              <w:t>6,662.91</w:t>
            </w:r>
          </w:p>
        </w:tc>
        <w:tc>
          <w:tcPr>
            <w:tcW w:w="1110" w:type="pct"/>
            <w:shd w:val="clear" w:color="auto" w:fill="auto"/>
            <w:noWrap/>
            <w:vAlign w:val="center"/>
            <w:hideMark/>
          </w:tcPr>
          <w:p w14:paraId="5E08E305" w14:textId="77777777" w:rsidR="0073078C" w:rsidRPr="00E63080" w:rsidRDefault="0073078C" w:rsidP="00E63080">
            <w:pPr>
              <w:spacing w:line="240" w:lineRule="auto"/>
              <w:jc w:val="right"/>
              <w:rPr>
                <w:color w:val="000000"/>
                <w:sz w:val="22"/>
                <w:szCs w:val="22"/>
              </w:rPr>
            </w:pPr>
            <w:r w:rsidRPr="00E63080">
              <w:rPr>
                <w:color w:val="000000"/>
                <w:sz w:val="22"/>
                <w:szCs w:val="22"/>
              </w:rPr>
              <w:t>5,881.07</w:t>
            </w:r>
          </w:p>
        </w:tc>
        <w:tc>
          <w:tcPr>
            <w:tcW w:w="1016" w:type="pct"/>
            <w:shd w:val="clear" w:color="auto" w:fill="auto"/>
            <w:noWrap/>
            <w:vAlign w:val="center"/>
            <w:hideMark/>
          </w:tcPr>
          <w:p w14:paraId="15FA2B55" w14:textId="77777777" w:rsidR="0073078C" w:rsidRPr="00E63080" w:rsidRDefault="0073078C" w:rsidP="00E63080">
            <w:pPr>
              <w:spacing w:line="240" w:lineRule="auto"/>
              <w:jc w:val="right"/>
              <w:rPr>
                <w:color w:val="000000"/>
                <w:sz w:val="22"/>
                <w:szCs w:val="22"/>
              </w:rPr>
            </w:pPr>
            <w:r w:rsidRPr="00E63080">
              <w:rPr>
                <w:color w:val="000000"/>
                <w:sz w:val="22"/>
                <w:szCs w:val="22"/>
              </w:rPr>
              <w:t>(8,296.90)</w:t>
            </w:r>
          </w:p>
        </w:tc>
      </w:tr>
      <w:tr w:rsidR="0073078C" w:rsidRPr="00E63080" w14:paraId="7063DBD0" w14:textId="77777777" w:rsidTr="00E63080">
        <w:trPr>
          <w:trHeight w:val="300"/>
        </w:trPr>
        <w:tc>
          <w:tcPr>
            <w:tcW w:w="695" w:type="pct"/>
            <w:shd w:val="clear" w:color="auto" w:fill="auto"/>
            <w:noWrap/>
            <w:vAlign w:val="center"/>
            <w:hideMark/>
          </w:tcPr>
          <w:p w14:paraId="44BAE9DB" w14:textId="77777777" w:rsidR="0073078C" w:rsidRPr="00E63080" w:rsidRDefault="0073078C" w:rsidP="00E63080">
            <w:pPr>
              <w:spacing w:line="240" w:lineRule="auto"/>
              <w:jc w:val="center"/>
              <w:rPr>
                <w:color w:val="000000"/>
                <w:sz w:val="22"/>
                <w:szCs w:val="22"/>
              </w:rPr>
            </w:pPr>
            <w:r w:rsidRPr="00E63080">
              <w:rPr>
                <w:color w:val="000000"/>
                <w:sz w:val="22"/>
                <w:szCs w:val="22"/>
              </w:rPr>
              <w:t>2014/15</w:t>
            </w:r>
          </w:p>
        </w:tc>
        <w:tc>
          <w:tcPr>
            <w:tcW w:w="1083" w:type="pct"/>
            <w:shd w:val="clear" w:color="auto" w:fill="auto"/>
            <w:noWrap/>
            <w:vAlign w:val="center"/>
            <w:hideMark/>
          </w:tcPr>
          <w:p w14:paraId="51AA5711" w14:textId="77777777" w:rsidR="0073078C" w:rsidRPr="00E63080" w:rsidRDefault="0073078C" w:rsidP="00E63080">
            <w:pPr>
              <w:spacing w:line="240" w:lineRule="auto"/>
              <w:jc w:val="right"/>
              <w:rPr>
                <w:color w:val="000000"/>
                <w:sz w:val="22"/>
                <w:szCs w:val="22"/>
              </w:rPr>
            </w:pPr>
            <w:r w:rsidRPr="00E63080">
              <w:rPr>
                <w:color w:val="000000"/>
                <w:sz w:val="22"/>
                <w:szCs w:val="22"/>
              </w:rPr>
              <w:t>(8,003.16)</w:t>
            </w:r>
          </w:p>
        </w:tc>
        <w:tc>
          <w:tcPr>
            <w:tcW w:w="1096" w:type="pct"/>
            <w:shd w:val="clear" w:color="auto" w:fill="auto"/>
            <w:noWrap/>
            <w:vAlign w:val="center"/>
            <w:hideMark/>
          </w:tcPr>
          <w:p w14:paraId="0EDAFF38" w14:textId="77777777" w:rsidR="0073078C" w:rsidRPr="00E63080" w:rsidRDefault="0073078C" w:rsidP="00E63080">
            <w:pPr>
              <w:spacing w:line="240" w:lineRule="auto"/>
              <w:jc w:val="right"/>
              <w:rPr>
                <w:color w:val="000000"/>
                <w:sz w:val="22"/>
                <w:szCs w:val="22"/>
              </w:rPr>
            </w:pPr>
            <w:r w:rsidRPr="00E63080">
              <w:rPr>
                <w:color w:val="000000"/>
                <w:sz w:val="22"/>
                <w:szCs w:val="22"/>
              </w:rPr>
              <w:t>25,271.29</w:t>
            </w:r>
          </w:p>
        </w:tc>
        <w:tc>
          <w:tcPr>
            <w:tcW w:w="1110" w:type="pct"/>
            <w:shd w:val="clear" w:color="auto" w:fill="auto"/>
            <w:noWrap/>
            <w:vAlign w:val="center"/>
            <w:hideMark/>
          </w:tcPr>
          <w:p w14:paraId="027DCB3C" w14:textId="77777777" w:rsidR="0073078C" w:rsidRPr="00E63080" w:rsidRDefault="0073078C" w:rsidP="00E63080">
            <w:pPr>
              <w:spacing w:line="240" w:lineRule="auto"/>
              <w:jc w:val="right"/>
              <w:rPr>
                <w:color w:val="000000"/>
                <w:sz w:val="22"/>
                <w:szCs w:val="22"/>
              </w:rPr>
            </w:pPr>
            <w:r w:rsidRPr="00E63080">
              <w:rPr>
                <w:color w:val="000000"/>
                <w:sz w:val="22"/>
                <w:szCs w:val="22"/>
              </w:rPr>
              <w:t>17,268.13</w:t>
            </w:r>
          </w:p>
        </w:tc>
        <w:tc>
          <w:tcPr>
            <w:tcW w:w="1016" w:type="pct"/>
            <w:shd w:val="clear" w:color="auto" w:fill="auto"/>
            <w:noWrap/>
            <w:vAlign w:val="center"/>
            <w:hideMark/>
          </w:tcPr>
          <w:p w14:paraId="2EEA5FA4" w14:textId="77777777" w:rsidR="0073078C" w:rsidRPr="00E63080" w:rsidRDefault="0073078C" w:rsidP="00E63080">
            <w:pPr>
              <w:spacing w:line="240" w:lineRule="auto"/>
              <w:jc w:val="right"/>
              <w:rPr>
                <w:color w:val="000000"/>
                <w:sz w:val="22"/>
                <w:szCs w:val="22"/>
              </w:rPr>
            </w:pPr>
            <w:r w:rsidRPr="00E63080">
              <w:rPr>
                <w:color w:val="000000"/>
                <w:sz w:val="22"/>
                <w:szCs w:val="22"/>
              </w:rPr>
              <w:t>(5,154.96)</w:t>
            </w:r>
          </w:p>
        </w:tc>
      </w:tr>
    </w:tbl>
    <w:p w14:paraId="41F4A51C" w14:textId="77777777" w:rsidR="0073078C" w:rsidRPr="001170AC" w:rsidRDefault="0073078C" w:rsidP="00670B35">
      <w:pPr>
        <w:rPr>
          <w:b/>
        </w:rPr>
      </w:pPr>
    </w:p>
    <w:p w14:paraId="616F0866" w14:textId="77777777" w:rsidR="00A106BB" w:rsidRPr="001170AC" w:rsidRDefault="00E63080" w:rsidP="00E63080">
      <w:pPr>
        <w:pStyle w:val="Heading2"/>
      </w:pPr>
      <w:bookmarkStart w:id="88" w:name="_Toc488423259"/>
      <w:r>
        <w:t>4.3</w:t>
      </w:r>
      <w:r>
        <w:tab/>
      </w:r>
      <w:r w:rsidR="00A106BB" w:rsidRPr="001170AC">
        <w:t>The National Health Insurance Fund</w:t>
      </w:r>
      <w:bookmarkEnd w:id="77"/>
      <w:bookmarkEnd w:id="78"/>
      <w:bookmarkEnd w:id="79"/>
      <w:bookmarkEnd w:id="80"/>
      <w:bookmarkEnd w:id="88"/>
    </w:p>
    <w:bookmarkEnd w:id="81"/>
    <w:p w14:paraId="7BA21A1A" w14:textId="77777777" w:rsidR="00403B55" w:rsidRPr="001170AC" w:rsidRDefault="00403B55" w:rsidP="00670B35">
      <w:pPr>
        <w:pStyle w:val="NoSpacing"/>
        <w:spacing w:line="276" w:lineRule="auto"/>
        <w:rPr>
          <w:color w:val="000000"/>
          <w:lang w:val="en-GB" w:eastAsia="en-GB"/>
        </w:rPr>
      </w:pPr>
    </w:p>
    <w:p w14:paraId="14D04A9D" w14:textId="77777777" w:rsidR="00D323EA" w:rsidRPr="001170AC" w:rsidRDefault="00D323EA" w:rsidP="00E63080">
      <w:pPr>
        <w:pStyle w:val="Heading3"/>
        <w:rPr>
          <w:color w:val="000000"/>
          <w:lang w:val="en-GB" w:eastAsia="en-GB"/>
        </w:rPr>
      </w:pPr>
      <w:bookmarkStart w:id="89" w:name="_Toc488423260"/>
      <w:r w:rsidRPr="001170AC">
        <w:rPr>
          <w:color w:val="000000"/>
          <w:lang w:val="en-GB" w:eastAsia="en-GB"/>
        </w:rPr>
        <w:t>4.3.1</w:t>
      </w:r>
      <w:r w:rsidR="00E63080">
        <w:rPr>
          <w:b w:val="0"/>
          <w:color w:val="000000"/>
          <w:lang w:val="en-GB" w:eastAsia="en-GB"/>
        </w:rPr>
        <w:tab/>
      </w:r>
      <w:r w:rsidRPr="001170AC">
        <w:t>Membership and Utilization of Health Services</w:t>
      </w:r>
      <w:bookmarkEnd w:id="89"/>
    </w:p>
    <w:p w14:paraId="15CB238F" w14:textId="77777777" w:rsidR="00403B55" w:rsidRPr="000175EB" w:rsidRDefault="00403B55" w:rsidP="00670B35">
      <w:r w:rsidRPr="000175EB">
        <w:t xml:space="preserve">Membership of the NHIF grew by </w:t>
      </w:r>
      <w:r w:rsidR="009B604D">
        <w:t>9.7</w:t>
      </w:r>
      <w:r w:rsidR="00FA0ABC" w:rsidRPr="000175EB">
        <w:t xml:space="preserve">% </w:t>
      </w:r>
      <w:r w:rsidRPr="000175EB">
        <w:t>for pri</w:t>
      </w:r>
      <w:r w:rsidR="002B3DEC" w:rsidRPr="000175EB">
        <w:t xml:space="preserve">ncipal </w:t>
      </w:r>
      <w:r w:rsidRPr="000175EB">
        <w:t>members</w:t>
      </w:r>
      <w:r w:rsidR="00F74C21" w:rsidRPr="000175EB">
        <w:t xml:space="preserve"> (from </w:t>
      </w:r>
      <w:r w:rsidR="009B604D">
        <w:t>640,341</w:t>
      </w:r>
      <w:r w:rsidR="00F74C21" w:rsidRPr="000175EB">
        <w:t xml:space="preserve"> in 201</w:t>
      </w:r>
      <w:r w:rsidR="009B604D">
        <w:t>4</w:t>
      </w:r>
      <w:r w:rsidR="00F74C21" w:rsidRPr="000175EB">
        <w:t>/1</w:t>
      </w:r>
      <w:r w:rsidR="009B604D">
        <w:t>5</w:t>
      </w:r>
      <w:r w:rsidRPr="000175EB">
        <w:t xml:space="preserve"> to </w:t>
      </w:r>
      <w:r w:rsidR="009B604D">
        <w:t>702,598</w:t>
      </w:r>
      <w:r w:rsidR="00F74C21" w:rsidRPr="000175EB">
        <w:t xml:space="preserve"> in 201</w:t>
      </w:r>
      <w:r w:rsidR="009B604D">
        <w:t>5</w:t>
      </w:r>
      <w:r w:rsidR="00F74C21" w:rsidRPr="000175EB">
        <w:t>/1</w:t>
      </w:r>
      <w:r w:rsidR="009B604D">
        <w:t>6</w:t>
      </w:r>
      <w:r w:rsidR="00F74C21" w:rsidRPr="000175EB">
        <w:t xml:space="preserve">) </w:t>
      </w:r>
      <w:r w:rsidR="009B604D">
        <w:t>which is an improvement when compared to only 6</w:t>
      </w:r>
      <w:r w:rsidR="00FA0ABC" w:rsidRPr="000175EB">
        <w:t xml:space="preserve">% </w:t>
      </w:r>
      <w:r w:rsidR="00F74C21" w:rsidRPr="000175EB">
        <w:t>growth experienced from 201</w:t>
      </w:r>
      <w:r w:rsidR="009B604D">
        <w:t>3</w:t>
      </w:r>
      <w:r w:rsidR="00F74C21" w:rsidRPr="000175EB">
        <w:t>/1</w:t>
      </w:r>
      <w:r w:rsidR="009B604D">
        <w:t>4</w:t>
      </w:r>
      <w:r w:rsidR="00F74C21" w:rsidRPr="000175EB">
        <w:t xml:space="preserve"> to 201</w:t>
      </w:r>
      <w:r w:rsidR="009B604D">
        <w:t>4</w:t>
      </w:r>
      <w:r w:rsidR="00F74C21" w:rsidRPr="000175EB">
        <w:t>/1</w:t>
      </w:r>
      <w:r w:rsidR="009B604D">
        <w:t>5</w:t>
      </w:r>
      <w:r w:rsidR="00F74C21" w:rsidRPr="000175EB">
        <w:t xml:space="preserve"> (increase from </w:t>
      </w:r>
      <w:r w:rsidR="009B604D">
        <w:t>602,955</w:t>
      </w:r>
      <w:r w:rsidR="00F74C21" w:rsidRPr="000175EB">
        <w:t xml:space="preserve"> to 6</w:t>
      </w:r>
      <w:r w:rsidR="009B604D">
        <w:t>40</w:t>
      </w:r>
      <w:r w:rsidR="00F74C21" w:rsidRPr="000175EB">
        <w:t>,</w:t>
      </w:r>
      <w:r w:rsidR="009B604D">
        <w:t>341</w:t>
      </w:r>
      <w:r w:rsidR="00F74C21" w:rsidRPr="000175EB">
        <w:t xml:space="preserve">). </w:t>
      </w:r>
      <w:r w:rsidRPr="000175EB">
        <w:t xml:space="preserve">The </w:t>
      </w:r>
      <w:r w:rsidR="00F8157E">
        <w:t xml:space="preserve">total </w:t>
      </w:r>
      <w:r w:rsidRPr="000175EB">
        <w:t xml:space="preserve">number of beneficiaries </w:t>
      </w:r>
      <w:r w:rsidR="00F8157E">
        <w:t xml:space="preserve">increased </w:t>
      </w:r>
      <w:r w:rsidRPr="000175EB">
        <w:t xml:space="preserve">slightly by </w:t>
      </w:r>
      <w:r w:rsidR="00F8157E">
        <w:t>4</w:t>
      </w:r>
      <w:r w:rsidR="00FA0ABC" w:rsidRPr="000175EB">
        <w:t xml:space="preserve">% </w:t>
      </w:r>
      <w:r w:rsidRPr="000175EB">
        <w:t>from 3,</w:t>
      </w:r>
      <w:r w:rsidR="00F8157E">
        <w:t>237</w:t>
      </w:r>
      <w:r w:rsidRPr="000175EB">
        <w:t>,</w:t>
      </w:r>
      <w:r w:rsidR="00F8157E">
        <w:t>4</w:t>
      </w:r>
      <w:r w:rsidRPr="000175EB">
        <w:t>3</w:t>
      </w:r>
      <w:r w:rsidR="00F8157E">
        <w:t>4</w:t>
      </w:r>
      <w:r w:rsidRPr="000175EB">
        <w:t xml:space="preserve"> </w:t>
      </w:r>
      <w:r w:rsidR="00F74C21" w:rsidRPr="000175EB">
        <w:t>in 201</w:t>
      </w:r>
      <w:r w:rsidR="00F8157E">
        <w:t>4</w:t>
      </w:r>
      <w:r w:rsidR="00F74C21" w:rsidRPr="000175EB">
        <w:t>/1</w:t>
      </w:r>
      <w:r w:rsidR="00F8157E">
        <w:t>5</w:t>
      </w:r>
      <w:r w:rsidR="00F74C21" w:rsidRPr="000175EB">
        <w:t xml:space="preserve"> </w:t>
      </w:r>
      <w:r w:rsidRPr="000175EB">
        <w:t>to 3,3</w:t>
      </w:r>
      <w:r w:rsidR="00F8157E">
        <w:t>7</w:t>
      </w:r>
      <w:r w:rsidRPr="000175EB">
        <w:t>7,</w:t>
      </w:r>
      <w:r w:rsidR="00F8157E">
        <w:t>02</w:t>
      </w:r>
      <w:r w:rsidRPr="000175EB">
        <w:t>3</w:t>
      </w:r>
      <w:r w:rsidR="00F74C21" w:rsidRPr="000175EB">
        <w:t xml:space="preserve"> in 201</w:t>
      </w:r>
      <w:r w:rsidR="00F8157E">
        <w:t>5</w:t>
      </w:r>
      <w:r w:rsidR="00F74C21" w:rsidRPr="000175EB">
        <w:t>/1</w:t>
      </w:r>
      <w:r w:rsidR="00F8157E">
        <w:t xml:space="preserve">6. The ratio </w:t>
      </w:r>
      <w:r w:rsidRPr="000175EB">
        <w:t xml:space="preserve">of members to beneficiaries </w:t>
      </w:r>
      <w:r w:rsidR="00F8157E">
        <w:t xml:space="preserve">declined </w:t>
      </w:r>
      <w:r w:rsidRPr="000175EB">
        <w:t xml:space="preserve">from 5.52 </w:t>
      </w:r>
      <w:r w:rsidR="00BC4AE2">
        <w:t xml:space="preserve">in 2012/13 </w:t>
      </w:r>
      <w:r w:rsidRPr="000175EB">
        <w:t xml:space="preserve">to </w:t>
      </w:r>
      <w:r w:rsidR="00BC4AE2">
        <w:t xml:space="preserve">4.81 in 2015/16 </w:t>
      </w:r>
      <w:r w:rsidR="00F74C21" w:rsidRPr="000175EB">
        <w:t>(</w:t>
      </w:r>
      <w:r w:rsidRPr="000175EB">
        <w:t>Table</w:t>
      </w:r>
      <w:r w:rsidR="00F74C21" w:rsidRPr="000175EB">
        <w:t xml:space="preserve"> 4.2)</w:t>
      </w:r>
      <w:r w:rsidR="00BC4AE2">
        <w:t xml:space="preserve"> which would mean that the number of beneficiaries had declined relative to the principal members</w:t>
      </w:r>
      <w:r w:rsidR="00F74C21" w:rsidRPr="000175EB">
        <w:t>.</w:t>
      </w:r>
      <w:r w:rsidR="00D323EA" w:rsidRPr="000175EB">
        <w:t xml:space="preserve"> </w:t>
      </w:r>
      <w:r w:rsidR="00BC4AE2">
        <w:t xml:space="preserve">This can be explained by the current initiatives by NSSF to enroll students from </w:t>
      </w:r>
      <w:r w:rsidR="00BC4AE2">
        <w:lastRenderedPageBreak/>
        <w:t xml:space="preserve">various higher learning institutions and children. </w:t>
      </w:r>
      <w:r w:rsidRPr="000175EB">
        <w:t xml:space="preserve">Visits by </w:t>
      </w:r>
      <w:r w:rsidR="00BC4AE2">
        <w:t xml:space="preserve">members and </w:t>
      </w:r>
      <w:r w:rsidRPr="000175EB">
        <w:t xml:space="preserve">beneficiaries </w:t>
      </w:r>
      <w:r w:rsidR="00BC4AE2">
        <w:t xml:space="preserve">almost doubled; there is an increase </w:t>
      </w:r>
      <w:r w:rsidR="00D323EA" w:rsidRPr="000175EB">
        <w:t xml:space="preserve">from </w:t>
      </w:r>
      <w:r w:rsidR="00BC4AE2">
        <w:t>5.6</w:t>
      </w:r>
      <w:r w:rsidR="00D323EA" w:rsidRPr="000175EB">
        <w:t xml:space="preserve"> million visits in 201</w:t>
      </w:r>
      <w:r w:rsidR="00BC4AE2">
        <w:t>4</w:t>
      </w:r>
      <w:r w:rsidR="00D323EA" w:rsidRPr="000175EB">
        <w:t>/1</w:t>
      </w:r>
      <w:r w:rsidR="00BC4AE2">
        <w:t>5</w:t>
      </w:r>
      <w:r w:rsidR="00D323EA" w:rsidRPr="000175EB">
        <w:t xml:space="preserve"> to </w:t>
      </w:r>
      <w:r w:rsidRPr="000175EB">
        <w:t>6</w:t>
      </w:r>
      <w:r w:rsidR="00BC4AE2">
        <w:t>.5</w:t>
      </w:r>
      <w:r w:rsidRPr="000175EB">
        <w:t xml:space="preserve"> million</w:t>
      </w:r>
      <w:r w:rsidR="00D323EA" w:rsidRPr="000175EB">
        <w:t xml:space="preserve"> in 201</w:t>
      </w:r>
      <w:r w:rsidR="00BC4AE2">
        <w:t>5</w:t>
      </w:r>
      <w:r w:rsidR="00D323EA" w:rsidRPr="000175EB">
        <w:t>/1</w:t>
      </w:r>
      <w:r w:rsidR="00BC4AE2">
        <w:t>6</w:t>
      </w:r>
      <w:r w:rsidR="00D323EA" w:rsidRPr="000175EB">
        <w:t xml:space="preserve"> </w:t>
      </w:r>
      <w:r w:rsidR="00BC4AE2">
        <w:t xml:space="preserve">(95% growth). This has </w:t>
      </w:r>
      <w:r w:rsidRPr="000175EB">
        <w:t>result</w:t>
      </w:r>
      <w:r w:rsidR="00BC4AE2">
        <w:t xml:space="preserve">ed to </w:t>
      </w:r>
      <w:r w:rsidRPr="000175EB">
        <w:t>an increase in the mean contacts per beneficiary from 1.0 to 1.</w:t>
      </w:r>
      <w:r w:rsidR="00BC4AE2">
        <w:t xml:space="preserve">9. </w:t>
      </w:r>
    </w:p>
    <w:p w14:paraId="2D1FD31B" w14:textId="77777777" w:rsidR="00403B55" w:rsidRPr="000175EB" w:rsidRDefault="00403B55" w:rsidP="005843C2">
      <w:pPr>
        <w:pStyle w:val="Caption"/>
      </w:pPr>
      <w:bookmarkStart w:id="90" w:name="_Toc488423284"/>
      <w:r w:rsidRPr="000175EB">
        <w:t xml:space="preserve">Table </w:t>
      </w:r>
      <w:r w:rsidR="00D323EA" w:rsidRPr="000175EB">
        <w:t xml:space="preserve">4.2: </w:t>
      </w:r>
      <w:r w:rsidR="005F296B">
        <w:tab/>
      </w:r>
      <w:r w:rsidRPr="000175EB">
        <w:t xml:space="preserve">Basic </w:t>
      </w:r>
      <w:r w:rsidR="00D323EA" w:rsidRPr="000175EB">
        <w:t>Data on NHIF Membership and U</w:t>
      </w:r>
      <w:r w:rsidRPr="000175EB">
        <w:t>ti</w:t>
      </w:r>
      <w:r w:rsidR="00D323EA" w:rsidRPr="000175EB">
        <w:t>liz</w:t>
      </w:r>
      <w:r w:rsidRPr="000175EB">
        <w:t>ation</w:t>
      </w:r>
      <w:r w:rsidR="00D323EA" w:rsidRPr="000175EB">
        <w:t xml:space="preserve"> of Health Services</w:t>
      </w:r>
      <w:r w:rsidRPr="000175EB">
        <w:t>, FY201</w:t>
      </w:r>
      <w:r w:rsidR="000D3DEC" w:rsidRPr="000175EB">
        <w:t>2/13</w:t>
      </w:r>
      <w:r w:rsidRPr="000175EB">
        <w:t xml:space="preserve"> – FY201</w:t>
      </w:r>
      <w:r w:rsidR="000D3DEC" w:rsidRPr="000175EB">
        <w:t>5</w:t>
      </w:r>
      <w:r w:rsidRPr="000175EB">
        <w:t>/1</w:t>
      </w:r>
      <w:r w:rsidR="000D3DEC" w:rsidRPr="000175EB">
        <w:t>6</w:t>
      </w:r>
      <w:bookmarkEnd w:id="90"/>
    </w:p>
    <w:tbl>
      <w:tblPr>
        <w:tblW w:w="5000" w:type="pct"/>
        <w:tblBorders>
          <w:top w:val="double" w:sz="4" w:space="0" w:color="0000FF"/>
          <w:left w:val="double" w:sz="4" w:space="0" w:color="0000FF"/>
          <w:bottom w:val="double" w:sz="4" w:space="0" w:color="0000FF"/>
          <w:right w:val="double" w:sz="4" w:space="0" w:color="0000FF"/>
          <w:insideH w:val="single" w:sz="4" w:space="0" w:color="auto"/>
          <w:insideV w:val="single" w:sz="4" w:space="0" w:color="auto"/>
        </w:tblBorders>
        <w:tblLook w:val="04A0" w:firstRow="1" w:lastRow="0" w:firstColumn="1" w:lastColumn="0" w:noHBand="0" w:noVBand="1"/>
      </w:tblPr>
      <w:tblGrid>
        <w:gridCol w:w="2865"/>
        <w:gridCol w:w="1474"/>
        <w:gridCol w:w="1483"/>
        <w:gridCol w:w="1483"/>
        <w:gridCol w:w="1691"/>
      </w:tblGrid>
      <w:tr w:rsidR="00EC6670" w:rsidRPr="000175EB" w14:paraId="1DA77000" w14:textId="77777777" w:rsidTr="005F296B">
        <w:trPr>
          <w:trHeight w:val="315"/>
        </w:trPr>
        <w:tc>
          <w:tcPr>
            <w:tcW w:w="1593" w:type="pct"/>
            <w:shd w:val="clear" w:color="auto" w:fill="C2D69B" w:themeFill="accent3" w:themeFillTint="99"/>
            <w:vAlign w:val="center"/>
            <w:hideMark/>
          </w:tcPr>
          <w:p w14:paraId="38F28874" w14:textId="77777777" w:rsidR="00EC6670" w:rsidRPr="000175EB" w:rsidRDefault="00EC6670" w:rsidP="00EC6670">
            <w:pPr>
              <w:spacing w:line="240" w:lineRule="auto"/>
              <w:rPr>
                <w:b/>
                <w:bCs/>
                <w:color w:val="000000"/>
                <w:sz w:val="20"/>
                <w:szCs w:val="20"/>
              </w:rPr>
            </w:pPr>
            <w:r w:rsidRPr="000175EB">
              <w:rPr>
                <w:b/>
                <w:bCs/>
                <w:color w:val="000000"/>
                <w:sz w:val="20"/>
                <w:szCs w:val="20"/>
              </w:rPr>
              <w:t> </w:t>
            </w:r>
          </w:p>
        </w:tc>
        <w:tc>
          <w:tcPr>
            <w:tcW w:w="819" w:type="pct"/>
            <w:shd w:val="clear" w:color="auto" w:fill="C2D69B" w:themeFill="accent3" w:themeFillTint="99"/>
            <w:vAlign w:val="center"/>
            <w:hideMark/>
          </w:tcPr>
          <w:p w14:paraId="4B699538" w14:textId="77777777" w:rsidR="00EC6670" w:rsidRPr="000175EB" w:rsidRDefault="00EC6670" w:rsidP="00EC6670">
            <w:pPr>
              <w:spacing w:line="240" w:lineRule="auto"/>
              <w:rPr>
                <w:b/>
                <w:bCs/>
                <w:color w:val="000000"/>
                <w:sz w:val="20"/>
                <w:szCs w:val="20"/>
              </w:rPr>
            </w:pPr>
            <w:r w:rsidRPr="000175EB">
              <w:rPr>
                <w:b/>
                <w:bCs/>
                <w:color w:val="000000"/>
                <w:sz w:val="20"/>
                <w:szCs w:val="20"/>
              </w:rPr>
              <w:t>2012/13</w:t>
            </w:r>
          </w:p>
        </w:tc>
        <w:tc>
          <w:tcPr>
            <w:tcW w:w="824" w:type="pct"/>
            <w:shd w:val="clear" w:color="auto" w:fill="C2D69B" w:themeFill="accent3" w:themeFillTint="99"/>
            <w:vAlign w:val="center"/>
            <w:hideMark/>
          </w:tcPr>
          <w:p w14:paraId="2C8E5F56" w14:textId="77777777" w:rsidR="00EC6670" w:rsidRPr="000175EB" w:rsidRDefault="00EC6670" w:rsidP="00EC6670">
            <w:pPr>
              <w:spacing w:line="240" w:lineRule="auto"/>
              <w:rPr>
                <w:b/>
                <w:bCs/>
                <w:color w:val="000000"/>
                <w:sz w:val="20"/>
                <w:szCs w:val="20"/>
              </w:rPr>
            </w:pPr>
            <w:r w:rsidRPr="000175EB">
              <w:rPr>
                <w:b/>
                <w:bCs/>
                <w:color w:val="000000"/>
                <w:sz w:val="20"/>
                <w:szCs w:val="20"/>
              </w:rPr>
              <w:t>2013/14</w:t>
            </w:r>
          </w:p>
        </w:tc>
        <w:tc>
          <w:tcPr>
            <w:tcW w:w="824" w:type="pct"/>
            <w:shd w:val="clear" w:color="auto" w:fill="C2D69B" w:themeFill="accent3" w:themeFillTint="99"/>
            <w:vAlign w:val="center"/>
            <w:hideMark/>
          </w:tcPr>
          <w:p w14:paraId="6CEC1F7C" w14:textId="77777777" w:rsidR="00EC6670" w:rsidRPr="000175EB" w:rsidRDefault="00EC6670" w:rsidP="00EC6670">
            <w:pPr>
              <w:spacing w:line="240" w:lineRule="auto"/>
              <w:rPr>
                <w:b/>
                <w:bCs/>
                <w:color w:val="000000"/>
                <w:sz w:val="20"/>
                <w:szCs w:val="20"/>
              </w:rPr>
            </w:pPr>
            <w:r w:rsidRPr="000175EB">
              <w:rPr>
                <w:b/>
                <w:bCs/>
                <w:color w:val="000000"/>
                <w:sz w:val="20"/>
                <w:szCs w:val="20"/>
              </w:rPr>
              <w:t>2014/15</w:t>
            </w:r>
          </w:p>
        </w:tc>
        <w:tc>
          <w:tcPr>
            <w:tcW w:w="940" w:type="pct"/>
            <w:shd w:val="clear" w:color="auto" w:fill="C2D69B" w:themeFill="accent3" w:themeFillTint="99"/>
            <w:vAlign w:val="center"/>
            <w:hideMark/>
          </w:tcPr>
          <w:p w14:paraId="3980CF8F" w14:textId="77777777" w:rsidR="00EC6670" w:rsidRPr="000175EB" w:rsidRDefault="00EC6670" w:rsidP="00EC6670">
            <w:pPr>
              <w:spacing w:line="240" w:lineRule="auto"/>
              <w:rPr>
                <w:b/>
                <w:bCs/>
                <w:color w:val="000000"/>
                <w:sz w:val="20"/>
                <w:szCs w:val="20"/>
              </w:rPr>
            </w:pPr>
            <w:r w:rsidRPr="000175EB">
              <w:rPr>
                <w:b/>
                <w:bCs/>
                <w:color w:val="000000"/>
                <w:sz w:val="20"/>
                <w:szCs w:val="20"/>
              </w:rPr>
              <w:t>2015/16</w:t>
            </w:r>
          </w:p>
        </w:tc>
      </w:tr>
      <w:tr w:rsidR="00EC6670" w:rsidRPr="000175EB" w14:paraId="2C380FBB" w14:textId="77777777" w:rsidTr="005F296B">
        <w:trPr>
          <w:trHeight w:val="315"/>
        </w:trPr>
        <w:tc>
          <w:tcPr>
            <w:tcW w:w="1593" w:type="pct"/>
            <w:shd w:val="clear" w:color="auto" w:fill="auto"/>
            <w:vAlign w:val="center"/>
            <w:hideMark/>
          </w:tcPr>
          <w:p w14:paraId="3B807BAE" w14:textId="77777777" w:rsidR="00EC6670" w:rsidRPr="000175EB" w:rsidRDefault="00EC6670" w:rsidP="00EC6670">
            <w:pPr>
              <w:spacing w:line="240" w:lineRule="auto"/>
              <w:rPr>
                <w:color w:val="000000"/>
                <w:sz w:val="20"/>
                <w:szCs w:val="20"/>
              </w:rPr>
            </w:pPr>
            <w:r w:rsidRPr="000175EB">
              <w:rPr>
                <w:color w:val="000000"/>
                <w:sz w:val="20"/>
                <w:szCs w:val="20"/>
              </w:rPr>
              <w:t>Number of Members</w:t>
            </w:r>
          </w:p>
        </w:tc>
        <w:tc>
          <w:tcPr>
            <w:tcW w:w="819" w:type="pct"/>
            <w:shd w:val="clear" w:color="auto" w:fill="auto"/>
            <w:vAlign w:val="center"/>
            <w:hideMark/>
          </w:tcPr>
          <w:p w14:paraId="4B158738" w14:textId="77777777" w:rsidR="00EC6670" w:rsidRPr="000175EB" w:rsidRDefault="00EC6670" w:rsidP="00EC6670">
            <w:pPr>
              <w:spacing w:line="240" w:lineRule="auto"/>
              <w:jc w:val="right"/>
              <w:rPr>
                <w:color w:val="000000"/>
                <w:sz w:val="20"/>
                <w:szCs w:val="20"/>
              </w:rPr>
            </w:pPr>
            <w:r w:rsidRPr="000175EB">
              <w:rPr>
                <w:color w:val="000000"/>
                <w:sz w:val="20"/>
                <w:szCs w:val="20"/>
              </w:rPr>
              <w:t>536,829</w:t>
            </w:r>
          </w:p>
        </w:tc>
        <w:tc>
          <w:tcPr>
            <w:tcW w:w="824" w:type="pct"/>
            <w:shd w:val="clear" w:color="auto" w:fill="auto"/>
            <w:vAlign w:val="center"/>
            <w:hideMark/>
          </w:tcPr>
          <w:p w14:paraId="13F1545A" w14:textId="77777777" w:rsidR="00EC6670" w:rsidRPr="000175EB" w:rsidRDefault="00EC6670" w:rsidP="00EC6670">
            <w:pPr>
              <w:spacing w:line="240" w:lineRule="auto"/>
              <w:jc w:val="right"/>
              <w:rPr>
                <w:color w:val="000000"/>
                <w:sz w:val="20"/>
                <w:szCs w:val="20"/>
              </w:rPr>
            </w:pPr>
            <w:r w:rsidRPr="000175EB">
              <w:rPr>
                <w:color w:val="000000"/>
                <w:sz w:val="20"/>
                <w:szCs w:val="20"/>
              </w:rPr>
              <w:t>602,955</w:t>
            </w:r>
          </w:p>
        </w:tc>
        <w:tc>
          <w:tcPr>
            <w:tcW w:w="824" w:type="pct"/>
            <w:shd w:val="clear" w:color="auto" w:fill="auto"/>
            <w:vAlign w:val="center"/>
            <w:hideMark/>
          </w:tcPr>
          <w:p w14:paraId="2C3DAE7A" w14:textId="77777777" w:rsidR="00EC6670" w:rsidRPr="000175EB" w:rsidRDefault="00EC6670" w:rsidP="00EC6670">
            <w:pPr>
              <w:spacing w:line="240" w:lineRule="auto"/>
              <w:jc w:val="right"/>
              <w:rPr>
                <w:color w:val="000000"/>
                <w:sz w:val="20"/>
                <w:szCs w:val="20"/>
              </w:rPr>
            </w:pPr>
            <w:r w:rsidRPr="000175EB">
              <w:rPr>
                <w:color w:val="000000"/>
                <w:sz w:val="20"/>
                <w:szCs w:val="20"/>
              </w:rPr>
              <w:t>640,341</w:t>
            </w:r>
          </w:p>
        </w:tc>
        <w:tc>
          <w:tcPr>
            <w:tcW w:w="940" w:type="pct"/>
            <w:shd w:val="clear" w:color="auto" w:fill="auto"/>
            <w:vAlign w:val="center"/>
            <w:hideMark/>
          </w:tcPr>
          <w:p w14:paraId="555B577C" w14:textId="77777777" w:rsidR="00EC6670" w:rsidRPr="000175EB" w:rsidRDefault="00EC6670" w:rsidP="00EC6670">
            <w:pPr>
              <w:spacing w:line="240" w:lineRule="auto"/>
              <w:jc w:val="right"/>
              <w:rPr>
                <w:color w:val="000000"/>
                <w:sz w:val="20"/>
                <w:szCs w:val="20"/>
              </w:rPr>
            </w:pPr>
            <w:r w:rsidRPr="000175EB">
              <w:rPr>
                <w:color w:val="000000"/>
                <w:sz w:val="20"/>
                <w:szCs w:val="20"/>
              </w:rPr>
              <w:t>702,598</w:t>
            </w:r>
          </w:p>
        </w:tc>
      </w:tr>
      <w:tr w:rsidR="00EC6670" w:rsidRPr="000175EB" w14:paraId="0FE24BAB" w14:textId="77777777" w:rsidTr="005F296B">
        <w:trPr>
          <w:trHeight w:val="315"/>
        </w:trPr>
        <w:tc>
          <w:tcPr>
            <w:tcW w:w="1593" w:type="pct"/>
            <w:shd w:val="clear" w:color="auto" w:fill="auto"/>
            <w:vAlign w:val="center"/>
            <w:hideMark/>
          </w:tcPr>
          <w:p w14:paraId="7DC0510C" w14:textId="77777777" w:rsidR="00EC6670" w:rsidRPr="000175EB" w:rsidRDefault="00EC6670" w:rsidP="00EC6670">
            <w:pPr>
              <w:spacing w:line="240" w:lineRule="auto"/>
              <w:rPr>
                <w:color w:val="000000"/>
                <w:sz w:val="20"/>
                <w:szCs w:val="20"/>
              </w:rPr>
            </w:pPr>
            <w:r w:rsidRPr="000175EB">
              <w:rPr>
                <w:color w:val="000000"/>
                <w:sz w:val="20"/>
                <w:szCs w:val="20"/>
              </w:rPr>
              <w:t>Number of Beneficiaries</w:t>
            </w:r>
          </w:p>
        </w:tc>
        <w:tc>
          <w:tcPr>
            <w:tcW w:w="819" w:type="pct"/>
            <w:shd w:val="clear" w:color="auto" w:fill="auto"/>
            <w:vAlign w:val="center"/>
            <w:hideMark/>
          </w:tcPr>
          <w:p w14:paraId="55F22A93" w14:textId="77777777" w:rsidR="00EC6670" w:rsidRPr="000175EB" w:rsidRDefault="00EC6670" w:rsidP="00EC6670">
            <w:pPr>
              <w:spacing w:line="240" w:lineRule="auto"/>
              <w:jc w:val="right"/>
              <w:rPr>
                <w:color w:val="000000"/>
                <w:sz w:val="20"/>
                <w:szCs w:val="20"/>
              </w:rPr>
            </w:pPr>
            <w:r w:rsidRPr="000175EB">
              <w:rPr>
                <w:color w:val="000000"/>
                <w:sz w:val="20"/>
                <w:szCs w:val="20"/>
              </w:rPr>
              <w:t>2,963,296</w:t>
            </w:r>
          </w:p>
        </w:tc>
        <w:tc>
          <w:tcPr>
            <w:tcW w:w="824" w:type="pct"/>
            <w:shd w:val="clear" w:color="auto" w:fill="auto"/>
            <w:vAlign w:val="center"/>
            <w:hideMark/>
          </w:tcPr>
          <w:p w14:paraId="465834ED" w14:textId="77777777" w:rsidR="00EC6670" w:rsidRPr="000175EB" w:rsidRDefault="00EC6670" w:rsidP="00EC6670">
            <w:pPr>
              <w:spacing w:line="240" w:lineRule="auto"/>
              <w:jc w:val="right"/>
              <w:rPr>
                <w:color w:val="000000"/>
                <w:sz w:val="20"/>
                <w:szCs w:val="20"/>
              </w:rPr>
            </w:pPr>
            <w:r w:rsidRPr="000175EB">
              <w:rPr>
                <w:color w:val="000000"/>
                <w:sz w:val="20"/>
                <w:szCs w:val="20"/>
              </w:rPr>
              <w:t>3,328,312</w:t>
            </w:r>
          </w:p>
        </w:tc>
        <w:tc>
          <w:tcPr>
            <w:tcW w:w="824" w:type="pct"/>
            <w:shd w:val="clear" w:color="auto" w:fill="auto"/>
            <w:vAlign w:val="center"/>
            <w:hideMark/>
          </w:tcPr>
          <w:p w14:paraId="40F334AD" w14:textId="77777777" w:rsidR="00EC6670" w:rsidRPr="000175EB" w:rsidRDefault="00EC6670" w:rsidP="00EC6670">
            <w:pPr>
              <w:spacing w:line="240" w:lineRule="auto"/>
              <w:jc w:val="right"/>
              <w:rPr>
                <w:color w:val="000000"/>
                <w:sz w:val="20"/>
                <w:szCs w:val="20"/>
              </w:rPr>
            </w:pPr>
            <w:r w:rsidRPr="000175EB">
              <w:rPr>
                <w:color w:val="000000"/>
                <w:sz w:val="20"/>
                <w:szCs w:val="20"/>
              </w:rPr>
              <w:t>3,237,434</w:t>
            </w:r>
          </w:p>
        </w:tc>
        <w:tc>
          <w:tcPr>
            <w:tcW w:w="940" w:type="pct"/>
            <w:shd w:val="clear" w:color="auto" w:fill="auto"/>
            <w:vAlign w:val="center"/>
            <w:hideMark/>
          </w:tcPr>
          <w:p w14:paraId="4D389CC0" w14:textId="77777777" w:rsidR="00EC6670" w:rsidRPr="000175EB" w:rsidRDefault="00EC6670" w:rsidP="00EC6670">
            <w:pPr>
              <w:spacing w:line="240" w:lineRule="auto"/>
              <w:jc w:val="right"/>
              <w:rPr>
                <w:color w:val="000000"/>
                <w:sz w:val="20"/>
                <w:szCs w:val="20"/>
              </w:rPr>
            </w:pPr>
            <w:r w:rsidRPr="000175EB">
              <w:rPr>
                <w:color w:val="000000"/>
                <w:sz w:val="20"/>
                <w:szCs w:val="20"/>
              </w:rPr>
              <w:t>3,377,023</w:t>
            </w:r>
          </w:p>
        </w:tc>
      </w:tr>
      <w:tr w:rsidR="00EC6670" w:rsidRPr="000175EB" w14:paraId="31777A8E" w14:textId="77777777" w:rsidTr="005F296B">
        <w:trPr>
          <w:trHeight w:val="296"/>
        </w:trPr>
        <w:tc>
          <w:tcPr>
            <w:tcW w:w="1593" w:type="pct"/>
            <w:shd w:val="clear" w:color="auto" w:fill="auto"/>
            <w:vAlign w:val="center"/>
            <w:hideMark/>
          </w:tcPr>
          <w:p w14:paraId="777D9165" w14:textId="77777777" w:rsidR="00EC6670" w:rsidRPr="000175EB" w:rsidRDefault="00EC6670" w:rsidP="00EC6670">
            <w:pPr>
              <w:spacing w:line="240" w:lineRule="auto"/>
              <w:rPr>
                <w:i/>
                <w:iCs/>
                <w:color w:val="000000"/>
                <w:sz w:val="20"/>
                <w:szCs w:val="20"/>
              </w:rPr>
            </w:pPr>
            <w:r w:rsidRPr="000175EB">
              <w:rPr>
                <w:i/>
                <w:iCs/>
                <w:color w:val="000000"/>
                <w:sz w:val="20"/>
                <w:szCs w:val="20"/>
              </w:rPr>
              <w:t>Ratio of Beneficiaries to Members</w:t>
            </w:r>
          </w:p>
        </w:tc>
        <w:tc>
          <w:tcPr>
            <w:tcW w:w="819" w:type="pct"/>
            <w:shd w:val="clear" w:color="auto" w:fill="auto"/>
            <w:vAlign w:val="center"/>
            <w:hideMark/>
          </w:tcPr>
          <w:p w14:paraId="273FCB53" w14:textId="77777777" w:rsidR="00EC6670" w:rsidRPr="000175EB" w:rsidRDefault="00EC6670" w:rsidP="00EC6670">
            <w:pPr>
              <w:spacing w:line="240" w:lineRule="auto"/>
              <w:jc w:val="right"/>
              <w:rPr>
                <w:i/>
                <w:iCs/>
                <w:color w:val="000000"/>
                <w:sz w:val="20"/>
                <w:szCs w:val="20"/>
              </w:rPr>
            </w:pPr>
            <w:r w:rsidRPr="000175EB">
              <w:rPr>
                <w:i/>
                <w:iCs/>
                <w:color w:val="000000"/>
                <w:sz w:val="20"/>
                <w:szCs w:val="20"/>
              </w:rPr>
              <w:t>5.52</w:t>
            </w:r>
          </w:p>
        </w:tc>
        <w:tc>
          <w:tcPr>
            <w:tcW w:w="824" w:type="pct"/>
            <w:shd w:val="clear" w:color="auto" w:fill="auto"/>
            <w:vAlign w:val="center"/>
            <w:hideMark/>
          </w:tcPr>
          <w:p w14:paraId="5567FDE7" w14:textId="77777777" w:rsidR="00EC6670" w:rsidRPr="000175EB" w:rsidRDefault="00EC6670" w:rsidP="00EC6670">
            <w:pPr>
              <w:spacing w:line="240" w:lineRule="auto"/>
              <w:jc w:val="right"/>
              <w:rPr>
                <w:i/>
                <w:iCs/>
                <w:color w:val="000000"/>
                <w:sz w:val="20"/>
                <w:szCs w:val="20"/>
              </w:rPr>
            </w:pPr>
            <w:r w:rsidRPr="000175EB">
              <w:rPr>
                <w:i/>
                <w:iCs/>
                <w:color w:val="000000"/>
                <w:sz w:val="20"/>
                <w:szCs w:val="20"/>
              </w:rPr>
              <w:t>5.52</w:t>
            </w:r>
          </w:p>
        </w:tc>
        <w:tc>
          <w:tcPr>
            <w:tcW w:w="824" w:type="pct"/>
            <w:shd w:val="clear" w:color="auto" w:fill="auto"/>
            <w:vAlign w:val="center"/>
            <w:hideMark/>
          </w:tcPr>
          <w:p w14:paraId="11845D17" w14:textId="77777777" w:rsidR="00EC6670" w:rsidRPr="000175EB" w:rsidRDefault="00EC6670" w:rsidP="00EC6670">
            <w:pPr>
              <w:spacing w:line="240" w:lineRule="auto"/>
              <w:jc w:val="right"/>
              <w:rPr>
                <w:i/>
                <w:iCs/>
                <w:color w:val="000000"/>
                <w:sz w:val="20"/>
                <w:szCs w:val="20"/>
              </w:rPr>
            </w:pPr>
            <w:r w:rsidRPr="000175EB">
              <w:rPr>
                <w:i/>
                <w:iCs/>
                <w:color w:val="000000"/>
                <w:sz w:val="20"/>
                <w:szCs w:val="20"/>
              </w:rPr>
              <w:t>5.06</w:t>
            </w:r>
          </w:p>
        </w:tc>
        <w:tc>
          <w:tcPr>
            <w:tcW w:w="940" w:type="pct"/>
            <w:shd w:val="clear" w:color="auto" w:fill="auto"/>
            <w:noWrap/>
            <w:vAlign w:val="bottom"/>
            <w:hideMark/>
          </w:tcPr>
          <w:p w14:paraId="1DF3EA7D" w14:textId="77777777" w:rsidR="00EC6670" w:rsidRPr="000175EB" w:rsidRDefault="00EC6670" w:rsidP="00EC6670">
            <w:pPr>
              <w:spacing w:line="240" w:lineRule="auto"/>
              <w:jc w:val="right"/>
              <w:rPr>
                <w:color w:val="000000"/>
                <w:sz w:val="20"/>
                <w:szCs w:val="20"/>
              </w:rPr>
            </w:pPr>
            <w:r w:rsidRPr="000175EB">
              <w:rPr>
                <w:color w:val="000000"/>
                <w:sz w:val="20"/>
                <w:szCs w:val="20"/>
              </w:rPr>
              <w:t>4.81</w:t>
            </w:r>
          </w:p>
        </w:tc>
      </w:tr>
      <w:tr w:rsidR="00EC6670" w:rsidRPr="000175EB" w14:paraId="1B995257" w14:textId="77777777" w:rsidTr="005F296B">
        <w:trPr>
          <w:trHeight w:val="260"/>
        </w:trPr>
        <w:tc>
          <w:tcPr>
            <w:tcW w:w="1593" w:type="pct"/>
            <w:shd w:val="clear" w:color="auto" w:fill="auto"/>
            <w:vAlign w:val="center"/>
            <w:hideMark/>
          </w:tcPr>
          <w:p w14:paraId="4FA55574" w14:textId="77777777" w:rsidR="00EC6670" w:rsidRPr="000175EB" w:rsidRDefault="00EC6670" w:rsidP="00EC6670">
            <w:pPr>
              <w:spacing w:line="240" w:lineRule="auto"/>
              <w:rPr>
                <w:color w:val="000000"/>
                <w:sz w:val="20"/>
                <w:szCs w:val="20"/>
              </w:rPr>
            </w:pPr>
            <w:r w:rsidRPr="000175EB">
              <w:rPr>
                <w:color w:val="000000"/>
                <w:sz w:val="20"/>
                <w:szCs w:val="20"/>
              </w:rPr>
              <w:t>Visits by Members/Beneficiaries</w:t>
            </w:r>
          </w:p>
        </w:tc>
        <w:tc>
          <w:tcPr>
            <w:tcW w:w="819" w:type="pct"/>
            <w:shd w:val="clear" w:color="auto" w:fill="auto"/>
            <w:vAlign w:val="center"/>
            <w:hideMark/>
          </w:tcPr>
          <w:p w14:paraId="14CC2201" w14:textId="77777777" w:rsidR="00EC6670" w:rsidRPr="000175EB" w:rsidRDefault="00EC6670" w:rsidP="00EC6670">
            <w:pPr>
              <w:spacing w:line="240" w:lineRule="auto"/>
              <w:jc w:val="right"/>
              <w:rPr>
                <w:color w:val="000000"/>
                <w:sz w:val="20"/>
                <w:szCs w:val="20"/>
              </w:rPr>
            </w:pPr>
            <w:r w:rsidRPr="000175EB">
              <w:rPr>
                <w:color w:val="000000"/>
                <w:sz w:val="20"/>
                <w:szCs w:val="20"/>
              </w:rPr>
              <w:t>3,904,863</w:t>
            </w:r>
          </w:p>
        </w:tc>
        <w:tc>
          <w:tcPr>
            <w:tcW w:w="824" w:type="pct"/>
            <w:shd w:val="clear" w:color="auto" w:fill="auto"/>
            <w:vAlign w:val="center"/>
            <w:hideMark/>
          </w:tcPr>
          <w:p w14:paraId="76413230" w14:textId="77777777" w:rsidR="00EC6670" w:rsidRPr="000175EB" w:rsidRDefault="00EC6670" w:rsidP="00EC6670">
            <w:pPr>
              <w:spacing w:line="240" w:lineRule="auto"/>
              <w:jc w:val="right"/>
              <w:rPr>
                <w:color w:val="000000"/>
                <w:sz w:val="20"/>
                <w:szCs w:val="20"/>
              </w:rPr>
            </w:pPr>
            <w:r w:rsidRPr="000175EB">
              <w:rPr>
                <w:color w:val="000000"/>
                <w:sz w:val="20"/>
                <w:szCs w:val="20"/>
              </w:rPr>
              <w:t>3,334,137</w:t>
            </w:r>
          </w:p>
        </w:tc>
        <w:tc>
          <w:tcPr>
            <w:tcW w:w="824" w:type="pct"/>
            <w:shd w:val="clear" w:color="auto" w:fill="auto"/>
            <w:vAlign w:val="center"/>
            <w:hideMark/>
          </w:tcPr>
          <w:p w14:paraId="3E2F539F" w14:textId="77777777" w:rsidR="00EC6670" w:rsidRPr="000175EB" w:rsidRDefault="00EC6670" w:rsidP="00EC6670">
            <w:pPr>
              <w:spacing w:line="240" w:lineRule="auto"/>
              <w:jc w:val="right"/>
              <w:rPr>
                <w:color w:val="000000"/>
                <w:sz w:val="20"/>
                <w:szCs w:val="20"/>
              </w:rPr>
            </w:pPr>
            <w:r w:rsidRPr="000175EB">
              <w:rPr>
                <w:color w:val="000000"/>
                <w:sz w:val="20"/>
                <w:szCs w:val="20"/>
              </w:rPr>
              <w:t>5,636,373</w:t>
            </w:r>
          </w:p>
        </w:tc>
        <w:tc>
          <w:tcPr>
            <w:tcW w:w="940" w:type="pct"/>
            <w:shd w:val="clear" w:color="auto" w:fill="auto"/>
            <w:vAlign w:val="center"/>
            <w:hideMark/>
          </w:tcPr>
          <w:p w14:paraId="38A7E217" w14:textId="77777777" w:rsidR="00EC6670" w:rsidRPr="000175EB" w:rsidRDefault="00EC6670" w:rsidP="00EC6670">
            <w:pPr>
              <w:spacing w:line="240" w:lineRule="auto"/>
              <w:jc w:val="right"/>
              <w:rPr>
                <w:color w:val="000000"/>
                <w:sz w:val="20"/>
                <w:szCs w:val="20"/>
              </w:rPr>
            </w:pPr>
            <w:r w:rsidRPr="000175EB">
              <w:rPr>
                <w:color w:val="000000"/>
                <w:sz w:val="20"/>
                <w:szCs w:val="20"/>
              </w:rPr>
              <w:t>6,506,492</w:t>
            </w:r>
          </w:p>
        </w:tc>
      </w:tr>
      <w:tr w:rsidR="00EC6670" w:rsidRPr="000175EB" w14:paraId="0855BA33" w14:textId="77777777" w:rsidTr="005F296B">
        <w:trPr>
          <w:trHeight w:val="440"/>
        </w:trPr>
        <w:tc>
          <w:tcPr>
            <w:tcW w:w="1593" w:type="pct"/>
            <w:shd w:val="clear" w:color="auto" w:fill="auto"/>
            <w:vAlign w:val="center"/>
            <w:hideMark/>
          </w:tcPr>
          <w:p w14:paraId="63F8A01B" w14:textId="77777777" w:rsidR="00EC6670" w:rsidRPr="000175EB" w:rsidRDefault="00EC6670" w:rsidP="00EC6670">
            <w:pPr>
              <w:spacing w:line="240" w:lineRule="auto"/>
              <w:rPr>
                <w:i/>
                <w:iCs/>
                <w:color w:val="000000"/>
                <w:sz w:val="20"/>
                <w:szCs w:val="20"/>
              </w:rPr>
            </w:pPr>
            <w:r w:rsidRPr="000175EB">
              <w:rPr>
                <w:i/>
                <w:iCs/>
                <w:color w:val="000000"/>
                <w:sz w:val="20"/>
                <w:szCs w:val="20"/>
              </w:rPr>
              <w:t>uti</w:t>
            </w:r>
            <w:r w:rsidR="009B604D">
              <w:rPr>
                <w:i/>
                <w:iCs/>
                <w:color w:val="000000"/>
                <w:sz w:val="20"/>
                <w:szCs w:val="20"/>
              </w:rPr>
              <w:t>lization rate  per beneficiary/m</w:t>
            </w:r>
            <w:r w:rsidRPr="000175EB">
              <w:rPr>
                <w:i/>
                <w:iCs/>
                <w:color w:val="000000"/>
                <w:sz w:val="20"/>
                <w:szCs w:val="20"/>
              </w:rPr>
              <w:t xml:space="preserve">ember  </w:t>
            </w:r>
          </w:p>
        </w:tc>
        <w:tc>
          <w:tcPr>
            <w:tcW w:w="819" w:type="pct"/>
            <w:shd w:val="clear" w:color="auto" w:fill="auto"/>
            <w:vAlign w:val="center"/>
            <w:hideMark/>
          </w:tcPr>
          <w:p w14:paraId="5423171B" w14:textId="77777777" w:rsidR="00EC6670" w:rsidRPr="000175EB" w:rsidRDefault="00EC6670" w:rsidP="00EC6670">
            <w:pPr>
              <w:spacing w:line="240" w:lineRule="auto"/>
              <w:jc w:val="right"/>
              <w:rPr>
                <w:i/>
                <w:iCs/>
                <w:color w:val="000000"/>
                <w:sz w:val="20"/>
                <w:szCs w:val="20"/>
              </w:rPr>
            </w:pPr>
            <w:r w:rsidRPr="000175EB">
              <w:rPr>
                <w:i/>
                <w:iCs/>
                <w:color w:val="000000"/>
                <w:sz w:val="20"/>
                <w:szCs w:val="20"/>
              </w:rPr>
              <w:t>1.3</w:t>
            </w:r>
          </w:p>
        </w:tc>
        <w:tc>
          <w:tcPr>
            <w:tcW w:w="824" w:type="pct"/>
            <w:shd w:val="clear" w:color="auto" w:fill="auto"/>
            <w:vAlign w:val="center"/>
            <w:hideMark/>
          </w:tcPr>
          <w:p w14:paraId="613A44D8" w14:textId="77777777" w:rsidR="00EC6670" w:rsidRPr="000175EB" w:rsidRDefault="00EC6670" w:rsidP="00EC6670">
            <w:pPr>
              <w:spacing w:line="240" w:lineRule="auto"/>
              <w:jc w:val="right"/>
              <w:rPr>
                <w:i/>
                <w:iCs/>
                <w:color w:val="000000"/>
                <w:sz w:val="20"/>
                <w:szCs w:val="20"/>
              </w:rPr>
            </w:pPr>
            <w:r w:rsidRPr="000175EB">
              <w:rPr>
                <w:i/>
                <w:iCs/>
                <w:color w:val="000000"/>
                <w:sz w:val="20"/>
                <w:szCs w:val="20"/>
              </w:rPr>
              <w:t>1.0</w:t>
            </w:r>
          </w:p>
        </w:tc>
        <w:tc>
          <w:tcPr>
            <w:tcW w:w="824" w:type="pct"/>
            <w:shd w:val="clear" w:color="auto" w:fill="auto"/>
            <w:vAlign w:val="center"/>
            <w:hideMark/>
          </w:tcPr>
          <w:p w14:paraId="136FEABD" w14:textId="77777777" w:rsidR="00EC6670" w:rsidRPr="000175EB" w:rsidRDefault="00EC6670" w:rsidP="00EC6670">
            <w:pPr>
              <w:spacing w:line="240" w:lineRule="auto"/>
              <w:jc w:val="right"/>
              <w:rPr>
                <w:i/>
                <w:iCs/>
                <w:color w:val="000000"/>
                <w:sz w:val="20"/>
                <w:szCs w:val="20"/>
              </w:rPr>
            </w:pPr>
            <w:r w:rsidRPr="000175EB">
              <w:rPr>
                <w:i/>
                <w:iCs/>
                <w:color w:val="000000"/>
                <w:sz w:val="20"/>
                <w:szCs w:val="20"/>
              </w:rPr>
              <w:t>1.7</w:t>
            </w:r>
          </w:p>
        </w:tc>
        <w:tc>
          <w:tcPr>
            <w:tcW w:w="940" w:type="pct"/>
            <w:shd w:val="clear" w:color="auto" w:fill="auto"/>
            <w:vAlign w:val="center"/>
            <w:hideMark/>
          </w:tcPr>
          <w:p w14:paraId="478D0716" w14:textId="77777777" w:rsidR="00EC6670" w:rsidRPr="000175EB" w:rsidRDefault="00EC6670" w:rsidP="00EC6670">
            <w:pPr>
              <w:spacing w:line="240" w:lineRule="auto"/>
              <w:jc w:val="right"/>
              <w:rPr>
                <w:i/>
                <w:iCs/>
                <w:color w:val="000000"/>
                <w:sz w:val="20"/>
                <w:szCs w:val="20"/>
              </w:rPr>
            </w:pPr>
            <w:r w:rsidRPr="000175EB">
              <w:rPr>
                <w:i/>
                <w:iCs/>
                <w:color w:val="000000"/>
                <w:sz w:val="20"/>
                <w:szCs w:val="20"/>
              </w:rPr>
              <w:t>1.9</w:t>
            </w:r>
          </w:p>
        </w:tc>
      </w:tr>
    </w:tbl>
    <w:p w14:paraId="5BD4FCE2" w14:textId="77777777" w:rsidR="00403B55" w:rsidRPr="000175EB" w:rsidRDefault="000175EB" w:rsidP="000175EB">
      <w:pPr>
        <w:ind w:left="1440" w:hanging="1440"/>
        <w:rPr>
          <w:b/>
          <w:i/>
          <w:sz w:val="22"/>
          <w:szCs w:val="22"/>
        </w:rPr>
      </w:pPr>
      <w:r w:rsidRPr="000175EB">
        <w:rPr>
          <w:b/>
          <w:i/>
          <w:sz w:val="22"/>
          <w:szCs w:val="22"/>
        </w:rPr>
        <w:t>Sources:</w:t>
      </w:r>
      <w:r w:rsidR="00403B55" w:rsidRPr="000175EB">
        <w:rPr>
          <w:b/>
          <w:i/>
          <w:sz w:val="22"/>
          <w:szCs w:val="22"/>
        </w:rPr>
        <w:t xml:space="preserve"> NHIF data submitted for PER FY201</w:t>
      </w:r>
      <w:r w:rsidR="00755963">
        <w:rPr>
          <w:b/>
          <w:i/>
          <w:sz w:val="22"/>
          <w:szCs w:val="22"/>
        </w:rPr>
        <w:t>5</w:t>
      </w:r>
      <w:r w:rsidR="00403B55" w:rsidRPr="000175EB">
        <w:rPr>
          <w:b/>
          <w:i/>
          <w:sz w:val="22"/>
          <w:szCs w:val="22"/>
        </w:rPr>
        <w:t>/1</w:t>
      </w:r>
      <w:r w:rsidR="00755963">
        <w:rPr>
          <w:b/>
          <w:i/>
          <w:sz w:val="22"/>
          <w:szCs w:val="22"/>
        </w:rPr>
        <w:t>6</w:t>
      </w:r>
      <w:r w:rsidR="00FA0ABC" w:rsidRPr="000175EB">
        <w:rPr>
          <w:b/>
          <w:i/>
          <w:sz w:val="22"/>
          <w:szCs w:val="22"/>
        </w:rPr>
        <w:t>.</w:t>
      </w:r>
    </w:p>
    <w:p w14:paraId="14F65973" w14:textId="77777777" w:rsidR="00403B55" w:rsidRPr="001170AC" w:rsidRDefault="00403B55" w:rsidP="00670B35">
      <w:pPr>
        <w:pStyle w:val="NoSpacing"/>
        <w:spacing w:line="276" w:lineRule="auto"/>
        <w:rPr>
          <w:color w:val="000000"/>
          <w:lang w:val="en-GB" w:eastAsia="en-GB"/>
        </w:rPr>
      </w:pPr>
    </w:p>
    <w:p w14:paraId="49D2411B" w14:textId="77777777" w:rsidR="00D323EA" w:rsidRPr="00E63080" w:rsidRDefault="00E63080" w:rsidP="00E63080">
      <w:pPr>
        <w:pStyle w:val="Heading3"/>
      </w:pPr>
      <w:bookmarkStart w:id="91" w:name="_Toc488423261"/>
      <w:r>
        <w:t>4.3.2</w:t>
      </w:r>
      <w:r>
        <w:tab/>
      </w:r>
      <w:r w:rsidR="00D323EA" w:rsidRPr="00E63080">
        <w:t>Income and Expenditure</w:t>
      </w:r>
      <w:bookmarkEnd w:id="91"/>
      <w:r w:rsidR="00D323EA" w:rsidRPr="00E63080">
        <w:t xml:space="preserve"> </w:t>
      </w:r>
    </w:p>
    <w:p w14:paraId="221888B8" w14:textId="77777777" w:rsidR="007325E1" w:rsidRPr="00E84C62" w:rsidRDefault="002B3DEC" w:rsidP="00A55E9C">
      <w:pPr>
        <w:pStyle w:val="1-DocText"/>
        <w:spacing w:before="0" w:after="0" w:line="276" w:lineRule="auto"/>
        <w:jc w:val="both"/>
        <w:rPr>
          <w:rFonts w:ascii="Calibri" w:hAnsi="Calibri"/>
          <w:color w:val="000000"/>
          <w:lang w:val="en-GB" w:eastAsia="en-GB"/>
        </w:rPr>
      </w:pPr>
      <w:r w:rsidRPr="00E84C62">
        <w:rPr>
          <w:rFonts w:ascii="Calibri" w:hAnsi="Calibri"/>
          <w:color w:val="000000"/>
          <w:sz w:val="24"/>
          <w:szCs w:val="24"/>
          <w:lang w:val="en-GB" w:eastAsia="en-GB"/>
        </w:rPr>
        <w:t>A comparison of figures from 20</w:t>
      </w:r>
      <w:r w:rsidR="007325E1" w:rsidRPr="00E84C62">
        <w:rPr>
          <w:rFonts w:ascii="Calibri" w:hAnsi="Calibri"/>
          <w:color w:val="000000"/>
          <w:sz w:val="24"/>
          <w:szCs w:val="24"/>
          <w:lang w:val="en-GB" w:eastAsia="en-GB"/>
        </w:rPr>
        <w:t>12</w:t>
      </w:r>
      <w:r w:rsidRPr="00E84C62">
        <w:rPr>
          <w:rFonts w:ascii="Calibri" w:hAnsi="Calibri"/>
          <w:color w:val="000000"/>
          <w:sz w:val="24"/>
          <w:szCs w:val="24"/>
          <w:lang w:val="en-GB" w:eastAsia="en-GB"/>
        </w:rPr>
        <w:t>/1</w:t>
      </w:r>
      <w:r w:rsidR="007325E1" w:rsidRPr="00E84C62">
        <w:rPr>
          <w:rFonts w:ascii="Calibri" w:hAnsi="Calibri"/>
          <w:color w:val="000000"/>
          <w:sz w:val="24"/>
          <w:szCs w:val="24"/>
          <w:lang w:val="en-GB" w:eastAsia="en-GB"/>
        </w:rPr>
        <w:t>3</w:t>
      </w:r>
      <w:r w:rsidRPr="00E84C62">
        <w:rPr>
          <w:rFonts w:ascii="Calibri" w:hAnsi="Calibri"/>
          <w:color w:val="000000"/>
          <w:sz w:val="24"/>
          <w:szCs w:val="24"/>
          <w:lang w:val="en-GB" w:eastAsia="en-GB"/>
        </w:rPr>
        <w:t xml:space="preserve"> and 201</w:t>
      </w:r>
      <w:r w:rsidR="000D3DEC">
        <w:rPr>
          <w:rFonts w:ascii="Calibri" w:hAnsi="Calibri"/>
          <w:color w:val="000000"/>
          <w:sz w:val="24"/>
          <w:szCs w:val="24"/>
          <w:lang w:val="en-GB" w:eastAsia="en-GB"/>
        </w:rPr>
        <w:t>5</w:t>
      </w:r>
      <w:r w:rsidRPr="00E84C62">
        <w:rPr>
          <w:rFonts w:ascii="Calibri" w:hAnsi="Calibri"/>
          <w:color w:val="000000"/>
          <w:sz w:val="24"/>
          <w:szCs w:val="24"/>
          <w:lang w:val="en-GB" w:eastAsia="en-GB"/>
        </w:rPr>
        <w:t>/1</w:t>
      </w:r>
      <w:r w:rsidR="000D3DEC">
        <w:rPr>
          <w:rFonts w:ascii="Calibri" w:hAnsi="Calibri"/>
          <w:color w:val="000000"/>
          <w:sz w:val="24"/>
          <w:szCs w:val="24"/>
          <w:lang w:val="en-GB" w:eastAsia="en-GB"/>
        </w:rPr>
        <w:t>6</w:t>
      </w:r>
      <w:r w:rsidRPr="00E84C62">
        <w:rPr>
          <w:rFonts w:ascii="Calibri" w:hAnsi="Calibri"/>
          <w:color w:val="000000"/>
          <w:sz w:val="24"/>
          <w:szCs w:val="24"/>
          <w:lang w:val="en-GB" w:eastAsia="en-GB"/>
        </w:rPr>
        <w:t xml:space="preserve"> indicate</w:t>
      </w:r>
      <w:r w:rsidR="00A55E9C" w:rsidRPr="00E84C62">
        <w:rPr>
          <w:rFonts w:ascii="Calibri" w:hAnsi="Calibri"/>
          <w:color w:val="000000"/>
          <w:sz w:val="24"/>
          <w:szCs w:val="24"/>
          <w:lang w:val="en-GB" w:eastAsia="en-GB"/>
        </w:rPr>
        <w:t>s</w:t>
      </w:r>
      <w:r w:rsidRPr="00E84C62">
        <w:rPr>
          <w:rFonts w:ascii="Calibri" w:hAnsi="Calibri"/>
          <w:color w:val="000000"/>
          <w:sz w:val="24"/>
          <w:szCs w:val="24"/>
          <w:lang w:val="en-GB" w:eastAsia="en-GB"/>
        </w:rPr>
        <w:t xml:space="preserve"> a</w:t>
      </w:r>
      <w:r w:rsidR="007325E1" w:rsidRPr="00E84C62">
        <w:rPr>
          <w:rFonts w:ascii="Calibri" w:hAnsi="Calibri"/>
          <w:color w:val="000000"/>
          <w:sz w:val="24"/>
          <w:szCs w:val="24"/>
          <w:lang w:val="en-GB" w:eastAsia="en-GB"/>
        </w:rPr>
        <w:t xml:space="preserve">n </w:t>
      </w:r>
      <w:r w:rsidRPr="00E84C62">
        <w:rPr>
          <w:rFonts w:ascii="Calibri" w:hAnsi="Calibri"/>
          <w:color w:val="000000"/>
          <w:sz w:val="24"/>
          <w:szCs w:val="24"/>
          <w:lang w:val="en-GB" w:eastAsia="en-GB"/>
        </w:rPr>
        <w:t>increase in the</w:t>
      </w:r>
      <w:r w:rsidR="000D3DEC">
        <w:rPr>
          <w:rFonts w:ascii="Calibri" w:hAnsi="Calibri"/>
          <w:color w:val="000000"/>
          <w:sz w:val="24"/>
          <w:szCs w:val="24"/>
          <w:lang w:val="en-GB" w:eastAsia="en-GB"/>
        </w:rPr>
        <w:t xml:space="preserve"> total revenue from T</w:t>
      </w:r>
      <w:r w:rsidR="00A55E9C" w:rsidRPr="00E84C62">
        <w:rPr>
          <w:rFonts w:ascii="Calibri" w:hAnsi="Calibri"/>
          <w:color w:val="000000"/>
          <w:sz w:val="24"/>
          <w:szCs w:val="24"/>
          <w:lang w:val="en-GB" w:eastAsia="en-GB"/>
        </w:rPr>
        <w:t xml:space="preserve">ZS </w:t>
      </w:r>
      <w:r w:rsidR="007325E1" w:rsidRPr="00E84C62">
        <w:rPr>
          <w:rFonts w:ascii="Calibri" w:hAnsi="Calibri"/>
          <w:color w:val="000000"/>
          <w:sz w:val="24"/>
          <w:szCs w:val="24"/>
          <w:lang w:val="en-GB" w:eastAsia="en-GB"/>
        </w:rPr>
        <w:t>2</w:t>
      </w:r>
      <w:r w:rsidR="004767D5">
        <w:rPr>
          <w:rFonts w:ascii="Calibri" w:hAnsi="Calibri"/>
          <w:color w:val="000000"/>
          <w:sz w:val="24"/>
          <w:szCs w:val="24"/>
          <w:lang w:val="en-GB" w:eastAsia="en-GB"/>
        </w:rPr>
        <w:t>6</w:t>
      </w:r>
      <w:r w:rsidR="007325E1" w:rsidRPr="00E84C62">
        <w:rPr>
          <w:rFonts w:ascii="Calibri" w:hAnsi="Calibri"/>
          <w:color w:val="000000"/>
          <w:sz w:val="24"/>
          <w:szCs w:val="24"/>
          <w:lang w:val="en-GB" w:eastAsia="en-GB"/>
        </w:rPr>
        <w:t>6,</w:t>
      </w:r>
      <w:r w:rsidR="004767D5">
        <w:rPr>
          <w:rFonts w:ascii="Calibri" w:hAnsi="Calibri"/>
          <w:color w:val="000000"/>
          <w:sz w:val="24"/>
          <w:szCs w:val="24"/>
          <w:lang w:val="en-GB" w:eastAsia="en-GB"/>
        </w:rPr>
        <w:t>533</w:t>
      </w:r>
      <w:r w:rsidR="007325E1" w:rsidRPr="00E84C62">
        <w:rPr>
          <w:rFonts w:ascii="Calibri" w:hAnsi="Calibri"/>
          <w:color w:val="000000"/>
          <w:sz w:val="24"/>
          <w:szCs w:val="24"/>
          <w:lang w:val="en-GB" w:eastAsia="en-GB"/>
        </w:rPr>
        <w:t xml:space="preserve"> </w:t>
      </w:r>
      <w:r w:rsidR="000D3DEC">
        <w:rPr>
          <w:rFonts w:ascii="Calibri" w:hAnsi="Calibri"/>
          <w:color w:val="000000"/>
          <w:sz w:val="24"/>
          <w:szCs w:val="24"/>
          <w:lang w:val="en-GB" w:eastAsia="en-GB"/>
        </w:rPr>
        <w:t>m</w:t>
      </w:r>
      <w:r w:rsidR="007325E1" w:rsidRPr="00E84C62">
        <w:rPr>
          <w:rFonts w:ascii="Calibri" w:hAnsi="Calibri"/>
          <w:color w:val="000000"/>
          <w:sz w:val="24"/>
          <w:szCs w:val="24"/>
          <w:lang w:val="en-GB" w:eastAsia="en-GB"/>
        </w:rPr>
        <w:t xml:space="preserve">illion to </w:t>
      </w:r>
      <w:r w:rsidR="00A55E9C" w:rsidRPr="00E84C62">
        <w:rPr>
          <w:rFonts w:ascii="Calibri" w:hAnsi="Calibri"/>
          <w:color w:val="000000"/>
          <w:sz w:val="24"/>
          <w:szCs w:val="24"/>
          <w:lang w:val="en-GB" w:eastAsia="en-GB"/>
        </w:rPr>
        <w:t xml:space="preserve">TZS </w:t>
      </w:r>
      <w:r w:rsidR="000D3DEC">
        <w:rPr>
          <w:rFonts w:ascii="Calibri" w:hAnsi="Calibri"/>
          <w:color w:val="000000"/>
          <w:sz w:val="24"/>
          <w:szCs w:val="24"/>
          <w:lang w:val="en-GB" w:eastAsia="en-GB"/>
        </w:rPr>
        <w:t xml:space="preserve">453,997 </w:t>
      </w:r>
      <w:r w:rsidR="00A55E9C" w:rsidRPr="00E84C62">
        <w:rPr>
          <w:rFonts w:ascii="Calibri" w:hAnsi="Calibri"/>
          <w:color w:val="000000"/>
          <w:sz w:val="24"/>
          <w:szCs w:val="24"/>
          <w:lang w:val="en-GB" w:eastAsia="en-GB"/>
        </w:rPr>
        <w:t xml:space="preserve">million </w:t>
      </w:r>
      <w:r w:rsidR="000D3DEC">
        <w:rPr>
          <w:rFonts w:ascii="Calibri" w:hAnsi="Calibri"/>
          <w:color w:val="000000"/>
          <w:sz w:val="24"/>
          <w:szCs w:val="24"/>
          <w:lang w:val="en-GB" w:eastAsia="en-GB"/>
        </w:rPr>
        <w:t>which is a 7</w:t>
      </w:r>
      <w:r w:rsidR="004767D5">
        <w:rPr>
          <w:rFonts w:ascii="Calibri" w:hAnsi="Calibri"/>
          <w:color w:val="000000"/>
          <w:sz w:val="24"/>
          <w:szCs w:val="24"/>
          <w:lang w:val="en-GB" w:eastAsia="en-GB"/>
        </w:rPr>
        <w:t>0</w:t>
      </w:r>
      <w:r w:rsidR="007325E1" w:rsidRPr="00E84C62">
        <w:rPr>
          <w:rFonts w:ascii="Calibri" w:hAnsi="Calibri"/>
          <w:color w:val="000000"/>
          <w:sz w:val="24"/>
          <w:szCs w:val="24"/>
          <w:lang w:val="en-GB" w:eastAsia="en-GB"/>
        </w:rPr>
        <w:t xml:space="preserve">% increase. </w:t>
      </w:r>
      <w:r w:rsidR="000D3DEC">
        <w:rPr>
          <w:rFonts w:ascii="Calibri" w:hAnsi="Calibri"/>
          <w:color w:val="000000"/>
          <w:sz w:val="24"/>
          <w:szCs w:val="24"/>
          <w:lang w:val="en-GB" w:eastAsia="en-GB"/>
        </w:rPr>
        <w:t>The NHIF surplus declined from 5</w:t>
      </w:r>
      <w:r w:rsidR="004767D5">
        <w:rPr>
          <w:rFonts w:ascii="Calibri" w:hAnsi="Calibri"/>
          <w:color w:val="000000"/>
          <w:sz w:val="24"/>
          <w:szCs w:val="24"/>
          <w:lang w:val="en-GB" w:eastAsia="en-GB"/>
        </w:rPr>
        <w:t>0</w:t>
      </w:r>
      <w:r w:rsidR="000D3DEC">
        <w:rPr>
          <w:rFonts w:ascii="Calibri" w:hAnsi="Calibri"/>
          <w:color w:val="000000"/>
          <w:sz w:val="24"/>
          <w:szCs w:val="24"/>
          <w:lang w:val="en-GB" w:eastAsia="en-GB"/>
        </w:rPr>
        <w:t>% in 2012/13 to 37% in 201</w:t>
      </w:r>
      <w:r w:rsidR="004767D5">
        <w:rPr>
          <w:rFonts w:ascii="Calibri" w:hAnsi="Calibri"/>
          <w:color w:val="000000"/>
          <w:sz w:val="24"/>
          <w:szCs w:val="24"/>
          <w:lang w:val="en-GB" w:eastAsia="en-GB"/>
        </w:rPr>
        <w:t>5</w:t>
      </w:r>
      <w:r w:rsidR="000D3DEC">
        <w:rPr>
          <w:rFonts w:ascii="Calibri" w:hAnsi="Calibri"/>
          <w:color w:val="000000"/>
          <w:sz w:val="24"/>
          <w:szCs w:val="24"/>
          <w:lang w:val="en-GB" w:eastAsia="en-GB"/>
        </w:rPr>
        <w:t>/1</w:t>
      </w:r>
      <w:r w:rsidR="004767D5">
        <w:rPr>
          <w:rFonts w:ascii="Calibri" w:hAnsi="Calibri"/>
          <w:color w:val="000000"/>
          <w:sz w:val="24"/>
          <w:szCs w:val="24"/>
          <w:lang w:val="en-GB" w:eastAsia="en-GB"/>
        </w:rPr>
        <w:t>6</w:t>
      </w:r>
      <w:r w:rsidR="000D3DEC">
        <w:rPr>
          <w:rFonts w:ascii="Calibri" w:hAnsi="Calibri"/>
          <w:color w:val="000000"/>
          <w:sz w:val="24"/>
          <w:szCs w:val="24"/>
          <w:lang w:val="en-GB" w:eastAsia="en-GB"/>
        </w:rPr>
        <w:t>.</w:t>
      </w:r>
      <w:r w:rsidR="00451CF7">
        <w:rPr>
          <w:rFonts w:ascii="Calibri" w:hAnsi="Calibri"/>
          <w:color w:val="000000"/>
          <w:sz w:val="24"/>
          <w:szCs w:val="24"/>
          <w:lang w:val="en-GB" w:eastAsia="en-GB"/>
        </w:rPr>
        <w:t xml:space="preserve"> Previous PERs noted concerns on huge </w:t>
      </w:r>
      <w:r w:rsidR="00451CF7" w:rsidRPr="00E84C62">
        <w:rPr>
          <w:rFonts w:ascii="Calibri" w:hAnsi="Calibri"/>
          <w:color w:val="000000"/>
          <w:sz w:val="24"/>
          <w:szCs w:val="24"/>
          <w:lang w:val="en-GB" w:eastAsia="en-GB"/>
        </w:rPr>
        <w:t>unspent balance</w:t>
      </w:r>
      <w:r w:rsidR="00451CF7">
        <w:rPr>
          <w:rFonts w:ascii="Calibri" w:hAnsi="Calibri"/>
          <w:color w:val="000000"/>
          <w:sz w:val="24"/>
          <w:szCs w:val="24"/>
          <w:lang w:val="en-GB" w:eastAsia="en-GB"/>
        </w:rPr>
        <w:t xml:space="preserve">. This significant decline in surplus despite increase in the revenue is commendable. </w:t>
      </w:r>
      <w:r w:rsidRPr="00E84C62">
        <w:rPr>
          <w:rFonts w:ascii="Calibri" w:hAnsi="Calibri"/>
          <w:color w:val="000000"/>
          <w:sz w:val="24"/>
          <w:szCs w:val="24"/>
          <w:lang w:val="en-GB" w:eastAsia="en-GB"/>
        </w:rPr>
        <w:t>Th</w:t>
      </w:r>
      <w:r w:rsidR="000D3DEC">
        <w:rPr>
          <w:rFonts w:ascii="Calibri" w:hAnsi="Calibri"/>
          <w:color w:val="000000"/>
          <w:sz w:val="24"/>
          <w:szCs w:val="24"/>
          <w:lang w:val="en-GB" w:eastAsia="en-GB"/>
        </w:rPr>
        <w:t xml:space="preserve">e </w:t>
      </w:r>
      <w:r w:rsidRPr="00E84C62">
        <w:rPr>
          <w:rFonts w:ascii="Calibri" w:hAnsi="Calibri"/>
          <w:color w:val="000000"/>
          <w:sz w:val="24"/>
          <w:szCs w:val="24"/>
          <w:lang w:val="en-GB" w:eastAsia="en-GB"/>
        </w:rPr>
        <w:t>increase</w:t>
      </w:r>
      <w:r w:rsidR="000D3DEC">
        <w:rPr>
          <w:rFonts w:ascii="Calibri" w:hAnsi="Calibri"/>
          <w:color w:val="000000"/>
          <w:sz w:val="24"/>
          <w:szCs w:val="24"/>
          <w:lang w:val="en-GB" w:eastAsia="en-GB"/>
        </w:rPr>
        <w:t xml:space="preserve"> in the contribution and decline in the surplus</w:t>
      </w:r>
      <w:r w:rsidRPr="00E84C62">
        <w:rPr>
          <w:rFonts w:ascii="Calibri" w:hAnsi="Calibri"/>
          <w:color w:val="000000"/>
          <w:sz w:val="24"/>
          <w:szCs w:val="24"/>
          <w:lang w:val="en-GB" w:eastAsia="en-GB"/>
        </w:rPr>
        <w:t xml:space="preserve"> </w:t>
      </w:r>
      <w:r w:rsidR="00451CF7">
        <w:rPr>
          <w:rFonts w:ascii="Calibri" w:hAnsi="Calibri"/>
          <w:color w:val="000000"/>
          <w:sz w:val="24"/>
          <w:szCs w:val="24"/>
          <w:lang w:val="en-GB" w:eastAsia="en-GB"/>
        </w:rPr>
        <w:t xml:space="preserve">signify the contribution NHIF is making in </w:t>
      </w:r>
      <w:r w:rsidRPr="00E84C62">
        <w:rPr>
          <w:rFonts w:ascii="Calibri" w:hAnsi="Calibri"/>
          <w:color w:val="000000"/>
          <w:sz w:val="24"/>
          <w:szCs w:val="24"/>
          <w:lang w:val="en-GB" w:eastAsia="en-GB"/>
        </w:rPr>
        <w:t xml:space="preserve">financing health services. </w:t>
      </w:r>
    </w:p>
    <w:p w14:paraId="2241C181" w14:textId="77777777" w:rsidR="007325E1" w:rsidRPr="00E84C62" w:rsidRDefault="007325E1" w:rsidP="002B3DEC">
      <w:pPr>
        <w:pStyle w:val="NoSpacing"/>
        <w:spacing w:line="276" w:lineRule="auto"/>
        <w:rPr>
          <w:color w:val="000000"/>
          <w:lang w:val="en-GB" w:eastAsia="en-GB"/>
        </w:rPr>
      </w:pPr>
    </w:p>
    <w:p w14:paraId="4FA9305A" w14:textId="77777777" w:rsidR="00D323EA" w:rsidRPr="001170AC" w:rsidRDefault="00D323EA" w:rsidP="005843C2">
      <w:pPr>
        <w:pStyle w:val="Caption"/>
      </w:pPr>
      <w:bookmarkStart w:id="92" w:name="_Toc488423285"/>
      <w:r w:rsidRPr="001170AC">
        <w:t xml:space="preserve">Table </w:t>
      </w:r>
      <w:r w:rsidR="005F296B">
        <w:t>4.3:</w:t>
      </w:r>
      <w:r w:rsidR="005F296B">
        <w:tab/>
      </w:r>
      <w:r w:rsidR="004A008E" w:rsidRPr="001170AC">
        <w:t>Basic Data on NHIF Income and E</w:t>
      </w:r>
      <w:r w:rsidR="000D3DEC">
        <w:t>xpenditure, FY2012/13 – 2015</w:t>
      </w:r>
      <w:r w:rsidRPr="001170AC">
        <w:t>/1</w:t>
      </w:r>
      <w:r w:rsidR="000D3DEC">
        <w:t>6</w:t>
      </w:r>
      <w:r w:rsidR="004767D5">
        <w:t>, (MN TZS)</w:t>
      </w:r>
      <w:bookmarkEnd w:id="92"/>
      <w:r w:rsidRPr="001170AC">
        <w:t xml:space="preserve"> </w:t>
      </w:r>
    </w:p>
    <w:tbl>
      <w:tblPr>
        <w:tblW w:w="5000" w:type="pct"/>
        <w:tblBorders>
          <w:top w:val="double" w:sz="4" w:space="0" w:color="0000FF"/>
          <w:left w:val="double" w:sz="4" w:space="0" w:color="0000FF"/>
          <w:bottom w:val="double" w:sz="4" w:space="0" w:color="0000FF"/>
          <w:right w:val="double" w:sz="4" w:space="0" w:color="0000FF"/>
          <w:insideH w:val="single" w:sz="4" w:space="0" w:color="auto"/>
          <w:insideV w:val="single" w:sz="4" w:space="0" w:color="auto"/>
        </w:tblBorders>
        <w:tblLook w:val="04A0" w:firstRow="1" w:lastRow="0" w:firstColumn="1" w:lastColumn="0" w:noHBand="0" w:noVBand="1"/>
      </w:tblPr>
      <w:tblGrid>
        <w:gridCol w:w="2784"/>
        <w:gridCol w:w="1565"/>
        <w:gridCol w:w="1440"/>
        <w:gridCol w:w="1712"/>
        <w:gridCol w:w="1495"/>
      </w:tblGrid>
      <w:tr w:rsidR="005F296B" w:rsidRPr="005F296B" w14:paraId="48CBB472" w14:textId="77777777" w:rsidTr="005F296B">
        <w:trPr>
          <w:trHeight w:val="300"/>
        </w:trPr>
        <w:tc>
          <w:tcPr>
            <w:tcW w:w="1582" w:type="pct"/>
            <w:shd w:val="clear" w:color="auto" w:fill="C2D69B" w:themeFill="accent3" w:themeFillTint="99"/>
            <w:noWrap/>
            <w:vAlign w:val="bottom"/>
            <w:hideMark/>
          </w:tcPr>
          <w:p w14:paraId="28B0D945" w14:textId="77777777" w:rsidR="004767D5" w:rsidRPr="005F296B" w:rsidRDefault="004767D5" w:rsidP="004767D5">
            <w:pPr>
              <w:spacing w:line="240" w:lineRule="auto"/>
              <w:jc w:val="center"/>
              <w:rPr>
                <w:b/>
                <w:bCs/>
                <w:color w:val="000000"/>
              </w:rPr>
            </w:pPr>
            <w:r w:rsidRPr="005F296B">
              <w:rPr>
                <w:b/>
                <w:bCs/>
                <w:color w:val="000000"/>
              </w:rPr>
              <w:t>Description</w:t>
            </w:r>
          </w:p>
        </w:tc>
        <w:tc>
          <w:tcPr>
            <w:tcW w:w="904" w:type="pct"/>
            <w:shd w:val="clear" w:color="auto" w:fill="C2D69B" w:themeFill="accent3" w:themeFillTint="99"/>
            <w:noWrap/>
            <w:vAlign w:val="bottom"/>
            <w:hideMark/>
          </w:tcPr>
          <w:p w14:paraId="238BE71D" w14:textId="77777777" w:rsidR="004767D5" w:rsidRPr="005F296B" w:rsidRDefault="004767D5" w:rsidP="004767D5">
            <w:pPr>
              <w:spacing w:line="240" w:lineRule="auto"/>
              <w:jc w:val="center"/>
              <w:rPr>
                <w:b/>
                <w:bCs/>
                <w:color w:val="000000"/>
              </w:rPr>
            </w:pPr>
            <w:r w:rsidRPr="005F296B">
              <w:rPr>
                <w:b/>
                <w:bCs/>
                <w:color w:val="000000"/>
              </w:rPr>
              <w:t>2012/13</w:t>
            </w:r>
          </w:p>
        </w:tc>
        <w:tc>
          <w:tcPr>
            <w:tcW w:w="779" w:type="pct"/>
            <w:shd w:val="clear" w:color="auto" w:fill="C2D69B" w:themeFill="accent3" w:themeFillTint="99"/>
            <w:noWrap/>
            <w:vAlign w:val="bottom"/>
            <w:hideMark/>
          </w:tcPr>
          <w:p w14:paraId="492DFC1B" w14:textId="77777777" w:rsidR="004767D5" w:rsidRPr="005F296B" w:rsidRDefault="004767D5" w:rsidP="004767D5">
            <w:pPr>
              <w:spacing w:line="240" w:lineRule="auto"/>
              <w:jc w:val="center"/>
              <w:rPr>
                <w:b/>
                <w:bCs/>
                <w:color w:val="000000"/>
              </w:rPr>
            </w:pPr>
            <w:r w:rsidRPr="005F296B">
              <w:rPr>
                <w:b/>
                <w:bCs/>
                <w:color w:val="000000"/>
              </w:rPr>
              <w:t>2013/14</w:t>
            </w:r>
          </w:p>
        </w:tc>
        <w:tc>
          <w:tcPr>
            <w:tcW w:w="926" w:type="pct"/>
            <w:shd w:val="clear" w:color="auto" w:fill="C2D69B" w:themeFill="accent3" w:themeFillTint="99"/>
            <w:noWrap/>
            <w:vAlign w:val="bottom"/>
            <w:hideMark/>
          </w:tcPr>
          <w:p w14:paraId="042D76F9" w14:textId="77777777" w:rsidR="004767D5" w:rsidRPr="005F296B" w:rsidRDefault="004767D5" w:rsidP="004767D5">
            <w:pPr>
              <w:spacing w:line="240" w:lineRule="auto"/>
              <w:jc w:val="center"/>
              <w:rPr>
                <w:b/>
                <w:bCs/>
                <w:color w:val="000000"/>
              </w:rPr>
            </w:pPr>
            <w:r w:rsidRPr="005F296B">
              <w:rPr>
                <w:b/>
                <w:bCs/>
                <w:color w:val="000000"/>
              </w:rPr>
              <w:t>2014/15</w:t>
            </w:r>
          </w:p>
        </w:tc>
        <w:tc>
          <w:tcPr>
            <w:tcW w:w="809" w:type="pct"/>
            <w:shd w:val="clear" w:color="auto" w:fill="C2D69B" w:themeFill="accent3" w:themeFillTint="99"/>
            <w:noWrap/>
            <w:vAlign w:val="bottom"/>
            <w:hideMark/>
          </w:tcPr>
          <w:p w14:paraId="5F39D5CB" w14:textId="77777777" w:rsidR="004767D5" w:rsidRPr="005F296B" w:rsidRDefault="004767D5" w:rsidP="004767D5">
            <w:pPr>
              <w:spacing w:line="240" w:lineRule="auto"/>
              <w:jc w:val="center"/>
              <w:rPr>
                <w:b/>
                <w:bCs/>
                <w:color w:val="000000"/>
              </w:rPr>
            </w:pPr>
            <w:r w:rsidRPr="005F296B">
              <w:rPr>
                <w:b/>
                <w:bCs/>
                <w:color w:val="000000"/>
              </w:rPr>
              <w:t>2015/16</w:t>
            </w:r>
          </w:p>
        </w:tc>
      </w:tr>
      <w:tr w:rsidR="005F296B" w:rsidRPr="005F296B" w14:paraId="44FD098B" w14:textId="77777777" w:rsidTr="005F296B">
        <w:trPr>
          <w:trHeight w:val="233"/>
        </w:trPr>
        <w:tc>
          <w:tcPr>
            <w:tcW w:w="1582" w:type="pct"/>
            <w:shd w:val="clear" w:color="auto" w:fill="auto"/>
            <w:vAlign w:val="bottom"/>
            <w:hideMark/>
          </w:tcPr>
          <w:p w14:paraId="49D6623D" w14:textId="77777777" w:rsidR="004767D5" w:rsidRPr="005F296B" w:rsidRDefault="004767D5" w:rsidP="004767D5">
            <w:pPr>
              <w:spacing w:line="240" w:lineRule="auto"/>
              <w:jc w:val="left"/>
              <w:rPr>
                <w:color w:val="000000"/>
              </w:rPr>
            </w:pPr>
            <w:r w:rsidRPr="005F296B">
              <w:rPr>
                <w:color w:val="000000"/>
              </w:rPr>
              <w:t>Income from  contributions</w:t>
            </w:r>
          </w:p>
        </w:tc>
        <w:tc>
          <w:tcPr>
            <w:tcW w:w="904" w:type="pct"/>
            <w:shd w:val="clear" w:color="auto" w:fill="auto"/>
            <w:noWrap/>
            <w:vAlign w:val="bottom"/>
            <w:hideMark/>
          </w:tcPr>
          <w:p w14:paraId="40839C6C" w14:textId="77777777" w:rsidR="004767D5" w:rsidRPr="005F296B" w:rsidRDefault="004767D5" w:rsidP="004767D5">
            <w:pPr>
              <w:spacing w:line="240" w:lineRule="auto"/>
              <w:jc w:val="right"/>
              <w:rPr>
                <w:color w:val="000000"/>
              </w:rPr>
            </w:pPr>
            <w:r w:rsidRPr="005F296B">
              <w:rPr>
                <w:color w:val="000000"/>
              </w:rPr>
              <w:t xml:space="preserve">         207,502</w:t>
            </w:r>
          </w:p>
        </w:tc>
        <w:tc>
          <w:tcPr>
            <w:tcW w:w="779" w:type="pct"/>
            <w:shd w:val="clear" w:color="auto" w:fill="auto"/>
            <w:noWrap/>
            <w:vAlign w:val="bottom"/>
            <w:hideMark/>
          </w:tcPr>
          <w:p w14:paraId="1414A20B" w14:textId="77777777" w:rsidR="004767D5" w:rsidRPr="005F296B" w:rsidRDefault="004767D5" w:rsidP="004767D5">
            <w:pPr>
              <w:spacing w:line="240" w:lineRule="auto"/>
              <w:jc w:val="right"/>
              <w:rPr>
                <w:color w:val="000000"/>
              </w:rPr>
            </w:pPr>
            <w:r w:rsidRPr="005F296B">
              <w:rPr>
                <w:color w:val="000000"/>
              </w:rPr>
              <w:t xml:space="preserve">        245,176 </w:t>
            </w:r>
          </w:p>
        </w:tc>
        <w:tc>
          <w:tcPr>
            <w:tcW w:w="926" w:type="pct"/>
            <w:shd w:val="clear" w:color="auto" w:fill="auto"/>
            <w:noWrap/>
            <w:vAlign w:val="bottom"/>
            <w:hideMark/>
          </w:tcPr>
          <w:p w14:paraId="76994C6C" w14:textId="77777777" w:rsidR="004767D5" w:rsidRPr="005F296B" w:rsidRDefault="004767D5" w:rsidP="004767D5">
            <w:pPr>
              <w:spacing w:line="240" w:lineRule="auto"/>
              <w:jc w:val="right"/>
              <w:rPr>
                <w:color w:val="000000"/>
              </w:rPr>
            </w:pPr>
            <w:r w:rsidRPr="005F296B">
              <w:rPr>
                <w:color w:val="000000"/>
              </w:rPr>
              <w:t xml:space="preserve">             286,702</w:t>
            </w:r>
          </w:p>
        </w:tc>
        <w:tc>
          <w:tcPr>
            <w:tcW w:w="809" w:type="pct"/>
            <w:shd w:val="clear" w:color="auto" w:fill="auto"/>
            <w:noWrap/>
            <w:vAlign w:val="bottom"/>
            <w:hideMark/>
          </w:tcPr>
          <w:p w14:paraId="7215AF90" w14:textId="77777777" w:rsidR="004767D5" w:rsidRPr="005F296B" w:rsidRDefault="004767D5" w:rsidP="004767D5">
            <w:pPr>
              <w:spacing w:line="240" w:lineRule="auto"/>
              <w:jc w:val="right"/>
              <w:rPr>
                <w:color w:val="000000"/>
              </w:rPr>
            </w:pPr>
            <w:r w:rsidRPr="005F296B">
              <w:rPr>
                <w:color w:val="000000"/>
              </w:rPr>
              <w:t xml:space="preserve">         352,763</w:t>
            </w:r>
          </w:p>
        </w:tc>
      </w:tr>
      <w:tr w:rsidR="005F296B" w:rsidRPr="005F296B" w14:paraId="48352942" w14:textId="77777777" w:rsidTr="005F296B">
        <w:trPr>
          <w:trHeight w:val="300"/>
        </w:trPr>
        <w:tc>
          <w:tcPr>
            <w:tcW w:w="1582" w:type="pct"/>
            <w:shd w:val="clear" w:color="auto" w:fill="auto"/>
            <w:noWrap/>
            <w:vAlign w:val="bottom"/>
            <w:hideMark/>
          </w:tcPr>
          <w:p w14:paraId="3A63F86E" w14:textId="77777777" w:rsidR="004767D5" w:rsidRPr="005F296B" w:rsidRDefault="004767D5" w:rsidP="004767D5">
            <w:pPr>
              <w:spacing w:line="240" w:lineRule="auto"/>
              <w:jc w:val="left"/>
              <w:rPr>
                <w:color w:val="000000"/>
              </w:rPr>
            </w:pPr>
            <w:r w:rsidRPr="005F296B">
              <w:rPr>
                <w:color w:val="000000"/>
              </w:rPr>
              <w:t>Total revenue</w:t>
            </w:r>
          </w:p>
        </w:tc>
        <w:tc>
          <w:tcPr>
            <w:tcW w:w="904" w:type="pct"/>
            <w:shd w:val="clear" w:color="auto" w:fill="auto"/>
            <w:noWrap/>
            <w:vAlign w:val="bottom"/>
            <w:hideMark/>
          </w:tcPr>
          <w:p w14:paraId="283E731F" w14:textId="77777777" w:rsidR="004767D5" w:rsidRPr="005F296B" w:rsidRDefault="004767D5" w:rsidP="004767D5">
            <w:pPr>
              <w:spacing w:line="240" w:lineRule="auto"/>
              <w:jc w:val="right"/>
              <w:rPr>
                <w:color w:val="000000"/>
              </w:rPr>
            </w:pPr>
            <w:r w:rsidRPr="005F296B">
              <w:rPr>
                <w:color w:val="000000"/>
              </w:rPr>
              <w:t xml:space="preserve">         266,533 </w:t>
            </w:r>
          </w:p>
        </w:tc>
        <w:tc>
          <w:tcPr>
            <w:tcW w:w="779" w:type="pct"/>
            <w:shd w:val="clear" w:color="auto" w:fill="auto"/>
            <w:noWrap/>
            <w:vAlign w:val="bottom"/>
            <w:hideMark/>
          </w:tcPr>
          <w:p w14:paraId="7ED339F5" w14:textId="77777777" w:rsidR="004767D5" w:rsidRPr="005F296B" w:rsidRDefault="004767D5" w:rsidP="004767D5">
            <w:pPr>
              <w:spacing w:line="240" w:lineRule="auto"/>
              <w:jc w:val="right"/>
              <w:rPr>
                <w:color w:val="000000"/>
              </w:rPr>
            </w:pPr>
            <w:r w:rsidRPr="005F296B">
              <w:rPr>
                <w:color w:val="000000"/>
              </w:rPr>
              <w:t xml:space="preserve">        318,066 </w:t>
            </w:r>
          </w:p>
        </w:tc>
        <w:tc>
          <w:tcPr>
            <w:tcW w:w="926" w:type="pct"/>
            <w:shd w:val="clear" w:color="auto" w:fill="auto"/>
            <w:noWrap/>
            <w:vAlign w:val="bottom"/>
            <w:hideMark/>
          </w:tcPr>
          <w:p w14:paraId="08637A12" w14:textId="77777777" w:rsidR="004767D5" w:rsidRPr="005F296B" w:rsidRDefault="004767D5" w:rsidP="004767D5">
            <w:pPr>
              <w:spacing w:line="240" w:lineRule="auto"/>
              <w:jc w:val="right"/>
              <w:rPr>
                <w:color w:val="000000"/>
              </w:rPr>
            </w:pPr>
            <w:r w:rsidRPr="005F296B">
              <w:rPr>
                <w:color w:val="000000"/>
              </w:rPr>
              <w:t xml:space="preserve">             370,476</w:t>
            </w:r>
          </w:p>
        </w:tc>
        <w:tc>
          <w:tcPr>
            <w:tcW w:w="809" w:type="pct"/>
            <w:shd w:val="clear" w:color="auto" w:fill="auto"/>
            <w:noWrap/>
            <w:vAlign w:val="bottom"/>
            <w:hideMark/>
          </w:tcPr>
          <w:p w14:paraId="6B4EC700" w14:textId="77777777" w:rsidR="004767D5" w:rsidRPr="005F296B" w:rsidRDefault="004767D5" w:rsidP="004767D5">
            <w:pPr>
              <w:spacing w:line="240" w:lineRule="auto"/>
              <w:jc w:val="right"/>
              <w:rPr>
                <w:color w:val="000000"/>
              </w:rPr>
            </w:pPr>
            <w:r w:rsidRPr="005F296B">
              <w:rPr>
                <w:color w:val="000000"/>
              </w:rPr>
              <w:t xml:space="preserve">         453,997</w:t>
            </w:r>
          </w:p>
        </w:tc>
      </w:tr>
      <w:tr w:rsidR="005F296B" w:rsidRPr="005F296B" w14:paraId="4D3A202B" w14:textId="77777777" w:rsidTr="005F296B">
        <w:trPr>
          <w:trHeight w:val="300"/>
        </w:trPr>
        <w:tc>
          <w:tcPr>
            <w:tcW w:w="1582" w:type="pct"/>
            <w:shd w:val="clear" w:color="auto" w:fill="auto"/>
            <w:noWrap/>
            <w:vAlign w:val="bottom"/>
            <w:hideMark/>
          </w:tcPr>
          <w:p w14:paraId="3A7CB64C" w14:textId="77777777" w:rsidR="004767D5" w:rsidRPr="005F296B" w:rsidRDefault="004767D5" w:rsidP="004767D5">
            <w:pPr>
              <w:spacing w:line="240" w:lineRule="auto"/>
              <w:jc w:val="left"/>
              <w:rPr>
                <w:color w:val="000000"/>
              </w:rPr>
            </w:pPr>
            <w:r w:rsidRPr="005F296B">
              <w:rPr>
                <w:color w:val="000000"/>
              </w:rPr>
              <w:t>Value of claims paid</w:t>
            </w:r>
          </w:p>
        </w:tc>
        <w:tc>
          <w:tcPr>
            <w:tcW w:w="904" w:type="pct"/>
            <w:shd w:val="clear" w:color="auto" w:fill="auto"/>
            <w:noWrap/>
            <w:vAlign w:val="bottom"/>
            <w:hideMark/>
          </w:tcPr>
          <w:p w14:paraId="5D6A5BF9" w14:textId="77777777" w:rsidR="004767D5" w:rsidRPr="005F296B" w:rsidRDefault="004767D5" w:rsidP="004767D5">
            <w:pPr>
              <w:spacing w:line="240" w:lineRule="auto"/>
              <w:jc w:val="right"/>
              <w:rPr>
                <w:color w:val="000000"/>
              </w:rPr>
            </w:pPr>
            <w:r w:rsidRPr="005F296B">
              <w:rPr>
                <w:color w:val="000000"/>
              </w:rPr>
              <w:t xml:space="preserve">            97,925</w:t>
            </w:r>
          </w:p>
        </w:tc>
        <w:tc>
          <w:tcPr>
            <w:tcW w:w="779" w:type="pct"/>
            <w:shd w:val="clear" w:color="auto" w:fill="auto"/>
            <w:noWrap/>
            <w:vAlign w:val="bottom"/>
            <w:hideMark/>
          </w:tcPr>
          <w:p w14:paraId="54573B8B" w14:textId="77777777" w:rsidR="004767D5" w:rsidRPr="005F296B" w:rsidRDefault="004767D5" w:rsidP="004767D5">
            <w:pPr>
              <w:spacing w:line="240" w:lineRule="auto"/>
              <w:jc w:val="right"/>
              <w:rPr>
                <w:color w:val="000000"/>
              </w:rPr>
            </w:pPr>
            <w:r w:rsidRPr="005F296B">
              <w:rPr>
                <w:color w:val="000000"/>
              </w:rPr>
              <w:t xml:space="preserve">        132,034 </w:t>
            </w:r>
          </w:p>
        </w:tc>
        <w:tc>
          <w:tcPr>
            <w:tcW w:w="926" w:type="pct"/>
            <w:shd w:val="clear" w:color="auto" w:fill="auto"/>
            <w:noWrap/>
            <w:vAlign w:val="bottom"/>
            <w:hideMark/>
          </w:tcPr>
          <w:p w14:paraId="31942667" w14:textId="77777777" w:rsidR="004767D5" w:rsidRPr="005F296B" w:rsidRDefault="004767D5" w:rsidP="004767D5">
            <w:pPr>
              <w:spacing w:line="240" w:lineRule="auto"/>
              <w:jc w:val="right"/>
              <w:rPr>
                <w:color w:val="000000"/>
              </w:rPr>
            </w:pPr>
            <w:r w:rsidRPr="005F296B">
              <w:rPr>
                <w:color w:val="000000"/>
              </w:rPr>
              <w:t xml:space="preserve">             156,710</w:t>
            </w:r>
          </w:p>
        </w:tc>
        <w:tc>
          <w:tcPr>
            <w:tcW w:w="809" w:type="pct"/>
            <w:shd w:val="clear" w:color="auto" w:fill="auto"/>
            <w:noWrap/>
            <w:vAlign w:val="bottom"/>
            <w:hideMark/>
          </w:tcPr>
          <w:p w14:paraId="1B920E45" w14:textId="77777777" w:rsidR="004767D5" w:rsidRPr="005F296B" w:rsidRDefault="004767D5" w:rsidP="004767D5">
            <w:pPr>
              <w:spacing w:line="240" w:lineRule="auto"/>
              <w:jc w:val="right"/>
              <w:rPr>
                <w:color w:val="000000"/>
              </w:rPr>
            </w:pPr>
            <w:r w:rsidRPr="005F296B">
              <w:rPr>
                <w:color w:val="000000"/>
              </w:rPr>
              <w:t xml:space="preserve">         220,088</w:t>
            </w:r>
          </w:p>
        </w:tc>
      </w:tr>
      <w:tr w:rsidR="005F296B" w:rsidRPr="005F296B" w14:paraId="35C0650C" w14:textId="77777777" w:rsidTr="005F296B">
        <w:trPr>
          <w:trHeight w:val="300"/>
        </w:trPr>
        <w:tc>
          <w:tcPr>
            <w:tcW w:w="1582" w:type="pct"/>
            <w:shd w:val="clear" w:color="auto" w:fill="auto"/>
            <w:noWrap/>
            <w:vAlign w:val="bottom"/>
            <w:hideMark/>
          </w:tcPr>
          <w:p w14:paraId="49F0E6D0" w14:textId="77777777" w:rsidR="004767D5" w:rsidRPr="005F296B" w:rsidRDefault="004767D5" w:rsidP="004767D5">
            <w:pPr>
              <w:spacing w:line="240" w:lineRule="auto"/>
              <w:jc w:val="left"/>
              <w:rPr>
                <w:color w:val="000000"/>
              </w:rPr>
            </w:pPr>
            <w:r w:rsidRPr="005F296B">
              <w:rPr>
                <w:color w:val="000000"/>
              </w:rPr>
              <w:t>Total expenditures</w:t>
            </w:r>
          </w:p>
        </w:tc>
        <w:tc>
          <w:tcPr>
            <w:tcW w:w="904" w:type="pct"/>
            <w:shd w:val="clear" w:color="auto" w:fill="auto"/>
            <w:noWrap/>
            <w:vAlign w:val="bottom"/>
            <w:hideMark/>
          </w:tcPr>
          <w:p w14:paraId="39D3A78F" w14:textId="77777777" w:rsidR="004767D5" w:rsidRPr="005F296B" w:rsidRDefault="004767D5" w:rsidP="004767D5">
            <w:pPr>
              <w:spacing w:line="240" w:lineRule="auto"/>
              <w:jc w:val="right"/>
              <w:rPr>
                <w:color w:val="000000"/>
              </w:rPr>
            </w:pPr>
            <w:r w:rsidRPr="005F296B">
              <w:rPr>
                <w:color w:val="000000"/>
              </w:rPr>
              <w:t xml:space="preserve">         132,652</w:t>
            </w:r>
          </w:p>
        </w:tc>
        <w:tc>
          <w:tcPr>
            <w:tcW w:w="779" w:type="pct"/>
            <w:shd w:val="clear" w:color="auto" w:fill="auto"/>
            <w:noWrap/>
            <w:vAlign w:val="bottom"/>
            <w:hideMark/>
          </w:tcPr>
          <w:p w14:paraId="07CFE54E" w14:textId="77777777" w:rsidR="004767D5" w:rsidRPr="005F296B" w:rsidRDefault="004767D5" w:rsidP="004767D5">
            <w:pPr>
              <w:spacing w:line="240" w:lineRule="auto"/>
              <w:jc w:val="right"/>
              <w:rPr>
                <w:color w:val="000000"/>
              </w:rPr>
            </w:pPr>
            <w:r w:rsidRPr="005F296B">
              <w:rPr>
                <w:color w:val="000000"/>
              </w:rPr>
              <w:t xml:space="preserve">        182,185 </w:t>
            </w:r>
          </w:p>
        </w:tc>
        <w:tc>
          <w:tcPr>
            <w:tcW w:w="926" w:type="pct"/>
            <w:shd w:val="clear" w:color="auto" w:fill="auto"/>
            <w:noWrap/>
            <w:vAlign w:val="bottom"/>
            <w:hideMark/>
          </w:tcPr>
          <w:p w14:paraId="4D9C9855" w14:textId="77777777" w:rsidR="004767D5" w:rsidRPr="005F296B" w:rsidRDefault="004767D5" w:rsidP="004767D5">
            <w:pPr>
              <w:spacing w:line="240" w:lineRule="auto"/>
              <w:jc w:val="right"/>
              <w:rPr>
                <w:color w:val="000000"/>
              </w:rPr>
            </w:pPr>
            <w:r w:rsidRPr="005F296B">
              <w:rPr>
                <w:color w:val="000000"/>
              </w:rPr>
              <w:t xml:space="preserve">             224,915</w:t>
            </w:r>
          </w:p>
        </w:tc>
        <w:tc>
          <w:tcPr>
            <w:tcW w:w="809" w:type="pct"/>
            <w:shd w:val="clear" w:color="auto" w:fill="auto"/>
            <w:noWrap/>
            <w:vAlign w:val="bottom"/>
            <w:hideMark/>
          </w:tcPr>
          <w:p w14:paraId="0B8CDB29" w14:textId="77777777" w:rsidR="004767D5" w:rsidRPr="005F296B" w:rsidRDefault="004767D5" w:rsidP="004767D5">
            <w:pPr>
              <w:spacing w:line="240" w:lineRule="auto"/>
              <w:jc w:val="right"/>
              <w:rPr>
                <w:color w:val="000000"/>
              </w:rPr>
            </w:pPr>
            <w:r w:rsidRPr="005F296B">
              <w:rPr>
                <w:color w:val="000000"/>
              </w:rPr>
              <w:t xml:space="preserve">         286,971</w:t>
            </w:r>
          </w:p>
        </w:tc>
      </w:tr>
      <w:tr w:rsidR="005F296B" w:rsidRPr="005F296B" w14:paraId="40720BBC" w14:textId="77777777" w:rsidTr="005F296B">
        <w:trPr>
          <w:trHeight w:val="404"/>
        </w:trPr>
        <w:tc>
          <w:tcPr>
            <w:tcW w:w="1582" w:type="pct"/>
            <w:shd w:val="clear" w:color="auto" w:fill="auto"/>
            <w:vAlign w:val="bottom"/>
            <w:hideMark/>
          </w:tcPr>
          <w:p w14:paraId="30F15D32" w14:textId="77777777" w:rsidR="004767D5" w:rsidRPr="005F296B" w:rsidRDefault="004767D5" w:rsidP="004767D5">
            <w:pPr>
              <w:spacing w:line="240" w:lineRule="auto"/>
              <w:jc w:val="left"/>
              <w:rPr>
                <w:color w:val="000000"/>
              </w:rPr>
            </w:pPr>
            <w:r w:rsidRPr="005F296B">
              <w:rPr>
                <w:color w:val="000000"/>
              </w:rPr>
              <w:t>Surplus (revenues less expenditures) before tax</w:t>
            </w:r>
          </w:p>
        </w:tc>
        <w:tc>
          <w:tcPr>
            <w:tcW w:w="904" w:type="pct"/>
            <w:shd w:val="clear" w:color="auto" w:fill="auto"/>
            <w:noWrap/>
            <w:vAlign w:val="bottom"/>
            <w:hideMark/>
          </w:tcPr>
          <w:p w14:paraId="369106DB" w14:textId="77777777" w:rsidR="004767D5" w:rsidRPr="005F296B" w:rsidRDefault="004767D5" w:rsidP="004767D5">
            <w:pPr>
              <w:spacing w:line="240" w:lineRule="auto"/>
              <w:jc w:val="right"/>
              <w:rPr>
                <w:color w:val="000000"/>
              </w:rPr>
            </w:pPr>
            <w:r w:rsidRPr="005F296B">
              <w:rPr>
                <w:color w:val="000000"/>
              </w:rPr>
              <w:t xml:space="preserve">         133,881</w:t>
            </w:r>
          </w:p>
        </w:tc>
        <w:tc>
          <w:tcPr>
            <w:tcW w:w="779" w:type="pct"/>
            <w:shd w:val="clear" w:color="auto" w:fill="auto"/>
            <w:noWrap/>
            <w:vAlign w:val="bottom"/>
            <w:hideMark/>
          </w:tcPr>
          <w:p w14:paraId="74C0C22B" w14:textId="77777777" w:rsidR="004767D5" w:rsidRPr="005F296B" w:rsidRDefault="004767D5" w:rsidP="004767D5">
            <w:pPr>
              <w:spacing w:line="240" w:lineRule="auto"/>
              <w:jc w:val="right"/>
              <w:rPr>
                <w:color w:val="000000"/>
              </w:rPr>
            </w:pPr>
            <w:r w:rsidRPr="005F296B">
              <w:rPr>
                <w:color w:val="000000"/>
              </w:rPr>
              <w:t xml:space="preserve">        135,881 </w:t>
            </w:r>
          </w:p>
        </w:tc>
        <w:tc>
          <w:tcPr>
            <w:tcW w:w="926" w:type="pct"/>
            <w:shd w:val="clear" w:color="auto" w:fill="auto"/>
            <w:noWrap/>
            <w:vAlign w:val="bottom"/>
            <w:hideMark/>
          </w:tcPr>
          <w:p w14:paraId="21E5D7D2" w14:textId="77777777" w:rsidR="004767D5" w:rsidRPr="005F296B" w:rsidRDefault="004767D5" w:rsidP="004767D5">
            <w:pPr>
              <w:spacing w:line="240" w:lineRule="auto"/>
              <w:jc w:val="right"/>
              <w:rPr>
                <w:color w:val="000000"/>
              </w:rPr>
            </w:pPr>
            <w:r w:rsidRPr="005F296B">
              <w:rPr>
                <w:color w:val="000000"/>
              </w:rPr>
              <w:t xml:space="preserve">             145,561</w:t>
            </w:r>
          </w:p>
        </w:tc>
        <w:tc>
          <w:tcPr>
            <w:tcW w:w="809" w:type="pct"/>
            <w:shd w:val="clear" w:color="auto" w:fill="auto"/>
            <w:noWrap/>
            <w:vAlign w:val="bottom"/>
            <w:hideMark/>
          </w:tcPr>
          <w:p w14:paraId="099551DC" w14:textId="77777777" w:rsidR="004767D5" w:rsidRPr="005F296B" w:rsidRDefault="004767D5" w:rsidP="004767D5">
            <w:pPr>
              <w:spacing w:line="240" w:lineRule="auto"/>
              <w:jc w:val="right"/>
              <w:rPr>
                <w:color w:val="000000"/>
              </w:rPr>
            </w:pPr>
            <w:r w:rsidRPr="005F296B">
              <w:rPr>
                <w:color w:val="000000"/>
              </w:rPr>
              <w:t xml:space="preserve">         167,026</w:t>
            </w:r>
          </w:p>
        </w:tc>
      </w:tr>
      <w:tr w:rsidR="005F296B" w:rsidRPr="005F296B" w14:paraId="5F1B2FD8" w14:textId="77777777" w:rsidTr="005F296B">
        <w:trPr>
          <w:trHeight w:val="395"/>
        </w:trPr>
        <w:tc>
          <w:tcPr>
            <w:tcW w:w="1582" w:type="pct"/>
            <w:shd w:val="clear" w:color="auto" w:fill="auto"/>
            <w:vAlign w:val="bottom"/>
            <w:hideMark/>
          </w:tcPr>
          <w:p w14:paraId="72390894" w14:textId="77777777" w:rsidR="004767D5" w:rsidRPr="005F296B" w:rsidRDefault="004767D5" w:rsidP="004767D5">
            <w:pPr>
              <w:spacing w:line="240" w:lineRule="auto"/>
              <w:jc w:val="left"/>
              <w:rPr>
                <w:b/>
                <w:color w:val="000000"/>
              </w:rPr>
            </w:pPr>
            <w:r w:rsidRPr="005F296B">
              <w:rPr>
                <w:b/>
                <w:color w:val="000000"/>
              </w:rPr>
              <w:t>Surplus as % of total revenue</w:t>
            </w:r>
          </w:p>
        </w:tc>
        <w:tc>
          <w:tcPr>
            <w:tcW w:w="904" w:type="pct"/>
            <w:shd w:val="clear" w:color="auto" w:fill="auto"/>
            <w:noWrap/>
            <w:vAlign w:val="bottom"/>
            <w:hideMark/>
          </w:tcPr>
          <w:p w14:paraId="110B1B71" w14:textId="77777777" w:rsidR="004767D5" w:rsidRPr="005F296B" w:rsidRDefault="004767D5" w:rsidP="004767D5">
            <w:pPr>
              <w:spacing w:line="240" w:lineRule="auto"/>
              <w:jc w:val="right"/>
              <w:rPr>
                <w:b/>
                <w:color w:val="000000"/>
              </w:rPr>
            </w:pPr>
            <w:r w:rsidRPr="005F296B">
              <w:rPr>
                <w:b/>
                <w:color w:val="000000"/>
              </w:rPr>
              <w:t>50%</w:t>
            </w:r>
          </w:p>
        </w:tc>
        <w:tc>
          <w:tcPr>
            <w:tcW w:w="779" w:type="pct"/>
            <w:shd w:val="clear" w:color="auto" w:fill="auto"/>
            <w:noWrap/>
            <w:vAlign w:val="bottom"/>
            <w:hideMark/>
          </w:tcPr>
          <w:p w14:paraId="72287352" w14:textId="77777777" w:rsidR="004767D5" w:rsidRPr="005F296B" w:rsidRDefault="004767D5" w:rsidP="004767D5">
            <w:pPr>
              <w:spacing w:line="240" w:lineRule="auto"/>
              <w:jc w:val="right"/>
              <w:rPr>
                <w:b/>
                <w:color w:val="000000"/>
              </w:rPr>
            </w:pPr>
            <w:r w:rsidRPr="005F296B">
              <w:rPr>
                <w:b/>
                <w:color w:val="000000"/>
              </w:rPr>
              <w:t>43%</w:t>
            </w:r>
          </w:p>
        </w:tc>
        <w:tc>
          <w:tcPr>
            <w:tcW w:w="926" w:type="pct"/>
            <w:shd w:val="clear" w:color="auto" w:fill="auto"/>
            <w:noWrap/>
            <w:vAlign w:val="bottom"/>
            <w:hideMark/>
          </w:tcPr>
          <w:p w14:paraId="14DD169D" w14:textId="77777777" w:rsidR="004767D5" w:rsidRPr="005F296B" w:rsidRDefault="004767D5" w:rsidP="004767D5">
            <w:pPr>
              <w:spacing w:line="240" w:lineRule="auto"/>
              <w:jc w:val="right"/>
              <w:rPr>
                <w:b/>
                <w:color w:val="000000"/>
              </w:rPr>
            </w:pPr>
            <w:r w:rsidRPr="005F296B">
              <w:rPr>
                <w:b/>
                <w:color w:val="000000"/>
              </w:rPr>
              <w:t>39%</w:t>
            </w:r>
          </w:p>
        </w:tc>
        <w:tc>
          <w:tcPr>
            <w:tcW w:w="809" w:type="pct"/>
            <w:shd w:val="clear" w:color="auto" w:fill="auto"/>
            <w:noWrap/>
            <w:vAlign w:val="bottom"/>
            <w:hideMark/>
          </w:tcPr>
          <w:p w14:paraId="00B94866" w14:textId="77777777" w:rsidR="004767D5" w:rsidRPr="005F296B" w:rsidRDefault="004767D5" w:rsidP="004767D5">
            <w:pPr>
              <w:spacing w:line="240" w:lineRule="auto"/>
              <w:jc w:val="right"/>
              <w:rPr>
                <w:b/>
                <w:color w:val="000000"/>
              </w:rPr>
            </w:pPr>
            <w:r w:rsidRPr="005F296B">
              <w:rPr>
                <w:b/>
                <w:color w:val="000000"/>
              </w:rPr>
              <w:t>37%</w:t>
            </w:r>
          </w:p>
        </w:tc>
      </w:tr>
    </w:tbl>
    <w:p w14:paraId="3107538D" w14:textId="77777777" w:rsidR="00755963" w:rsidRPr="000175EB" w:rsidRDefault="00755963" w:rsidP="00755963">
      <w:pPr>
        <w:ind w:left="1440" w:hanging="1440"/>
        <w:rPr>
          <w:b/>
          <w:i/>
          <w:sz w:val="22"/>
          <w:szCs w:val="22"/>
        </w:rPr>
      </w:pPr>
      <w:r w:rsidRPr="000175EB">
        <w:rPr>
          <w:b/>
          <w:i/>
          <w:sz w:val="22"/>
          <w:szCs w:val="22"/>
        </w:rPr>
        <w:t>Sources: NHIF data submitted for PER FY201</w:t>
      </w:r>
      <w:r>
        <w:rPr>
          <w:b/>
          <w:i/>
          <w:sz w:val="22"/>
          <w:szCs w:val="22"/>
        </w:rPr>
        <w:t>5</w:t>
      </w:r>
      <w:r w:rsidRPr="000175EB">
        <w:rPr>
          <w:b/>
          <w:i/>
          <w:sz w:val="22"/>
          <w:szCs w:val="22"/>
        </w:rPr>
        <w:t>/1</w:t>
      </w:r>
      <w:r>
        <w:rPr>
          <w:b/>
          <w:i/>
          <w:sz w:val="22"/>
          <w:szCs w:val="22"/>
        </w:rPr>
        <w:t>6</w:t>
      </w:r>
      <w:r w:rsidRPr="000175EB">
        <w:rPr>
          <w:b/>
          <w:i/>
          <w:sz w:val="22"/>
          <w:szCs w:val="22"/>
        </w:rPr>
        <w:t>.</w:t>
      </w:r>
    </w:p>
    <w:p w14:paraId="011D249D" w14:textId="77777777" w:rsidR="00071F4B" w:rsidRDefault="00071F4B" w:rsidP="00670B35"/>
    <w:p w14:paraId="56124D16" w14:textId="77777777" w:rsidR="004A008E" w:rsidRPr="00264974" w:rsidRDefault="00E63080" w:rsidP="00E63080">
      <w:pPr>
        <w:pStyle w:val="Heading3"/>
      </w:pPr>
      <w:bookmarkStart w:id="93" w:name="_Toc488423262"/>
      <w:r>
        <w:t>4.3.3</w:t>
      </w:r>
      <w:r>
        <w:tab/>
      </w:r>
      <w:r w:rsidR="004A008E" w:rsidRPr="00264974">
        <w:t>NHIF Spending by Ownership of Facilities</w:t>
      </w:r>
      <w:bookmarkEnd w:id="93"/>
      <w:r w:rsidR="004A008E" w:rsidRPr="00264974">
        <w:t xml:space="preserve">  </w:t>
      </w:r>
    </w:p>
    <w:p w14:paraId="17242BB9" w14:textId="77777777" w:rsidR="00CB51FD" w:rsidRPr="00264974" w:rsidRDefault="00724513" w:rsidP="005F296B">
      <w:bookmarkStart w:id="94" w:name="_Toc242075439"/>
      <w:bookmarkEnd w:id="94"/>
      <w:r w:rsidRPr="00264974">
        <w:t>Faith</w:t>
      </w:r>
      <w:r w:rsidR="006D74F3" w:rsidRPr="00264974">
        <w:t>-</w:t>
      </w:r>
      <w:r w:rsidRPr="00264974">
        <w:t>based organization</w:t>
      </w:r>
      <w:r w:rsidR="003E4F5E" w:rsidRPr="00264974">
        <w:t>s</w:t>
      </w:r>
      <w:r w:rsidRPr="00264974">
        <w:t xml:space="preserve"> </w:t>
      </w:r>
      <w:r w:rsidR="003E4F5E" w:rsidRPr="00264974">
        <w:t xml:space="preserve">received </w:t>
      </w:r>
      <w:r w:rsidR="00264974">
        <w:t xml:space="preserve">highest shares of </w:t>
      </w:r>
      <w:r w:rsidRPr="00264974">
        <w:t>the fund</w:t>
      </w:r>
      <w:r w:rsidR="003E4F5E" w:rsidRPr="00264974">
        <w:t xml:space="preserve">s paid out as claims </w:t>
      </w:r>
      <w:r w:rsidR="0074771D" w:rsidRPr="00264974">
        <w:t>by NHIF</w:t>
      </w:r>
      <w:r w:rsidRPr="00264974">
        <w:t xml:space="preserve"> in </w:t>
      </w:r>
      <w:r w:rsidR="003E4F5E" w:rsidRPr="00264974">
        <w:t>FY</w:t>
      </w:r>
      <w:r w:rsidR="00264974">
        <w:t xml:space="preserve"> </w:t>
      </w:r>
      <w:r w:rsidRPr="00264974">
        <w:t>201</w:t>
      </w:r>
      <w:r w:rsidR="00540D42">
        <w:t>2</w:t>
      </w:r>
      <w:r w:rsidRPr="00264974">
        <w:t>/1</w:t>
      </w:r>
      <w:r w:rsidR="00540D42">
        <w:t>3</w:t>
      </w:r>
      <w:r w:rsidR="00264974">
        <w:t xml:space="preserve"> and </w:t>
      </w:r>
      <w:r w:rsidR="00264974" w:rsidRPr="00264974">
        <w:t>FY</w:t>
      </w:r>
      <w:r w:rsidR="00264974">
        <w:t xml:space="preserve"> </w:t>
      </w:r>
      <w:r w:rsidR="00264974" w:rsidRPr="00264974">
        <w:t>201</w:t>
      </w:r>
      <w:r w:rsidR="00540D42">
        <w:t>3</w:t>
      </w:r>
      <w:r w:rsidR="00264974" w:rsidRPr="00264974">
        <w:t>/1</w:t>
      </w:r>
      <w:r w:rsidR="00540D42">
        <w:t>4</w:t>
      </w:r>
      <w:r w:rsidR="00264974">
        <w:t xml:space="preserve"> </w:t>
      </w:r>
      <w:r w:rsidR="00540D42">
        <w:t xml:space="preserve">(36% and 39% respectively) </w:t>
      </w:r>
      <w:r w:rsidR="00264974">
        <w:t xml:space="preserve">but this trend was reversed in </w:t>
      </w:r>
      <w:r w:rsidR="00264974" w:rsidRPr="00264974">
        <w:t>FY</w:t>
      </w:r>
      <w:r w:rsidR="00264974">
        <w:t xml:space="preserve"> </w:t>
      </w:r>
      <w:r w:rsidR="00264974" w:rsidRPr="00264974">
        <w:t>2014/15</w:t>
      </w:r>
      <w:r w:rsidR="00264974">
        <w:t xml:space="preserve"> </w:t>
      </w:r>
      <w:r w:rsidR="00540D42">
        <w:t xml:space="preserve">and </w:t>
      </w:r>
      <w:r w:rsidR="00264974" w:rsidRPr="00264974">
        <w:t>FY</w:t>
      </w:r>
      <w:r w:rsidR="00264974">
        <w:t xml:space="preserve"> </w:t>
      </w:r>
      <w:r w:rsidR="00264974" w:rsidRPr="00264974">
        <w:t>201</w:t>
      </w:r>
      <w:r w:rsidR="00540D42">
        <w:t>5</w:t>
      </w:r>
      <w:r w:rsidR="00264974" w:rsidRPr="00264974">
        <w:t>/1</w:t>
      </w:r>
      <w:r w:rsidR="00540D42">
        <w:t xml:space="preserve">6 where private facilities received the highest share (36% in each year). </w:t>
      </w:r>
      <w:r w:rsidR="00CB51FD" w:rsidRPr="00264974">
        <w:lastRenderedPageBreak/>
        <w:t>Faith-</w:t>
      </w:r>
      <w:r w:rsidR="00CB51FD" w:rsidRPr="00264974">
        <w:rPr>
          <w:color w:val="000000"/>
          <w:lang w:val="en-GB" w:eastAsia="en-GB"/>
        </w:rPr>
        <w:t xml:space="preserve">based health facilities are important actors in health service delivery, especially in marginalized areas. </w:t>
      </w:r>
      <w:r w:rsidR="006D74F3" w:rsidRPr="00264974">
        <w:t>The share going to p</w:t>
      </w:r>
      <w:r w:rsidR="0074771D" w:rsidRPr="00264974">
        <w:t xml:space="preserve">ublic facilities </w:t>
      </w:r>
      <w:r w:rsidR="006D74F3" w:rsidRPr="00264974">
        <w:t>has remained largely constant, at between 28</w:t>
      </w:r>
      <w:r w:rsidR="00184272" w:rsidRPr="00264974">
        <w:t xml:space="preserve">% </w:t>
      </w:r>
      <w:r w:rsidR="006D74F3" w:rsidRPr="00264974">
        <w:t>and 30</w:t>
      </w:r>
      <w:r w:rsidR="00184272" w:rsidRPr="00264974">
        <w:t>%</w:t>
      </w:r>
      <w:r w:rsidR="00CB51FD" w:rsidRPr="00264974">
        <w:t xml:space="preserve"> per year</w:t>
      </w:r>
      <w:r w:rsidR="006D74F3" w:rsidRPr="00264974">
        <w:t xml:space="preserve">. </w:t>
      </w:r>
      <w:r w:rsidR="00931B22" w:rsidRPr="00931B22">
        <w:t xml:space="preserve">Growth of </w:t>
      </w:r>
      <w:r w:rsidR="00931B22">
        <w:t xml:space="preserve">the </w:t>
      </w:r>
      <w:r w:rsidR="00931B22" w:rsidRPr="00931B22">
        <w:t xml:space="preserve">share going to </w:t>
      </w:r>
      <w:r w:rsidR="00931B22">
        <w:t xml:space="preserve">the </w:t>
      </w:r>
      <w:r w:rsidR="00540D42" w:rsidRPr="00931B22">
        <w:rPr>
          <w:color w:val="000000"/>
          <w:lang w:val="en-GB" w:eastAsia="en-GB"/>
        </w:rPr>
        <w:t xml:space="preserve">private for-profit </w:t>
      </w:r>
      <w:r w:rsidR="00931B22">
        <w:rPr>
          <w:color w:val="000000"/>
          <w:lang w:val="en-GB" w:eastAsia="en-GB"/>
        </w:rPr>
        <w:t xml:space="preserve">health facilities </w:t>
      </w:r>
      <w:r w:rsidR="00540D42" w:rsidRPr="00931B22">
        <w:rPr>
          <w:color w:val="000000"/>
          <w:lang w:val="en-GB" w:eastAsia="en-GB"/>
        </w:rPr>
        <w:t xml:space="preserve">is </w:t>
      </w:r>
      <w:r w:rsidR="00931B22" w:rsidRPr="00931B22">
        <w:rPr>
          <w:color w:val="000000"/>
          <w:lang w:val="en-GB" w:eastAsia="en-GB"/>
        </w:rPr>
        <w:t>worrisome given that these facilities charge higher price</w:t>
      </w:r>
      <w:r w:rsidR="00931B22">
        <w:rPr>
          <w:color w:val="000000"/>
          <w:lang w:val="en-GB" w:eastAsia="en-GB"/>
        </w:rPr>
        <w:t>s</w:t>
      </w:r>
      <w:r w:rsidR="00931B22" w:rsidRPr="00931B22">
        <w:rPr>
          <w:color w:val="000000"/>
          <w:lang w:val="en-GB" w:eastAsia="en-GB"/>
        </w:rPr>
        <w:t xml:space="preserve"> </w:t>
      </w:r>
      <w:r w:rsidR="00931B22">
        <w:rPr>
          <w:color w:val="000000"/>
          <w:lang w:val="en-GB" w:eastAsia="en-GB"/>
        </w:rPr>
        <w:t xml:space="preserve">compared to public and faith based health facilities. This jeopardises access to health services by majority since huge amount of money could be paid for few services. </w:t>
      </w:r>
      <w:r w:rsidR="0074771D" w:rsidRPr="00264974">
        <w:t xml:space="preserve">Figure </w:t>
      </w:r>
      <w:r w:rsidR="00CB51FD" w:rsidRPr="00264974">
        <w:t xml:space="preserve">4.1 </w:t>
      </w:r>
      <w:r w:rsidR="0074771D" w:rsidRPr="00264974">
        <w:t>shows the relative shares of the three main ownership groups.</w:t>
      </w:r>
    </w:p>
    <w:p w14:paraId="61AE1845" w14:textId="77777777" w:rsidR="001D71DA" w:rsidRDefault="001D71DA" w:rsidP="005F296B"/>
    <w:p w14:paraId="6EE5F484" w14:textId="77777777" w:rsidR="00755963" w:rsidRPr="001170AC" w:rsidRDefault="00755963" w:rsidP="005F296B">
      <w:r>
        <w:rPr>
          <w:lang w:val="en-GB" w:eastAsia="en-GB"/>
        </w:rPr>
        <w:t xml:space="preserve">Further, </w:t>
      </w:r>
      <w:r w:rsidRPr="00264974">
        <w:rPr>
          <w:lang w:val="en-GB" w:eastAsia="en-GB"/>
        </w:rPr>
        <w:t xml:space="preserve">the </w:t>
      </w:r>
      <w:r>
        <w:rPr>
          <w:lang w:val="en-GB" w:eastAsia="en-GB"/>
        </w:rPr>
        <w:t xml:space="preserve">fact that </w:t>
      </w:r>
      <w:r w:rsidRPr="00264974">
        <w:rPr>
          <w:lang w:val="en-GB" w:eastAsia="en-GB"/>
        </w:rPr>
        <w:t xml:space="preserve">government facilities are receiving low and constant total reimbursement is </w:t>
      </w:r>
      <w:r>
        <w:rPr>
          <w:lang w:val="en-GB" w:eastAsia="en-GB"/>
        </w:rPr>
        <w:t xml:space="preserve">a </w:t>
      </w:r>
      <w:r w:rsidRPr="00264974">
        <w:rPr>
          <w:lang w:val="en-GB" w:eastAsia="en-GB"/>
        </w:rPr>
        <w:t xml:space="preserve">concern given </w:t>
      </w:r>
      <w:r>
        <w:rPr>
          <w:lang w:val="en-GB" w:eastAsia="en-GB"/>
        </w:rPr>
        <w:t xml:space="preserve">that </w:t>
      </w:r>
      <w:r w:rsidRPr="00264974">
        <w:rPr>
          <w:lang w:val="en-GB" w:eastAsia="en-GB"/>
        </w:rPr>
        <w:t>the</w:t>
      </w:r>
      <w:r>
        <w:rPr>
          <w:lang w:val="en-GB" w:eastAsia="en-GB"/>
        </w:rPr>
        <w:t xml:space="preserve">se facilities </w:t>
      </w:r>
      <w:r w:rsidRPr="00264974">
        <w:rPr>
          <w:lang w:val="en-GB" w:eastAsia="en-GB"/>
        </w:rPr>
        <w:t xml:space="preserve">provide more services than faith-based </w:t>
      </w:r>
      <w:r>
        <w:rPr>
          <w:lang w:val="en-GB" w:eastAsia="en-GB"/>
        </w:rPr>
        <w:t xml:space="preserve">and private for-profit health </w:t>
      </w:r>
      <w:r w:rsidRPr="00264974">
        <w:rPr>
          <w:lang w:val="en-GB" w:eastAsia="en-GB"/>
        </w:rPr>
        <w:t>facilities. The reimbursement is according to fees for service. It is understandable that the government facilities receive less given their lower charges, but this would effectively mean that the government is subsidizing the NHIF.</w:t>
      </w:r>
      <w:r w:rsidRPr="001170AC">
        <w:rPr>
          <w:lang w:val="en-GB" w:eastAsia="en-GB"/>
        </w:rPr>
        <w:t xml:space="preserve"> </w:t>
      </w:r>
    </w:p>
    <w:p w14:paraId="06E269E9" w14:textId="77777777" w:rsidR="00755963" w:rsidRPr="00264974" w:rsidRDefault="00755963" w:rsidP="005F296B"/>
    <w:p w14:paraId="3705D029" w14:textId="77777777" w:rsidR="004741F2" w:rsidRPr="00264974" w:rsidRDefault="0069461B" w:rsidP="00E63080">
      <w:pPr>
        <w:pStyle w:val="Caption1"/>
      </w:pPr>
      <w:bookmarkStart w:id="95" w:name="_Toc488423304"/>
      <w:r w:rsidRPr="00264974">
        <w:t xml:space="preserve">Figure </w:t>
      </w:r>
      <w:r w:rsidR="00CB51FD" w:rsidRPr="00264974">
        <w:t xml:space="preserve">4.1: </w:t>
      </w:r>
      <w:r w:rsidR="00E63080">
        <w:tab/>
      </w:r>
      <w:r w:rsidR="0074771D" w:rsidRPr="00264974">
        <w:t>NHIF</w:t>
      </w:r>
      <w:r w:rsidR="00CB51FD" w:rsidRPr="00264974">
        <w:t xml:space="preserve"> Payments by Facility Ownership T</w:t>
      </w:r>
      <w:r w:rsidR="004741F2" w:rsidRPr="00264974">
        <w:t>ype, FY 201</w:t>
      </w:r>
      <w:r w:rsidR="009A1B11" w:rsidRPr="00264974">
        <w:t>2/13 – 201</w:t>
      </w:r>
      <w:r w:rsidR="00264974">
        <w:t>5/16</w:t>
      </w:r>
      <w:bookmarkEnd w:id="95"/>
    </w:p>
    <w:p w14:paraId="750F776E" w14:textId="77777777" w:rsidR="004741F2" w:rsidRPr="00264974" w:rsidRDefault="000B5E1A" w:rsidP="00670B35">
      <w:r>
        <w:rPr>
          <w:noProof/>
        </w:rPr>
        <w:drawing>
          <wp:inline distT="0" distB="0" distL="0" distR="0" wp14:anchorId="413F0F80" wp14:editId="2B42792B">
            <wp:extent cx="5036820" cy="2857500"/>
            <wp:effectExtent l="19050" t="19050" r="11430" b="19050"/>
            <wp:docPr id="128" name="Char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rt 1"/>
                    <pic:cNvPicPr>
                      <a:picLocks noChangeAspect="1" noChangeArrowheads="1"/>
                    </pic:cNvPicPr>
                  </pic:nvPicPr>
                  <pic:blipFill>
                    <a:blip r:embed="rId24"/>
                    <a:srcRect/>
                    <a:stretch>
                      <a:fillRect/>
                    </a:stretch>
                  </pic:blipFill>
                  <pic:spPr bwMode="auto">
                    <a:xfrm>
                      <a:off x="0" y="0"/>
                      <a:ext cx="5036820" cy="2857500"/>
                    </a:xfrm>
                    <a:prstGeom prst="rect">
                      <a:avLst/>
                    </a:prstGeom>
                    <a:noFill/>
                    <a:ln w="19050" cmpd="dbl">
                      <a:solidFill>
                        <a:srgbClr val="3333FF"/>
                      </a:solidFill>
                      <a:miter lim="800000"/>
                      <a:headEnd/>
                      <a:tailEnd/>
                    </a:ln>
                    <a:effectLst/>
                  </pic:spPr>
                </pic:pic>
              </a:graphicData>
            </a:graphic>
          </wp:inline>
        </w:drawing>
      </w:r>
    </w:p>
    <w:p w14:paraId="6D659C30" w14:textId="77777777" w:rsidR="00E63080" w:rsidRDefault="00E63080" w:rsidP="00670B35">
      <w:pPr>
        <w:rPr>
          <w:b/>
        </w:rPr>
      </w:pPr>
    </w:p>
    <w:p w14:paraId="6E25C68F" w14:textId="77777777" w:rsidR="004741F2" w:rsidRPr="00D638CC" w:rsidRDefault="00E63080" w:rsidP="00E63080">
      <w:pPr>
        <w:pStyle w:val="Heading3"/>
      </w:pPr>
      <w:bookmarkStart w:id="96" w:name="_Toc488423263"/>
      <w:r>
        <w:t>4.3.4</w:t>
      </w:r>
      <w:r>
        <w:tab/>
      </w:r>
      <w:r w:rsidR="007132FD" w:rsidRPr="00D638CC">
        <w:t>NHIF Spending by Level</w:t>
      </w:r>
      <w:r w:rsidR="00755963">
        <w:t>s</w:t>
      </w:r>
      <w:r w:rsidR="007132FD" w:rsidRPr="00D638CC">
        <w:t xml:space="preserve"> of Health S</w:t>
      </w:r>
      <w:r w:rsidR="004741F2" w:rsidRPr="00D638CC">
        <w:t>ystem</w:t>
      </w:r>
      <w:bookmarkEnd w:id="96"/>
    </w:p>
    <w:p w14:paraId="3A3F5628" w14:textId="77777777" w:rsidR="00184272" w:rsidRPr="00D638CC" w:rsidRDefault="00184272" w:rsidP="00670B35">
      <w:pPr>
        <w:pStyle w:val="NoSpacing"/>
        <w:spacing w:line="276" w:lineRule="auto"/>
      </w:pPr>
    </w:p>
    <w:p w14:paraId="2AD92043" w14:textId="77777777" w:rsidR="007A6D1C" w:rsidRPr="00D638CC" w:rsidRDefault="004741F2" w:rsidP="00AC460C">
      <w:pPr>
        <w:pStyle w:val="NoSpacing"/>
        <w:spacing w:line="276" w:lineRule="auto"/>
      </w:pPr>
      <w:r w:rsidRPr="00D638CC">
        <w:t xml:space="preserve">Figure </w:t>
      </w:r>
      <w:r w:rsidR="000A3A86" w:rsidRPr="00D638CC">
        <w:t>4</w:t>
      </w:r>
      <w:r w:rsidR="00246358" w:rsidRPr="00D638CC">
        <w:t xml:space="preserve">.2 </w:t>
      </w:r>
      <w:r w:rsidRPr="00D638CC">
        <w:t>shows the distribution of FY 201</w:t>
      </w:r>
      <w:r w:rsidR="00D638CC">
        <w:t>5</w:t>
      </w:r>
      <w:r w:rsidRPr="00D638CC">
        <w:t>/1</w:t>
      </w:r>
      <w:r w:rsidR="00D638CC">
        <w:t>6</w:t>
      </w:r>
      <w:r w:rsidRPr="00D638CC">
        <w:t xml:space="preserve"> claims payments by type of facility, or level of the health system</w:t>
      </w:r>
      <w:r w:rsidR="0051729C" w:rsidRPr="00D638CC">
        <w:t xml:space="preserve">, whereby </w:t>
      </w:r>
      <w:r w:rsidR="00F30812" w:rsidRPr="00D638CC">
        <w:t>referral hospital</w:t>
      </w:r>
      <w:r w:rsidR="0051729C" w:rsidRPr="00D638CC">
        <w:t>s</w:t>
      </w:r>
      <w:r w:rsidR="00F30812" w:rsidRPr="00D638CC">
        <w:t xml:space="preserve"> </w:t>
      </w:r>
      <w:r w:rsidR="0051729C" w:rsidRPr="00D638CC">
        <w:t xml:space="preserve">received over half of </w:t>
      </w:r>
      <w:r w:rsidR="00F30812" w:rsidRPr="00D638CC">
        <w:t>NHIF payment</w:t>
      </w:r>
      <w:r w:rsidR="0051729C" w:rsidRPr="00D638CC">
        <w:t>s, at 5</w:t>
      </w:r>
      <w:r w:rsidR="00264974">
        <w:t>6</w:t>
      </w:r>
      <w:r w:rsidR="007A6D1C" w:rsidRPr="00D638CC">
        <w:t>%</w:t>
      </w:r>
      <w:r w:rsidR="00246358" w:rsidRPr="00D638CC">
        <w:t>. The addition of regional hospitals results in 6</w:t>
      </w:r>
      <w:r w:rsidR="00264974">
        <w:t>8</w:t>
      </w:r>
      <w:r w:rsidR="007A6D1C" w:rsidRPr="00D638CC">
        <w:t xml:space="preserve">% </w:t>
      </w:r>
      <w:r w:rsidR="00246358" w:rsidRPr="00D638CC">
        <w:t xml:space="preserve">of claims payments going to higher level hospital facilities. </w:t>
      </w:r>
      <w:r w:rsidR="0051729C" w:rsidRPr="00D638CC">
        <w:t>R</w:t>
      </w:r>
      <w:r w:rsidR="00F30812" w:rsidRPr="00D638CC">
        <w:t>egion</w:t>
      </w:r>
      <w:r w:rsidR="0051729C" w:rsidRPr="00D638CC">
        <w:t xml:space="preserve">al hospitals, district hospitals </w:t>
      </w:r>
      <w:r w:rsidR="00F30812" w:rsidRPr="00D638CC">
        <w:t xml:space="preserve">and pharmacies each </w:t>
      </w:r>
      <w:r w:rsidR="0051729C" w:rsidRPr="00D638CC">
        <w:t>receive</w:t>
      </w:r>
      <w:r w:rsidR="00246358" w:rsidRPr="00D638CC">
        <w:t>d</w:t>
      </w:r>
      <w:r w:rsidR="0051729C" w:rsidRPr="00D638CC">
        <w:t xml:space="preserve"> </w:t>
      </w:r>
      <w:r w:rsidR="00F30812" w:rsidRPr="00D638CC">
        <w:t xml:space="preserve">around </w:t>
      </w:r>
      <w:r w:rsidR="00246358" w:rsidRPr="00D638CC">
        <w:t>9</w:t>
      </w:r>
      <w:r w:rsidR="0051729C" w:rsidRPr="00D638CC">
        <w:t>-1</w:t>
      </w:r>
      <w:r w:rsidR="00264974">
        <w:t>2</w:t>
      </w:r>
      <w:r w:rsidR="007A6D1C" w:rsidRPr="00D638CC">
        <w:t xml:space="preserve">% </w:t>
      </w:r>
      <w:r w:rsidR="00F30812" w:rsidRPr="00D638CC">
        <w:t xml:space="preserve">of the payments. </w:t>
      </w:r>
      <w:r w:rsidR="00AF5303" w:rsidRPr="00D638CC">
        <w:t xml:space="preserve">The </w:t>
      </w:r>
      <w:r w:rsidR="00755963">
        <w:t>F</w:t>
      </w:r>
      <w:r w:rsidR="007A6D1C" w:rsidRPr="00D638CC">
        <w:t xml:space="preserve">igure </w:t>
      </w:r>
      <w:r w:rsidR="00AF5303" w:rsidRPr="00D638CC">
        <w:t xml:space="preserve">shows </w:t>
      </w:r>
      <w:r w:rsidR="00755963">
        <w:t xml:space="preserve">further </w:t>
      </w:r>
      <w:r w:rsidR="00AF5303" w:rsidRPr="00D638CC">
        <w:t xml:space="preserve">that only </w:t>
      </w:r>
      <w:r w:rsidR="00264974">
        <w:t>19</w:t>
      </w:r>
      <w:r w:rsidR="007A6D1C" w:rsidRPr="00D638CC">
        <w:t xml:space="preserve">% </w:t>
      </w:r>
      <w:r w:rsidR="00AF5303" w:rsidRPr="00D638CC">
        <w:t xml:space="preserve">of NHIF claims payments go to the primary </w:t>
      </w:r>
      <w:r w:rsidR="0051729C" w:rsidRPr="00D638CC">
        <w:t xml:space="preserve">lower </w:t>
      </w:r>
      <w:r w:rsidR="00AF5303" w:rsidRPr="00D638CC">
        <w:t>level health facilities</w:t>
      </w:r>
      <w:r w:rsidR="00246358" w:rsidRPr="00D638CC">
        <w:t xml:space="preserve"> (district hospitals, health centers and dispensaries).</w:t>
      </w:r>
      <w:r w:rsidR="007A6D1C" w:rsidRPr="00D638CC">
        <w:t xml:space="preserve"> </w:t>
      </w:r>
      <w:r w:rsidR="007A6D1C" w:rsidRPr="00D638CC">
        <w:rPr>
          <w:color w:val="000000"/>
          <w:lang w:val="en-GB" w:eastAsia="en-GB"/>
        </w:rPr>
        <w:t>Over half of the budget and spending is going to referral hospitals as shown in Figure 4.2. There are many factors involved in this, including the following:</w:t>
      </w:r>
    </w:p>
    <w:p w14:paraId="66B77B1C" w14:textId="77777777" w:rsidR="007A6D1C" w:rsidRPr="00D638CC" w:rsidRDefault="007A6D1C" w:rsidP="007A6D1C">
      <w:pPr>
        <w:pStyle w:val="NoSpacing"/>
        <w:numPr>
          <w:ilvl w:val="0"/>
          <w:numId w:val="26"/>
        </w:numPr>
        <w:spacing w:line="276" w:lineRule="auto"/>
      </w:pPr>
      <w:r w:rsidRPr="00D638CC">
        <w:lastRenderedPageBreak/>
        <w:t>Most of the services provided at the referral level are very expensive compared to lower levels.</w:t>
      </w:r>
    </w:p>
    <w:p w14:paraId="27FADA08" w14:textId="77777777" w:rsidR="007A6D1C" w:rsidRPr="00D638CC" w:rsidRDefault="007A6D1C" w:rsidP="007A6D1C">
      <w:pPr>
        <w:pStyle w:val="NoSpacing"/>
        <w:numPr>
          <w:ilvl w:val="0"/>
          <w:numId w:val="26"/>
        </w:numPr>
        <w:spacing w:line="276" w:lineRule="auto"/>
      </w:pPr>
      <w:r w:rsidRPr="00D638CC">
        <w:t>Prices per service are higher at the referral level and most referral hospitals have reviewed their fee schedules.</w:t>
      </w:r>
    </w:p>
    <w:p w14:paraId="5D8B3E38" w14:textId="77777777" w:rsidR="007A6D1C" w:rsidRPr="00D638CC" w:rsidRDefault="007A6D1C" w:rsidP="007A6D1C">
      <w:pPr>
        <w:pStyle w:val="NoSpacing"/>
        <w:numPr>
          <w:ilvl w:val="0"/>
          <w:numId w:val="26"/>
        </w:numPr>
        <w:spacing w:line="276" w:lineRule="auto"/>
      </w:pPr>
      <w:r w:rsidRPr="00D638CC">
        <w:t>Most of the NHIF “Green Card”</w:t>
      </w:r>
      <w:r w:rsidRPr="00D638CC">
        <w:rPr>
          <w:rStyle w:val="FootnoteReference"/>
          <w:rFonts w:ascii="Calibri" w:hAnsi="Calibri"/>
          <w:sz w:val="24"/>
          <w:szCs w:val="24"/>
        </w:rPr>
        <w:footnoteReference w:id="1"/>
      </w:r>
      <w:r w:rsidRPr="00D638CC">
        <w:t xml:space="preserve"> members are found at the urban centers compared to rural areas.</w:t>
      </w:r>
    </w:p>
    <w:p w14:paraId="41DED7F7" w14:textId="77777777" w:rsidR="007A6D1C" w:rsidRPr="00D638CC" w:rsidRDefault="007A6D1C" w:rsidP="00670B35">
      <w:pPr>
        <w:pStyle w:val="NoSpacing"/>
        <w:spacing w:line="276" w:lineRule="auto"/>
      </w:pPr>
    </w:p>
    <w:p w14:paraId="1D0FEE9B" w14:textId="77777777" w:rsidR="007132FD" w:rsidRPr="00D638CC" w:rsidRDefault="007132FD" w:rsidP="00670B35">
      <w:pPr>
        <w:pStyle w:val="NoSpacing"/>
        <w:spacing w:line="276" w:lineRule="auto"/>
        <w:rPr>
          <w:color w:val="000000"/>
          <w:lang w:val="en-GB" w:eastAsia="en-GB"/>
        </w:rPr>
      </w:pPr>
      <w:r w:rsidRPr="00D638CC">
        <w:rPr>
          <w:color w:val="000000"/>
          <w:lang w:val="en-GB" w:eastAsia="en-GB"/>
        </w:rPr>
        <w:t xml:space="preserve">Payments to </w:t>
      </w:r>
      <w:r w:rsidR="00A236DA" w:rsidRPr="00D638CC">
        <w:rPr>
          <w:color w:val="000000"/>
          <w:lang w:val="en-GB" w:eastAsia="en-GB"/>
        </w:rPr>
        <w:t>p</w:t>
      </w:r>
      <w:r w:rsidRPr="00D638CC">
        <w:rPr>
          <w:color w:val="000000"/>
          <w:lang w:val="en-GB" w:eastAsia="en-GB"/>
        </w:rPr>
        <w:t xml:space="preserve">harmacies alone accounted for </w:t>
      </w:r>
      <w:r w:rsidR="00A236DA" w:rsidRPr="00D638CC">
        <w:rPr>
          <w:color w:val="000000"/>
          <w:lang w:val="en-GB" w:eastAsia="en-GB"/>
        </w:rPr>
        <w:t>10</w:t>
      </w:r>
      <w:r w:rsidR="007A6D1C" w:rsidRPr="00D638CC">
        <w:rPr>
          <w:color w:val="000000"/>
          <w:lang w:val="en-GB" w:eastAsia="en-GB"/>
        </w:rPr>
        <w:t xml:space="preserve">% </w:t>
      </w:r>
      <w:r w:rsidRPr="00D638CC">
        <w:rPr>
          <w:color w:val="000000"/>
          <w:lang w:val="en-GB" w:eastAsia="en-GB"/>
        </w:rPr>
        <w:t>of the total disbursements. Th</w:t>
      </w:r>
      <w:r w:rsidR="00A236DA" w:rsidRPr="00D638CC">
        <w:rPr>
          <w:color w:val="000000"/>
          <w:lang w:val="en-GB" w:eastAsia="en-GB"/>
        </w:rPr>
        <w:t xml:space="preserve">is is an </w:t>
      </w:r>
      <w:r w:rsidRPr="00D638CC">
        <w:rPr>
          <w:color w:val="000000"/>
          <w:lang w:val="en-GB" w:eastAsia="en-GB"/>
        </w:rPr>
        <w:t>important entit</w:t>
      </w:r>
      <w:r w:rsidR="00A236DA" w:rsidRPr="00D638CC">
        <w:rPr>
          <w:color w:val="000000"/>
          <w:lang w:val="en-GB" w:eastAsia="en-GB"/>
        </w:rPr>
        <w:t xml:space="preserve">y </w:t>
      </w:r>
      <w:r w:rsidRPr="00D638CC">
        <w:rPr>
          <w:color w:val="000000"/>
          <w:lang w:val="en-GB" w:eastAsia="en-GB"/>
        </w:rPr>
        <w:t xml:space="preserve">in addressing the problem of access to medicines. </w:t>
      </w:r>
      <w:r w:rsidR="00A236DA" w:rsidRPr="00D638CC">
        <w:rPr>
          <w:color w:val="000000"/>
          <w:lang w:val="en-GB" w:eastAsia="en-GB"/>
        </w:rPr>
        <w:t>However, d</w:t>
      </w:r>
      <w:r w:rsidRPr="00D638CC">
        <w:rPr>
          <w:color w:val="000000"/>
          <w:lang w:val="en-GB" w:eastAsia="en-GB"/>
        </w:rPr>
        <w:t xml:space="preserve">isbursement to </w:t>
      </w:r>
      <w:r w:rsidR="00A236DA" w:rsidRPr="00D638CC">
        <w:rPr>
          <w:color w:val="000000"/>
          <w:lang w:val="en-GB" w:eastAsia="en-GB"/>
        </w:rPr>
        <w:t>Accredited Drug Dispensing Outlets (</w:t>
      </w:r>
      <w:r w:rsidRPr="00D638CC">
        <w:rPr>
          <w:color w:val="000000"/>
          <w:lang w:val="en-GB" w:eastAsia="en-GB"/>
        </w:rPr>
        <w:t>ADDOs</w:t>
      </w:r>
      <w:r w:rsidR="00A236DA" w:rsidRPr="00D638CC">
        <w:rPr>
          <w:color w:val="000000"/>
          <w:lang w:val="en-GB" w:eastAsia="en-GB"/>
        </w:rPr>
        <w:t>)</w:t>
      </w:r>
      <w:r w:rsidRPr="00D638CC">
        <w:rPr>
          <w:color w:val="000000"/>
          <w:lang w:val="en-GB" w:eastAsia="en-GB"/>
        </w:rPr>
        <w:t xml:space="preserve"> is </w:t>
      </w:r>
      <w:r w:rsidR="00A236DA" w:rsidRPr="00D638CC">
        <w:rPr>
          <w:color w:val="000000"/>
          <w:lang w:val="en-GB" w:eastAsia="en-GB"/>
        </w:rPr>
        <w:t>negligible</w:t>
      </w:r>
      <w:r w:rsidRPr="00D638CC">
        <w:rPr>
          <w:color w:val="000000"/>
          <w:lang w:val="en-GB" w:eastAsia="en-GB"/>
        </w:rPr>
        <w:t>, which is partly a reflection of the size of these entities countrywide. However, the ADDOs are key conduits for making medicine accessible to rural marginalized areas and more efforts should be made to collaborate with these entities. This is also an area where the CHF funds could be used effectively</w:t>
      </w:r>
      <w:r w:rsidR="007A6D1C" w:rsidRPr="00D638CC">
        <w:rPr>
          <w:color w:val="000000"/>
          <w:lang w:val="en-GB" w:eastAsia="en-GB"/>
        </w:rPr>
        <w:t>.</w:t>
      </w:r>
    </w:p>
    <w:p w14:paraId="07417BEA" w14:textId="77777777" w:rsidR="007132FD" w:rsidRPr="00D638CC" w:rsidRDefault="007132FD" w:rsidP="00670B35">
      <w:pPr>
        <w:pStyle w:val="NoSpacing"/>
        <w:spacing w:line="276" w:lineRule="auto"/>
      </w:pPr>
    </w:p>
    <w:p w14:paraId="763B7E0C" w14:textId="77777777" w:rsidR="004741F2" w:rsidRDefault="0069461B" w:rsidP="00E63080">
      <w:pPr>
        <w:pStyle w:val="Caption1"/>
      </w:pPr>
      <w:bookmarkStart w:id="97" w:name="_Toc488423305"/>
      <w:r w:rsidRPr="00D638CC">
        <w:t xml:space="preserve">Figure </w:t>
      </w:r>
      <w:r w:rsidR="002D296E" w:rsidRPr="00D638CC">
        <w:t>4.2:</w:t>
      </w:r>
      <w:r w:rsidR="00E63080">
        <w:tab/>
      </w:r>
      <w:r w:rsidR="00F30812" w:rsidRPr="00D638CC">
        <w:t>NHIF</w:t>
      </w:r>
      <w:r w:rsidR="004741F2" w:rsidRPr="00D638CC">
        <w:t xml:space="preserve"> </w:t>
      </w:r>
      <w:r w:rsidR="002D296E" w:rsidRPr="00D638CC">
        <w:t>Spending by Type of F</w:t>
      </w:r>
      <w:r w:rsidR="004741F2" w:rsidRPr="00D638CC">
        <w:t xml:space="preserve">acility, </w:t>
      </w:r>
      <w:r w:rsidR="00C93594" w:rsidRPr="00D638CC">
        <w:t>2014/15</w:t>
      </w:r>
      <w:bookmarkEnd w:id="97"/>
    </w:p>
    <w:p w14:paraId="635F7B7B" w14:textId="77777777" w:rsidR="00D638CC" w:rsidRDefault="000B5E1A" w:rsidP="00670B35">
      <w:pPr>
        <w:pStyle w:val="NoSpacing"/>
        <w:spacing w:line="276" w:lineRule="auto"/>
        <w:rPr>
          <w:b/>
        </w:rPr>
      </w:pPr>
      <w:r>
        <w:rPr>
          <w:noProof/>
        </w:rPr>
        <w:drawing>
          <wp:inline distT="0" distB="0" distL="0" distR="0" wp14:anchorId="302F2E07" wp14:editId="1D05A05B">
            <wp:extent cx="5280660" cy="3429000"/>
            <wp:effectExtent l="19050" t="19050" r="15240" b="19050"/>
            <wp:docPr id="127" name="Chart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1"/>
                    <pic:cNvPicPr>
                      <a:picLocks noChangeArrowheads="1"/>
                    </pic:cNvPicPr>
                  </pic:nvPicPr>
                  <pic:blipFill>
                    <a:blip r:embed="rId25"/>
                    <a:srcRect/>
                    <a:stretch>
                      <a:fillRect/>
                    </a:stretch>
                  </pic:blipFill>
                  <pic:spPr bwMode="auto">
                    <a:xfrm>
                      <a:off x="0" y="0"/>
                      <a:ext cx="5280660" cy="3429000"/>
                    </a:xfrm>
                    <a:prstGeom prst="rect">
                      <a:avLst/>
                    </a:prstGeom>
                    <a:noFill/>
                    <a:ln w="19050" cmpd="dbl">
                      <a:solidFill>
                        <a:srgbClr val="0000FF"/>
                      </a:solidFill>
                      <a:miter lim="800000"/>
                      <a:headEnd/>
                      <a:tailEnd/>
                    </a:ln>
                    <a:effectLst/>
                  </pic:spPr>
                </pic:pic>
              </a:graphicData>
            </a:graphic>
          </wp:inline>
        </w:drawing>
      </w:r>
    </w:p>
    <w:p w14:paraId="611117E4" w14:textId="77777777" w:rsidR="004741F2" w:rsidRPr="00755963" w:rsidRDefault="004741F2" w:rsidP="00670B35">
      <w:pPr>
        <w:rPr>
          <w:b/>
          <w:i/>
          <w:sz w:val="22"/>
          <w:szCs w:val="22"/>
        </w:rPr>
      </w:pPr>
      <w:r w:rsidRPr="00755963">
        <w:rPr>
          <w:b/>
          <w:i/>
          <w:sz w:val="22"/>
          <w:szCs w:val="22"/>
        </w:rPr>
        <w:t xml:space="preserve">Source: NHIF </w:t>
      </w:r>
      <w:r w:rsidR="001D71DA" w:rsidRPr="00755963">
        <w:rPr>
          <w:b/>
          <w:i/>
          <w:sz w:val="22"/>
          <w:szCs w:val="22"/>
        </w:rPr>
        <w:t>D</w:t>
      </w:r>
      <w:r w:rsidRPr="00755963">
        <w:rPr>
          <w:b/>
          <w:i/>
          <w:sz w:val="22"/>
          <w:szCs w:val="22"/>
        </w:rPr>
        <w:t xml:space="preserve">ata submitted for </w:t>
      </w:r>
      <w:r w:rsidR="00264974" w:rsidRPr="00755963">
        <w:rPr>
          <w:b/>
          <w:i/>
          <w:sz w:val="22"/>
          <w:szCs w:val="22"/>
        </w:rPr>
        <w:t xml:space="preserve">2015/16 </w:t>
      </w:r>
      <w:r w:rsidRPr="00755963">
        <w:rPr>
          <w:b/>
          <w:i/>
          <w:sz w:val="22"/>
          <w:szCs w:val="22"/>
        </w:rPr>
        <w:t>PER</w:t>
      </w:r>
      <w:r w:rsidR="00FA0ABC" w:rsidRPr="00755963">
        <w:rPr>
          <w:b/>
          <w:i/>
          <w:sz w:val="22"/>
          <w:szCs w:val="22"/>
        </w:rPr>
        <w:t>.</w:t>
      </w:r>
    </w:p>
    <w:p w14:paraId="67CE697B" w14:textId="77777777" w:rsidR="001D71DA" w:rsidRPr="001170AC" w:rsidRDefault="001D71DA" w:rsidP="00670B35">
      <w:pPr>
        <w:rPr>
          <w:b/>
        </w:rPr>
      </w:pPr>
    </w:p>
    <w:p w14:paraId="74B183D9" w14:textId="77777777" w:rsidR="00154203" w:rsidRPr="005843C2" w:rsidRDefault="005843C2" w:rsidP="005843C2">
      <w:pPr>
        <w:pStyle w:val="Heading3"/>
      </w:pPr>
      <w:bookmarkStart w:id="98" w:name="_Toc488423264"/>
      <w:r w:rsidRPr="005843C2">
        <w:t>4.3.5</w:t>
      </w:r>
      <w:r w:rsidRPr="005843C2">
        <w:tab/>
      </w:r>
      <w:r w:rsidR="00154203" w:rsidRPr="005843C2">
        <w:t xml:space="preserve">NHIF </w:t>
      </w:r>
      <w:r w:rsidR="007132FD" w:rsidRPr="005843C2">
        <w:t>S</w:t>
      </w:r>
      <w:r w:rsidR="001C24FB" w:rsidRPr="005843C2">
        <w:t>pending</w:t>
      </w:r>
      <w:r w:rsidR="007132FD" w:rsidRPr="005843C2">
        <w:t xml:space="preserve"> by R</w:t>
      </w:r>
      <w:r w:rsidR="00154203" w:rsidRPr="005843C2">
        <w:t>egion</w:t>
      </w:r>
      <w:r w:rsidR="007132FD" w:rsidRPr="005843C2">
        <w:t>s</w:t>
      </w:r>
      <w:bookmarkEnd w:id="98"/>
      <w:r w:rsidR="00154203" w:rsidRPr="005843C2">
        <w:t xml:space="preserve"> </w:t>
      </w:r>
    </w:p>
    <w:p w14:paraId="591C18D0" w14:textId="42E486F6" w:rsidR="00DC0733" w:rsidRDefault="00C80E74" w:rsidP="001D57D9">
      <w:r w:rsidRPr="001170AC">
        <w:t xml:space="preserve">The geographical distribution of claims payments continues to be very skewed towards the more urban areas, in large part due to the concentration </w:t>
      </w:r>
      <w:r w:rsidR="00264EED">
        <w:t xml:space="preserve">of </w:t>
      </w:r>
      <w:r w:rsidRPr="001170AC">
        <w:t xml:space="preserve">both higher level government </w:t>
      </w:r>
      <w:r w:rsidRPr="001170AC">
        <w:lastRenderedPageBreak/>
        <w:t xml:space="preserve">facilities and private facilities </w:t>
      </w:r>
      <w:r w:rsidR="002D296E">
        <w:t xml:space="preserve">in </w:t>
      </w:r>
      <w:r w:rsidRPr="001170AC">
        <w:t xml:space="preserve">those regions. </w:t>
      </w:r>
      <w:r w:rsidR="00DC0733">
        <w:t xml:space="preserve">Table 4.4 shows the claims made by various regions, the value of the claims, and the percentage cost that was commanded by each region. Dar es Salaam region has the highest value of claims and the value of such claims was 59% of the total claims. Dar es Salaam region is followed by Mbeya region which commanded 6% of the total cost. </w:t>
      </w:r>
      <w:r w:rsidR="0039165C">
        <w:t xml:space="preserve">Other regions such as  . Lindi, Rukwa Geita, Njombe and Katavi  few number of claims this is highly attributed  by the level  and type of facilities avail in these regions. </w:t>
      </w:r>
      <w:r w:rsidR="008F11E3">
        <w:t>(Figure 4.3)</w:t>
      </w:r>
      <w:r w:rsidR="00DC0733">
        <w:t xml:space="preserve">. </w:t>
      </w:r>
    </w:p>
    <w:p w14:paraId="25F0BC81" w14:textId="77777777" w:rsidR="00DC0733" w:rsidRDefault="00DC0733" w:rsidP="00DC0733">
      <w:pPr>
        <w:rPr>
          <w:b/>
        </w:rPr>
      </w:pPr>
    </w:p>
    <w:p w14:paraId="1F7C6BA5" w14:textId="77777777" w:rsidR="00DC0733" w:rsidRDefault="00204E75" w:rsidP="005843C2">
      <w:pPr>
        <w:pStyle w:val="Caption"/>
      </w:pPr>
      <w:bookmarkStart w:id="99" w:name="_Toc488423286"/>
      <w:r>
        <w:t>Table 4.4</w:t>
      </w:r>
      <w:r w:rsidR="005843C2">
        <w:t>:</w:t>
      </w:r>
      <w:r w:rsidR="005843C2">
        <w:tab/>
      </w:r>
      <w:r w:rsidR="00DC0733" w:rsidRPr="006D3512">
        <w:t>NHIF Claims by Region</w:t>
      </w:r>
      <w:r w:rsidR="00DC0733">
        <w:t>, 2015/16</w:t>
      </w:r>
      <w:bookmarkEnd w:id="99"/>
    </w:p>
    <w:tbl>
      <w:tblPr>
        <w:tblW w:w="7920" w:type="dxa"/>
        <w:tblInd w:w="-5" w:type="dxa"/>
        <w:tblLook w:val="04A0" w:firstRow="1" w:lastRow="0" w:firstColumn="1" w:lastColumn="0" w:noHBand="0" w:noVBand="1"/>
      </w:tblPr>
      <w:tblGrid>
        <w:gridCol w:w="1860"/>
        <w:gridCol w:w="1520"/>
        <w:gridCol w:w="1960"/>
        <w:gridCol w:w="1200"/>
        <w:gridCol w:w="1380"/>
      </w:tblGrid>
      <w:tr w:rsidR="0039165C" w:rsidRPr="0039165C" w14:paraId="04A93C91" w14:textId="77777777" w:rsidTr="0039165C">
        <w:trPr>
          <w:trHeight w:val="210"/>
        </w:trPr>
        <w:tc>
          <w:tcPr>
            <w:tcW w:w="1860" w:type="dxa"/>
            <w:tcBorders>
              <w:top w:val="single" w:sz="4" w:space="0" w:color="auto"/>
              <w:left w:val="single" w:sz="4" w:space="0" w:color="auto"/>
              <w:bottom w:val="single" w:sz="4" w:space="0" w:color="auto"/>
              <w:right w:val="single" w:sz="4" w:space="0" w:color="auto"/>
            </w:tcBorders>
            <w:shd w:val="clear" w:color="000000" w:fill="8497B0"/>
            <w:noWrap/>
            <w:hideMark/>
          </w:tcPr>
          <w:p w14:paraId="458E9E21" w14:textId="77777777" w:rsidR="0039165C" w:rsidRPr="0039165C" w:rsidRDefault="0039165C" w:rsidP="0039165C">
            <w:pPr>
              <w:spacing w:line="240" w:lineRule="auto"/>
              <w:jc w:val="left"/>
              <w:rPr>
                <w:rFonts w:ascii="Tahoma" w:hAnsi="Tahoma" w:cs="Tahoma"/>
                <w:b/>
                <w:bCs/>
                <w:color w:val="FFFFFF"/>
                <w:sz w:val="20"/>
                <w:szCs w:val="20"/>
              </w:rPr>
            </w:pPr>
            <w:r w:rsidRPr="0039165C">
              <w:rPr>
                <w:rFonts w:ascii="Tahoma" w:hAnsi="Tahoma" w:cs="Tahoma"/>
                <w:b/>
                <w:bCs/>
                <w:color w:val="FFFFFF"/>
                <w:sz w:val="20"/>
                <w:szCs w:val="20"/>
              </w:rPr>
              <w:t> </w:t>
            </w:r>
          </w:p>
        </w:tc>
        <w:tc>
          <w:tcPr>
            <w:tcW w:w="1520" w:type="dxa"/>
            <w:tcBorders>
              <w:top w:val="single" w:sz="4" w:space="0" w:color="auto"/>
              <w:left w:val="nil"/>
              <w:bottom w:val="single" w:sz="4" w:space="0" w:color="auto"/>
              <w:right w:val="single" w:sz="4" w:space="0" w:color="auto"/>
            </w:tcBorders>
            <w:shd w:val="clear" w:color="000000" w:fill="8497B0"/>
            <w:noWrap/>
            <w:hideMark/>
          </w:tcPr>
          <w:p w14:paraId="0B553162" w14:textId="77777777" w:rsidR="0039165C" w:rsidRPr="0039165C" w:rsidRDefault="0039165C" w:rsidP="0039165C">
            <w:pPr>
              <w:spacing w:line="240" w:lineRule="auto"/>
              <w:jc w:val="left"/>
              <w:rPr>
                <w:rFonts w:ascii="Tahoma" w:hAnsi="Tahoma" w:cs="Tahoma"/>
                <w:b/>
                <w:bCs/>
                <w:color w:val="FFFFFF"/>
                <w:sz w:val="20"/>
                <w:szCs w:val="20"/>
              </w:rPr>
            </w:pPr>
            <w:r w:rsidRPr="0039165C">
              <w:rPr>
                <w:rFonts w:ascii="Tahoma" w:hAnsi="Tahoma" w:cs="Tahoma"/>
                <w:b/>
                <w:bCs/>
                <w:color w:val="FFFFFF"/>
                <w:sz w:val="20"/>
                <w:szCs w:val="20"/>
              </w:rPr>
              <w:t xml:space="preserve">No of Claims </w:t>
            </w:r>
          </w:p>
        </w:tc>
        <w:tc>
          <w:tcPr>
            <w:tcW w:w="1960" w:type="dxa"/>
            <w:tcBorders>
              <w:top w:val="single" w:sz="4" w:space="0" w:color="auto"/>
              <w:left w:val="nil"/>
              <w:bottom w:val="single" w:sz="4" w:space="0" w:color="auto"/>
              <w:right w:val="single" w:sz="4" w:space="0" w:color="auto"/>
            </w:tcBorders>
            <w:shd w:val="clear" w:color="000000" w:fill="8497B0"/>
            <w:noWrap/>
            <w:hideMark/>
          </w:tcPr>
          <w:p w14:paraId="5E542476" w14:textId="77777777" w:rsidR="0039165C" w:rsidRPr="0039165C" w:rsidRDefault="0039165C" w:rsidP="0039165C">
            <w:pPr>
              <w:spacing w:line="240" w:lineRule="auto"/>
              <w:jc w:val="left"/>
              <w:rPr>
                <w:rFonts w:ascii="Tahoma" w:hAnsi="Tahoma" w:cs="Tahoma"/>
                <w:b/>
                <w:bCs/>
                <w:color w:val="FFFFFF"/>
                <w:sz w:val="20"/>
                <w:szCs w:val="20"/>
              </w:rPr>
            </w:pPr>
            <w:r w:rsidRPr="0039165C">
              <w:rPr>
                <w:rFonts w:ascii="Tahoma" w:hAnsi="Tahoma" w:cs="Tahoma"/>
                <w:b/>
                <w:bCs/>
                <w:color w:val="FFFFFF"/>
                <w:sz w:val="20"/>
                <w:szCs w:val="20"/>
              </w:rPr>
              <w:t xml:space="preserve">Value of Claims </w:t>
            </w:r>
          </w:p>
        </w:tc>
        <w:tc>
          <w:tcPr>
            <w:tcW w:w="1200" w:type="dxa"/>
            <w:tcBorders>
              <w:top w:val="single" w:sz="4" w:space="0" w:color="auto"/>
              <w:left w:val="nil"/>
              <w:bottom w:val="single" w:sz="4" w:space="0" w:color="auto"/>
              <w:right w:val="single" w:sz="4" w:space="0" w:color="auto"/>
            </w:tcBorders>
            <w:shd w:val="clear" w:color="000000" w:fill="8497B0"/>
            <w:noWrap/>
            <w:hideMark/>
          </w:tcPr>
          <w:p w14:paraId="5D07B4FB" w14:textId="77777777" w:rsidR="0039165C" w:rsidRPr="0039165C" w:rsidRDefault="0039165C" w:rsidP="0039165C">
            <w:pPr>
              <w:spacing w:line="240" w:lineRule="auto"/>
              <w:jc w:val="left"/>
              <w:rPr>
                <w:rFonts w:ascii="Tahoma" w:hAnsi="Tahoma" w:cs="Tahoma"/>
                <w:b/>
                <w:bCs/>
                <w:color w:val="FFFFFF"/>
                <w:sz w:val="20"/>
                <w:szCs w:val="20"/>
              </w:rPr>
            </w:pPr>
            <w:r w:rsidRPr="0039165C">
              <w:rPr>
                <w:rFonts w:ascii="Tahoma" w:hAnsi="Tahoma" w:cs="Tahoma"/>
                <w:b/>
                <w:bCs/>
                <w:color w:val="FFFFFF"/>
                <w:sz w:val="20"/>
                <w:szCs w:val="20"/>
              </w:rPr>
              <w:t xml:space="preserve">Claims </w:t>
            </w:r>
          </w:p>
        </w:tc>
        <w:tc>
          <w:tcPr>
            <w:tcW w:w="1380" w:type="dxa"/>
            <w:tcBorders>
              <w:top w:val="single" w:sz="4" w:space="0" w:color="auto"/>
              <w:left w:val="nil"/>
              <w:bottom w:val="single" w:sz="4" w:space="0" w:color="auto"/>
              <w:right w:val="single" w:sz="4" w:space="0" w:color="auto"/>
            </w:tcBorders>
            <w:shd w:val="clear" w:color="000000" w:fill="8497B0"/>
            <w:noWrap/>
            <w:hideMark/>
          </w:tcPr>
          <w:p w14:paraId="0BB6F387" w14:textId="77777777" w:rsidR="0039165C" w:rsidRPr="0039165C" w:rsidRDefault="0039165C" w:rsidP="0039165C">
            <w:pPr>
              <w:spacing w:line="240" w:lineRule="auto"/>
              <w:jc w:val="left"/>
              <w:rPr>
                <w:rFonts w:ascii="Tahoma" w:hAnsi="Tahoma" w:cs="Tahoma"/>
                <w:b/>
                <w:bCs/>
                <w:color w:val="FFFFFF"/>
                <w:sz w:val="20"/>
                <w:szCs w:val="20"/>
              </w:rPr>
            </w:pPr>
            <w:r w:rsidRPr="0039165C">
              <w:rPr>
                <w:rFonts w:ascii="Tahoma" w:hAnsi="Tahoma" w:cs="Tahoma"/>
                <w:b/>
                <w:bCs/>
                <w:color w:val="FFFFFF"/>
                <w:sz w:val="20"/>
                <w:szCs w:val="20"/>
              </w:rPr>
              <w:t xml:space="preserve">value cost </w:t>
            </w:r>
          </w:p>
        </w:tc>
      </w:tr>
      <w:tr w:rsidR="0039165C" w:rsidRPr="0039165C" w14:paraId="091F9ADA"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6B8534D4"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Arusha</w:t>
            </w:r>
          </w:p>
        </w:tc>
        <w:tc>
          <w:tcPr>
            <w:tcW w:w="1520" w:type="dxa"/>
            <w:tcBorders>
              <w:top w:val="nil"/>
              <w:left w:val="nil"/>
              <w:bottom w:val="single" w:sz="4" w:space="0" w:color="auto"/>
              <w:right w:val="single" w:sz="4" w:space="0" w:color="auto"/>
            </w:tcBorders>
            <w:shd w:val="clear" w:color="auto" w:fill="auto"/>
            <w:noWrap/>
            <w:hideMark/>
          </w:tcPr>
          <w:p w14:paraId="7048A505"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277,103 </w:t>
            </w:r>
          </w:p>
        </w:tc>
        <w:tc>
          <w:tcPr>
            <w:tcW w:w="1960" w:type="dxa"/>
            <w:tcBorders>
              <w:top w:val="nil"/>
              <w:left w:val="nil"/>
              <w:bottom w:val="single" w:sz="4" w:space="0" w:color="auto"/>
              <w:right w:val="single" w:sz="4" w:space="0" w:color="auto"/>
            </w:tcBorders>
            <w:shd w:val="clear" w:color="auto" w:fill="auto"/>
            <w:noWrap/>
            <w:hideMark/>
          </w:tcPr>
          <w:p w14:paraId="2DEFA256"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7,455,849,542 </w:t>
            </w:r>
          </w:p>
        </w:tc>
        <w:tc>
          <w:tcPr>
            <w:tcW w:w="1200" w:type="dxa"/>
            <w:tcBorders>
              <w:top w:val="nil"/>
              <w:left w:val="nil"/>
              <w:bottom w:val="single" w:sz="4" w:space="0" w:color="auto"/>
              <w:right w:val="single" w:sz="4" w:space="0" w:color="auto"/>
            </w:tcBorders>
            <w:shd w:val="clear" w:color="auto" w:fill="auto"/>
            <w:noWrap/>
            <w:hideMark/>
          </w:tcPr>
          <w:p w14:paraId="5D3377E9"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4.26%</w:t>
            </w:r>
          </w:p>
        </w:tc>
        <w:tc>
          <w:tcPr>
            <w:tcW w:w="1380" w:type="dxa"/>
            <w:tcBorders>
              <w:top w:val="nil"/>
              <w:left w:val="nil"/>
              <w:bottom w:val="single" w:sz="4" w:space="0" w:color="auto"/>
              <w:right w:val="single" w:sz="4" w:space="0" w:color="auto"/>
            </w:tcBorders>
            <w:shd w:val="clear" w:color="auto" w:fill="auto"/>
            <w:noWrap/>
            <w:hideMark/>
          </w:tcPr>
          <w:p w14:paraId="1A8C081A" w14:textId="77777777" w:rsidR="0039165C" w:rsidRPr="0039165C" w:rsidRDefault="0039165C" w:rsidP="0039165C">
            <w:pPr>
              <w:spacing w:line="240" w:lineRule="auto"/>
              <w:jc w:val="right"/>
              <w:rPr>
                <w:color w:val="000000"/>
                <w:sz w:val="22"/>
                <w:szCs w:val="22"/>
              </w:rPr>
            </w:pPr>
            <w:r w:rsidRPr="0039165C">
              <w:rPr>
                <w:color w:val="000000"/>
                <w:sz w:val="22"/>
                <w:szCs w:val="22"/>
              </w:rPr>
              <w:t>3.56%</w:t>
            </w:r>
          </w:p>
        </w:tc>
      </w:tr>
      <w:tr w:rsidR="0039165C" w:rsidRPr="0039165C" w14:paraId="0D4E14BD"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1C8442A9"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Dar es salaam</w:t>
            </w:r>
          </w:p>
        </w:tc>
        <w:tc>
          <w:tcPr>
            <w:tcW w:w="1520" w:type="dxa"/>
            <w:tcBorders>
              <w:top w:val="nil"/>
              <w:left w:val="nil"/>
              <w:bottom w:val="single" w:sz="4" w:space="0" w:color="auto"/>
              <w:right w:val="single" w:sz="4" w:space="0" w:color="auto"/>
            </w:tcBorders>
            <w:shd w:val="clear" w:color="auto" w:fill="auto"/>
            <w:noWrap/>
            <w:hideMark/>
          </w:tcPr>
          <w:p w14:paraId="18FE2058"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2,062,368 </w:t>
            </w:r>
          </w:p>
        </w:tc>
        <w:tc>
          <w:tcPr>
            <w:tcW w:w="1960" w:type="dxa"/>
            <w:tcBorders>
              <w:top w:val="nil"/>
              <w:left w:val="nil"/>
              <w:bottom w:val="single" w:sz="4" w:space="0" w:color="auto"/>
              <w:right w:val="single" w:sz="4" w:space="0" w:color="auto"/>
            </w:tcBorders>
            <w:shd w:val="clear" w:color="auto" w:fill="auto"/>
            <w:noWrap/>
            <w:hideMark/>
          </w:tcPr>
          <w:p w14:paraId="682B865D"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124,504,430,731 </w:t>
            </w:r>
          </w:p>
        </w:tc>
        <w:tc>
          <w:tcPr>
            <w:tcW w:w="1200" w:type="dxa"/>
            <w:tcBorders>
              <w:top w:val="nil"/>
              <w:left w:val="nil"/>
              <w:bottom w:val="single" w:sz="4" w:space="0" w:color="auto"/>
              <w:right w:val="single" w:sz="4" w:space="0" w:color="auto"/>
            </w:tcBorders>
            <w:shd w:val="clear" w:color="auto" w:fill="auto"/>
            <w:noWrap/>
            <w:hideMark/>
          </w:tcPr>
          <w:p w14:paraId="68CE990A"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31.70%</w:t>
            </w:r>
          </w:p>
        </w:tc>
        <w:tc>
          <w:tcPr>
            <w:tcW w:w="1380" w:type="dxa"/>
            <w:tcBorders>
              <w:top w:val="nil"/>
              <w:left w:val="nil"/>
              <w:bottom w:val="single" w:sz="4" w:space="0" w:color="auto"/>
              <w:right w:val="single" w:sz="4" w:space="0" w:color="auto"/>
            </w:tcBorders>
            <w:shd w:val="clear" w:color="auto" w:fill="auto"/>
            <w:noWrap/>
            <w:hideMark/>
          </w:tcPr>
          <w:p w14:paraId="58D20D1E" w14:textId="77777777" w:rsidR="0039165C" w:rsidRPr="0039165C" w:rsidRDefault="0039165C" w:rsidP="0039165C">
            <w:pPr>
              <w:spacing w:line="240" w:lineRule="auto"/>
              <w:jc w:val="right"/>
              <w:rPr>
                <w:color w:val="000000"/>
                <w:sz w:val="22"/>
                <w:szCs w:val="22"/>
              </w:rPr>
            </w:pPr>
            <w:r w:rsidRPr="0039165C">
              <w:rPr>
                <w:color w:val="000000"/>
                <w:sz w:val="22"/>
                <w:szCs w:val="22"/>
              </w:rPr>
              <w:t>59.38%</w:t>
            </w:r>
          </w:p>
        </w:tc>
      </w:tr>
      <w:tr w:rsidR="0039165C" w:rsidRPr="0039165C" w14:paraId="754B59E1"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077E4C2A"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Dodoma</w:t>
            </w:r>
          </w:p>
        </w:tc>
        <w:tc>
          <w:tcPr>
            <w:tcW w:w="1520" w:type="dxa"/>
            <w:tcBorders>
              <w:top w:val="nil"/>
              <w:left w:val="nil"/>
              <w:bottom w:val="single" w:sz="4" w:space="0" w:color="auto"/>
              <w:right w:val="single" w:sz="4" w:space="0" w:color="auto"/>
            </w:tcBorders>
            <w:shd w:val="clear" w:color="auto" w:fill="auto"/>
            <w:noWrap/>
            <w:hideMark/>
          </w:tcPr>
          <w:p w14:paraId="133C8EE6"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257,270 </w:t>
            </w:r>
          </w:p>
        </w:tc>
        <w:tc>
          <w:tcPr>
            <w:tcW w:w="1960" w:type="dxa"/>
            <w:tcBorders>
              <w:top w:val="nil"/>
              <w:left w:val="nil"/>
              <w:bottom w:val="single" w:sz="4" w:space="0" w:color="auto"/>
              <w:right w:val="single" w:sz="4" w:space="0" w:color="auto"/>
            </w:tcBorders>
            <w:shd w:val="clear" w:color="auto" w:fill="auto"/>
            <w:noWrap/>
            <w:hideMark/>
          </w:tcPr>
          <w:p w14:paraId="1542C468"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4,297,652,657 </w:t>
            </w:r>
          </w:p>
        </w:tc>
        <w:tc>
          <w:tcPr>
            <w:tcW w:w="1200" w:type="dxa"/>
            <w:tcBorders>
              <w:top w:val="nil"/>
              <w:left w:val="nil"/>
              <w:bottom w:val="single" w:sz="4" w:space="0" w:color="auto"/>
              <w:right w:val="single" w:sz="4" w:space="0" w:color="auto"/>
            </w:tcBorders>
            <w:shd w:val="clear" w:color="auto" w:fill="auto"/>
            <w:noWrap/>
            <w:hideMark/>
          </w:tcPr>
          <w:p w14:paraId="3D757BC2"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3.95%</w:t>
            </w:r>
          </w:p>
        </w:tc>
        <w:tc>
          <w:tcPr>
            <w:tcW w:w="1380" w:type="dxa"/>
            <w:tcBorders>
              <w:top w:val="nil"/>
              <w:left w:val="nil"/>
              <w:bottom w:val="single" w:sz="4" w:space="0" w:color="auto"/>
              <w:right w:val="single" w:sz="4" w:space="0" w:color="auto"/>
            </w:tcBorders>
            <w:shd w:val="clear" w:color="auto" w:fill="auto"/>
            <w:noWrap/>
            <w:hideMark/>
          </w:tcPr>
          <w:p w14:paraId="5F19A13C" w14:textId="77777777" w:rsidR="0039165C" w:rsidRPr="0039165C" w:rsidRDefault="0039165C" w:rsidP="0039165C">
            <w:pPr>
              <w:spacing w:line="240" w:lineRule="auto"/>
              <w:jc w:val="right"/>
              <w:rPr>
                <w:color w:val="000000"/>
                <w:sz w:val="22"/>
                <w:szCs w:val="22"/>
              </w:rPr>
            </w:pPr>
            <w:r w:rsidRPr="0039165C">
              <w:rPr>
                <w:color w:val="000000"/>
                <w:sz w:val="22"/>
                <w:szCs w:val="22"/>
              </w:rPr>
              <w:t>2.05%</w:t>
            </w:r>
          </w:p>
        </w:tc>
      </w:tr>
      <w:tr w:rsidR="0039165C" w:rsidRPr="0039165C" w14:paraId="594E46F9"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66C3F9D5"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Geita</w:t>
            </w:r>
          </w:p>
        </w:tc>
        <w:tc>
          <w:tcPr>
            <w:tcW w:w="1520" w:type="dxa"/>
            <w:tcBorders>
              <w:top w:val="nil"/>
              <w:left w:val="nil"/>
              <w:bottom w:val="single" w:sz="4" w:space="0" w:color="auto"/>
              <w:right w:val="single" w:sz="4" w:space="0" w:color="auto"/>
            </w:tcBorders>
            <w:shd w:val="clear" w:color="auto" w:fill="auto"/>
            <w:noWrap/>
            <w:hideMark/>
          </w:tcPr>
          <w:p w14:paraId="07544C34"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55,817 </w:t>
            </w:r>
          </w:p>
        </w:tc>
        <w:tc>
          <w:tcPr>
            <w:tcW w:w="1960" w:type="dxa"/>
            <w:tcBorders>
              <w:top w:val="nil"/>
              <w:left w:val="nil"/>
              <w:bottom w:val="single" w:sz="4" w:space="0" w:color="auto"/>
              <w:right w:val="single" w:sz="4" w:space="0" w:color="auto"/>
            </w:tcBorders>
            <w:shd w:val="clear" w:color="auto" w:fill="auto"/>
            <w:noWrap/>
            <w:hideMark/>
          </w:tcPr>
          <w:p w14:paraId="47FC28FA"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739,173,179 </w:t>
            </w:r>
          </w:p>
        </w:tc>
        <w:tc>
          <w:tcPr>
            <w:tcW w:w="1200" w:type="dxa"/>
            <w:tcBorders>
              <w:top w:val="nil"/>
              <w:left w:val="nil"/>
              <w:bottom w:val="single" w:sz="4" w:space="0" w:color="auto"/>
              <w:right w:val="single" w:sz="4" w:space="0" w:color="auto"/>
            </w:tcBorders>
            <w:shd w:val="clear" w:color="auto" w:fill="auto"/>
            <w:noWrap/>
            <w:hideMark/>
          </w:tcPr>
          <w:p w14:paraId="2FBCE09A"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0.86%</w:t>
            </w:r>
          </w:p>
        </w:tc>
        <w:tc>
          <w:tcPr>
            <w:tcW w:w="1380" w:type="dxa"/>
            <w:tcBorders>
              <w:top w:val="nil"/>
              <w:left w:val="nil"/>
              <w:bottom w:val="single" w:sz="4" w:space="0" w:color="auto"/>
              <w:right w:val="single" w:sz="4" w:space="0" w:color="auto"/>
            </w:tcBorders>
            <w:shd w:val="clear" w:color="auto" w:fill="auto"/>
            <w:noWrap/>
            <w:hideMark/>
          </w:tcPr>
          <w:p w14:paraId="7C014F5B" w14:textId="77777777" w:rsidR="0039165C" w:rsidRPr="0039165C" w:rsidRDefault="0039165C" w:rsidP="0039165C">
            <w:pPr>
              <w:spacing w:line="240" w:lineRule="auto"/>
              <w:jc w:val="right"/>
              <w:rPr>
                <w:color w:val="000000"/>
                <w:sz w:val="22"/>
                <w:szCs w:val="22"/>
              </w:rPr>
            </w:pPr>
            <w:r w:rsidRPr="0039165C">
              <w:rPr>
                <w:color w:val="000000"/>
                <w:sz w:val="22"/>
                <w:szCs w:val="22"/>
              </w:rPr>
              <w:t>0.35%</w:t>
            </w:r>
          </w:p>
        </w:tc>
      </w:tr>
      <w:tr w:rsidR="0039165C" w:rsidRPr="0039165C" w14:paraId="733C0842"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2B05B478"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Iringa</w:t>
            </w:r>
          </w:p>
        </w:tc>
        <w:tc>
          <w:tcPr>
            <w:tcW w:w="1520" w:type="dxa"/>
            <w:tcBorders>
              <w:top w:val="nil"/>
              <w:left w:val="nil"/>
              <w:bottom w:val="single" w:sz="4" w:space="0" w:color="auto"/>
              <w:right w:val="single" w:sz="4" w:space="0" w:color="auto"/>
            </w:tcBorders>
            <w:shd w:val="clear" w:color="auto" w:fill="auto"/>
            <w:noWrap/>
            <w:hideMark/>
          </w:tcPr>
          <w:p w14:paraId="14E93CA8"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199,406 </w:t>
            </w:r>
          </w:p>
        </w:tc>
        <w:tc>
          <w:tcPr>
            <w:tcW w:w="1960" w:type="dxa"/>
            <w:tcBorders>
              <w:top w:val="nil"/>
              <w:left w:val="nil"/>
              <w:bottom w:val="single" w:sz="4" w:space="0" w:color="auto"/>
              <w:right w:val="single" w:sz="4" w:space="0" w:color="auto"/>
            </w:tcBorders>
            <w:shd w:val="clear" w:color="auto" w:fill="auto"/>
            <w:noWrap/>
            <w:hideMark/>
          </w:tcPr>
          <w:p w14:paraId="52C8C36F"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3,750,383,226 </w:t>
            </w:r>
          </w:p>
        </w:tc>
        <w:tc>
          <w:tcPr>
            <w:tcW w:w="1200" w:type="dxa"/>
            <w:tcBorders>
              <w:top w:val="nil"/>
              <w:left w:val="nil"/>
              <w:bottom w:val="single" w:sz="4" w:space="0" w:color="auto"/>
              <w:right w:val="single" w:sz="4" w:space="0" w:color="auto"/>
            </w:tcBorders>
            <w:shd w:val="clear" w:color="auto" w:fill="auto"/>
            <w:noWrap/>
            <w:hideMark/>
          </w:tcPr>
          <w:p w14:paraId="7AFE6152"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3.07%</w:t>
            </w:r>
          </w:p>
        </w:tc>
        <w:tc>
          <w:tcPr>
            <w:tcW w:w="1380" w:type="dxa"/>
            <w:tcBorders>
              <w:top w:val="nil"/>
              <w:left w:val="nil"/>
              <w:bottom w:val="single" w:sz="4" w:space="0" w:color="auto"/>
              <w:right w:val="single" w:sz="4" w:space="0" w:color="auto"/>
            </w:tcBorders>
            <w:shd w:val="clear" w:color="auto" w:fill="auto"/>
            <w:noWrap/>
            <w:hideMark/>
          </w:tcPr>
          <w:p w14:paraId="0BE88B7E" w14:textId="77777777" w:rsidR="0039165C" w:rsidRPr="0039165C" w:rsidRDefault="0039165C" w:rsidP="0039165C">
            <w:pPr>
              <w:spacing w:line="240" w:lineRule="auto"/>
              <w:jc w:val="right"/>
              <w:rPr>
                <w:color w:val="000000"/>
                <w:sz w:val="22"/>
                <w:szCs w:val="22"/>
              </w:rPr>
            </w:pPr>
            <w:r w:rsidRPr="0039165C">
              <w:rPr>
                <w:color w:val="000000"/>
                <w:sz w:val="22"/>
                <w:szCs w:val="22"/>
              </w:rPr>
              <w:t>1.79%</w:t>
            </w:r>
          </w:p>
        </w:tc>
      </w:tr>
      <w:tr w:rsidR="0039165C" w:rsidRPr="0039165C" w14:paraId="62AE9885"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6115C19D"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Kagera</w:t>
            </w:r>
          </w:p>
        </w:tc>
        <w:tc>
          <w:tcPr>
            <w:tcW w:w="1520" w:type="dxa"/>
            <w:tcBorders>
              <w:top w:val="nil"/>
              <w:left w:val="nil"/>
              <w:bottom w:val="single" w:sz="4" w:space="0" w:color="auto"/>
              <w:right w:val="single" w:sz="4" w:space="0" w:color="auto"/>
            </w:tcBorders>
            <w:shd w:val="clear" w:color="auto" w:fill="auto"/>
            <w:noWrap/>
            <w:hideMark/>
          </w:tcPr>
          <w:p w14:paraId="1AB184C5"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169,809 </w:t>
            </w:r>
          </w:p>
        </w:tc>
        <w:tc>
          <w:tcPr>
            <w:tcW w:w="1960" w:type="dxa"/>
            <w:tcBorders>
              <w:top w:val="nil"/>
              <w:left w:val="nil"/>
              <w:bottom w:val="single" w:sz="4" w:space="0" w:color="auto"/>
              <w:right w:val="single" w:sz="4" w:space="0" w:color="auto"/>
            </w:tcBorders>
            <w:shd w:val="clear" w:color="auto" w:fill="auto"/>
            <w:noWrap/>
            <w:hideMark/>
          </w:tcPr>
          <w:p w14:paraId="273F4027"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3,209,818,471 </w:t>
            </w:r>
          </w:p>
        </w:tc>
        <w:tc>
          <w:tcPr>
            <w:tcW w:w="1200" w:type="dxa"/>
            <w:tcBorders>
              <w:top w:val="nil"/>
              <w:left w:val="nil"/>
              <w:bottom w:val="single" w:sz="4" w:space="0" w:color="auto"/>
              <w:right w:val="single" w:sz="4" w:space="0" w:color="auto"/>
            </w:tcBorders>
            <w:shd w:val="clear" w:color="auto" w:fill="auto"/>
            <w:noWrap/>
            <w:hideMark/>
          </w:tcPr>
          <w:p w14:paraId="408CCFB1"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2.61%</w:t>
            </w:r>
          </w:p>
        </w:tc>
        <w:tc>
          <w:tcPr>
            <w:tcW w:w="1380" w:type="dxa"/>
            <w:tcBorders>
              <w:top w:val="nil"/>
              <w:left w:val="nil"/>
              <w:bottom w:val="single" w:sz="4" w:space="0" w:color="auto"/>
              <w:right w:val="single" w:sz="4" w:space="0" w:color="auto"/>
            </w:tcBorders>
            <w:shd w:val="clear" w:color="auto" w:fill="auto"/>
            <w:noWrap/>
            <w:hideMark/>
          </w:tcPr>
          <w:p w14:paraId="750883A0" w14:textId="77777777" w:rsidR="0039165C" w:rsidRPr="0039165C" w:rsidRDefault="0039165C" w:rsidP="0039165C">
            <w:pPr>
              <w:spacing w:line="240" w:lineRule="auto"/>
              <w:jc w:val="right"/>
              <w:rPr>
                <w:color w:val="000000"/>
                <w:sz w:val="22"/>
                <w:szCs w:val="22"/>
              </w:rPr>
            </w:pPr>
            <w:r w:rsidRPr="0039165C">
              <w:rPr>
                <w:color w:val="000000"/>
                <w:sz w:val="22"/>
                <w:szCs w:val="22"/>
              </w:rPr>
              <w:t>1.53%</w:t>
            </w:r>
          </w:p>
        </w:tc>
      </w:tr>
      <w:tr w:rsidR="0039165C" w:rsidRPr="0039165C" w14:paraId="05C5CB30"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5F1E08D8"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Kaskazini Pemba</w:t>
            </w:r>
          </w:p>
        </w:tc>
        <w:tc>
          <w:tcPr>
            <w:tcW w:w="1520" w:type="dxa"/>
            <w:tcBorders>
              <w:top w:val="nil"/>
              <w:left w:val="nil"/>
              <w:bottom w:val="single" w:sz="4" w:space="0" w:color="auto"/>
              <w:right w:val="single" w:sz="4" w:space="0" w:color="auto"/>
            </w:tcBorders>
            <w:shd w:val="clear" w:color="auto" w:fill="auto"/>
            <w:noWrap/>
            <w:hideMark/>
          </w:tcPr>
          <w:p w14:paraId="1E464134"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2,451 </w:t>
            </w:r>
          </w:p>
        </w:tc>
        <w:tc>
          <w:tcPr>
            <w:tcW w:w="1960" w:type="dxa"/>
            <w:tcBorders>
              <w:top w:val="nil"/>
              <w:left w:val="nil"/>
              <w:bottom w:val="single" w:sz="4" w:space="0" w:color="auto"/>
              <w:right w:val="single" w:sz="4" w:space="0" w:color="auto"/>
            </w:tcBorders>
            <w:shd w:val="clear" w:color="auto" w:fill="auto"/>
            <w:noWrap/>
            <w:hideMark/>
          </w:tcPr>
          <w:p w14:paraId="08402F9A"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26,546,839 </w:t>
            </w:r>
          </w:p>
        </w:tc>
        <w:tc>
          <w:tcPr>
            <w:tcW w:w="1200" w:type="dxa"/>
            <w:tcBorders>
              <w:top w:val="nil"/>
              <w:left w:val="nil"/>
              <w:bottom w:val="single" w:sz="4" w:space="0" w:color="auto"/>
              <w:right w:val="single" w:sz="4" w:space="0" w:color="auto"/>
            </w:tcBorders>
            <w:shd w:val="clear" w:color="auto" w:fill="auto"/>
            <w:noWrap/>
            <w:hideMark/>
          </w:tcPr>
          <w:p w14:paraId="216ED3E8"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0.04%</w:t>
            </w:r>
          </w:p>
        </w:tc>
        <w:tc>
          <w:tcPr>
            <w:tcW w:w="1380" w:type="dxa"/>
            <w:tcBorders>
              <w:top w:val="nil"/>
              <w:left w:val="nil"/>
              <w:bottom w:val="single" w:sz="4" w:space="0" w:color="auto"/>
              <w:right w:val="single" w:sz="4" w:space="0" w:color="auto"/>
            </w:tcBorders>
            <w:shd w:val="clear" w:color="auto" w:fill="auto"/>
            <w:noWrap/>
            <w:hideMark/>
          </w:tcPr>
          <w:p w14:paraId="33C41E29" w14:textId="77777777" w:rsidR="0039165C" w:rsidRPr="0039165C" w:rsidRDefault="0039165C" w:rsidP="0039165C">
            <w:pPr>
              <w:spacing w:line="240" w:lineRule="auto"/>
              <w:jc w:val="right"/>
              <w:rPr>
                <w:color w:val="000000"/>
                <w:sz w:val="22"/>
                <w:szCs w:val="22"/>
              </w:rPr>
            </w:pPr>
            <w:r w:rsidRPr="0039165C">
              <w:rPr>
                <w:color w:val="000000"/>
                <w:sz w:val="22"/>
                <w:szCs w:val="22"/>
              </w:rPr>
              <w:t>0.01%</w:t>
            </w:r>
          </w:p>
        </w:tc>
      </w:tr>
      <w:tr w:rsidR="0039165C" w:rsidRPr="0039165C" w14:paraId="39073793"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10109E12"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Katavi</w:t>
            </w:r>
          </w:p>
        </w:tc>
        <w:tc>
          <w:tcPr>
            <w:tcW w:w="1520" w:type="dxa"/>
            <w:tcBorders>
              <w:top w:val="nil"/>
              <w:left w:val="nil"/>
              <w:bottom w:val="single" w:sz="4" w:space="0" w:color="auto"/>
              <w:right w:val="single" w:sz="4" w:space="0" w:color="auto"/>
            </w:tcBorders>
            <w:shd w:val="clear" w:color="auto" w:fill="auto"/>
            <w:noWrap/>
            <w:hideMark/>
          </w:tcPr>
          <w:p w14:paraId="688CE3C4"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23,442 </w:t>
            </w:r>
          </w:p>
        </w:tc>
        <w:tc>
          <w:tcPr>
            <w:tcW w:w="1960" w:type="dxa"/>
            <w:tcBorders>
              <w:top w:val="nil"/>
              <w:left w:val="nil"/>
              <w:bottom w:val="single" w:sz="4" w:space="0" w:color="auto"/>
              <w:right w:val="single" w:sz="4" w:space="0" w:color="auto"/>
            </w:tcBorders>
            <w:shd w:val="clear" w:color="auto" w:fill="auto"/>
            <w:noWrap/>
            <w:hideMark/>
          </w:tcPr>
          <w:p w14:paraId="000ABE22"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280,187,784 </w:t>
            </w:r>
          </w:p>
        </w:tc>
        <w:tc>
          <w:tcPr>
            <w:tcW w:w="1200" w:type="dxa"/>
            <w:tcBorders>
              <w:top w:val="nil"/>
              <w:left w:val="nil"/>
              <w:bottom w:val="single" w:sz="4" w:space="0" w:color="auto"/>
              <w:right w:val="single" w:sz="4" w:space="0" w:color="auto"/>
            </w:tcBorders>
            <w:shd w:val="clear" w:color="auto" w:fill="auto"/>
            <w:noWrap/>
            <w:hideMark/>
          </w:tcPr>
          <w:p w14:paraId="372CCF5B"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0.36%</w:t>
            </w:r>
          </w:p>
        </w:tc>
        <w:tc>
          <w:tcPr>
            <w:tcW w:w="1380" w:type="dxa"/>
            <w:tcBorders>
              <w:top w:val="nil"/>
              <w:left w:val="nil"/>
              <w:bottom w:val="single" w:sz="4" w:space="0" w:color="auto"/>
              <w:right w:val="single" w:sz="4" w:space="0" w:color="auto"/>
            </w:tcBorders>
            <w:shd w:val="clear" w:color="auto" w:fill="auto"/>
            <w:noWrap/>
            <w:hideMark/>
          </w:tcPr>
          <w:p w14:paraId="4D1BA7F5" w14:textId="77777777" w:rsidR="0039165C" w:rsidRPr="0039165C" w:rsidRDefault="0039165C" w:rsidP="0039165C">
            <w:pPr>
              <w:spacing w:line="240" w:lineRule="auto"/>
              <w:jc w:val="right"/>
              <w:rPr>
                <w:color w:val="000000"/>
                <w:sz w:val="22"/>
                <w:szCs w:val="22"/>
              </w:rPr>
            </w:pPr>
            <w:r w:rsidRPr="0039165C">
              <w:rPr>
                <w:color w:val="000000"/>
                <w:sz w:val="22"/>
                <w:szCs w:val="22"/>
              </w:rPr>
              <w:t>0.13%</w:t>
            </w:r>
          </w:p>
        </w:tc>
      </w:tr>
      <w:tr w:rsidR="0039165C" w:rsidRPr="0039165C" w14:paraId="6DC09788"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64EBC683"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Kigoma</w:t>
            </w:r>
          </w:p>
        </w:tc>
        <w:tc>
          <w:tcPr>
            <w:tcW w:w="1520" w:type="dxa"/>
            <w:tcBorders>
              <w:top w:val="nil"/>
              <w:left w:val="nil"/>
              <w:bottom w:val="single" w:sz="4" w:space="0" w:color="auto"/>
              <w:right w:val="single" w:sz="4" w:space="0" w:color="auto"/>
            </w:tcBorders>
            <w:shd w:val="clear" w:color="auto" w:fill="auto"/>
            <w:noWrap/>
            <w:hideMark/>
          </w:tcPr>
          <w:p w14:paraId="442B6DB3"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122,147 </w:t>
            </w:r>
          </w:p>
        </w:tc>
        <w:tc>
          <w:tcPr>
            <w:tcW w:w="1960" w:type="dxa"/>
            <w:tcBorders>
              <w:top w:val="nil"/>
              <w:left w:val="nil"/>
              <w:bottom w:val="single" w:sz="4" w:space="0" w:color="auto"/>
              <w:right w:val="single" w:sz="4" w:space="0" w:color="auto"/>
            </w:tcBorders>
            <w:shd w:val="clear" w:color="auto" w:fill="auto"/>
            <w:noWrap/>
            <w:hideMark/>
          </w:tcPr>
          <w:p w14:paraId="511C4B43"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1,486,425,655 </w:t>
            </w:r>
          </w:p>
        </w:tc>
        <w:tc>
          <w:tcPr>
            <w:tcW w:w="1200" w:type="dxa"/>
            <w:tcBorders>
              <w:top w:val="nil"/>
              <w:left w:val="nil"/>
              <w:bottom w:val="single" w:sz="4" w:space="0" w:color="auto"/>
              <w:right w:val="single" w:sz="4" w:space="0" w:color="auto"/>
            </w:tcBorders>
            <w:shd w:val="clear" w:color="auto" w:fill="auto"/>
            <w:noWrap/>
            <w:hideMark/>
          </w:tcPr>
          <w:p w14:paraId="45801E02"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1.88%</w:t>
            </w:r>
          </w:p>
        </w:tc>
        <w:tc>
          <w:tcPr>
            <w:tcW w:w="1380" w:type="dxa"/>
            <w:tcBorders>
              <w:top w:val="nil"/>
              <w:left w:val="nil"/>
              <w:bottom w:val="single" w:sz="4" w:space="0" w:color="auto"/>
              <w:right w:val="single" w:sz="4" w:space="0" w:color="auto"/>
            </w:tcBorders>
            <w:shd w:val="clear" w:color="auto" w:fill="auto"/>
            <w:noWrap/>
            <w:hideMark/>
          </w:tcPr>
          <w:p w14:paraId="5F0C164E" w14:textId="77777777" w:rsidR="0039165C" w:rsidRPr="0039165C" w:rsidRDefault="0039165C" w:rsidP="0039165C">
            <w:pPr>
              <w:spacing w:line="240" w:lineRule="auto"/>
              <w:jc w:val="right"/>
              <w:rPr>
                <w:color w:val="000000"/>
                <w:sz w:val="22"/>
                <w:szCs w:val="22"/>
              </w:rPr>
            </w:pPr>
            <w:r w:rsidRPr="0039165C">
              <w:rPr>
                <w:color w:val="000000"/>
                <w:sz w:val="22"/>
                <w:szCs w:val="22"/>
              </w:rPr>
              <w:t>0.71%</w:t>
            </w:r>
          </w:p>
        </w:tc>
      </w:tr>
      <w:tr w:rsidR="0039165C" w:rsidRPr="0039165C" w14:paraId="60716F74"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10823D83"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Kilimanjaro</w:t>
            </w:r>
          </w:p>
        </w:tc>
        <w:tc>
          <w:tcPr>
            <w:tcW w:w="1520" w:type="dxa"/>
            <w:tcBorders>
              <w:top w:val="nil"/>
              <w:left w:val="nil"/>
              <w:bottom w:val="single" w:sz="4" w:space="0" w:color="auto"/>
              <w:right w:val="single" w:sz="4" w:space="0" w:color="auto"/>
            </w:tcBorders>
            <w:shd w:val="clear" w:color="auto" w:fill="auto"/>
            <w:noWrap/>
            <w:hideMark/>
          </w:tcPr>
          <w:p w14:paraId="6F7E7CDD"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411,031 </w:t>
            </w:r>
          </w:p>
        </w:tc>
        <w:tc>
          <w:tcPr>
            <w:tcW w:w="1960" w:type="dxa"/>
            <w:tcBorders>
              <w:top w:val="nil"/>
              <w:left w:val="nil"/>
              <w:bottom w:val="single" w:sz="4" w:space="0" w:color="auto"/>
              <w:right w:val="single" w:sz="4" w:space="0" w:color="auto"/>
            </w:tcBorders>
            <w:shd w:val="clear" w:color="auto" w:fill="auto"/>
            <w:noWrap/>
            <w:hideMark/>
          </w:tcPr>
          <w:p w14:paraId="628925EA"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11,012,500,956 </w:t>
            </w:r>
          </w:p>
        </w:tc>
        <w:tc>
          <w:tcPr>
            <w:tcW w:w="1200" w:type="dxa"/>
            <w:tcBorders>
              <w:top w:val="nil"/>
              <w:left w:val="nil"/>
              <w:bottom w:val="single" w:sz="4" w:space="0" w:color="auto"/>
              <w:right w:val="single" w:sz="4" w:space="0" w:color="auto"/>
            </w:tcBorders>
            <w:shd w:val="clear" w:color="auto" w:fill="auto"/>
            <w:noWrap/>
            <w:hideMark/>
          </w:tcPr>
          <w:p w14:paraId="4280771F"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6.32%</w:t>
            </w:r>
          </w:p>
        </w:tc>
        <w:tc>
          <w:tcPr>
            <w:tcW w:w="1380" w:type="dxa"/>
            <w:tcBorders>
              <w:top w:val="nil"/>
              <w:left w:val="nil"/>
              <w:bottom w:val="single" w:sz="4" w:space="0" w:color="auto"/>
              <w:right w:val="single" w:sz="4" w:space="0" w:color="auto"/>
            </w:tcBorders>
            <w:shd w:val="clear" w:color="auto" w:fill="auto"/>
            <w:noWrap/>
            <w:hideMark/>
          </w:tcPr>
          <w:p w14:paraId="5566B66E" w14:textId="77777777" w:rsidR="0039165C" w:rsidRPr="0039165C" w:rsidRDefault="0039165C" w:rsidP="0039165C">
            <w:pPr>
              <w:spacing w:line="240" w:lineRule="auto"/>
              <w:jc w:val="right"/>
              <w:rPr>
                <w:color w:val="000000"/>
                <w:sz w:val="22"/>
                <w:szCs w:val="22"/>
              </w:rPr>
            </w:pPr>
            <w:r w:rsidRPr="0039165C">
              <w:rPr>
                <w:color w:val="000000"/>
                <w:sz w:val="22"/>
                <w:szCs w:val="22"/>
              </w:rPr>
              <w:t>5.25%</w:t>
            </w:r>
          </w:p>
        </w:tc>
      </w:tr>
      <w:tr w:rsidR="0039165C" w:rsidRPr="0039165C" w14:paraId="6B17AE82"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7ACD98A4"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Kusini Pemba</w:t>
            </w:r>
          </w:p>
        </w:tc>
        <w:tc>
          <w:tcPr>
            <w:tcW w:w="1520" w:type="dxa"/>
            <w:tcBorders>
              <w:top w:val="nil"/>
              <w:left w:val="nil"/>
              <w:bottom w:val="single" w:sz="4" w:space="0" w:color="auto"/>
              <w:right w:val="single" w:sz="4" w:space="0" w:color="auto"/>
            </w:tcBorders>
            <w:shd w:val="clear" w:color="auto" w:fill="auto"/>
            <w:noWrap/>
            <w:hideMark/>
          </w:tcPr>
          <w:p w14:paraId="3C65D42C"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4,466 </w:t>
            </w:r>
          </w:p>
        </w:tc>
        <w:tc>
          <w:tcPr>
            <w:tcW w:w="1960" w:type="dxa"/>
            <w:tcBorders>
              <w:top w:val="nil"/>
              <w:left w:val="nil"/>
              <w:bottom w:val="single" w:sz="4" w:space="0" w:color="auto"/>
              <w:right w:val="single" w:sz="4" w:space="0" w:color="auto"/>
            </w:tcBorders>
            <w:shd w:val="clear" w:color="auto" w:fill="auto"/>
            <w:noWrap/>
            <w:hideMark/>
          </w:tcPr>
          <w:p w14:paraId="29897AEC"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67,183,842 </w:t>
            </w:r>
          </w:p>
        </w:tc>
        <w:tc>
          <w:tcPr>
            <w:tcW w:w="1200" w:type="dxa"/>
            <w:tcBorders>
              <w:top w:val="nil"/>
              <w:left w:val="nil"/>
              <w:bottom w:val="single" w:sz="4" w:space="0" w:color="auto"/>
              <w:right w:val="single" w:sz="4" w:space="0" w:color="auto"/>
            </w:tcBorders>
            <w:shd w:val="clear" w:color="auto" w:fill="auto"/>
            <w:noWrap/>
            <w:hideMark/>
          </w:tcPr>
          <w:p w14:paraId="1A3D6888"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0.07%</w:t>
            </w:r>
          </w:p>
        </w:tc>
        <w:tc>
          <w:tcPr>
            <w:tcW w:w="1380" w:type="dxa"/>
            <w:tcBorders>
              <w:top w:val="nil"/>
              <w:left w:val="nil"/>
              <w:bottom w:val="single" w:sz="4" w:space="0" w:color="auto"/>
              <w:right w:val="single" w:sz="4" w:space="0" w:color="auto"/>
            </w:tcBorders>
            <w:shd w:val="clear" w:color="auto" w:fill="auto"/>
            <w:noWrap/>
            <w:hideMark/>
          </w:tcPr>
          <w:p w14:paraId="40DFF71B" w14:textId="77777777" w:rsidR="0039165C" w:rsidRPr="0039165C" w:rsidRDefault="0039165C" w:rsidP="0039165C">
            <w:pPr>
              <w:spacing w:line="240" w:lineRule="auto"/>
              <w:jc w:val="right"/>
              <w:rPr>
                <w:color w:val="000000"/>
                <w:sz w:val="22"/>
                <w:szCs w:val="22"/>
              </w:rPr>
            </w:pPr>
            <w:r w:rsidRPr="0039165C">
              <w:rPr>
                <w:color w:val="000000"/>
                <w:sz w:val="22"/>
                <w:szCs w:val="22"/>
              </w:rPr>
              <w:t>0.03%</w:t>
            </w:r>
          </w:p>
        </w:tc>
      </w:tr>
      <w:tr w:rsidR="0039165C" w:rsidRPr="0039165C" w14:paraId="0A892C46"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068E9A0E"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Lindi</w:t>
            </w:r>
          </w:p>
        </w:tc>
        <w:tc>
          <w:tcPr>
            <w:tcW w:w="1520" w:type="dxa"/>
            <w:tcBorders>
              <w:top w:val="nil"/>
              <w:left w:val="nil"/>
              <w:bottom w:val="single" w:sz="4" w:space="0" w:color="auto"/>
              <w:right w:val="single" w:sz="4" w:space="0" w:color="auto"/>
            </w:tcBorders>
            <w:shd w:val="clear" w:color="auto" w:fill="auto"/>
            <w:noWrap/>
            <w:hideMark/>
          </w:tcPr>
          <w:p w14:paraId="27B8C30F"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78,757 </w:t>
            </w:r>
          </w:p>
        </w:tc>
        <w:tc>
          <w:tcPr>
            <w:tcW w:w="1960" w:type="dxa"/>
            <w:tcBorders>
              <w:top w:val="nil"/>
              <w:left w:val="nil"/>
              <w:bottom w:val="single" w:sz="4" w:space="0" w:color="auto"/>
              <w:right w:val="single" w:sz="4" w:space="0" w:color="auto"/>
            </w:tcBorders>
            <w:shd w:val="clear" w:color="auto" w:fill="auto"/>
            <w:noWrap/>
            <w:hideMark/>
          </w:tcPr>
          <w:p w14:paraId="761FE439"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897,500,892 </w:t>
            </w:r>
          </w:p>
        </w:tc>
        <w:tc>
          <w:tcPr>
            <w:tcW w:w="1200" w:type="dxa"/>
            <w:tcBorders>
              <w:top w:val="nil"/>
              <w:left w:val="nil"/>
              <w:bottom w:val="single" w:sz="4" w:space="0" w:color="auto"/>
              <w:right w:val="single" w:sz="4" w:space="0" w:color="auto"/>
            </w:tcBorders>
            <w:shd w:val="clear" w:color="auto" w:fill="auto"/>
            <w:noWrap/>
            <w:hideMark/>
          </w:tcPr>
          <w:p w14:paraId="40834D60"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1.21%</w:t>
            </w:r>
          </w:p>
        </w:tc>
        <w:tc>
          <w:tcPr>
            <w:tcW w:w="1380" w:type="dxa"/>
            <w:tcBorders>
              <w:top w:val="nil"/>
              <w:left w:val="nil"/>
              <w:bottom w:val="single" w:sz="4" w:space="0" w:color="auto"/>
              <w:right w:val="single" w:sz="4" w:space="0" w:color="auto"/>
            </w:tcBorders>
            <w:shd w:val="clear" w:color="auto" w:fill="auto"/>
            <w:noWrap/>
            <w:hideMark/>
          </w:tcPr>
          <w:p w14:paraId="083C40A8" w14:textId="77777777" w:rsidR="0039165C" w:rsidRPr="0039165C" w:rsidRDefault="0039165C" w:rsidP="0039165C">
            <w:pPr>
              <w:spacing w:line="240" w:lineRule="auto"/>
              <w:jc w:val="right"/>
              <w:rPr>
                <w:color w:val="000000"/>
                <w:sz w:val="22"/>
                <w:szCs w:val="22"/>
              </w:rPr>
            </w:pPr>
            <w:r w:rsidRPr="0039165C">
              <w:rPr>
                <w:color w:val="000000"/>
                <w:sz w:val="22"/>
                <w:szCs w:val="22"/>
              </w:rPr>
              <w:t>0.43%</w:t>
            </w:r>
          </w:p>
        </w:tc>
      </w:tr>
      <w:tr w:rsidR="0039165C" w:rsidRPr="0039165C" w14:paraId="14E4AD45"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4B743898"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Manyara</w:t>
            </w:r>
          </w:p>
        </w:tc>
        <w:tc>
          <w:tcPr>
            <w:tcW w:w="1520" w:type="dxa"/>
            <w:tcBorders>
              <w:top w:val="nil"/>
              <w:left w:val="nil"/>
              <w:bottom w:val="single" w:sz="4" w:space="0" w:color="auto"/>
              <w:right w:val="single" w:sz="4" w:space="0" w:color="auto"/>
            </w:tcBorders>
            <w:shd w:val="clear" w:color="auto" w:fill="auto"/>
            <w:noWrap/>
            <w:hideMark/>
          </w:tcPr>
          <w:p w14:paraId="44ABFDC7"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84,963 </w:t>
            </w:r>
          </w:p>
        </w:tc>
        <w:tc>
          <w:tcPr>
            <w:tcW w:w="1960" w:type="dxa"/>
            <w:tcBorders>
              <w:top w:val="nil"/>
              <w:left w:val="nil"/>
              <w:bottom w:val="single" w:sz="4" w:space="0" w:color="auto"/>
              <w:right w:val="single" w:sz="4" w:space="0" w:color="auto"/>
            </w:tcBorders>
            <w:shd w:val="clear" w:color="auto" w:fill="auto"/>
            <w:noWrap/>
            <w:hideMark/>
          </w:tcPr>
          <w:p w14:paraId="15339DFA"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1,323,975,481 </w:t>
            </w:r>
          </w:p>
        </w:tc>
        <w:tc>
          <w:tcPr>
            <w:tcW w:w="1200" w:type="dxa"/>
            <w:tcBorders>
              <w:top w:val="nil"/>
              <w:left w:val="nil"/>
              <w:bottom w:val="single" w:sz="4" w:space="0" w:color="auto"/>
              <w:right w:val="single" w:sz="4" w:space="0" w:color="auto"/>
            </w:tcBorders>
            <w:shd w:val="clear" w:color="auto" w:fill="auto"/>
            <w:noWrap/>
            <w:hideMark/>
          </w:tcPr>
          <w:p w14:paraId="78403BC3"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1.31%</w:t>
            </w:r>
          </w:p>
        </w:tc>
        <w:tc>
          <w:tcPr>
            <w:tcW w:w="1380" w:type="dxa"/>
            <w:tcBorders>
              <w:top w:val="nil"/>
              <w:left w:val="nil"/>
              <w:bottom w:val="single" w:sz="4" w:space="0" w:color="auto"/>
              <w:right w:val="single" w:sz="4" w:space="0" w:color="auto"/>
            </w:tcBorders>
            <w:shd w:val="clear" w:color="auto" w:fill="auto"/>
            <w:noWrap/>
            <w:hideMark/>
          </w:tcPr>
          <w:p w14:paraId="53418DAB" w14:textId="77777777" w:rsidR="0039165C" w:rsidRPr="0039165C" w:rsidRDefault="0039165C" w:rsidP="0039165C">
            <w:pPr>
              <w:spacing w:line="240" w:lineRule="auto"/>
              <w:jc w:val="right"/>
              <w:rPr>
                <w:color w:val="000000"/>
                <w:sz w:val="22"/>
                <w:szCs w:val="22"/>
              </w:rPr>
            </w:pPr>
            <w:r w:rsidRPr="0039165C">
              <w:rPr>
                <w:color w:val="000000"/>
                <w:sz w:val="22"/>
                <w:szCs w:val="22"/>
              </w:rPr>
              <w:t>0.63%</w:t>
            </w:r>
          </w:p>
        </w:tc>
      </w:tr>
      <w:tr w:rsidR="0039165C" w:rsidRPr="0039165C" w14:paraId="7F383666"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23D7E2DF"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Mara</w:t>
            </w:r>
          </w:p>
        </w:tc>
        <w:tc>
          <w:tcPr>
            <w:tcW w:w="1520" w:type="dxa"/>
            <w:tcBorders>
              <w:top w:val="nil"/>
              <w:left w:val="nil"/>
              <w:bottom w:val="single" w:sz="4" w:space="0" w:color="auto"/>
              <w:right w:val="single" w:sz="4" w:space="0" w:color="auto"/>
            </w:tcBorders>
            <w:shd w:val="clear" w:color="auto" w:fill="auto"/>
            <w:noWrap/>
            <w:hideMark/>
          </w:tcPr>
          <w:p w14:paraId="2C273E55"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150,569 </w:t>
            </w:r>
          </w:p>
        </w:tc>
        <w:tc>
          <w:tcPr>
            <w:tcW w:w="1960" w:type="dxa"/>
            <w:tcBorders>
              <w:top w:val="nil"/>
              <w:left w:val="nil"/>
              <w:bottom w:val="single" w:sz="4" w:space="0" w:color="auto"/>
              <w:right w:val="single" w:sz="4" w:space="0" w:color="auto"/>
            </w:tcBorders>
            <w:shd w:val="clear" w:color="auto" w:fill="auto"/>
            <w:noWrap/>
            <w:hideMark/>
          </w:tcPr>
          <w:p w14:paraId="788F1AFE"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1,802,515,408 </w:t>
            </w:r>
          </w:p>
        </w:tc>
        <w:tc>
          <w:tcPr>
            <w:tcW w:w="1200" w:type="dxa"/>
            <w:tcBorders>
              <w:top w:val="nil"/>
              <w:left w:val="nil"/>
              <w:bottom w:val="single" w:sz="4" w:space="0" w:color="auto"/>
              <w:right w:val="single" w:sz="4" w:space="0" w:color="auto"/>
            </w:tcBorders>
            <w:shd w:val="clear" w:color="auto" w:fill="auto"/>
            <w:noWrap/>
            <w:hideMark/>
          </w:tcPr>
          <w:p w14:paraId="250B737E"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2.31%</w:t>
            </w:r>
          </w:p>
        </w:tc>
        <w:tc>
          <w:tcPr>
            <w:tcW w:w="1380" w:type="dxa"/>
            <w:tcBorders>
              <w:top w:val="nil"/>
              <w:left w:val="nil"/>
              <w:bottom w:val="single" w:sz="4" w:space="0" w:color="auto"/>
              <w:right w:val="single" w:sz="4" w:space="0" w:color="auto"/>
            </w:tcBorders>
            <w:shd w:val="clear" w:color="auto" w:fill="auto"/>
            <w:noWrap/>
            <w:hideMark/>
          </w:tcPr>
          <w:p w14:paraId="435A6DEF" w14:textId="77777777" w:rsidR="0039165C" w:rsidRPr="0039165C" w:rsidRDefault="0039165C" w:rsidP="0039165C">
            <w:pPr>
              <w:spacing w:line="240" w:lineRule="auto"/>
              <w:jc w:val="right"/>
              <w:rPr>
                <w:color w:val="000000"/>
                <w:sz w:val="22"/>
                <w:szCs w:val="22"/>
              </w:rPr>
            </w:pPr>
            <w:r w:rsidRPr="0039165C">
              <w:rPr>
                <w:color w:val="000000"/>
                <w:sz w:val="22"/>
                <w:szCs w:val="22"/>
              </w:rPr>
              <w:t>0.86%</w:t>
            </w:r>
          </w:p>
        </w:tc>
      </w:tr>
      <w:tr w:rsidR="0039165C" w:rsidRPr="0039165C" w14:paraId="5BE5BFE0"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2A8BD952"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Mbeya</w:t>
            </w:r>
          </w:p>
        </w:tc>
        <w:tc>
          <w:tcPr>
            <w:tcW w:w="1520" w:type="dxa"/>
            <w:tcBorders>
              <w:top w:val="nil"/>
              <w:left w:val="nil"/>
              <w:bottom w:val="single" w:sz="4" w:space="0" w:color="auto"/>
              <w:right w:val="single" w:sz="4" w:space="0" w:color="auto"/>
            </w:tcBorders>
            <w:shd w:val="clear" w:color="auto" w:fill="auto"/>
            <w:noWrap/>
            <w:hideMark/>
          </w:tcPr>
          <w:p w14:paraId="521CF8C7"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455,768 </w:t>
            </w:r>
          </w:p>
        </w:tc>
        <w:tc>
          <w:tcPr>
            <w:tcW w:w="1960" w:type="dxa"/>
            <w:tcBorders>
              <w:top w:val="nil"/>
              <w:left w:val="nil"/>
              <w:bottom w:val="single" w:sz="4" w:space="0" w:color="auto"/>
              <w:right w:val="single" w:sz="4" w:space="0" w:color="auto"/>
            </w:tcBorders>
            <w:shd w:val="clear" w:color="auto" w:fill="auto"/>
            <w:noWrap/>
            <w:hideMark/>
          </w:tcPr>
          <w:p w14:paraId="3C80C9E7"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13,438,667,870 </w:t>
            </w:r>
          </w:p>
        </w:tc>
        <w:tc>
          <w:tcPr>
            <w:tcW w:w="1200" w:type="dxa"/>
            <w:tcBorders>
              <w:top w:val="nil"/>
              <w:left w:val="nil"/>
              <w:bottom w:val="single" w:sz="4" w:space="0" w:color="auto"/>
              <w:right w:val="single" w:sz="4" w:space="0" w:color="auto"/>
            </w:tcBorders>
            <w:shd w:val="clear" w:color="auto" w:fill="auto"/>
            <w:noWrap/>
            <w:hideMark/>
          </w:tcPr>
          <w:p w14:paraId="33CE7411"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7.01%</w:t>
            </w:r>
          </w:p>
        </w:tc>
        <w:tc>
          <w:tcPr>
            <w:tcW w:w="1380" w:type="dxa"/>
            <w:tcBorders>
              <w:top w:val="nil"/>
              <w:left w:val="nil"/>
              <w:bottom w:val="single" w:sz="4" w:space="0" w:color="auto"/>
              <w:right w:val="single" w:sz="4" w:space="0" w:color="auto"/>
            </w:tcBorders>
            <w:shd w:val="clear" w:color="auto" w:fill="auto"/>
            <w:noWrap/>
            <w:hideMark/>
          </w:tcPr>
          <w:p w14:paraId="12477F27" w14:textId="77777777" w:rsidR="0039165C" w:rsidRPr="0039165C" w:rsidRDefault="0039165C" w:rsidP="0039165C">
            <w:pPr>
              <w:spacing w:line="240" w:lineRule="auto"/>
              <w:jc w:val="right"/>
              <w:rPr>
                <w:color w:val="000000"/>
                <w:sz w:val="22"/>
                <w:szCs w:val="22"/>
              </w:rPr>
            </w:pPr>
            <w:r w:rsidRPr="0039165C">
              <w:rPr>
                <w:color w:val="000000"/>
                <w:sz w:val="22"/>
                <w:szCs w:val="22"/>
              </w:rPr>
              <w:t>6.41%</w:t>
            </w:r>
          </w:p>
        </w:tc>
      </w:tr>
      <w:tr w:rsidR="0039165C" w:rsidRPr="0039165C" w14:paraId="0F84C9E3"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17FEE3DF"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Morogoro</w:t>
            </w:r>
          </w:p>
        </w:tc>
        <w:tc>
          <w:tcPr>
            <w:tcW w:w="1520" w:type="dxa"/>
            <w:tcBorders>
              <w:top w:val="nil"/>
              <w:left w:val="nil"/>
              <w:bottom w:val="single" w:sz="4" w:space="0" w:color="auto"/>
              <w:right w:val="single" w:sz="4" w:space="0" w:color="auto"/>
            </w:tcBorders>
            <w:shd w:val="clear" w:color="auto" w:fill="auto"/>
            <w:noWrap/>
            <w:hideMark/>
          </w:tcPr>
          <w:p w14:paraId="2878A047"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271,284 </w:t>
            </w:r>
          </w:p>
        </w:tc>
        <w:tc>
          <w:tcPr>
            <w:tcW w:w="1960" w:type="dxa"/>
            <w:tcBorders>
              <w:top w:val="nil"/>
              <w:left w:val="nil"/>
              <w:bottom w:val="single" w:sz="4" w:space="0" w:color="auto"/>
              <w:right w:val="single" w:sz="4" w:space="0" w:color="auto"/>
            </w:tcBorders>
            <w:shd w:val="clear" w:color="auto" w:fill="auto"/>
            <w:noWrap/>
            <w:hideMark/>
          </w:tcPr>
          <w:p w14:paraId="36A99B76"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3,845,480,421 </w:t>
            </w:r>
          </w:p>
        </w:tc>
        <w:tc>
          <w:tcPr>
            <w:tcW w:w="1200" w:type="dxa"/>
            <w:tcBorders>
              <w:top w:val="nil"/>
              <w:left w:val="nil"/>
              <w:bottom w:val="single" w:sz="4" w:space="0" w:color="auto"/>
              <w:right w:val="single" w:sz="4" w:space="0" w:color="auto"/>
            </w:tcBorders>
            <w:shd w:val="clear" w:color="auto" w:fill="auto"/>
            <w:noWrap/>
            <w:hideMark/>
          </w:tcPr>
          <w:p w14:paraId="23BDC547"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4.17%</w:t>
            </w:r>
          </w:p>
        </w:tc>
        <w:tc>
          <w:tcPr>
            <w:tcW w:w="1380" w:type="dxa"/>
            <w:tcBorders>
              <w:top w:val="nil"/>
              <w:left w:val="nil"/>
              <w:bottom w:val="single" w:sz="4" w:space="0" w:color="auto"/>
              <w:right w:val="single" w:sz="4" w:space="0" w:color="auto"/>
            </w:tcBorders>
            <w:shd w:val="clear" w:color="auto" w:fill="auto"/>
            <w:noWrap/>
            <w:hideMark/>
          </w:tcPr>
          <w:p w14:paraId="4245EC3D" w14:textId="77777777" w:rsidR="0039165C" w:rsidRPr="0039165C" w:rsidRDefault="0039165C" w:rsidP="0039165C">
            <w:pPr>
              <w:spacing w:line="240" w:lineRule="auto"/>
              <w:jc w:val="right"/>
              <w:rPr>
                <w:color w:val="000000"/>
                <w:sz w:val="22"/>
                <w:szCs w:val="22"/>
              </w:rPr>
            </w:pPr>
            <w:r w:rsidRPr="0039165C">
              <w:rPr>
                <w:color w:val="000000"/>
                <w:sz w:val="22"/>
                <w:szCs w:val="22"/>
              </w:rPr>
              <w:t>1.83%</w:t>
            </w:r>
          </w:p>
        </w:tc>
      </w:tr>
      <w:tr w:rsidR="0039165C" w:rsidRPr="0039165C" w14:paraId="1964A345"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7441C840"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Mtwara</w:t>
            </w:r>
          </w:p>
        </w:tc>
        <w:tc>
          <w:tcPr>
            <w:tcW w:w="1520" w:type="dxa"/>
            <w:tcBorders>
              <w:top w:val="nil"/>
              <w:left w:val="nil"/>
              <w:bottom w:val="single" w:sz="4" w:space="0" w:color="auto"/>
              <w:right w:val="single" w:sz="4" w:space="0" w:color="auto"/>
            </w:tcBorders>
            <w:shd w:val="clear" w:color="auto" w:fill="auto"/>
            <w:noWrap/>
            <w:hideMark/>
          </w:tcPr>
          <w:p w14:paraId="1AAC47B2"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116,160 </w:t>
            </w:r>
          </w:p>
        </w:tc>
        <w:tc>
          <w:tcPr>
            <w:tcW w:w="1960" w:type="dxa"/>
            <w:tcBorders>
              <w:top w:val="nil"/>
              <w:left w:val="nil"/>
              <w:bottom w:val="single" w:sz="4" w:space="0" w:color="auto"/>
              <w:right w:val="single" w:sz="4" w:space="0" w:color="auto"/>
            </w:tcBorders>
            <w:shd w:val="clear" w:color="auto" w:fill="auto"/>
            <w:noWrap/>
            <w:hideMark/>
          </w:tcPr>
          <w:p w14:paraId="5E4748A9"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1,123,131,300 </w:t>
            </w:r>
          </w:p>
        </w:tc>
        <w:tc>
          <w:tcPr>
            <w:tcW w:w="1200" w:type="dxa"/>
            <w:tcBorders>
              <w:top w:val="nil"/>
              <w:left w:val="nil"/>
              <w:bottom w:val="single" w:sz="4" w:space="0" w:color="auto"/>
              <w:right w:val="single" w:sz="4" w:space="0" w:color="auto"/>
            </w:tcBorders>
            <w:shd w:val="clear" w:color="auto" w:fill="auto"/>
            <w:noWrap/>
            <w:hideMark/>
          </w:tcPr>
          <w:p w14:paraId="6FBB62CB"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1.79%</w:t>
            </w:r>
          </w:p>
        </w:tc>
        <w:tc>
          <w:tcPr>
            <w:tcW w:w="1380" w:type="dxa"/>
            <w:tcBorders>
              <w:top w:val="nil"/>
              <w:left w:val="nil"/>
              <w:bottom w:val="single" w:sz="4" w:space="0" w:color="auto"/>
              <w:right w:val="single" w:sz="4" w:space="0" w:color="auto"/>
            </w:tcBorders>
            <w:shd w:val="clear" w:color="auto" w:fill="auto"/>
            <w:noWrap/>
            <w:hideMark/>
          </w:tcPr>
          <w:p w14:paraId="02C9F911" w14:textId="77777777" w:rsidR="0039165C" w:rsidRPr="0039165C" w:rsidRDefault="0039165C" w:rsidP="0039165C">
            <w:pPr>
              <w:spacing w:line="240" w:lineRule="auto"/>
              <w:jc w:val="right"/>
              <w:rPr>
                <w:color w:val="000000"/>
                <w:sz w:val="22"/>
                <w:szCs w:val="22"/>
              </w:rPr>
            </w:pPr>
            <w:r w:rsidRPr="0039165C">
              <w:rPr>
                <w:color w:val="000000"/>
                <w:sz w:val="22"/>
                <w:szCs w:val="22"/>
              </w:rPr>
              <w:t>0.54%</w:t>
            </w:r>
          </w:p>
        </w:tc>
      </w:tr>
      <w:tr w:rsidR="0039165C" w:rsidRPr="0039165C" w14:paraId="50477F00"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44D85A59"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Mwanza</w:t>
            </w:r>
          </w:p>
        </w:tc>
        <w:tc>
          <w:tcPr>
            <w:tcW w:w="1520" w:type="dxa"/>
            <w:tcBorders>
              <w:top w:val="nil"/>
              <w:left w:val="nil"/>
              <w:bottom w:val="single" w:sz="4" w:space="0" w:color="auto"/>
              <w:right w:val="single" w:sz="4" w:space="0" w:color="auto"/>
            </w:tcBorders>
            <w:shd w:val="clear" w:color="auto" w:fill="auto"/>
            <w:noWrap/>
            <w:hideMark/>
          </w:tcPr>
          <w:p w14:paraId="3B0ECF5D"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350,507 </w:t>
            </w:r>
          </w:p>
        </w:tc>
        <w:tc>
          <w:tcPr>
            <w:tcW w:w="1960" w:type="dxa"/>
            <w:tcBorders>
              <w:top w:val="nil"/>
              <w:left w:val="nil"/>
              <w:bottom w:val="single" w:sz="4" w:space="0" w:color="auto"/>
              <w:right w:val="single" w:sz="4" w:space="0" w:color="auto"/>
            </w:tcBorders>
            <w:shd w:val="clear" w:color="auto" w:fill="auto"/>
            <w:noWrap/>
            <w:hideMark/>
          </w:tcPr>
          <w:p w14:paraId="4236041E"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9,819,194,794 </w:t>
            </w:r>
          </w:p>
        </w:tc>
        <w:tc>
          <w:tcPr>
            <w:tcW w:w="1200" w:type="dxa"/>
            <w:tcBorders>
              <w:top w:val="nil"/>
              <w:left w:val="nil"/>
              <w:bottom w:val="single" w:sz="4" w:space="0" w:color="auto"/>
              <w:right w:val="single" w:sz="4" w:space="0" w:color="auto"/>
            </w:tcBorders>
            <w:shd w:val="clear" w:color="auto" w:fill="auto"/>
            <w:noWrap/>
            <w:hideMark/>
          </w:tcPr>
          <w:p w14:paraId="2D48CADE"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5.39%</w:t>
            </w:r>
          </w:p>
        </w:tc>
        <w:tc>
          <w:tcPr>
            <w:tcW w:w="1380" w:type="dxa"/>
            <w:tcBorders>
              <w:top w:val="nil"/>
              <w:left w:val="nil"/>
              <w:bottom w:val="single" w:sz="4" w:space="0" w:color="auto"/>
              <w:right w:val="single" w:sz="4" w:space="0" w:color="auto"/>
            </w:tcBorders>
            <w:shd w:val="clear" w:color="auto" w:fill="auto"/>
            <w:noWrap/>
            <w:hideMark/>
          </w:tcPr>
          <w:p w14:paraId="5C9B6390" w14:textId="77777777" w:rsidR="0039165C" w:rsidRPr="0039165C" w:rsidRDefault="0039165C" w:rsidP="0039165C">
            <w:pPr>
              <w:spacing w:line="240" w:lineRule="auto"/>
              <w:jc w:val="right"/>
              <w:rPr>
                <w:color w:val="000000"/>
                <w:sz w:val="22"/>
                <w:szCs w:val="22"/>
              </w:rPr>
            </w:pPr>
            <w:r w:rsidRPr="0039165C">
              <w:rPr>
                <w:color w:val="000000"/>
                <w:sz w:val="22"/>
                <w:szCs w:val="22"/>
              </w:rPr>
              <w:t>4.68%</w:t>
            </w:r>
          </w:p>
        </w:tc>
      </w:tr>
      <w:tr w:rsidR="0039165C" w:rsidRPr="0039165C" w14:paraId="737BF83B"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61E00E38"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Njombe</w:t>
            </w:r>
          </w:p>
        </w:tc>
        <w:tc>
          <w:tcPr>
            <w:tcW w:w="1520" w:type="dxa"/>
            <w:tcBorders>
              <w:top w:val="nil"/>
              <w:left w:val="nil"/>
              <w:bottom w:val="single" w:sz="4" w:space="0" w:color="auto"/>
              <w:right w:val="single" w:sz="4" w:space="0" w:color="auto"/>
            </w:tcBorders>
            <w:shd w:val="clear" w:color="auto" w:fill="auto"/>
            <w:noWrap/>
            <w:hideMark/>
          </w:tcPr>
          <w:p w14:paraId="6B8E77C5"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53,961 </w:t>
            </w:r>
          </w:p>
        </w:tc>
        <w:tc>
          <w:tcPr>
            <w:tcW w:w="1960" w:type="dxa"/>
            <w:tcBorders>
              <w:top w:val="nil"/>
              <w:left w:val="nil"/>
              <w:bottom w:val="single" w:sz="4" w:space="0" w:color="auto"/>
              <w:right w:val="single" w:sz="4" w:space="0" w:color="auto"/>
            </w:tcBorders>
            <w:shd w:val="clear" w:color="auto" w:fill="auto"/>
            <w:noWrap/>
            <w:hideMark/>
          </w:tcPr>
          <w:p w14:paraId="5395C351"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646,863,561 </w:t>
            </w:r>
          </w:p>
        </w:tc>
        <w:tc>
          <w:tcPr>
            <w:tcW w:w="1200" w:type="dxa"/>
            <w:tcBorders>
              <w:top w:val="nil"/>
              <w:left w:val="nil"/>
              <w:bottom w:val="single" w:sz="4" w:space="0" w:color="auto"/>
              <w:right w:val="single" w:sz="4" w:space="0" w:color="auto"/>
            </w:tcBorders>
            <w:shd w:val="clear" w:color="auto" w:fill="auto"/>
            <w:noWrap/>
            <w:hideMark/>
          </w:tcPr>
          <w:p w14:paraId="3372D2EB"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0.83%</w:t>
            </w:r>
          </w:p>
        </w:tc>
        <w:tc>
          <w:tcPr>
            <w:tcW w:w="1380" w:type="dxa"/>
            <w:tcBorders>
              <w:top w:val="nil"/>
              <w:left w:val="nil"/>
              <w:bottom w:val="single" w:sz="4" w:space="0" w:color="auto"/>
              <w:right w:val="single" w:sz="4" w:space="0" w:color="auto"/>
            </w:tcBorders>
            <w:shd w:val="clear" w:color="auto" w:fill="auto"/>
            <w:noWrap/>
            <w:hideMark/>
          </w:tcPr>
          <w:p w14:paraId="571248B4" w14:textId="77777777" w:rsidR="0039165C" w:rsidRPr="0039165C" w:rsidRDefault="0039165C" w:rsidP="0039165C">
            <w:pPr>
              <w:spacing w:line="240" w:lineRule="auto"/>
              <w:jc w:val="right"/>
              <w:rPr>
                <w:color w:val="000000"/>
                <w:sz w:val="22"/>
                <w:szCs w:val="22"/>
              </w:rPr>
            </w:pPr>
            <w:r w:rsidRPr="0039165C">
              <w:rPr>
                <w:color w:val="000000"/>
                <w:sz w:val="22"/>
                <w:szCs w:val="22"/>
              </w:rPr>
              <w:t>0.31%</w:t>
            </w:r>
          </w:p>
        </w:tc>
      </w:tr>
      <w:tr w:rsidR="0039165C" w:rsidRPr="0039165C" w14:paraId="0E0579C6"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75EEDD47"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Pwani</w:t>
            </w:r>
          </w:p>
        </w:tc>
        <w:tc>
          <w:tcPr>
            <w:tcW w:w="1520" w:type="dxa"/>
            <w:tcBorders>
              <w:top w:val="nil"/>
              <w:left w:val="nil"/>
              <w:bottom w:val="single" w:sz="4" w:space="0" w:color="auto"/>
              <w:right w:val="single" w:sz="4" w:space="0" w:color="auto"/>
            </w:tcBorders>
            <w:shd w:val="clear" w:color="auto" w:fill="auto"/>
            <w:noWrap/>
            <w:hideMark/>
          </w:tcPr>
          <w:p w14:paraId="67ABD1B8"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142,575 </w:t>
            </w:r>
          </w:p>
        </w:tc>
        <w:tc>
          <w:tcPr>
            <w:tcW w:w="1960" w:type="dxa"/>
            <w:tcBorders>
              <w:top w:val="nil"/>
              <w:left w:val="nil"/>
              <w:bottom w:val="single" w:sz="4" w:space="0" w:color="auto"/>
              <w:right w:val="single" w:sz="4" w:space="0" w:color="auto"/>
            </w:tcBorders>
            <w:shd w:val="clear" w:color="auto" w:fill="auto"/>
            <w:noWrap/>
            <w:hideMark/>
          </w:tcPr>
          <w:p w14:paraId="45997375"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1,841,259,216 </w:t>
            </w:r>
          </w:p>
        </w:tc>
        <w:tc>
          <w:tcPr>
            <w:tcW w:w="1200" w:type="dxa"/>
            <w:tcBorders>
              <w:top w:val="nil"/>
              <w:left w:val="nil"/>
              <w:bottom w:val="single" w:sz="4" w:space="0" w:color="auto"/>
              <w:right w:val="single" w:sz="4" w:space="0" w:color="auto"/>
            </w:tcBorders>
            <w:shd w:val="clear" w:color="auto" w:fill="auto"/>
            <w:noWrap/>
            <w:hideMark/>
          </w:tcPr>
          <w:p w14:paraId="2AEF33C2"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2.19%</w:t>
            </w:r>
          </w:p>
        </w:tc>
        <w:tc>
          <w:tcPr>
            <w:tcW w:w="1380" w:type="dxa"/>
            <w:tcBorders>
              <w:top w:val="nil"/>
              <w:left w:val="nil"/>
              <w:bottom w:val="single" w:sz="4" w:space="0" w:color="auto"/>
              <w:right w:val="single" w:sz="4" w:space="0" w:color="auto"/>
            </w:tcBorders>
            <w:shd w:val="clear" w:color="auto" w:fill="auto"/>
            <w:noWrap/>
            <w:hideMark/>
          </w:tcPr>
          <w:p w14:paraId="35A174AA" w14:textId="77777777" w:rsidR="0039165C" w:rsidRPr="0039165C" w:rsidRDefault="0039165C" w:rsidP="0039165C">
            <w:pPr>
              <w:spacing w:line="240" w:lineRule="auto"/>
              <w:jc w:val="right"/>
              <w:rPr>
                <w:color w:val="000000"/>
                <w:sz w:val="22"/>
                <w:szCs w:val="22"/>
              </w:rPr>
            </w:pPr>
            <w:r w:rsidRPr="0039165C">
              <w:rPr>
                <w:color w:val="000000"/>
                <w:sz w:val="22"/>
                <w:szCs w:val="22"/>
              </w:rPr>
              <w:t>0.88%</w:t>
            </w:r>
          </w:p>
        </w:tc>
      </w:tr>
      <w:tr w:rsidR="0039165C" w:rsidRPr="0039165C" w14:paraId="39CFD29A"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031D5682"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Rukwa</w:t>
            </w:r>
          </w:p>
        </w:tc>
        <w:tc>
          <w:tcPr>
            <w:tcW w:w="1520" w:type="dxa"/>
            <w:tcBorders>
              <w:top w:val="nil"/>
              <w:left w:val="nil"/>
              <w:bottom w:val="single" w:sz="4" w:space="0" w:color="auto"/>
              <w:right w:val="single" w:sz="4" w:space="0" w:color="auto"/>
            </w:tcBorders>
            <w:shd w:val="clear" w:color="auto" w:fill="auto"/>
            <w:noWrap/>
            <w:hideMark/>
          </w:tcPr>
          <w:p w14:paraId="178C67D6"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60,077 </w:t>
            </w:r>
          </w:p>
        </w:tc>
        <w:tc>
          <w:tcPr>
            <w:tcW w:w="1960" w:type="dxa"/>
            <w:tcBorders>
              <w:top w:val="nil"/>
              <w:left w:val="nil"/>
              <w:bottom w:val="single" w:sz="4" w:space="0" w:color="auto"/>
              <w:right w:val="single" w:sz="4" w:space="0" w:color="auto"/>
            </w:tcBorders>
            <w:shd w:val="clear" w:color="auto" w:fill="auto"/>
            <w:noWrap/>
            <w:hideMark/>
          </w:tcPr>
          <w:p w14:paraId="00782F7A"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759,795,972 </w:t>
            </w:r>
          </w:p>
        </w:tc>
        <w:tc>
          <w:tcPr>
            <w:tcW w:w="1200" w:type="dxa"/>
            <w:tcBorders>
              <w:top w:val="nil"/>
              <w:left w:val="nil"/>
              <w:bottom w:val="single" w:sz="4" w:space="0" w:color="auto"/>
              <w:right w:val="single" w:sz="4" w:space="0" w:color="auto"/>
            </w:tcBorders>
            <w:shd w:val="clear" w:color="auto" w:fill="auto"/>
            <w:noWrap/>
            <w:hideMark/>
          </w:tcPr>
          <w:p w14:paraId="1DC1FE50"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0.92%</w:t>
            </w:r>
          </w:p>
        </w:tc>
        <w:tc>
          <w:tcPr>
            <w:tcW w:w="1380" w:type="dxa"/>
            <w:tcBorders>
              <w:top w:val="nil"/>
              <w:left w:val="nil"/>
              <w:bottom w:val="single" w:sz="4" w:space="0" w:color="auto"/>
              <w:right w:val="single" w:sz="4" w:space="0" w:color="auto"/>
            </w:tcBorders>
            <w:shd w:val="clear" w:color="auto" w:fill="auto"/>
            <w:noWrap/>
            <w:hideMark/>
          </w:tcPr>
          <w:p w14:paraId="3646163C" w14:textId="77777777" w:rsidR="0039165C" w:rsidRPr="0039165C" w:rsidRDefault="0039165C" w:rsidP="0039165C">
            <w:pPr>
              <w:spacing w:line="240" w:lineRule="auto"/>
              <w:jc w:val="right"/>
              <w:rPr>
                <w:color w:val="000000"/>
                <w:sz w:val="22"/>
                <w:szCs w:val="22"/>
              </w:rPr>
            </w:pPr>
            <w:r w:rsidRPr="0039165C">
              <w:rPr>
                <w:color w:val="000000"/>
                <w:sz w:val="22"/>
                <w:szCs w:val="22"/>
              </w:rPr>
              <w:t>0.36%</w:t>
            </w:r>
          </w:p>
        </w:tc>
      </w:tr>
      <w:tr w:rsidR="0039165C" w:rsidRPr="0039165C" w14:paraId="3F196C2E"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74CF3529"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lastRenderedPageBreak/>
              <w:t>Ruvuma</w:t>
            </w:r>
          </w:p>
        </w:tc>
        <w:tc>
          <w:tcPr>
            <w:tcW w:w="1520" w:type="dxa"/>
            <w:tcBorders>
              <w:top w:val="nil"/>
              <w:left w:val="nil"/>
              <w:bottom w:val="single" w:sz="4" w:space="0" w:color="auto"/>
              <w:right w:val="single" w:sz="4" w:space="0" w:color="auto"/>
            </w:tcBorders>
            <w:shd w:val="clear" w:color="auto" w:fill="auto"/>
            <w:noWrap/>
            <w:hideMark/>
          </w:tcPr>
          <w:p w14:paraId="4C375038"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165,949 </w:t>
            </w:r>
          </w:p>
        </w:tc>
        <w:tc>
          <w:tcPr>
            <w:tcW w:w="1960" w:type="dxa"/>
            <w:tcBorders>
              <w:top w:val="nil"/>
              <w:left w:val="nil"/>
              <w:bottom w:val="single" w:sz="4" w:space="0" w:color="auto"/>
              <w:right w:val="single" w:sz="4" w:space="0" w:color="auto"/>
            </w:tcBorders>
            <w:shd w:val="clear" w:color="auto" w:fill="auto"/>
            <w:noWrap/>
            <w:hideMark/>
          </w:tcPr>
          <w:p w14:paraId="010D4499"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2,081,940,738 </w:t>
            </w:r>
          </w:p>
        </w:tc>
        <w:tc>
          <w:tcPr>
            <w:tcW w:w="1200" w:type="dxa"/>
            <w:tcBorders>
              <w:top w:val="nil"/>
              <w:left w:val="nil"/>
              <w:bottom w:val="single" w:sz="4" w:space="0" w:color="auto"/>
              <w:right w:val="single" w:sz="4" w:space="0" w:color="auto"/>
            </w:tcBorders>
            <w:shd w:val="clear" w:color="auto" w:fill="auto"/>
            <w:noWrap/>
            <w:hideMark/>
          </w:tcPr>
          <w:p w14:paraId="750D434C"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2.55%</w:t>
            </w:r>
          </w:p>
        </w:tc>
        <w:tc>
          <w:tcPr>
            <w:tcW w:w="1380" w:type="dxa"/>
            <w:tcBorders>
              <w:top w:val="nil"/>
              <w:left w:val="nil"/>
              <w:bottom w:val="single" w:sz="4" w:space="0" w:color="auto"/>
              <w:right w:val="single" w:sz="4" w:space="0" w:color="auto"/>
            </w:tcBorders>
            <w:shd w:val="clear" w:color="auto" w:fill="auto"/>
            <w:noWrap/>
            <w:hideMark/>
          </w:tcPr>
          <w:p w14:paraId="18DBB0C6" w14:textId="77777777" w:rsidR="0039165C" w:rsidRPr="0039165C" w:rsidRDefault="0039165C" w:rsidP="0039165C">
            <w:pPr>
              <w:spacing w:line="240" w:lineRule="auto"/>
              <w:jc w:val="right"/>
              <w:rPr>
                <w:color w:val="000000"/>
                <w:sz w:val="22"/>
                <w:szCs w:val="22"/>
              </w:rPr>
            </w:pPr>
            <w:r w:rsidRPr="0039165C">
              <w:rPr>
                <w:color w:val="000000"/>
                <w:sz w:val="22"/>
                <w:szCs w:val="22"/>
              </w:rPr>
              <w:t>0.99%</w:t>
            </w:r>
          </w:p>
        </w:tc>
      </w:tr>
      <w:tr w:rsidR="0039165C" w:rsidRPr="0039165C" w14:paraId="25F884B7"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4D57E8CB"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Shinyanga</w:t>
            </w:r>
          </w:p>
        </w:tc>
        <w:tc>
          <w:tcPr>
            <w:tcW w:w="1520" w:type="dxa"/>
            <w:tcBorders>
              <w:top w:val="nil"/>
              <w:left w:val="nil"/>
              <w:bottom w:val="single" w:sz="4" w:space="0" w:color="auto"/>
              <w:right w:val="single" w:sz="4" w:space="0" w:color="auto"/>
            </w:tcBorders>
            <w:shd w:val="clear" w:color="auto" w:fill="auto"/>
            <w:noWrap/>
            <w:hideMark/>
          </w:tcPr>
          <w:p w14:paraId="408A838C"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123,006 </w:t>
            </w:r>
          </w:p>
        </w:tc>
        <w:tc>
          <w:tcPr>
            <w:tcW w:w="1960" w:type="dxa"/>
            <w:tcBorders>
              <w:top w:val="nil"/>
              <w:left w:val="nil"/>
              <w:bottom w:val="single" w:sz="4" w:space="0" w:color="auto"/>
              <w:right w:val="single" w:sz="4" w:space="0" w:color="auto"/>
            </w:tcBorders>
            <w:shd w:val="clear" w:color="auto" w:fill="auto"/>
            <w:noWrap/>
            <w:hideMark/>
          </w:tcPr>
          <w:p w14:paraId="1CE5567F"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1,174,923,108 </w:t>
            </w:r>
          </w:p>
        </w:tc>
        <w:tc>
          <w:tcPr>
            <w:tcW w:w="1200" w:type="dxa"/>
            <w:tcBorders>
              <w:top w:val="nil"/>
              <w:left w:val="nil"/>
              <w:bottom w:val="single" w:sz="4" w:space="0" w:color="auto"/>
              <w:right w:val="single" w:sz="4" w:space="0" w:color="auto"/>
            </w:tcBorders>
            <w:shd w:val="clear" w:color="auto" w:fill="auto"/>
            <w:noWrap/>
            <w:hideMark/>
          </w:tcPr>
          <w:p w14:paraId="2534084D"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1.89%</w:t>
            </w:r>
          </w:p>
        </w:tc>
        <w:tc>
          <w:tcPr>
            <w:tcW w:w="1380" w:type="dxa"/>
            <w:tcBorders>
              <w:top w:val="nil"/>
              <w:left w:val="nil"/>
              <w:bottom w:val="single" w:sz="4" w:space="0" w:color="auto"/>
              <w:right w:val="single" w:sz="4" w:space="0" w:color="auto"/>
            </w:tcBorders>
            <w:shd w:val="clear" w:color="auto" w:fill="auto"/>
            <w:noWrap/>
            <w:hideMark/>
          </w:tcPr>
          <w:p w14:paraId="582F345C" w14:textId="77777777" w:rsidR="0039165C" w:rsidRPr="0039165C" w:rsidRDefault="0039165C" w:rsidP="0039165C">
            <w:pPr>
              <w:spacing w:line="240" w:lineRule="auto"/>
              <w:jc w:val="right"/>
              <w:rPr>
                <w:color w:val="000000"/>
                <w:sz w:val="22"/>
                <w:szCs w:val="22"/>
              </w:rPr>
            </w:pPr>
            <w:r w:rsidRPr="0039165C">
              <w:rPr>
                <w:color w:val="000000"/>
                <w:sz w:val="22"/>
                <w:szCs w:val="22"/>
              </w:rPr>
              <w:t>0.56%</w:t>
            </w:r>
          </w:p>
        </w:tc>
      </w:tr>
      <w:tr w:rsidR="0039165C" w:rsidRPr="0039165C" w14:paraId="200F0869"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4A082B69"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Singida</w:t>
            </w:r>
          </w:p>
        </w:tc>
        <w:tc>
          <w:tcPr>
            <w:tcW w:w="1520" w:type="dxa"/>
            <w:tcBorders>
              <w:top w:val="nil"/>
              <w:left w:val="nil"/>
              <w:bottom w:val="single" w:sz="4" w:space="0" w:color="auto"/>
              <w:right w:val="single" w:sz="4" w:space="0" w:color="auto"/>
            </w:tcBorders>
            <w:shd w:val="clear" w:color="auto" w:fill="auto"/>
            <w:noWrap/>
            <w:hideMark/>
          </w:tcPr>
          <w:p w14:paraId="36762733"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136,039 </w:t>
            </w:r>
          </w:p>
        </w:tc>
        <w:tc>
          <w:tcPr>
            <w:tcW w:w="1960" w:type="dxa"/>
            <w:tcBorders>
              <w:top w:val="nil"/>
              <w:left w:val="nil"/>
              <w:bottom w:val="single" w:sz="4" w:space="0" w:color="auto"/>
              <w:right w:val="single" w:sz="4" w:space="0" w:color="auto"/>
            </w:tcBorders>
            <w:shd w:val="clear" w:color="auto" w:fill="auto"/>
            <w:noWrap/>
            <w:hideMark/>
          </w:tcPr>
          <w:p w14:paraId="6DCA9103"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1,825,640,028 </w:t>
            </w:r>
          </w:p>
        </w:tc>
        <w:tc>
          <w:tcPr>
            <w:tcW w:w="1200" w:type="dxa"/>
            <w:tcBorders>
              <w:top w:val="nil"/>
              <w:left w:val="nil"/>
              <w:bottom w:val="single" w:sz="4" w:space="0" w:color="auto"/>
              <w:right w:val="single" w:sz="4" w:space="0" w:color="auto"/>
            </w:tcBorders>
            <w:shd w:val="clear" w:color="auto" w:fill="auto"/>
            <w:noWrap/>
            <w:hideMark/>
          </w:tcPr>
          <w:p w14:paraId="0F2A16DB"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2.09%</w:t>
            </w:r>
          </w:p>
        </w:tc>
        <w:tc>
          <w:tcPr>
            <w:tcW w:w="1380" w:type="dxa"/>
            <w:tcBorders>
              <w:top w:val="nil"/>
              <w:left w:val="nil"/>
              <w:bottom w:val="single" w:sz="4" w:space="0" w:color="auto"/>
              <w:right w:val="single" w:sz="4" w:space="0" w:color="auto"/>
            </w:tcBorders>
            <w:shd w:val="clear" w:color="auto" w:fill="auto"/>
            <w:noWrap/>
            <w:hideMark/>
          </w:tcPr>
          <w:p w14:paraId="5CBB7F49" w14:textId="77777777" w:rsidR="0039165C" w:rsidRPr="0039165C" w:rsidRDefault="0039165C" w:rsidP="0039165C">
            <w:pPr>
              <w:spacing w:line="240" w:lineRule="auto"/>
              <w:jc w:val="right"/>
              <w:rPr>
                <w:color w:val="000000"/>
                <w:sz w:val="22"/>
                <w:szCs w:val="22"/>
              </w:rPr>
            </w:pPr>
            <w:r w:rsidRPr="0039165C">
              <w:rPr>
                <w:color w:val="000000"/>
                <w:sz w:val="22"/>
                <w:szCs w:val="22"/>
              </w:rPr>
              <w:t>0.87%</w:t>
            </w:r>
          </w:p>
        </w:tc>
      </w:tr>
      <w:tr w:rsidR="0039165C" w:rsidRPr="0039165C" w14:paraId="1410F84A"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7BC26567"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Songwe</w:t>
            </w:r>
          </w:p>
        </w:tc>
        <w:tc>
          <w:tcPr>
            <w:tcW w:w="1520" w:type="dxa"/>
            <w:tcBorders>
              <w:top w:val="nil"/>
              <w:left w:val="nil"/>
              <w:bottom w:val="single" w:sz="4" w:space="0" w:color="auto"/>
              <w:right w:val="single" w:sz="4" w:space="0" w:color="auto"/>
            </w:tcBorders>
            <w:shd w:val="clear" w:color="auto" w:fill="auto"/>
            <w:noWrap/>
            <w:hideMark/>
          </w:tcPr>
          <w:p w14:paraId="6BB928A3"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133,961 </w:t>
            </w:r>
          </w:p>
        </w:tc>
        <w:tc>
          <w:tcPr>
            <w:tcW w:w="1960" w:type="dxa"/>
            <w:tcBorders>
              <w:top w:val="nil"/>
              <w:left w:val="nil"/>
              <w:bottom w:val="single" w:sz="4" w:space="0" w:color="auto"/>
              <w:right w:val="single" w:sz="4" w:space="0" w:color="auto"/>
            </w:tcBorders>
            <w:shd w:val="clear" w:color="auto" w:fill="auto"/>
            <w:noWrap/>
            <w:hideMark/>
          </w:tcPr>
          <w:p w14:paraId="3958D7BF"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2,195,773,025 </w:t>
            </w:r>
          </w:p>
        </w:tc>
        <w:tc>
          <w:tcPr>
            <w:tcW w:w="1200" w:type="dxa"/>
            <w:tcBorders>
              <w:top w:val="nil"/>
              <w:left w:val="nil"/>
              <w:bottom w:val="single" w:sz="4" w:space="0" w:color="auto"/>
              <w:right w:val="single" w:sz="4" w:space="0" w:color="auto"/>
            </w:tcBorders>
            <w:shd w:val="clear" w:color="auto" w:fill="auto"/>
            <w:noWrap/>
            <w:hideMark/>
          </w:tcPr>
          <w:p w14:paraId="20598ED5"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2.06%</w:t>
            </w:r>
          </w:p>
        </w:tc>
        <w:tc>
          <w:tcPr>
            <w:tcW w:w="1380" w:type="dxa"/>
            <w:tcBorders>
              <w:top w:val="nil"/>
              <w:left w:val="nil"/>
              <w:bottom w:val="single" w:sz="4" w:space="0" w:color="auto"/>
              <w:right w:val="single" w:sz="4" w:space="0" w:color="auto"/>
            </w:tcBorders>
            <w:shd w:val="clear" w:color="auto" w:fill="auto"/>
            <w:noWrap/>
            <w:hideMark/>
          </w:tcPr>
          <w:p w14:paraId="26C9500E" w14:textId="77777777" w:rsidR="0039165C" w:rsidRPr="0039165C" w:rsidRDefault="0039165C" w:rsidP="0039165C">
            <w:pPr>
              <w:spacing w:line="240" w:lineRule="auto"/>
              <w:jc w:val="right"/>
              <w:rPr>
                <w:color w:val="000000"/>
                <w:sz w:val="22"/>
                <w:szCs w:val="22"/>
              </w:rPr>
            </w:pPr>
            <w:r w:rsidRPr="0039165C">
              <w:rPr>
                <w:color w:val="000000"/>
                <w:sz w:val="22"/>
                <w:szCs w:val="22"/>
              </w:rPr>
              <w:t>1.05%</w:t>
            </w:r>
          </w:p>
        </w:tc>
      </w:tr>
      <w:tr w:rsidR="0039165C" w:rsidRPr="0039165C" w14:paraId="0F7B4B76"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6A11E222"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Tabora</w:t>
            </w:r>
          </w:p>
        </w:tc>
        <w:tc>
          <w:tcPr>
            <w:tcW w:w="1520" w:type="dxa"/>
            <w:tcBorders>
              <w:top w:val="nil"/>
              <w:left w:val="nil"/>
              <w:bottom w:val="single" w:sz="4" w:space="0" w:color="auto"/>
              <w:right w:val="single" w:sz="4" w:space="0" w:color="auto"/>
            </w:tcBorders>
            <w:shd w:val="clear" w:color="auto" w:fill="auto"/>
            <w:noWrap/>
            <w:hideMark/>
          </w:tcPr>
          <w:p w14:paraId="4B1D157B"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163,126 </w:t>
            </w:r>
          </w:p>
        </w:tc>
        <w:tc>
          <w:tcPr>
            <w:tcW w:w="1960" w:type="dxa"/>
            <w:tcBorders>
              <w:top w:val="nil"/>
              <w:left w:val="nil"/>
              <w:bottom w:val="single" w:sz="4" w:space="0" w:color="auto"/>
              <w:right w:val="single" w:sz="4" w:space="0" w:color="auto"/>
            </w:tcBorders>
            <w:shd w:val="clear" w:color="auto" w:fill="auto"/>
            <w:noWrap/>
            <w:hideMark/>
          </w:tcPr>
          <w:p w14:paraId="35CDF570"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1,994,695,139 </w:t>
            </w:r>
          </w:p>
        </w:tc>
        <w:tc>
          <w:tcPr>
            <w:tcW w:w="1200" w:type="dxa"/>
            <w:tcBorders>
              <w:top w:val="nil"/>
              <w:left w:val="nil"/>
              <w:bottom w:val="single" w:sz="4" w:space="0" w:color="auto"/>
              <w:right w:val="single" w:sz="4" w:space="0" w:color="auto"/>
            </w:tcBorders>
            <w:shd w:val="clear" w:color="auto" w:fill="auto"/>
            <w:noWrap/>
            <w:hideMark/>
          </w:tcPr>
          <w:p w14:paraId="394D96CA"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2.51%</w:t>
            </w:r>
          </w:p>
        </w:tc>
        <w:tc>
          <w:tcPr>
            <w:tcW w:w="1380" w:type="dxa"/>
            <w:tcBorders>
              <w:top w:val="nil"/>
              <w:left w:val="nil"/>
              <w:bottom w:val="single" w:sz="4" w:space="0" w:color="auto"/>
              <w:right w:val="single" w:sz="4" w:space="0" w:color="auto"/>
            </w:tcBorders>
            <w:shd w:val="clear" w:color="auto" w:fill="auto"/>
            <w:noWrap/>
            <w:hideMark/>
          </w:tcPr>
          <w:p w14:paraId="709E99B3" w14:textId="77777777" w:rsidR="0039165C" w:rsidRPr="0039165C" w:rsidRDefault="0039165C" w:rsidP="0039165C">
            <w:pPr>
              <w:spacing w:line="240" w:lineRule="auto"/>
              <w:jc w:val="right"/>
              <w:rPr>
                <w:color w:val="000000"/>
                <w:sz w:val="22"/>
                <w:szCs w:val="22"/>
              </w:rPr>
            </w:pPr>
            <w:r w:rsidRPr="0039165C">
              <w:rPr>
                <w:color w:val="000000"/>
                <w:sz w:val="22"/>
                <w:szCs w:val="22"/>
              </w:rPr>
              <w:t>0.95%</w:t>
            </w:r>
          </w:p>
        </w:tc>
      </w:tr>
      <w:tr w:rsidR="0039165C" w:rsidRPr="0039165C" w14:paraId="477D2D9A"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080AA2D8"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Tanga</w:t>
            </w:r>
          </w:p>
        </w:tc>
        <w:tc>
          <w:tcPr>
            <w:tcW w:w="1520" w:type="dxa"/>
            <w:tcBorders>
              <w:top w:val="nil"/>
              <w:left w:val="nil"/>
              <w:bottom w:val="single" w:sz="4" w:space="0" w:color="auto"/>
              <w:right w:val="single" w:sz="4" w:space="0" w:color="auto"/>
            </w:tcBorders>
            <w:shd w:val="clear" w:color="auto" w:fill="auto"/>
            <w:noWrap/>
            <w:hideMark/>
          </w:tcPr>
          <w:p w14:paraId="1B15FC0F"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333,433 </w:t>
            </w:r>
          </w:p>
        </w:tc>
        <w:tc>
          <w:tcPr>
            <w:tcW w:w="1960" w:type="dxa"/>
            <w:tcBorders>
              <w:top w:val="nil"/>
              <w:left w:val="nil"/>
              <w:bottom w:val="single" w:sz="4" w:space="0" w:color="auto"/>
              <w:right w:val="single" w:sz="4" w:space="0" w:color="auto"/>
            </w:tcBorders>
            <w:shd w:val="clear" w:color="auto" w:fill="auto"/>
            <w:noWrap/>
            <w:hideMark/>
          </w:tcPr>
          <w:p w14:paraId="357378C8"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5,164,393,362 </w:t>
            </w:r>
          </w:p>
        </w:tc>
        <w:tc>
          <w:tcPr>
            <w:tcW w:w="1200" w:type="dxa"/>
            <w:tcBorders>
              <w:top w:val="nil"/>
              <w:left w:val="nil"/>
              <w:bottom w:val="single" w:sz="4" w:space="0" w:color="auto"/>
              <w:right w:val="single" w:sz="4" w:space="0" w:color="auto"/>
            </w:tcBorders>
            <w:shd w:val="clear" w:color="auto" w:fill="auto"/>
            <w:noWrap/>
            <w:hideMark/>
          </w:tcPr>
          <w:p w14:paraId="29ED6660"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5.13%</w:t>
            </w:r>
          </w:p>
        </w:tc>
        <w:tc>
          <w:tcPr>
            <w:tcW w:w="1380" w:type="dxa"/>
            <w:tcBorders>
              <w:top w:val="nil"/>
              <w:left w:val="nil"/>
              <w:bottom w:val="single" w:sz="4" w:space="0" w:color="auto"/>
              <w:right w:val="single" w:sz="4" w:space="0" w:color="auto"/>
            </w:tcBorders>
            <w:shd w:val="clear" w:color="auto" w:fill="auto"/>
            <w:noWrap/>
            <w:hideMark/>
          </w:tcPr>
          <w:p w14:paraId="137D42ED" w14:textId="77777777" w:rsidR="0039165C" w:rsidRPr="0039165C" w:rsidRDefault="0039165C" w:rsidP="0039165C">
            <w:pPr>
              <w:spacing w:line="240" w:lineRule="auto"/>
              <w:jc w:val="right"/>
              <w:rPr>
                <w:color w:val="000000"/>
                <w:sz w:val="22"/>
                <w:szCs w:val="22"/>
              </w:rPr>
            </w:pPr>
            <w:r w:rsidRPr="0039165C">
              <w:rPr>
                <w:color w:val="000000"/>
                <w:sz w:val="22"/>
                <w:szCs w:val="22"/>
              </w:rPr>
              <w:t>2.46%</w:t>
            </w:r>
          </w:p>
        </w:tc>
      </w:tr>
      <w:tr w:rsidR="0039165C" w:rsidRPr="0039165C" w14:paraId="37ADF14E" w14:textId="77777777" w:rsidTr="0039165C">
        <w:trPr>
          <w:trHeight w:val="210"/>
        </w:trPr>
        <w:tc>
          <w:tcPr>
            <w:tcW w:w="1860" w:type="dxa"/>
            <w:tcBorders>
              <w:top w:val="nil"/>
              <w:left w:val="single" w:sz="4" w:space="0" w:color="auto"/>
              <w:bottom w:val="single" w:sz="4" w:space="0" w:color="auto"/>
              <w:right w:val="single" w:sz="4" w:space="0" w:color="auto"/>
            </w:tcBorders>
            <w:shd w:val="clear" w:color="auto" w:fill="auto"/>
            <w:noWrap/>
            <w:hideMark/>
          </w:tcPr>
          <w:p w14:paraId="284B4CEE"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Unguja</w:t>
            </w:r>
          </w:p>
        </w:tc>
        <w:tc>
          <w:tcPr>
            <w:tcW w:w="1520" w:type="dxa"/>
            <w:tcBorders>
              <w:top w:val="nil"/>
              <w:left w:val="nil"/>
              <w:bottom w:val="single" w:sz="4" w:space="0" w:color="auto"/>
              <w:right w:val="single" w:sz="4" w:space="0" w:color="auto"/>
            </w:tcBorders>
            <w:shd w:val="clear" w:color="auto" w:fill="auto"/>
            <w:noWrap/>
            <w:hideMark/>
          </w:tcPr>
          <w:p w14:paraId="6BD31416"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99,973 </w:t>
            </w:r>
          </w:p>
        </w:tc>
        <w:tc>
          <w:tcPr>
            <w:tcW w:w="1960" w:type="dxa"/>
            <w:tcBorders>
              <w:top w:val="nil"/>
              <w:left w:val="nil"/>
              <w:bottom w:val="single" w:sz="4" w:space="0" w:color="auto"/>
              <w:right w:val="single" w:sz="4" w:space="0" w:color="auto"/>
            </w:tcBorders>
            <w:shd w:val="clear" w:color="auto" w:fill="auto"/>
            <w:noWrap/>
            <w:hideMark/>
          </w:tcPr>
          <w:p w14:paraId="1BB670BA" w14:textId="77777777" w:rsidR="0039165C" w:rsidRPr="0039165C" w:rsidRDefault="0039165C" w:rsidP="0039165C">
            <w:pPr>
              <w:spacing w:line="240" w:lineRule="auto"/>
              <w:jc w:val="left"/>
              <w:rPr>
                <w:rFonts w:ascii="Tahoma" w:hAnsi="Tahoma" w:cs="Tahoma"/>
                <w:color w:val="000000"/>
                <w:sz w:val="20"/>
                <w:szCs w:val="20"/>
              </w:rPr>
            </w:pPr>
            <w:r w:rsidRPr="0039165C">
              <w:rPr>
                <w:rFonts w:ascii="Tahoma" w:hAnsi="Tahoma" w:cs="Tahoma"/>
                <w:color w:val="000000"/>
                <w:sz w:val="20"/>
                <w:szCs w:val="20"/>
              </w:rPr>
              <w:t xml:space="preserve">          2,891,255,030 </w:t>
            </w:r>
          </w:p>
        </w:tc>
        <w:tc>
          <w:tcPr>
            <w:tcW w:w="1200" w:type="dxa"/>
            <w:tcBorders>
              <w:top w:val="nil"/>
              <w:left w:val="nil"/>
              <w:bottom w:val="single" w:sz="4" w:space="0" w:color="auto"/>
              <w:right w:val="single" w:sz="4" w:space="0" w:color="auto"/>
            </w:tcBorders>
            <w:shd w:val="clear" w:color="auto" w:fill="auto"/>
            <w:noWrap/>
            <w:hideMark/>
          </w:tcPr>
          <w:p w14:paraId="410F563A" w14:textId="77777777" w:rsidR="0039165C" w:rsidRPr="0039165C" w:rsidRDefault="0039165C" w:rsidP="0039165C">
            <w:pPr>
              <w:spacing w:line="240" w:lineRule="auto"/>
              <w:jc w:val="right"/>
              <w:rPr>
                <w:rFonts w:ascii="Tahoma" w:hAnsi="Tahoma" w:cs="Tahoma"/>
                <w:color w:val="000000"/>
                <w:sz w:val="20"/>
                <w:szCs w:val="20"/>
              </w:rPr>
            </w:pPr>
            <w:r w:rsidRPr="0039165C">
              <w:rPr>
                <w:rFonts w:ascii="Tahoma" w:hAnsi="Tahoma" w:cs="Tahoma"/>
                <w:color w:val="000000"/>
                <w:sz w:val="20"/>
                <w:szCs w:val="20"/>
              </w:rPr>
              <w:t>1.54%</w:t>
            </w:r>
          </w:p>
        </w:tc>
        <w:tc>
          <w:tcPr>
            <w:tcW w:w="1380" w:type="dxa"/>
            <w:tcBorders>
              <w:top w:val="nil"/>
              <w:left w:val="nil"/>
              <w:bottom w:val="single" w:sz="4" w:space="0" w:color="auto"/>
              <w:right w:val="single" w:sz="4" w:space="0" w:color="auto"/>
            </w:tcBorders>
            <w:shd w:val="clear" w:color="auto" w:fill="auto"/>
            <w:noWrap/>
            <w:hideMark/>
          </w:tcPr>
          <w:p w14:paraId="046BD3EE" w14:textId="77777777" w:rsidR="0039165C" w:rsidRPr="0039165C" w:rsidRDefault="0039165C" w:rsidP="0039165C">
            <w:pPr>
              <w:spacing w:line="240" w:lineRule="auto"/>
              <w:jc w:val="right"/>
              <w:rPr>
                <w:color w:val="000000"/>
                <w:sz w:val="22"/>
                <w:szCs w:val="22"/>
              </w:rPr>
            </w:pPr>
            <w:r w:rsidRPr="0039165C">
              <w:rPr>
                <w:color w:val="000000"/>
                <w:sz w:val="22"/>
                <w:szCs w:val="22"/>
              </w:rPr>
              <w:t>1.38%</w:t>
            </w:r>
          </w:p>
        </w:tc>
      </w:tr>
    </w:tbl>
    <w:p w14:paraId="0EEDF5AD" w14:textId="77777777" w:rsidR="0039165C" w:rsidRPr="0039165C" w:rsidRDefault="0039165C" w:rsidP="0039165C">
      <w:pPr>
        <w:spacing w:line="240" w:lineRule="auto"/>
        <w:rPr>
          <w:lang w:val="en-GB" w:eastAsia="en-GB"/>
        </w:rPr>
      </w:pPr>
    </w:p>
    <w:p w14:paraId="6F061AA3" w14:textId="77777777" w:rsidR="00DC0733" w:rsidRPr="00DC0733" w:rsidRDefault="00DC0733" w:rsidP="0039165C">
      <w:pPr>
        <w:spacing w:line="240" w:lineRule="auto"/>
      </w:pPr>
    </w:p>
    <w:p w14:paraId="5838E257" w14:textId="77777777" w:rsidR="008F11E3" w:rsidRPr="006D3512" w:rsidRDefault="001D57D9" w:rsidP="0039165C">
      <w:pPr>
        <w:pStyle w:val="Caption1"/>
        <w:spacing w:line="240" w:lineRule="auto"/>
      </w:pPr>
      <w:r>
        <w:br w:type="page"/>
      </w:r>
      <w:bookmarkStart w:id="100" w:name="_Toc488423306"/>
      <w:r w:rsidR="008F11E3">
        <w:lastRenderedPageBreak/>
        <w:t xml:space="preserve">Figure </w:t>
      </w:r>
      <w:r w:rsidR="008F11E3" w:rsidRPr="006D3512">
        <w:t>4.</w:t>
      </w:r>
      <w:r w:rsidR="008F11E3">
        <w:t>3</w:t>
      </w:r>
      <w:r>
        <w:t>:</w:t>
      </w:r>
      <w:r>
        <w:tab/>
      </w:r>
      <w:r w:rsidR="008F11E3" w:rsidRPr="006D3512">
        <w:t xml:space="preserve">NHIF </w:t>
      </w:r>
      <w:r w:rsidR="00204E75">
        <w:t xml:space="preserve">Value Cost </w:t>
      </w:r>
      <w:r w:rsidR="008F11E3" w:rsidRPr="006D3512">
        <w:t>by Region</w:t>
      </w:r>
      <w:r w:rsidR="008F11E3">
        <w:t>, 2015/16</w:t>
      </w:r>
      <w:bookmarkEnd w:id="100"/>
    </w:p>
    <w:p w14:paraId="194FF8A7" w14:textId="77777777" w:rsidR="008F11E3" w:rsidRDefault="000B5E1A" w:rsidP="00670B35">
      <w:bookmarkStart w:id="101" w:name="_Toc422287336"/>
      <w:r>
        <w:rPr>
          <w:noProof/>
        </w:rPr>
        <w:drawing>
          <wp:inline distT="0" distB="0" distL="0" distR="0" wp14:anchorId="7BE5866A" wp14:editId="2F629C07">
            <wp:extent cx="5082540" cy="3939540"/>
            <wp:effectExtent l="19050" t="19050" r="22860" b="22860"/>
            <wp:docPr id="126" name="Chart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1"/>
                    <pic:cNvPicPr>
                      <a:picLocks noChangeArrowheads="1"/>
                    </pic:cNvPicPr>
                  </pic:nvPicPr>
                  <pic:blipFill>
                    <a:blip r:embed="rId26"/>
                    <a:srcRect b="-31"/>
                    <a:stretch>
                      <a:fillRect/>
                    </a:stretch>
                  </pic:blipFill>
                  <pic:spPr bwMode="auto">
                    <a:xfrm>
                      <a:off x="0" y="0"/>
                      <a:ext cx="5082540" cy="3939540"/>
                    </a:xfrm>
                    <a:prstGeom prst="rect">
                      <a:avLst/>
                    </a:prstGeom>
                    <a:noFill/>
                    <a:ln w="19050" cmpd="dbl">
                      <a:solidFill>
                        <a:srgbClr val="3333FF"/>
                      </a:solidFill>
                      <a:miter lim="800000"/>
                      <a:headEnd/>
                      <a:tailEnd/>
                    </a:ln>
                    <a:effectLst/>
                  </pic:spPr>
                </pic:pic>
              </a:graphicData>
            </a:graphic>
          </wp:inline>
        </w:drawing>
      </w:r>
    </w:p>
    <w:p w14:paraId="2C02D85D" w14:textId="77777777" w:rsidR="008F11E3" w:rsidRDefault="008F11E3" w:rsidP="00670B35">
      <w:pPr>
        <w:rPr>
          <w:b/>
        </w:rPr>
      </w:pPr>
    </w:p>
    <w:p w14:paraId="04333C62" w14:textId="77777777" w:rsidR="004741F2" w:rsidRPr="001170AC" w:rsidRDefault="001D57D9" w:rsidP="001D57D9">
      <w:pPr>
        <w:pStyle w:val="Heading2"/>
      </w:pPr>
      <w:bookmarkStart w:id="102" w:name="_Toc488423265"/>
      <w:r>
        <w:t>4.4</w:t>
      </w:r>
      <w:r>
        <w:tab/>
      </w:r>
      <w:r w:rsidR="004741F2" w:rsidRPr="001170AC">
        <w:t>Community Health Fund</w:t>
      </w:r>
      <w:bookmarkEnd w:id="101"/>
      <w:bookmarkEnd w:id="102"/>
    </w:p>
    <w:p w14:paraId="3CA031DA" w14:textId="77777777" w:rsidR="00E54DCA" w:rsidRPr="001170AC" w:rsidRDefault="00E54DCA" w:rsidP="00670B35"/>
    <w:p w14:paraId="68A53F26" w14:textId="77777777" w:rsidR="004741F2" w:rsidRPr="001170AC" w:rsidRDefault="004741F2" w:rsidP="00670B35">
      <w:r w:rsidRPr="001170AC">
        <w:t xml:space="preserve">Progress in expansion of the Community Health </w:t>
      </w:r>
      <w:r w:rsidR="009C44EC" w:rsidRPr="001170AC">
        <w:t xml:space="preserve">Fund </w:t>
      </w:r>
      <w:r w:rsidR="00F371CB" w:rsidRPr="001170AC">
        <w:t xml:space="preserve">(CHF) </w:t>
      </w:r>
      <w:r w:rsidR="009C44EC" w:rsidRPr="001170AC">
        <w:t>continued in 201</w:t>
      </w:r>
      <w:r w:rsidR="00254F96">
        <w:t>5</w:t>
      </w:r>
      <w:r w:rsidR="009C44EC" w:rsidRPr="001170AC">
        <w:t>/1</w:t>
      </w:r>
      <w:r w:rsidR="00254F96">
        <w:t>6</w:t>
      </w:r>
      <w:r w:rsidR="00EB4D48">
        <w:t xml:space="preserve">. There is </w:t>
      </w:r>
      <w:r w:rsidR="009C44EC" w:rsidRPr="001170AC">
        <w:t xml:space="preserve">improvement in estimated population coverage from </w:t>
      </w:r>
      <w:r w:rsidR="00254F96">
        <w:t>7</w:t>
      </w:r>
      <w:r w:rsidR="002D296E">
        <w:t>%</w:t>
      </w:r>
      <w:r w:rsidR="00540846" w:rsidRPr="001170AC">
        <w:t xml:space="preserve"> in 201</w:t>
      </w:r>
      <w:r w:rsidR="00254F96">
        <w:t>2</w:t>
      </w:r>
      <w:r w:rsidR="00540846" w:rsidRPr="001170AC">
        <w:t>/1</w:t>
      </w:r>
      <w:r w:rsidR="00254F96">
        <w:t>3</w:t>
      </w:r>
      <w:r w:rsidR="00540846" w:rsidRPr="001170AC">
        <w:t xml:space="preserve"> </w:t>
      </w:r>
      <w:r w:rsidR="009C44EC" w:rsidRPr="001170AC">
        <w:t>to 14</w:t>
      </w:r>
      <w:r w:rsidR="002D296E">
        <w:t xml:space="preserve">% </w:t>
      </w:r>
      <w:r w:rsidR="00540846" w:rsidRPr="001170AC">
        <w:t xml:space="preserve">in 2014/15 </w:t>
      </w:r>
      <w:r w:rsidR="00254F96">
        <w:t xml:space="preserve">and 18% in 2015/16 </w:t>
      </w:r>
      <w:r w:rsidR="00540846" w:rsidRPr="001170AC">
        <w:t xml:space="preserve">as </w:t>
      </w:r>
      <w:r w:rsidRPr="001170AC">
        <w:t xml:space="preserve">shown in Figure </w:t>
      </w:r>
      <w:r w:rsidR="00540846" w:rsidRPr="001170AC">
        <w:t>4.</w:t>
      </w:r>
      <w:r w:rsidR="0069461B" w:rsidRPr="001170AC">
        <w:t>4</w:t>
      </w:r>
      <w:r w:rsidR="009C44EC" w:rsidRPr="001170AC">
        <w:t xml:space="preserve">. </w:t>
      </w:r>
      <w:r w:rsidR="001C48D1" w:rsidRPr="001170AC">
        <w:t>T</w:t>
      </w:r>
      <w:r w:rsidRPr="001170AC">
        <w:t xml:space="preserve">he number of member households </w:t>
      </w:r>
      <w:r w:rsidR="00F371CB" w:rsidRPr="001170AC">
        <w:t xml:space="preserve">almost </w:t>
      </w:r>
      <w:r w:rsidR="00EB4D48">
        <w:t xml:space="preserve">tripled </w:t>
      </w:r>
      <w:r w:rsidR="00F371CB" w:rsidRPr="001170AC">
        <w:t>from 5</w:t>
      </w:r>
      <w:r w:rsidR="00EB4D48">
        <w:t>4</w:t>
      </w:r>
      <w:r w:rsidR="00F371CB" w:rsidRPr="001170AC">
        <w:t>3</w:t>
      </w:r>
      <w:r w:rsidR="00EB4D48">
        <w:t xml:space="preserve">,621 </w:t>
      </w:r>
      <w:r w:rsidR="00F371CB" w:rsidRPr="001170AC">
        <w:t>in 201</w:t>
      </w:r>
      <w:r w:rsidR="00EB4D48">
        <w:t>2</w:t>
      </w:r>
      <w:r w:rsidR="00F371CB" w:rsidRPr="001170AC">
        <w:t>/1</w:t>
      </w:r>
      <w:r w:rsidR="00EB4D48">
        <w:t>3</w:t>
      </w:r>
      <w:r w:rsidR="00F371CB" w:rsidRPr="001170AC">
        <w:t xml:space="preserve"> to </w:t>
      </w:r>
      <w:r w:rsidR="00540846" w:rsidRPr="001170AC">
        <w:t>1,</w:t>
      </w:r>
      <w:r w:rsidR="00EB4D48">
        <w:t>452</w:t>
      </w:r>
      <w:r w:rsidR="00540846" w:rsidRPr="001170AC">
        <w:t>,8</w:t>
      </w:r>
      <w:r w:rsidR="00EB4D48">
        <w:t>55 in 2015/16</w:t>
      </w:r>
      <w:r w:rsidR="00540846" w:rsidRPr="001170AC">
        <w:t xml:space="preserve">. </w:t>
      </w:r>
      <w:r w:rsidR="001C48D1" w:rsidRPr="001170AC">
        <w:t xml:space="preserve"> </w:t>
      </w:r>
    </w:p>
    <w:p w14:paraId="26749589" w14:textId="77777777" w:rsidR="00264EED" w:rsidRDefault="00264EED" w:rsidP="00670B35">
      <w:pPr>
        <w:rPr>
          <w:b/>
        </w:rPr>
      </w:pPr>
    </w:p>
    <w:p w14:paraId="61995E7E" w14:textId="77777777" w:rsidR="00540846" w:rsidRPr="002D296E" w:rsidRDefault="004741F2" w:rsidP="001D57D9">
      <w:pPr>
        <w:pStyle w:val="Caption1"/>
      </w:pPr>
      <w:bookmarkStart w:id="103" w:name="_Toc488423307"/>
      <w:r w:rsidRPr="001170AC">
        <w:t xml:space="preserve">Figure </w:t>
      </w:r>
      <w:r w:rsidR="001D57D9">
        <w:t>4.4:</w:t>
      </w:r>
      <w:r w:rsidR="001D57D9">
        <w:tab/>
      </w:r>
      <w:r w:rsidR="00540846" w:rsidRPr="001170AC">
        <w:t xml:space="preserve">CHF </w:t>
      </w:r>
      <w:r w:rsidR="00F371CB" w:rsidRPr="001170AC">
        <w:t xml:space="preserve">Coverage and </w:t>
      </w:r>
      <w:r w:rsidR="00264EED">
        <w:t xml:space="preserve">Membership, </w:t>
      </w:r>
      <w:r w:rsidR="00540846" w:rsidRPr="001170AC">
        <w:t>201</w:t>
      </w:r>
      <w:r w:rsidR="00254F96">
        <w:t>2</w:t>
      </w:r>
      <w:r w:rsidRPr="001170AC">
        <w:t>/1</w:t>
      </w:r>
      <w:r w:rsidR="00254F96">
        <w:t>3</w:t>
      </w:r>
      <w:r w:rsidR="00264EED">
        <w:t xml:space="preserve"> – </w:t>
      </w:r>
      <w:r w:rsidRPr="001170AC">
        <w:t>201</w:t>
      </w:r>
      <w:r w:rsidR="00254F96">
        <w:t>5</w:t>
      </w:r>
      <w:r w:rsidRPr="001170AC">
        <w:t>/1</w:t>
      </w:r>
      <w:r w:rsidR="00254F96">
        <w:t>6</w:t>
      </w:r>
      <w:bookmarkEnd w:id="103"/>
    </w:p>
    <w:p w14:paraId="53CAEAAE" w14:textId="77777777" w:rsidR="00254F96" w:rsidRDefault="000B5E1A" w:rsidP="00670B35">
      <w:r>
        <w:rPr>
          <w:noProof/>
        </w:rPr>
        <w:drawing>
          <wp:inline distT="0" distB="0" distL="0" distR="0" wp14:anchorId="75087468" wp14:editId="6066BF01">
            <wp:extent cx="5082540" cy="1981200"/>
            <wp:effectExtent l="19050" t="19050" r="22860" b="19050"/>
            <wp:docPr id="125" name="Chart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1"/>
                    <pic:cNvPicPr>
                      <a:picLocks noChangeArrowheads="1"/>
                    </pic:cNvPicPr>
                  </pic:nvPicPr>
                  <pic:blipFill>
                    <a:blip r:embed="rId27"/>
                    <a:srcRect/>
                    <a:stretch>
                      <a:fillRect/>
                    </a:stretch>
                  </pic:blipFill>
                  <pic:spPr bwMode="auto">
                    <a:xfrm>
                      <a:off x="0" y="0"/>
                      <a:ext cx="5082540" cy="1981200"/>
                    </a:xfrm>
                    <a:prstGeom prst="rect">
                      <a:avLst/>
                    </a:prstGeom>
                    <a:noFill/>
                    <a:ln w="19050" cmpd="dbl">
                      <a:solidFill>
                        <a:srgbClr val="3333FF"/>
                      </a:solidFill>
                      <a:miter lim="800000"/>
                      <a:headEnd/>
                      <a:tailEnd/>
                    </a:ln>
                    <a:effectLst/>
                  </pic:spPr>
                </pic:pic>
              </a:graphicData>
            </a:graphic>
          </wp:inline>
        </w:drawing>
      </w:r>
    </w:p>
    <w:p w14:paraId="2A99E60F" w14:textId="77777777" w:rsidR="00264EED" w:rsidRPr="00755963" w:rsidRDefault="00264EED" w:rsidP="00264EED">
      <w:pPr>
        <w:rPr>
          <w:b/>
          <w:i/>
          <w:sz w:val="22"/>
          <w:szCs w:val="22"/>
        </w:rPr>
      </w:pPr>
      <w:r w:rsidRPr="00755963">
        <w:rPr>
          <w:b/>
          <w:i/>
          <w:sz w:val="22"/>
          <w:szCs w:val="22"/>
        </w:rPr>
        <w:t>Source: NHIF Data submitted for 2015/16 PER.</w:t>
      </w:r>
    </w:p>
    <w:p w14:paraId="6D1BA6E9" w14:textId="3695218C" w:rsidR="00F371CB" w:rsidRPr="001170AC" w:rsidRDefault="00F371CB" w:rsidP="00DA7177">
      <w:pPr>
        <w:tabs>
          <w:tab w:val="left" w:pos="4770"/>
        </w:tabs>
        <w:rPr>
          <w:i/>
        </w:rPr>
      </w:pPr>
      <w:r w:rsidRPr="001170AC">
        <w:lastRenderedPageBreak/>
        <w:t>Figure 4.5 shows the variation in CHF coverage by regions in FY 201</w:t>
      </w:r>
      <w:r w:rsidR="00B233FE">
        <w:t>5</w:t>
      </w:r>
      <w:r w:rsidRPr="001170AC">
        <w:t>/1</w:t>
      </w:r>
      <w:r w:rsidR="00B233FE">
        <w:t>6</w:t>
      </w:r>
      <w:r w:rsidRPr="001170AC">
        <w:t xml:space="preserve">. The numbers are based on an estimated six persons per household, although this is not always the case – there are variations per district. </w:t>
      </w:r>
      <w:r w:rsidRPr="0039165C">
        <w:t>Accurate population coverage is not yet available, except in Dodoma</w:t>
      </w:r>
      <w:r w:rsidR="00B233FE" w:rsidRPr="0039165C">
        <w:t>, Morogoro and Shinyanga</w:t>
      </w:r>
      <w:r w:rsidRPr="0039165C">
        <w:t xml:space="preserve"> region</w:t>
      </w:r>
      <w:r w:rsidR="00B233FE" w:rsidRPr="0039165C">
        <w:t>s</w:t>
      </w:r>
      <w:r w:rsidRPr="0039165C">
        <w:t xml:space="preserve"> where detailed membership database</w:t>
      </w:r>
      <w:r w:rsidR="00B233FE" w:rsidRPr="0039165C">
        <w:t>s</w:t>
      </w:r>
      <w:r w:rsidRPr="0039165C">
        <w:t xml:space="preserve"> ha</w:t>
      </w:r>
      <w:r w:rsidR="00B233FE" w:rsidRPr="0039165C">
        <w:t>ve</w:t>
      </w:r>
      <w:r w:rsidRPr="0039165C">
        <w:t xml:space="preserve"> been established under the Health Promotion and Systems Strengthening</w:t>
      </w:r>
      <w:r w:rsidR="001F6983" w:rsidRPr="0039165C">
        <w:t xml:space="preserve"> (HPSS) </w:t>
      </w:r>
      <w:r w:rsidRPr="0039165C">
        <w:t xml:space="preserve">project. </w:t>
      </w:r>
      <w:r w:rsidR="001F6983" w:rsidRPr="0039165C">
        <w:t>Singida</w:t>
      </w:r>
      <w:r w:rsidR="001F6983">
        <w:t xml:space="preserve"> region has the highest CHF enrollment followed by Tanga and Mbeya regions. The low figures for Dodoma, Morogoro, and Shinyanga are surprising given the presence of HPSS project.</w:t>
      </w:r>
      <w:r w:rsidR="00D638CC">
        <w:t xml:space="preserve"> Dar es Salaam region reports zero enrollment because TIKKA, an adapted urban based CHF is not fully functional. </w:t>
      </w:r>
      <w:r w:rsidR="001F6983">
        <w:t xml:space="preserve"> </w:t>
      </w:r>
    </w:p>
    <w:p w14:paraId="58DF3433" w14:textId="77777777" w:rsidR="00540846" w:rsidRPr="001170AC" w:rsidRDefault="00540846" w:rsidP="00670B35"/>
    <w:p w14:paraId="05E2769A" w14:textId="77777777" w:rsidR="00540846" w:rsidRPr="002D296E" w:rsidRDefault="00540846" w:rsidP="00840A70">
      <w:pPr>
        <w:pStyle w:val="Caption1"/>
        <w:rPr>
          <w:i/>
        </w:rPr>
      </w:pPr>
      <w:bookmarkStart w:id="104" w:name="_Toc488423308"/>
      <w:r w:rsidRPr="001170AC">
        <w:t>Figure</w:t>
      </w:r>
      <w:r w:rsidR="00840A70">
        <w:t xml:space="preserve"> 4.5:</w:t>
      </w:r>
      <w:r w:rsidR="00840A70">
        <w:tab/>
      </w:r>
      <w:r w:rsidR="00F371CB" w:rsidRPr="001170AC">
        <w:t>Estima</w:t>
      </w:r>
      <w:r w:rsidR="00264EED">
        <w:t xml:space="preserve">ted CHF Coverage by Regions, </w:t>
      </w:r>
      <w:r w:rsidR="00F371CB" w:rsidRPr="001170AC">
        <w:t>201</w:t>
      </w:r>
      <w:r w:rsidR="001F6983">
        <w:t>5</w:t>
      </w:r>
      <w:r w:rsidR="00F371CB" w:rsidRPr="001170AC">
        <w:t>/1</w:t>
      </w:r>
      <w:r w:rsidR="001F6983">
        <w:t>6</w:t>
      </w:r>
      <w:bookmarkEnd w:id="104"/>
    </w:p>
    <w:p w14:paraId="5BEC9EE7" w14:textId="77777777" w:rsidR="00540846" w:rsidRPr="001170AC" w:rsidRDefault="000B5E1A" w:rsidP="00670B35">
      <w:r>
        <w:rPr>
          <w:noProof/>
        </w:rPr>
        <w:drawing>
          <wp:inline distT="0" distB="0" distL="0" distR="0" wp14:anchorId="60BA61B4" wp14:editId="69431626">
            <wp:extent cx="5760720" cy="4587240"/>
            <wp:effectExtent l="19050" t="19050" r="11430" b="22860"/>
            <wp:docPr id="124" name="Chart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Chart 1"/>
                    <pic:cNvPicPr>
                      <a:picLocks noChangeArrowheads="1"/>
                    </pic:cNvPicPr>
                  </pic:nvPicPr>
                  <pic:blipFill>
                    <a:blip r:embed="rId28"/>
                    <a:srcRect/>
                    <a:stretch>
                      <a:fillRect/>
                    </a:stretch>
                  </pic:blipFill>
                  <pic:spPr bwMode="auto">
                    <a:xfrm>
                      <a:off x="0" y="0"/>
                      <a:ext cx="5760720" cy="4587240"/>
                    </a:xfrm>
                    <a:prstGeom prst="rect">
                      <a:avLst/>
                    </a:prstGeom>
                    <a:noFill/>
                    <a:ln w="19050" cmpd="dbl">
                      <a:solidFill>
                        <a:srgbClr val="3333FF"/>
                      </a:solidFill>
                      <a:miter lim="800000"/>
                      <a:headEnd/>
                      <a:tailEnd/>
                    </a:ln>
                    <a:effectLst/>
                  </pic:spPr>
                </pic:pic>
              </a:graphicData>
            </a:graphic>
          </wp:inline>
        </w:drawing>
      </w:r>
    </w:p>
    <w:p w14:paraId="1F98DD29" w14:textId="77777777" w:rsidR="00264EED" w:rsidRPr="00755963" w:rsidRDefault="00264EED" w:rsidP="00264EED">
      <w:pPr>
        <w:rPr>
          <w:b/>
          <w:i/>
          <w:sz w:val="22"/>
          <w:szCs w:val="22"/>
        </w:rPr>
      </w:pPr>
      <w:r w:rsidRPr="00755963">
        <w:rPr>
          <w:b/>
          <w:i/>
          <w:sz w:val="22"/>
          <w:szCs w:val="22"/>
        </w:rPr>
        <w:t>Source: NHIF Data submitted for 2015/16 PER.</w:t>
      </w:r>
    </w:p>
    <w:p w14:paraId="46692E2F" w14:textId="77777777" w:rsidR="002D296E" w:rsidRDefault="002D296E" w:rsidP="00670B35">
      <w:pPr>
        <w:rPr>
          <w:b/>
        </w:rPr>
      </w:pPr>
    </w:p>
    <w:p w14:paraId="4C1D9512" w14:textId="77777777" w:rsidR="004741F2" w:rsidRPr="001170AC" w:rsidRDefault="00840A70" w:rsidP="00840A70">
      <w:pPr>
        <w:pStyle w:val="Heading2"/>
      </w:pPr>
      <w:bookmarkStart w:id="105" w:name="_Toc488423266"/>
      <w:r>
        <w:t>4.5</w:t>
      </w:r>
      <w:r>
        <w:tab/>
      </w:r>
      <w:r w:rsidR="00D82EB2" w:rsidRPr="001170AC">
        <w:t>CHF Revenues and Matching F</w:t>
      </w:r>
      <w:r w:rsidR="004741F2" w:rsidRPr="001170AC">
        <w:t>unds</w:t>
      </w:r>
      <w:bookmarkEnd w:id="105"/>
    </w:p>
    <w:p w14:paraId="25EC9EC5" w14:textId="77777777" w:rsidR="00D82EB2" w:rsidRPr="001170AC" w:rsidRDefault="00D82EB2" w:rsidP="00670B35">
      <w:pPr>
        <w:rPr>
          <w:highlight w:val="yellow"/>
        </w:rPr>
      </w:pPr>
    </w:p>
    <w:p w14:paraId="0193AD22" w14:textId="77777777" w:rsidR="006C12E9" w:rsidRDefault="004741F2" w:rsidP="00670B35">
      <w:r w:rsidRPr="006C12E9">
        <w:t xml:space="preserve">NHIF data </w:t>
      </w:r>
      <w:r w:rsidR="006C12E9">
        <w:t xml:space="preserve">for 2013/14 </w:t>
      </w:r>
      <w:r w:rsidRPr="006C12E9">
        <w:t xml:space="preserve">indicate that the CHF premium </w:t>
      </w:r>
      <w:r w:rsidR="006C12E9">
        <w:t xml:space="preserve">were </w:t>
      </w:r>
      <w:r w:rsidRPr="006C12E9">
        <w:t xml:space="preserve">generally low. Of the 159 LGAs for which data were available, 89 (56%) were charging TZS 10,000 while 19% were charging only TZS 5,000 per household. </w:t>
      </w:r>
      <w:r w:rsidR="001A70B5">
        <w:t xml:space="preserve">The status was the same in 2015/16 with only few LGAs charging between TZS 25,000 to TZS 30,000 per year. </w:t>
      </w:r>
    </w:p>
    <w:p w14:paraId="1965A25B" w14:textId="77777777" w:rsidR="006C12E9" w:rsidRDefault="006C12E9" w:rsidP="00670B35"/>
    <w:p w14:paraId="6B124EF4" w14:textId="77777777" w:rsidR="004741F2" w:rsidRPr="00A72AC6" w:rsidRDefault="004741F2" w:rsidP="00A72AC6">
      <w:r w:rsidRPr="001170AC">
        <w:t>CHF membership revenues are intended to be matched by central Government in recognition of the fact that CHF cannot be self-financing given the limited ability of the majority of the informal sector</w:t>
      </w:r>
      <w:r w:rsidR="00BE0035" w:rsidRPr="001170AC">
        <w:t xml:space="preserve"> to pay full cost, and the government</w:t>
      </w:r>
      <w:r w:rsidR="00976200" w:rsidRPr="001170AC">
        <w:t>’s</w:t>
      </w:r>
      <w:r w:rsidR="00BE0035" w:rsidRPr="001170AC">
        <w:t xml:space="preserve"> role in financing essential services</w:t>
      </w:r>
      <w:r w:rsidR="006C12E9">
        <w:t>. T</w:t>
      </w:r>
      <w:r w:rsidRPr="006C12E9">
        <w:t>he M</w:t>
      </w:r>
      <w:r w:rsidR="00BE0035" w:rsidRPr="006C12E9">
        <w:t xml:space="preserve">emorandum of Understanding </w:t>
      </w:r>
      <w:r w:rsidRPr="006C12E9">
        <w:t>between M</w:t>
      </w:r>
      <w:r w:rsidR="000C5EE0">
        <w:t xml:space="preserve">inistry </w:t>
      </w:r>
      <w:r w:rsidR="006C12E9">
        <w:t>o</w:t>
      </w:r>
      <w:r w:rsidR="000C5EE0">
        <w:t xml:space="preserve">f </w:t>
      </w:r>
      <w:r w:rsidRPr="006C12E9">
        <w:t>H</w:t>
      </w:r>
      <w:r w:rsidR="000C5EE0">
        <w:t>ealth</w:t>
      </w:r>
      <w:r w:rsidR="006C12E9">
        <w:t xml:space="preserve">, the then </w:t>
      </w:r>
      <w:r w:rsidRPr="006C12E9">
        <w:t>PMO-RALG</w:t>
      </w:r>
      <w:r w:rsidR="006C12E9">
        <w:t xml:space="preserve">, and </w:t>
      </w:r>
      <w:r w:rsidRPr="006C12E9">
        <w:t xml:space="preserve">NHIF was renewed after its lapse in June 2009, and the responsibility for </w:t>
      </w:r>
      <w:r w:rsidR="006E4EC3" w:rsidRPr="006C12E9">
        <w:t>channeling</w:t>
      </w:r>
      <w:r w:rsidRPr="006C12E9">
        <w:t xml:space="preserve"> matching funds lies with NHIF.</w:t>
      </w:r>
      <w:r w:rsidR="008D5315" w:rsidRPr="006C12E9">
        <w:t xml:space="preserve"> Table </w:t>
      </w:r>
      <w:r w:rsidR="00D57BC2" w:rsidRPr="006C12E9">
        <w:t xml:space="preserve">4.4 </w:t>
      </w:r>
      <w:r w:rsidRPr="006C12E9">
        <w:t xml:space="preserve">below presents NHIF-reported revenues and </w:t>
      </w:r>
      <w:r w:rsidR="00976200" w:rsidRPr="006C12E9">
        <w:t xml:space="preserve">expenditure on </w:t>
      </w:r>
      <w:r w:rsidR="0038706D">
        <w:t xml:space="preserve">matching grants between </w:t>
      </w:r>
      <w:r w:rsidRPr="006C12E9">
        <w:t>201</w:t>
      </w:r>
      <w:r w:rsidR="0038706D">
        <w:t>2</w:t>
      </w:r>
      <w:r w:rsidRPr="006C12E9">
        <w:t>/1</w:t>
      </w:r>
      <w:r w:rsidR="0038706D">
        <w:t xml:space="preserve">3 and </w:t>
      </w:r>
      <w:r w:rsidRPr="006C12E9">
        <w:t>201</w:t>
      </w:r>
      <w:r w:rsidR="0038706D">
        <w:t>5</w:t>
      </w:r>
      <w:r w:rsidRPr="006C12E9">
        <w:t>/1</w:t>
      </w:r>
      <w:r w:rsidR="0038706D">
        <w:t>6</w:t>
      </w:r>
      <w:r w:rsidR="00A72AC6">
        <w:t xml:space="preserve">. </w:t>
      </w:r>
      <w:r w:rsidR="0038706D">
        <w:t>Figures in Table 4.</w:t>
      </w:r>
      <w:r w:rsidR="00C86117">
        <w:t>5</w:t>
      </w:r>
      <w:r w:rsidR="0038706D">
        <w:t xml:space="preserve"> show a decline in the funds received from the Ministry of Health and the total payments to LGAs in 2015/16 compared to 2014/15. The reasons for this decline have to be identified and addressed. </w:t>
      </w:r>
      <w:r w:rsidR="00A72AC6" w:rsidRPr="00A72AC6">
        <w:t xml:space="preserve">It is important to note that </w:t>
      </w:r>
      <w:r w:rsidR="00A72AC6">
        <w:t>d</w:t>
      </w:r>
      <w:r w:rsidR="00A72AC6" w:rsidRPr="00A72AC6">
        <w:t xml:space="preserve">ue to delays in the processing of matching grants, payments made do not necessarily relate to the CHF revenues raised in a given financial year. Further work to assess and address such delays is warranted. </w:t>
      </w:r>
    </w:p>
    <w:p w14:paraId="386BE070" w14:textId="77777777" w:rsidR="00BE0035" w:rsidRPr="001170AC" w:rsidRDefault="00BE0035" w:rsidP="00E577CB">
      <w:pPr>
        <w:pStyle w:val="Caption"/>
      </w:pPr>
    </w:p>
    <w:p w14:paraId="1D8DF93D" w14:textId="77777777" w:rsidR="00932593" w:rsidRPr="001170AC" w:rsidRDefault="00BE0035" w:rsidP="00E577CB">
      <w:pPr>
        <w:pStyle w:val="Caption"/>
      </w:pPr>
      <w:bookmarkStart w:id="106" w:name="_Toc488423287"/>
      <w:r w:rsidRPr="001170AC">
        <w:t xml:space="preserve">Table </w:t>
      </w:r>
      <w:r w:rsidR="00D57BC2" w:rsidRPr="001170AC">
        <w:t>4.</w:t>
      </w:r>
      <w:r w:rsidR="00C86117">
        <w:t>5</w:t>
      </w:r>
      <w:r w:rsidR="00E577CB">
        <w:t>:</w:t>
      </w:r>
      <w:r w:rsidR="00E577CB">
        <w:tab/>
      </w:r>
      <w:r w:rsidR="00D57BC2" w:rsidRPr="001170AC">
        <w:t>NHIF Data on Matching Grant Funding Received and Paid O</w:t>
      </w:r>
      <w:r w:rsidR="000C5EE0">
        <w:t xml:space="preserve">ut, </w:t>
      </w:r>
      <w:r w:rsidR="00932593" w:rsidRPr="001170AC">
        <w:t>201</w:t>
      </w:r>
      <w:r w:rsidR="0038706D">
        <w:t>2</w:t>
      </w:r>
      <w:r w:rsidR="00932593" w:rsidRPr="001170AC">
        <w:t>/1</w:t>
      </w:r>
      <w:r w:rsidR="0038706D">
        <w:t>3</w:t>
      </w:r>
      <w:r w:rsidR="000C5EE0">
        <w:t xml:space="preserve"> – </w:t>
      </w:r>
      <w:r w:rsidR="00932593" w:rsidRPr="001170AC">
        <w:t>201</w:t>
      </w:r>
      <w:r w:rsidR="0038706D">
        <w:t>5</w:t>
      </w:r>
      <w:r w:rsidR="00932593" w:rsidRPr="001170AC">
        <w:t>/1</w:t>
      </w:r>
      <w:r w:rsidR="0038706D">
        <w:t>6</w:t>
      </w:r>
      <w:bookmarkEnd w:id="106"/>
      <w:r w:rsidR="00D57BC2" w:rsidRPr="001170AC">
        <w:t xml:space="preserve"> </w:t>
      </w:r>
    </w:p>
    <w:tbl>
      <w:tblPr>
        <w:tblW w:w="5000" w:type="pct"/>
        <w:tblBorders>
          <w:top w:val="double" w:sz="4" w:space="0" w:color="3333FF"/>
          <w:left w:val="double" w:sz="4" w:space="0" w:color="3333FF"/>
          <w:bottom w:val="double" w:sz="4" w:space="0" w:color="3333FF"/>
          <w:right w:val="double" w:sz="4" w:space="0" w:color="3333FF"/>
          <w:insideH w:val="single" w:sz="4" w:space="0" w:color="000000"/>
          <w:insideV w:val="single" w:sz="4" w:space="0" w:color="000000"/>
        </w:tblBorders>
        <w:tblLook w:val="0000" w:firstRow="0" w:lastRow="0" w:firstColumn="0" w:lastColumn="0" w:noHBand="0" w:noVBand="0"/>
      </w:tblPr>
      <w:tblGrid>
        <w:gridCol w:w="1043"/>
        <w:gridCol w:w="1895"/>
        <w:gridCol w:w="1954"/>
        <w:gridCol w:w="2150"/>
        <w:gridCol w:w="1954"/>
      </w:tblGrid>
      <w:tr w:rsidR="006C12E9" w:rsidRPr="00E577CB" w14:paraId="36D4E447" w14:textId="77777777" w:rsidTr="00E577CB">
        <w:trPr>
          <w:trHeight w:val="480"/>
        </w:trPr>
        <w:tc>
          <w:tcPr>
            <w:tcW w:w="579" w:type="pct"/>
            <w:shd w:val="clear" w:color="auto" w:fill="C2D69B" w:themeFill="accent3" w:themeFillTint="99"/>
            <w:vAlign w:val="center"/>
          </w:tcPr>
          <w:p w14:paraId="6A9F56C0" w14:textId="77777777" w:rsidR="006C12E9" w:rsidRPr="00E577CB" w:rsidRDefault="006C12E9" w:rsidP="00E577CB">
            <w:pPr>
              <w:widowControl w:val="0"/>
              <w:autoSpaceDE w:val="0"/>
              <w:autoSpaceDN w:val="0"/>
              <w:adjustRightInd w:val="0"/>
              <w:spacing w:line="360" w:lineRule="auto"/>
              <w:jc w:val="center"/>
              <w:rPr>
                <w:rFonts w:cs="Calibri"/>
              </w:rPr>
            </w:pPr>
            <w:r w:rsidRPr="00E577CB">
              <w:rPr>
                <w:rFonts w:cs="Tahoma"/>
                <w:b/>
                <w:bCs/>
                <w:color w:val="000000"/>
              </w:rPr>
              <w:t>Year</w:t>
            </w:r>
          </w:p>
        </w:tc>
        <w:tc>
          <w:tcPr>
            <w:tcW w:w="1053" w:type="pct"/>
            <w:shd w:val="clear" w:color="auto" w:fill="C2D69B" w:themeFill="accent3" w:themeFillTint="99"/>
            <w:vAlign w:val="center"/>
          </w:tcPr>
          <w:p w14:paraId="7DCFE96D" w14:textId="77777777" w:rsidR="006C12E9" w:rsidRPr="00E577CB" w:rsidRDefault="006C12E9" w:rsidP="00E577CB">
            <w:pPr>
              <w:widowControl w:val="0"/>
              <w:autoSpaceDE w:val="0"/>
              <w:autoSpaceDN w:val="0"/>
              <w:adjustRightInd w:val="0"/>
              <w:spacing w:line="360" w:lineRule="auto"/>
              <w:jc w:val="center"/>
              <w:rPr>
                <w:rFonts w:cs="Calibri"/>
              </w:rPr>
            </w:pPr>
            <w:r w:rsidRPr="00E577CB">
              <w:rPr>
                <w:rFonts w:cs="Tahoma"/>
                <w:b/>
                <w:bCs/>
                <w:color w:val="000000"/>
              </w:rPr>
              <w:t>Brought Forward</w:t>
            </w:r>
          </w:p>
        </w:tc>
        <w:tc>
          <w:tcPr>
            <w:tcW w:w="1086" w:type="pct"/>
            <w:shd w:val="clear" w:color="auto" w:fill="C2D69B" w:themeFill="accent3" w:themeFillTint="99"/>
            <w:vAlign w:val="center"/>
          </w:tcPr>
          <w:p w14:paraId="2C3AE718" w14:textId="77777777" w:rsidR="006C12E9" w:rsidRPr="00E577CB" w:rsidRDefault="006C12E9" w:rsidP="00E577CB">
            <w:pPr>
              <w:widowControl w:val="0"/>
              <w:autoSpaceDE w:val="0"/>
              <w:autoSpaceDN w:val="0"/>
              <w:adjustRightInd w:val="0"/>
              <w:spacing w:line="360" w:lineRule="auto"/>
              <w:jc w:val="center"/>
              <w:rPr>
                <w:rFonts w:cs="Calibri"/>
              </w:rPr>
            </w:pPr>
            <w:r w:rsidRPr="00E577CB">
              <w:rPr>
                <w:rFonts w:cs="Tahoma"/>
                <w:b/>
                <w:bCs/>
                <w:color w:val="000000"/>
              </w:rPr>
              <w:t>Received from MoH</w:t>
            </w:r>
            <w:r w:rsidR="000C5EE0" w:rsidRPr="00E577CB">
              <w:rPr>
                <w:rFonts w:cs="Tahoma"/>
                <w:b/>
                <w:bCs/>
                <w:color w:val="000000"/>
              </w:rPr>
              <w:t>CDGEC</w:t>
            </w:r>
          </w:p>
        </w:tc>
        <w:tc>
          <w:tcPr>
            <w:tcW w:w="1195" w:type="pct"/>
            <w:shd w:val="clear" w:color="auto" w:fill="C2D69B" w:themeFill="accent3" w:themeFillTint="99"/>
            <w:vAlign w:val="center"/>
          </w:tcPr>
          <w:p w14:paraId="6AC05E28" w14:textId="77777777" w:rsidR="006C12E9" w:rsidRPr="00E577CB" w:rsidRDefault="006C12E9" w:rsidP="00E577CB">
            <w:pPr>
              <w:widowControl w:val="0"/>
              <w:autoSpaceDE w:val="0"/>
              <w:autoSpaceDN w:val="0"/>
              <w:adjustRightInd w:val="0"/>
              <w:spacing w:line="360" w:lineRule="auto"/>
              <w:jc w:val="center"/>
              <w:rPr>
                <w:rFonts w:cs="Calibri"/>
              </w:rPr>
            </w:pPr>
            <w:r w:rsidRPr="00E577CB">
              <w:rPr>
                <w:rFonts w:cs="Tahoma"/>
                <w:b/>
                <w:bCs/>
                <w:color w:val="000000"/>
              </w:rPr>
              <w:t>Paid to LGAs</w:t>
            </w:r>
          </w:p>
        </w:tc>
        <w:tc>
          <w:tcPr>
            <w:tcW w:w="1086" w:type="pct"/>
            <w:shd w:val="clear" w:color="auto" w:fill="C2D69B" w:themeFill="accent3" w:themeFillTint="99"/>
            <w:vAlign w:val="center"/>
          </w:tcPr>
          <w:p w14:paraId="70E90795" w14:textId="77777777" w:rsidR="006C12E9" w:rsidRPr="00E577CB" w:rsidRDefault="006C12E9" w:rsidP="00E577CB">
            <w:pPr>
              <w:widowControl w:val="0"/>
              <w:autoSpaceDE w:val="0"/>
              <w:autoSpaceDN w:val="0"/>
              <w:adjustRightInd w:val="0"/>
              <w:spacing w:line="360" w:lineRule="auto"/>
              <w:jc w:val="center"/>
              <w:rPr>
                <w:rFonts w:cs="Calibri"/>
              </w:rPr>
            </w:pPr>
            <w:r w:rsidRPr="00E577CB">
              <w:rPr>
                <w:rFonts w:cs="Tahoma"/>
                <w:b/>
                <w:bCs/>
                <w:color w:val="000000"/>
              </w:rPr>
              <w:t>Carried Forward</w:t>
            </w:r>
          </w:p>
        </w:tc>
      </w:tr>
      <w:tr w:rsidR="006C12E9" w:rsidRPr="00E577CB" w14:paraId="42FAB4A6" w14:textId="77777777" w:rsidTr="00E577CB">
        <w:trPr>
          <w:trHeight w:val="300"/>
        </w:trPr>
        <w:tc>
          <w:tcPr>
            <w:tcW w:w="579" w:type="pct"/>
          </w:tcPr>
          <w:p w14:paraId="20464918" w14:textId="77777777" w:rsidR="006C12E9" w:rsidRPr="00E577CB" w:rsidRDefault="006C12E9" w:rsidP="00E577CB">
            <w:pPr>
              <w:widowControl w:val="0"/>
              <w:autoSpaceDE w:val="0"/>
              <w:autoSpaceDN w:val="0"/>
              <w:adjustRightInd w:val="0"/>
              <w:spacing w:line="360" w:lineRule="auto"/>
              <w:rPr>
                <w:rFonts w:cs="Calibri"/>
              </w:rPr>
            </w:pPr>
            <w:r w:rsidRPr="00E577CB">
              <w:rPr>
                <w:rFonts w:cs="Tahoma"/>
                <w:color w:val="000000"/>
              </w:rPr>
              <w:t>2012/13</w:t>
            </w:r>
          </w:p>
        </w:tc>
        <w:tc>
          <w:tcPr>
            <w:tcW w:w="1053" w:type="pct"/>
          </w:tcPr>
          <w:p w14:paraId="436ED444" w14:textId="77777777" w:rsidR="006C12E9" w:rsidRPr="00E577CB" w:rsidRDefault="006C12E9" w:rsidP="00E577CB">
            <w:pPr>
              <w:widowControl w:val="0"/>
              <w:autoSpaceDE w:val="0"/>
              <w:autoSpaceDN w:val="0"/>
              <w:adjustRightInd w:val="0"/>
              <w:spacing w:line="360" w:lineRule="auto"/>
              <w:jc w:val="right"/>
              <w:rPr>
                <w:rFonts w:cs="Calibri"/>
              </w:rPr>
            </w:pPr>
            <w:r w:rsidRPr="00E577CB">
              <w:rPr>
                <w:rFonts w:cs="Tahoma"/>
                <w:color w:val="000000"/>
              </w:rPr>
              <w:t xml:space="preserve">   2,421,655,680 </w:t>
            </w:r>
          </w:p>
        </w:tc>
        <w:tc>
          <w:tcPr>
            <w:tcW w:w="1086" w:type="pct"/>
          </w:tcPr>
          <w:p w14:paraId="0DD21789" w14:textId="77777777" w:rsidR="006C12E9" w:rsidRPr="00E577CB" w:rsidRDefault="006C12E9" w:rsidP="00E577CB">
            <w:pPr>
              <w:widowControl w:val="0"/>
              <w:autoSpaceDE w:val="0"/>
              <w:autoSpaceDN w:val="0"/>
              <w:adjustRightInd w:val="0"/>
              <w:spacing w:line="360" w:lineRule="auto"/>
              <w:jc w:val="right"/>
              <w:rPr>
                <w:rFonts w:cs="Calibri"/>
              </w:rPr>
            </w:pPr>
            <w:r w:rsidRPr="00E577CB">
              <w:rPr>
                <w:rFonts w:cs="Tahoma"/>
                <w:color w:val="000000"/>
              </w:rPr>
              <w:t xml:space="preserve">   1,900,000,000 </w:t>
            </w:r>
          </w:p>
        </w:tc>
        <w:tc>
          <w:tcPr>
            <w:tcW w:w="1195" w:type="pct"/>
          </w:tcPr>
          <w:p w14:paraId="4FDDACA6" w14:textId="77777777" w:rsidR="006C12E9" w:rsidRPr="00E577CB" w:rsidRDefault="006C12E9" w:rsidP="00E577CB">
            <w:pPr>
              <w:widowControl w:val="0"/>
              <w:autoSpaceDE w:val="0"/>
              <w:autoSpaceDN w:val="0"/>
              <w:adjustRightInd w:val="0"/>
              <w:spacing w:line="360" w:lineRule="auto"/>
              <w:jc w:val="right"/>
              <w:rPr>
                <w:rFonts w:cs="Calibri"/>
              </w:rPr>
            </w:pPr>
            <w:r w:rsidRPr="00E577CB">
              <w:rPr>
                <w:rFonts w:cs="Tahoma"/>
                <w:color w:val="000000"/>
              </w:rPr>
              <w:t xml:space="preserve">                             -   </w:t>
            </w:r>
          </w:p>
        </w:tc>
        <w:tc>
          <w:tcPr>
            <w:tcW w:w="1086" w:type="pct"/>
          </w:tcPr>
          <w:p w14:paraId="063539E5" w14:textId="77777777" w:rsidR="006C12E9" w:rsidRPr="00E577CB" w:rsidRDefault="006C12E9" w:rsidP="00E577CB">
            <w:pPr>
              <w:widowControl w:val="0"/>
              <w:autoSpaceDE w:val="0"/>
              <w:autoSpaceDN w:val="0"/>
              <w:adjustRightInd w:val="0"/>
              <w:spacing w:line="360" w:lineRule="auto"/>
              <w:jc w:val="right"/>
              <w:rPr>
                <w:rFonts w:cs="Calibri"/>
              </w:rPr>
            </w:pPr>
            <w:r w:rsidRPr="00E577CB">
              <w:rPr>
                <w:rFonts w:cs="Tahoma"/>
                <w:color w:val="000000"/>
              </w:rPr>
              <w:t xml:space="preserve">       4,321,655,680 </w:t>
            </w:r>
          </w:p>
        </w:tc>
      </w:tr>
      <w:tr w:rsidR="006C12E9" w:rsidRPr="00E577CB" w14:paraId="7092CF98" w14:textId="77777777" w:rsidTr="00E577CB">
        <w:trPr>
          <w:trHeight w:val="300"/>
        </w:trPr>
        <w:tc>
          <w:tcPr>
            <w:tcW w:w="579" w:type="pct"/>
          </w:tcPr>
          <w:p w14:paraId="26F10F76" w14:textId="77777777" w:rsidR="006C12E9" w:rsidRPr="00E577CB" w:rsidRDefault="006C12E9" w:rsidP="00E577CB">
            <w:pPr>
              <w:widowControl w:val="0"/>
              <w:autoSpaceDE w:val="0"/>
              <w:autoSpaceDN w:val="0"/>
              <w:adjustRightInd w:val="0"/>
              <w:spacing w:line="360" w:lineRule="auto"/>
              <w:rPr>
                <w:rFonts w:cs="Calibri"/>
              </w:rPr>
            </w:pPr>
            <w:r w:rsidRPr="00E577CB">
              <w:rPr>
                <w:rFonts w:cs="Tahoma"/>
                <w:color w:val="000000"/>
              </w:rPr>
              <w:t>2013/14</w:t>
            </w:r>
          </w:p>
        </w:tc>
        <w:tc>
          <w:tcPr>
            <w:tcW w:w="1053" w:type="pct"/>
          </w:tcPr>
          <w:p w14:paraId="08EADC77" w14:textId="77777777" w:rsidR="006C12E9" w:rsidRPr="00E577CB" w:rsidRDefault="006C12E9" w:rsidP="00E577CB">
            <w:pPr>
              <w:widowControl w:val="0"/>
              <w:autoSpaceDE w:val="0"/>
              <w:autoSpaceDN w:val="0"/>
              <w:adjustRightInd w:val="0"/>
              <w:spacing w:line="360" w:lineRule="auto"/>
              <w:jc w:val="right"/>
              <w:rPr>
                <w:rFonts w:cs="Calibri"/>
              </w:rPr>
            </w:pPr>
            <w:r w:rsidRPr="00E577CB">
              <w:rPr>
                <w:rFonts w:cs="Tahoma"/>
                <w:color w:val="000000"/>
              </w:rPr>
              <w:t xml:space="preserve">   4,321,655,680 </w:t>
            </w:r>
          </w:p>
        </w:tc>
        <w:tc>
          <w:tcPr>
            <w:tcW w:w="1086" w:type="pct"/>
          </w:tcPr>
          <w:p w14:paraId="3518765B" w14:textId="77777777" w:rsidR="006C12E9" w:rsidRPr="00E577CB" w:rsidRDefault="006C12E9" w:rsidP="00E577CB">
            <w:pPr>
              <w:widowControl w:val="0"/>
              <w:autoSpaceDE w:val="0"/>
              <w:autoSpaceDN w:val="0"/>
              <w:adjustRightInd w:val="0"/>
              <w:spacing w:line="360" w:lineRule="auto"/>
              <w:jc w:val="right"/>
              <w:rPr>
                <w:rFonts w:cs="Calibri"/>
              </w:rPr>
            </w:pPr>
            <w:r w:rsidRPr="00E577CB">
              <w:rPr>
                <w:rFonts w:cs="Tahoma"/>
                <w:color w:val="000000"/>
              </w:rPr>
              <w:t xml:space="preserve">   1,900,000,000 </w:t>
            </w:r>
          </w:p>
        </w:tc>
        <w:tc>
          <w:tcPr>
            <w:tcW w:w="1195" w:type="pct"/>
          </w:tcPr>
          <w:p w14:paraId="06815296" w14:textId="77777777" w:rsidR="006C12E9" w:rsidRPr="00E577CB" w:rsidRDefault="006C12E9" w:rsidP="00E577CB">
            <w:pPr>
              <w:widowControl w:val="0"/>
              <w:autoSpaceDE w:val="0"/>
              <w:autoSpaceDN w:val="0"/>
              <w:adjustRightInd w:val="0"/>
              <w:spacing w:line="360" w:lineRule="auto"/>
              <w:jc w:val="right"/>
              <w:rPr>
                <w:rFonts w:cs="Calibri"/>
              </w:rPr>
            </w:pPr>
            <w:r w:rsidRPr="00E577CB">
              <w:rPr>
                <w:rFonts w:cs="Tahoma"/>
                <w:color w:val="000000"/>
              </w:rPr>
              <w:t xml:space="preserve">          </w:t>
            </w:r>
            <w:r w:rsidR="0038706D" w:rsidRPr="00E577CB">
              <w:rPr>
                <w:rFonts w:cs="Tahoma"/>
                <w:color w:val="000000"/>
              </w:rPr>
              <w:t>752,352,500</w:t>
            </w:r>
          </w:p>
        </w:tc>
        <w:tc>
          <w:tcPr>
            <w:tcW w:w="1086" w:type="pct"/>
          </w:tcPr>
          <w:p w14:paraId="2A49E995" w14:textId="77777777" w:rsidR="006C12E9" w:rsidRPr="00E577CB" w:rsidRDefault="006C12E9" w:rsidP="00E577CB">
            <w:pPr>
              <w:widowControl w:val="0"/>
              <w:autoSpaceDE w:val="0"/>
              <w:autoSpaceDN w:val="0"/>
              <w:adjustRightInd w:val="0"/>
              <w:spacing w:line="360" w:lineRule="auto"/>
              <w:jc w:val="right"/>
              <w:rPr>
                <w:rFonts w:cs="Calibri"/>
              </w:rPr>
            </w:pPr>
            <w:r w:rsidRPr="00E577CB">
              <w:rPr>
                <w:rFonts w:cs="Tahoma"/>
                <w:color w:val="000000"/>
              </w:rPr>
              <w:t xml:space="preserve">       5,469,303,180 </w:t>
            </w:r>
          </w:p>
        </w:tc>
      </w:tr>
      <w:tr w:rsidR="006C12E9" w:rsidRPr="00E577CB" w14:paraId="14663309" w14:textId="77777777" w:rsidTr="00E577CB">
        <w:trPr>
          <w:trHeight w:val="300"/>
        </w:trPr>
        <w:tc>
          <w:tcPr>
            <w:tcW w:w="579" w:type="pct"/>
          </w:tcPr>
          <w:p w14:paraId="4B32EB96" w14:textId="77777777" w:rsidR="006C12E9" w:rsidRPr="00E577CB" w:rsidRDefault="006C12E9" w:rsidP="00E577CB">
            <w:pPr>
              <w:widowControl w:val="0"/>
              <w:autoSpaceDE w:val="0"/>
              <w:autoSpaceDN w:val="0"/>
              <w:adjustRightInd w:val="0"/>
              <w:spacing w:line="360" w:lineRule="auto"/>
              <w:rPr>
                <w:rFonts w:cs="Calibri"/>
              </w:rPr>
            </w:pPr>
            <w:r w:rsidRPr="00E577CB">
              <w:rPr>
                <w:rFonts w:cs="Tahoma"/>
                <w:color w:val="000000"/>
              </w:rPr>
              <w:t>2014/15</w:t>
            </w:r>
          </w:p>
        </w:tc>
        <w:tc>
          <w:tcPr>
            <w:tcW w:w="1053" w:type="pct"/>
          </w:tcPr>
          <w:p w14:paraId="7B84AC96" w14:textId="77777777" w:rsidR="006C12E9" w:rsidRPr="00E577CB" w:rsidRDefault="006C12E9" w:rsidP="00E577CB">
            <w:pPr>
              <w:widowControl w:val="0"/>
              <w:autoSpaceDE w:val="0"/>
              <w:autoSpaceDN w:val="0"/>
              <w:adjustRightInd w:val="0"/>
              <w:spacing w:line="360" w:lineRule="auto"/>
              <w:jc w:val="right"/>
              <w:rPr>
                <w:rFonts w:cs="Calibri"/>
              </w:rPr>
            </w:pPr>
            <w:r w:rsidRPr="00E577CB">
              <w:rPr>
                <w:rFonts w:cs="Tahoma"/>
                <w:color w:val="000000"/>
              </w:rPr>
              <w:t xml:space="preserve">   5,469,303,180 </w:t>
            </w:r>
          </w:p>
        </w:tc>
        <w:tc>
          <w:tcPr>
            <w:tcW w:w="1086" w:type="pct"/>
          </w:tcPr>
          <w:p w14:paraId="2BDDE131" w14:textId="77777777" w:rsidR="006C12E9" w:rsidRPr="00E577CB" w:rsidRDefault="006C12E9" w:rsidP="00E577CB">
            <w:pPr>
              <w:widowControl w:val="0"/>
              <w:autoSpaceDE w:val="0"/>
              <w:autoSpaceDN w:val="0"/>
              <w:adjustRightInd w:val="0"/>
              <w:spacing w:line="360" w:lineRule="auto"/>
              <w:jc w:val="right"/>
              <w:rPr>
                <w:rFonts w:cs="Calibri"/>
              </w:rPr>
            </w:pPr>
            <w:r w:rsidRPr="00E577CB">
              <w:rPr>
                <w:rFonts w:cs="Tahoma"/>
                <w:color w:val="000000"/>
              </w:rPr>
              <w:t xml:space="preserve">   1,400,000,000 </w:t>
            </w:r>
          </w:p>
        </w:tc>
        <w:tc>
          <w:tcPr>
            <w:tcW w:w="1195" w:type="pct"/>
          </w:tcPr>
          <w:p w14:paraId="7A14E173" w14:textId="77777777" w:rsidR="006C12E9" w:rsidRPr="00E577CB" w:rsidRDefault="006C12E9" w:rsidP="00E577CB">
            <w:pPr>
              <w:widowControl w:val="0"/>
              <w:autoSpaceDE w:val="0"/>
              <w:autoSpaceDN w:val="0"/>
              <w:adjustRightInd w:val="0"/>
              <w:spacing w:line="360" w:lineRule="auto"/>
              <w:jc w:val="right"/>
              <w:rPr>
                <w:rFonts w:cs="Calibri"/>
              </w:rPr>
            </w:pPr>
            <w:r w:rsidRPr="00E577CB">
              <w:rPr>
                <w:rFonts w:cs="Tahoma"/>
                <w:color w:val="000000"/>
              </w:rPr>
              <w:t xml:space="preserve">       </w:t>
            </w:r>
            <w:r w:rsidR="0038706D" w:rsidRPr="00E577CB">
              <w:rPr>
                <w:rFonts w:cs="Tahoma"/>
                <w:color w:val="000000"/>
              </w:rPr>
              <w:t>1,053,983,820</w:t>
            </w:r>
            <w:r w:rsidRPr="00E577CB">
              <w:rPr>
                <w:rFonts w:cs="Tahoma"/>
                <w:color w:val="000000"/>
              </w:rPr>
              <w:t xml:space="preserve"> </w:t>
            </w:r>
          </w:p>
        </w:tc>
        <w:tc>
          <w:tcPr>
            <w:tcW w:w="1086" w:type="pct"/>
          </w:tcPr>
          <w:p w14:paraId="0E19F204" w14:textId="77777777" w:rsidR="006C12E9" w:rsidRPr="00E577CB" w:rsidRDefault="006C12E9" w:rsidP="00E577CB">
            <w:pPr>
              <w:widowControl w:val="0"/>
              <w:autoSpaceDE w:val="0"/>
              <w:autoSpaceDN w:val="0"/>
              <w:adjustRightInd w:val="0"/>
              <w:spacing w:line="360" w:lineRule="auto"/>
              <w:jc w:val="right"/>
              <w:rPr>
                <w:rFonts w:cs="Calibri"/>
              </w:rPr>
            </w:pPr>
            <w:r w:rsidRPr="00E577CB">
              <w:rPr>
                <w:rFonts w:cs="Tahoma"/>
                <w:color w:val="000000"/>
              </w:rPr>
              <w:t xml:space="preserve">       5,815,319,360 </w:t>
            </w:r>
          </w:p>
        </w:tc>
      </w:tr>
      <w:tr w:rsidR="0038706D" w:rsidRPr="00E577CB" w14:paraId="67DEBD74" w14:textId="77777777" w:rsidTr="00E577CB">
        <w:trPr>
          <w:trHeight w:val="300"/>
        </w:trPr>
        <w:tc>
          <w:tcPr>
            <w:tcW w:w="579" w:type="pct"/>
          </w:tcPr>
          <w:p w14:paraId="2FC0A0DC" w14:textId="77777777" w:rsidR="0038706D" w:rsidRPr="00E577CB" w:rsidRDefault="0038706D" w:rsidP="00E577CB">
            <w:pPr>
              <w:widowControl w:val="0"/>
              <w:autoSpaceDE w:val="0"/>
              <w:autoSpaceDN w:val="0"/>
              <w:adjustRightInd w:val="0"/>
              <w:spacing w:line="360" w:lineRule="auto"/>
              <w:rPr>
                <w:rFonts w:cs="Tahoma"/>
                <w:color w:val="000000"/>
              </w:rPr>
            </w:pPr>
            <w:r w:rsidRPr="00E577CB">
              <w:rPr>
                <w:rFonts w:cs="Tahoma"/>
                <w:color w:val="000000"/>
              </w:rPr>
              <w:t>2015/16</w:t>
            </w:r>
          </w:p>
        </w:tc>
        <w:tc>
          <w:tcPr>
            <w:tcW w:w="1053" w:type="pct"/>
          </w:tcPr>
          <w:p w14:paraId="0BE7E16E" w14:textId="77777777" w:rsidR="0038706D" w:rsidRPr="00E577CB" w:rsidRDefault="0038706D" w:rsidP="00E577CB">
            <w:pPr>
              <w:widowControl w:val="0"/>
              <w:autoSpaceDE w:val="0"/>
              <w:autoSpaceDN w:val="0"/>
              <w:adjustRightInd w:val="0"/>
              <w:spacing w:line="360" w:lineRule="auto"/>
              <w:jc w:val="right"/>
              <w:rPr>
                <w:rFonts w:cs="Tahoma"/>
                <w:color w:val="000000"/>
              </w:rPr>
            </w:pPr>
            <w:r w:rsidRPr="00E577CB">
              <w:rPr>
                <w:rFonts w:cs="Tahoma"/>
                <w:color w:val="000000"/>
              </w:rPr>
              <w:t>5,815,319,360</w:t>
            </w:r>
          </w:p>
        </w:tc>
        <w:tc>
          <w:tcPr>
            <w:tcW w:w="1086" w:type="pct"/>
          </w:tcPr>
          <w:p w14:paraId="59BFF3B4" w14:textId="77777777" w:rsidR="0038706D" w:rsidRPr="00E577CB" w:rsidRDefault="0038706D" w:rsidP="00E577CB">
            <w:pPr>
              <w:widowControl w:val="0"/>
              <w:autoSpaceDE w:val="0"/>
              <w:autoSpaceDN w:val="0"/>
              <w:adjustRightInd w:val="0"/>
              <w:spacing w:line="360" w:lineRule="auto"/>
              <w:jc w:val="right"/>
              <w:rPr>
                <w:rFonts w:cs="Tahoma"/>
                <w:color w:val="000000"/>
              </w:rPr>
            </w:pPr>
            <w:r w:rsidRPr="00E577CB">
              <w:rPr>
                <w:rFonts w:cs="Tahoma"/>
                <w:color w:val="000000"/>
              </w:rPr>
              <w:t>1,000,000,000</w:t>
            </w:r>
          </w:p>
        </w:tc>
        <w:tc>
          <w:tcPr>
            <w:tcW w:w="1195" w:type="pct"/>
          </w:tcPr>
          <w:p w14:paraId="33F529D1" w14:textId="77777777" w:rsidR="0038706D" w:rsidRPr="00E577CB" w:rsidRDefault="0038706D" w:rsidP="00E577CB">
            <w:pPr>
              <w:widowControl w:val="0"/>
              <w:autoSpaceDE w:val="0"/>
              <w:autoSpaceDN w:val="0"/>
              <w:adjustRightInd w:val="0"/>
              <w:spacing w:line="360" w:lineRule="auto"/>
              <w:jc w:val="right"/>
              <w:rPr>
                <w:rFonts w:cs="Tahoma"/>
                <w:color w:val="000000"/>
              </w:rPr>
            </w:pPr>
            <w:r w:rsidRPr="00E577CB">
              <w:rPr>
                <w:rFonts w:cs="Tahoma"/>
                <w:color w:val="000000"/>
              </w:rPr>
              <w:t>3,307,265,150</w:t>
            </w:r>
          </w:p>
        </w:tc>
        <w:tc>
          <w:tcPr>
            <w:tcW w:w="1086" w:type="pct"/>
          </w:tcPr>
          <w:p w14:paraId="5F520034" w14:textId="77777777" w:rsidR="0038706D" w:rsidRPr="00E577CB" w:rsidRDefault="0038706D" w:rsidP="00E577CB">
            <w:pPr>
              <w:widowControl w:val="0"/>
              <w:autoSpaceDE w:val="0"/>
              <w:autoSpaceDN w:val="0"/>
              <w:adjustRightInd w:val="0"/>
              <w:spacing w:line="360" w:lineRule="auto"/>
              <w:jc w:val="right"/>
              <w:rPr>
                <w:rFonts w:cs="Tahoma"/>
                <w:color w:val="000000"/>
              </w:rPr>
            </w:pPr>
            <w:r w:rsidRPr="00E577CB">
              <w:rPr>
                <w:rFonts w:cs="Tahoma"/>
                <w:color w:val="000000"/>
              </w:rPr>
              <w:t>3,508,054,210</w:t>
            </w:r>
          </w:p>
        </w:tc>
      </w:tr>
    </w:tbl>
    <w:p w14:paraId="671700ED" w14:textId="77777777" w:rsidR="006C79E9" w:rsidRPr="00755963" w:rsidRDefault="006C79E9" w:rsidP="006C79E9">
      <w:pPr>
        <w:rPr>
          <w:b/>
          <w:i/>
          <w:sz w:val="22"/>
          <w:szCs w:val="22"/>
        </w:rPr>
      </w:pPr>
      <w:r w:rsidRPr="00755963">
        <w:rPr>
          <w:b/>
          <w:i/>
          <w:sz w:val="22"/>
          <w:szCs w:val="22"/>
        </w:rPr>
        <w:t>Source: NHIF Data submitted for 2015/16 PER.</w:t>
      </w:r>
    </w:p>
    <w:p w14:paraId="788B729D" w14:textId="77777777" w:rsidR="004E68FF" w:rsidRPr="001170AC" w:rsidRDefault="004E68FF" w:rsidP="00670B35"/>
    <w:p w14:paraId="18B8EE2B" w14:textId="77777777" w:rsidR="004E68FF" w:rsidRPr="001170AC" w:rsidRDefault="004E68FF" w:rsidP="00670B35"/>
    <w:p w14:paraId="0995A84A" w14:textId="77777777" w:rsidR="004E68FF" w:rsidRPr="001170AC" w:rsidRDefault="004E68FF" w:rsidP="00670B35"/>
    <w:p w14:paraId="4D65C8FE" w14:textId="77777777" w:rsidR="004741F2" w:rsidRPr="001170AC" w:rsidRDefault="004741F2" w:rsidP="00670B35"/>
    <w:p w14:paraId="54DC9542" w14:textId="77777777" w:rsidR="004741F2" w:rsidRPr="001170AC" w:rsidRDefault="004741F2" w:rsidP="00670B35"/>
    <w:p w14:paraId="2D56EEC7" w14:textId="77777777" w:rsidR="004741F2" w:rsidRPr="001170AC" w:rsidRDefault="004741F2" w:rsidP="00670B35"/>
    <w:p w14:paraId="7B130E0C" w14:textId="77777777" w:rsidR="00C85938" w:rsidRPr="001170AC" w:rsidRDefault="00A57A55" w:rsidP="00840A70">
      <w:pPr>
        <w:pStyle w:val="Heading1"/>
      </w:pPr>
      <w:bookmarkStart w:id="107" w:name="_Toc323526013"/>
      <w:bookmarkStart w:id="108" w:name="_Toc327143918"/>
      <w:bookmarkStart w:id="109" w:name="_Toc408467912"/>
      <w:r w:rsidRPr="001170AC">
        <w:br w:type="page"/>
      </w:r>
      <w:bookmarkStart w:id="110" w:name="_Toc422287337"/>
      <w:bookmarkStart w:id="111" w:name="_Toc488423267"/>
      <w:r w:rsidR="00840A70">
        <w:lastRenderedPageBreak/>
        <w:t>5.0</w:t>
      </w:r>
      <w:r w:rsidR="00840A70">
        <w:tab/>
      </w:r>
      <w:r w:rsidR="00C85938" w:rsidRPr="001170AC">
        <w:t>Local Government Health Sector Spending</w:t>
      </w:r>
      <w:bookmarkEnd w:id="107"/>
      <w:bookmarkEnd w:id="108"/>
      <w:bookmarkEnd w:id="109"/>
      <w:bookmarkEnd w:id="110"/>
      <w:bookmarkEnd w:id="111"/>
    </w:p>
    <w:p w14:paraId="250EE6AF" w14:textId="77777777" w:rsidR="00D33DB9" w:rsidRDefault="00D33DB9" w:rsidP="00670B35">
      <w:bookmarkStart w:id="112" w:name="_Toc323526015"/>
      <w:bookmarkStart w:id="113" w:name="_Toc327143920"/>
      <w:bookmarkStart w:id="114" w:name="_Toc292713241"/>
      <w:bookmarkStart w:id="115" w:name="_Toc298250648"/>
      <w:bookmarkStart w:id="116" w:name="_Toc323526017"/>
      <w:bookmarkStart w:id="117" w:name="_Toc327143922"/>
    </w:p>
    <w:p w14:paraId="47B49905" w14:textId="77777777" w:rsidR="004A0741" w:rsidRPr="004A0741" w:rsidRDefault="00840A70" w:rsidP="00840A70">
      <w:pPr>
        <w:pStyle w:val="Heading2"/>
      </w:pPr>
      <w:bookmarkStart w:id="118" w:name="_Toc488423268"/>
      <w:r>
        <w:t>5.1</w:t>
      </w:r>
      <w:r>
        <w:tab/>
      </w:r>
      <w:r w:rsidR="004A0741" w:rsidRPr="004A0741">
        <w:t>Introduction</w:t>
      </w:r>
      <w:bookmarkEnd w:id="118"/>
    </w:p>
    <w:p w14:paraId="765F3FA9" w14:textId="77777777" w:rsidR="004A0741" w:rsidRPr="001170AC" w:rsidRDefault="004A0741" w:rsidP="00670B35"/>
    <w:p w14:paraId="3F1A3759" w14:textId="77777777" w:rsidR="00C85938" w:rsidRPr="001170AC" w:rsidRDefault="00C85938" w:rsidP="00840A70">
      <w:r w:rsidRPr="001170AC">
        <w:t>This chapter presents information on the financing of Local Government Authorities</w:t>
      </w:r>
      <w:r w:rsidR="004A0741">
        <w:t xml:space="preserve"> (</w:t>
      </w:r>
      <w:r w:rsidR="004A0741" w:rsidRPr="00D928C5">
        <w:t>LGAs)</w:t>
      </w:r>
      <w:r w:rsidRPr="00D928C5">
        <w:t xml:space="preserve">, covering sources of funding, breakdown by cost </w:t>
      </w:r>
      <w:r w:rsidR="00BD0EDC" w:rsidRPr="00D928C5">
        <w:t>centers</w:t>
      </w:r>
      <w:r w:rsidRPr="00D928C5">
        <w:t xml:space="preserve">, and budget performance. </w:t>
      </w:r>
      <w:r w:rsidR="0019157C" w:rsidRPr="00D928C5">
        <w:t xml:space="preserve">LGAs are responsible for the delivery of primary health care services which, as stated in </w:t>
      </w:r>
      <w:r w:rsidR="00F84B5B" w:rsidRPr="00D928C5">
        <w:rPr>
          <w:rFonts w:cs="Calibri"/>
          <w:lang w:val="en-CA"/>
        </w:rPr>
        <w:t>the</w:t>
      </w:r>
      <w:r w:rsidR="00F84B5B" w:rsidRPr="00D928C5">
        <w:rPr>
          <w:rFonts w:cs="Calibri"/>
          <w:bCs/>
          <w:lang w:eastAsia="en-GB"/>
        </w:rPr>
        <w:t>Primary Health Services Development Program (MMAM) 2007 – 2017</w:t>
      </w:r>
      <w:r w:rsidR="00614815" w:rsidRPr="00D928C5">
        <w:rPr>
          <w:rFonts w:cs="Calibri"/>
          <w:bCs/>
          <w:lang w:eastAsia="en-GB"/>
        </w:rPr>
        <w:t xml:space="preserve">, </w:t>
      </w:r>
      <w:r w:rsidR="0019157C" w:rsidRPr="00D928C5">
        <w:t>HSSP III</w:t>
      </w:r>
      <w:r w:rsidR="00A8686B" w:rsidRPr="00D928C5">
        <w:t xml:space="preserve"> &amp; IV</w:t>
      </w:r>
      <w:r w:rsidR="0019157C" w:rsidRPr="00D928C5">
        <w:t xml:space="preserve">, </w:t>
      </w:r>
      <w:r w:rsidR="00A8686B" w:rsidRPr="00D928C5">
        <w:t xml:space="preserve">and National Five Year Development Plan 2016/17-2020/21 </w:t>
      </w:r>
      <w:r w:rsidR="0019157C" w:rsidRPr="00D928C5">
        <w:t>remains the priority for the Government as the most cost-effective and equitable level of the health system.</w:t>
      </w:r>
      <w:r w:rsidR="00A8686B" w:rsidRPr="00D928C5">
        <w:rPr>
          <w:rStyle w:val="FootnoteReference"/>
          <w:rFonts w:ascii="Calibri" w:hAnsi="Calibri"/>
          <w:sz w:val="24"/>
          <w:szCs w:val="24"/>
        </w:rPr>
        <w:footnoteReference w:id="2"/>
      </w:r>
      <w:r w:rsidR="0019157C" w:rsidRPr="00D928C5">
        <w:t xml:space="preserve"> It is therefore useful to examine both the level and composition</w:t>
      </w:r>
      <w:r w:rsidR="0019157C" w:rsidRPr="001170AC">
        <w:t xml:space="preserve"> of financing at this level. </w:t>
      </w:r>
      <w:r w:rsidR="0019157C" w:rsidRPr="000B4CD0">
        <w:t xml:space="preserve">Data </w:t>
      </w:r>
      <w:r w:rsidR="00A8686B" w:rsidRPr="000B4CD0">
        <w:t>in</w:t>
      </w:r>
      <w:r w:rsidR="0019157C" w:rsidRPr="000B4CD0">
        <w:t>consistencies regarding LGA funding are substantial, with variation between MOF</w:t>
      </w:r>
      <w:r w:rsidR="004A0741" w:rsidRPr="000B4CD0">
        <w:t>P data, P</w:t>
      </w:r>
      <w:r w:rsidR="0019157C" w:rsidRPr="000B4CD0">
        <w:t>O-RALG data, and data from the LGA Epicor system and as reported in the CCHP implementation reports. CCHPs capture direct funding to LGAs which is not always reflected in central government data sources. The findings in this se</w:t>
      </w:r>
      <w:r w:rsidR="0019157C" w:rsidRPr="001170AC">
        <w:t xml:space="preserve">ction are </w:t>
      </w:r>
      <w:r w:rsidR="00A8686B">
        <w:t xml:space="preserve">not necessarily </w:t>
      </w:r>
      <w:r w:rsidR="0019157C" w:rsidRPr="001170AC">
        <w:t>consistent. However, the picture is slowly improving, in particular as efforts are made to better link Epicor outputs with the PlanRep system.</w:t>
      </w:r>
    </w:p>
    <w:p w14:paraId="6BCA1C08" w14:textId="77777777" w:rsidR="00C85938" w:rsidRPr="001170AC" w:rsidRDefault="00C85938" w:rsidP="00670B35"/>
    <w:p w14:paraId="43A262C8" w14:textId="77777777" w:rsidR="00C85938" w:rsidRPr="001170AC" w:rsidRDefault="00D33DB9" w:rsidP="00197026">
      <w:pPr>
        <w:pStyle w:val="Heading2"/>
      </w:pPr>
      <w:bookmarkStart w:id="119" w:name="_Toc488423269"/>
      <w:bookmarkStart w:id="120" w:name="_Toc408467914"/>
      <w:bookmarkStart w:id="121" w:name="_Toc422287338"/>
      <w:r w:rsidRPr="001170AC">
        <w:t>5.</w:t>
      </w:r>
      <w:r w:rsidR="004A0741">
        <w:t>2</w:t>
      </w:r>
      <w:r w:rsidR="00197026">
        <w:tab/>
      </w:r>
      <w:r w:rsidR="00204E75">
        <w:t>LGAs Budget and Expenditure by Source of Funds</w:t>
      </w:r>
      <w:bookmarkEnd w:id="119"/>
      <w:r w:rsidR="00204E75">
        <w:t xml:space="preserve"> </w:t>
      </w:r>
      <w:bookmarkEnd w:id="112"/>
      <w:bookmarkEnd w:id="113"/>
      <w:bookmarkEnd w:id="120"/>
      <w:bookmarkEnd w:id="121"/>
    </w:p>
    <w:p w14:paraId="47B46082" w14:textId="77777777" w:rsidR="00D33DB9" w:rsidRPr="001170AC" w:rsidRDefault="00D33DB9" w:rsidP="00670B35"/>
    <w:p w14:paraId="6DE72A80" w14:textId="77777777" w:rsidR="0019157C" w:rsidRPr="001170AC" w:rsidRDefault="0019157C" w:rsidP="00670B35">
      <w:pPr>
        <w:pStyle w:val="Default"/>
        <w:spacing w:line="276" w:lineRule="auto"/>
        <w:jc w:val="both"/>
      </w:pPr>
      <w:r w:rsidRPr="001170AC">
        <w:t>There are various sources of funds in health sector in LGAs, namely budgetary allocations from the government, external financing through either the health basket or non-basket mechanisms, funds from councils own</w:t>
      </w:r>
      <w:r w:rsidR="004A0741">
        <w:t xml:space="preserve"> sources,</w:t>
      </w:r>
      <w:r w:rsidRPr="001170AC">
        <w:t xml:space="preserve"> and complementary sources which include fees and</w:t>
      </w:r>
      <w:r w:rsidR="004A0741">
        <w:t xml:space="preserve"> </w:t>
      </w:r>
      <w:r w:rsidRPr="001170AC">
        <w:t xml:space="preserve">subscriptions from various schemes. Each financing source has its modality for raising and managing its own collection for the aim of financing the health sector in Tanzania. </w:t>
      </w:r>
    </w:p>
    <w:p w14:paraId="58565115" w14:textId="77777777" w:rsidR="0019157C" w:rsidRPr="001170AC" w:rsidRDefault="0019157C" w:rsidP="00670B35">
      <w:pPr>
        <w:pStyle w:val="Default"/>
        <w:spacing w:line="276" w:lineRule="auto"/>
        <w:jc w:val="both"/>
      </w:pPr>
    </w:p>
    <w:p w14:paraId="027171B8" w14:textId="77777777" w:rsidR="00FC03A9" w:rsidRDefault="00984FA0" w:rsidP="00FC03A9">
      <w:r>
        <w:t xml:space="preserve">Table 5.1 and </w:t>
      </w:r>
      <w:r w:rsidR="0019157C" w:rsidRPr="001170AC">
        <w:t xml:space="preserve">Figure </w:t>
      </w:r>
      <w:r w:rsidR="004A0741">
        <w:t>5.</w:t>
      </w:r>
      <w:r w:rsidR="0019157C" w:rsidRPr="001170AC">
        <w:t>1</w:t>
      </w:r>
      <w:r w:rsidR="004A0741">
        <w:t xml:space="preserve"> </w:t>
      </w:r>
      <w:r w:rsidR="0019157C" w:rsidRPr="001170AC">
        <w:t xml:space="preserve">below present the </w:t>
      </w:r>
      <w:r w:rsidR="00204E75">
        <w:t xml:space="preserve">budgeted </w:t>
      </w:r>
      <w:r w:rsidR="009F0EB5">
        <w:t xml:space="preserve">funds </w:t>
      </w:r>
      <w:r w:rsidR="00204E75">
        <w:t xml:space="preserve">and expenditures </w:t>
      </w:r>
      <w:r w:rsidR="009F0EB5">
        <w:t xml:space="preserve">for </w:t>
      </w:r>
      <w:r w:rsidR="0019157C" w:rsidRPr="001170AC">
        <w:t xml:space="preserve">LGAs over the past </w:t>
      </w:r>
      <w:r w:rsidR="00D5489D">
        <w:t xml:space="preserve">four </w:t>
      </w:r>
      <w:r w:rsidR="0019157C" w:rsidRPr="001170AC">
        <w:t>years</w:t>
      </w:r>
      <w:r w:rsidR="00E06426">
        <w:t xml:space="preserve"> as reported in Epicor</w:t>
      </w:r>
      <w:r w:rsidR="000B4CD0">
        <w:t xml:space="preserve">. </w:t>
      </w:r>
      <w:r w:rsidR="00E102E3">
        <w:t>The block g</w:t>
      </w:r>
      <w:r w:rsidR="00FC03A9" w:rsidRPr="001170AC">
        <w:t xml:space="preserve">rant which covers both </w:t>
      </w:r>
      <w:r w:rsidR="00FC03A9">
        <w:t>Personal Emoluments (</w:t>
      </w:r>
      <w:r w:rsidR="00FC03A9" w:rsidRPr="001170AC">
        <w:t>PE</w:t>
      </w:r>
      <w:r w:rsidR="00FC03A9">
        <w:t>) and Other Charges (</w:t>
      </w:r>
      <w:r w:rsidR="00FC03A9" w:rsidRPr="001170AC">
        <w:t>OC</w:t>
      </w:r>
      <w:r w:rsidR="00FC03A9">
        <w:t>)</w:t>
      </w:r>
      <w:r w:rsidR="00FC03A9" w:rsidRPr="001170AC">
        <w:t xml:space="preserve"> continues to be the major source of funds at council level. As a share of </w:t>
      </w:r>
      <w:r w:rsidR="00204B52">
        <w:t xml:space="preserve">reported funds, </w:t>
      </w:r>
      <w:r w:rsidR="00FC03A9" w:rsidRPr="001170AC">
        <w:t>it</w:t>
      </w:r>
      <w:r w:rsidR="00FC03A9">
        <w:t xml:space="preserve"> has </w:t>
      </w:r>
      <w:r w:rsidR="00204B52">
        <w:t>increased from 6</w:t>
      </w:r>
      <w:r w:rsidR="00FC03A9">
        <w:t>6</w:t>
      </w:r>
      <w:r w:rsidR="00FC03A9" w:rsidRPr="001170AC">
        <w:t xml:space="preserve">% of </w:t>
      </w:r>
      <w:r w:rsidR="00FC03A9">
        <w:t xml:space="preserve">the </w:t>
      </w:r>
      <w:r w:rsidR="009F0EB5">
        <w:t>budget</w:t>
      </w:r>
      <w:r w:rsidR="00204B52">
        <w:t xml:space="preserve"> in 2012/13 to 75% in 2015/16. A decline is observed in the 2016/17 budget – 62%</w:t>
      </w:r>
      <w:r w:rsidR="009F0EB5">
        <w:t xml:space="preserve">. </w:t>
      </w:r>
      <w:r w:rsidR="00FC03A9" w:rsidRPr="001170AC">
        <w:t xml:space="preserve">The </w:t>
      </w:r>
      <w:r w:rsidR="00204B52">
        <w:t xml:space="preserve">share of </w:t>
      </w:r>
      <w:r w:rsidR="00FC03A9" w:rsidRPr="001170AC">
        <w:t xml:space="preserve">health basket funds </w:t>
      </w:r>
      <w:r w:rsidR="009F0EB5">
        <w:t xml:space="preserve">budget has </w:t>
      </w:r>
      <w:r w:rsidR="00204B52">
        <w:t xml:space="preserve">declined from 17% in 2012/13 to 8% in 2016/17. </w:t>
      </w:r>
      <w:r w:rsidR="009F0EB5">
        <w:t xml:space="preserve">In </w:t>
      </w:r>
      <w:r w:rsidR="00204B52">
        <w:t xml:space="preserve">terms of actual spending, the share of </w:t>
      </w:r>
      <w:r w:rsidR="00E102E3">
        <w:t>block g</w:t>
      </w:r>
      <w:r w:rsidR="00204B52">
        <w:t xml:space="preserve">rant increased from 70% in 2012/13 to 74% in 2015/16 while the basket fund expenditure decreased from 20% in 2012/13 to 14% in </w:t>
      </w:r>
      <w:r w:rsidR="009F0EB5">
        <w:t>2015/</w:t>
      </w:r>
      <w:r w:rsidR="00204B52">
        <w:t xml:space="preserve">16. </w:t>
      </w:r>
      <w:r w:rsidR="00134B7C">
        <w:t xml:space="preserve">Expenditures from </w:t>
      </w:r>
      <w:r w:rsidR="009F0EB5">
        <w:t>Co</w:t>
      </w:r>
      <w:r w:rsidR="00134B7C">
        <w:t xml:space="preserve">uncil Own Source </w:t>
      </w:r>
      <w:r w:rsidR="00FC03A9" w:rsidRPr="001170AC">
        <w:t xml:space="preserve">are broadly similar across years, at </w:t>
      </w:r>
      <w:r w:rsidR="00134B7C">
        <w:t>3</w:t>
      </w:r>
      <w:r w:rsidR="00FC03A9" w:rsidRPr="001170AC">
        <w:t xml:space="preserve">% </w:t>
      </w:r>
      <w:r w:rsidR="009F0EB5">
        <w:t xml:space="preserve">- </w:t>
      </w:r>
      <w:r w:rsidR="00134B7C">
        <w:t>4</w:t>
      </w:r>
      <w:r w:rsidR="009F0EB5">
        <w:t xml:space="preserve">% </w:t>
      </w:r>
      <w:r w:rsidR="00FC03A9" w:rsidRPr="001170AC">
        <w:t xml:space="preserve">of the total </w:t>
      </w:r>
      <w:r w:rsidR="00134B7C">
        <w:t>expenditure</w:t>
      </w:r>
      <w:r w:rsidR="009F0EB5">
        <w:t xml:space="preserve">. </w:t>
      </w:r>
    </w:p>
    <w:p w14:paraId="55244036" w14:textId="77777777" w:rsidR="003737A9" w:rsidRDefault="003737A9" w:rsidP="00FC03A9"/>
    <w:p w14:paraId="729F55D9" w14:textId="77777777" w:rsidR="006200B8" w:rsidRDefault="00197026" w:rsidP="00E577CB">
      <w:pPr>
        <w:pStyle w:val="Caption"/>
      </w:pPr>
      <w:r>
        <w:br w:type="page"/>
      </w:r>
      <w:bookmarkStart w:id="122" w:name="_Toc488423288"/>
    </w:p>
    <w:tbl>
      <w:tblPr>
        <w:tblpPr w:leftFromText="180" w:rightFromText="180" w:vertAnchor="text" w:horzAnchor="page" w:tblpX="631" w:tblpY="631"/>
        <w:tblW w:w="5997" w:type="pct"/>
        <w:tblBorders>
          <w:top w:val="double" w:sz="4" w:space="0" w:color="0000FF"/>
          <w:left w:val="double" w:sz="4" w:space="0" w:color="0000FF"/>
          <w:bottom w:val="double" w:sz="4" w:space="0" w:color="0000FF"/>
          <w:right w:val="double" w:sz="4" w:space="0" w:color="0000FF"/>
          <w:insideH w:val="single" w:sz="4" w:space="0" w:color="auto"/>
          <w:insideV w:val="single" w:sz="4" w:space="0" w:color="auto"/>
        </w:tblBorders>
        <w:tblLayout w:type="fixed"/>
        <w:tblLook w:val="04A0" w:firstRow="1" w:lastRow="0" w:firstColumn="1" w:lastColumn="0" w:noHBand="0" w:noVBand="1"/>
      </w:tblPr>
      <w:tblGrid>
        <w:gridCol w:w="1769"/>
        <w:gridCol w:w="964"/>
        <w:gridCol w:w="861"/>
        <w:gridCol w:w="1023"/>
        <w:gridCol w:w="913"/>
        <w:gridCol w:w="1144"/>
        <w:gridCol w:w="1073"/>
        <w:gridCol w:w="993"/>
        <w:gridCol w:w="1066"/>
        <w:gridCol w:w="984"/>
      </w:tblGrid>
      <w:tr w:rsidR="006200B8" w:rsidRPr="00D928C5" w14:paraId="5CA29172" w14:textId="77777777" w:rsidTr="006200B8">
        <w:trPr>
          <w:trHeight w:val="360"/>
        </w:trPr>
        <w:tc>
          <w:tcPr>
            <w:tcW w:w="820" w:type="pct"/>
            <w:vMerge w:val="restart"/>
            <w:shd w:val="clear" w:color="auto" w:fill="C2D69B" w:themeFill="accent3" w:themeFillTint="99"/>
            <w:noWrap/>
            <w:vAlign w:val="center"/>
            <w:hideMark/>
          </w:tcPr>
          <w:p w14:paraId="65AD52C7" w14:textId="77777777" w:rsidR="006200B8" w:rsidRPr="00D928C5" w:rsidRDefault="006200B8" w:rsidP="006200B8">
            <w:pPr>
              <w:spacing w:line="240" w:lineRule="auto"/>
              <w:jc w:val="center"/>
              <w:rPr>
                <w:b/>
                <w:color w:val="000000"/>
                <w:sz w:val="18"/>
                <w:szCs w:val="18"/>
              </w:rPr>
            </w:pPr>
            <w:r w:rsidRPr="00D928C5">
              <w:rPr>
                <w:b/>
                <w:color w:val="000000"/>
                <w:sz w:val="18"/>
                <w:szCs w:val="18"/>
              </w:rPr>
              <w:lastRenderedPageBreak/>
              <w:t>Source</w:t>
            </w:r>
          </w:p>
        </w:tc>
        <w:tc>
          <w:tcPr>
            <w:tcW w:w="2273" w:type="pct"/>
            <w:gridSpan w:val="5"/>
            <w:shd w:val="clear" w:color="auto" w:fill="C2D69B" w:themeFill="accent3" w:themeFillTint="99"/>
            <w:noWrap/>
            <w:vAlign w:val="center"/>
            <w:hideMark/>
          </w:tcPr>
          <w:p w14:paraId="454D7A54" w14:textId="77777777" w:rsidR="006200B8" w:rsidRPr="00D928C5" w:rsidRDefault="006200B8" w:rsidP="006200B8">
            <w:pPr>
              <w:spacing w:line="240" w:lineRule="auto"/>
              <w:jc w:val="center"/>
              <w:rPr>
                <w:b/>
                <w:bCs/>
                <w:color w:val="000000"/>
                <w:sz w:val="18"/>
                <w:szCs w:val="18"/>
              </w:rPr>
            </w:pPr>
            <w:r w:rsidRPr="00D928C5">
              <w:rPr>
                <w:b/>
                <w:bCs/>
                <w:color w:val="000000"/>
                <w:sz w:val="18"/>
                <w:szCs w:val="18"/>
              </w:rPr>
              <w:t>Budget Estimate</w:t>
            </w:r>
          </w:p>
        </w:tc>
        <w:tc>
          <w:tcPr>
            <w:tcW w:w="1907" w:type="pct"/>
            <w:gridSpan w:val="4"/>
            <w:shd w:val="clear" w:color="auto" w:fill="C2D69B" w:themeFill="accent3" w:themeFillTint="99"/>
            <w:noWrap/>
            <w:vAlign w:val="center"/>
            <w:hideMark/>
          </w:tcPr>
          <w:p w14:paraId="485AC0C8" w14:textId="77777777" w:rsidR="006200B8" w:rsidRPr="00D928C5" w:rsidRDefault="006200B8" w:rsidP="006200B8">
            <w:pPr>
              <w:spacing w:line="240" w:lineRule="auto"/>
              <w:jc w:val="center"/>
              <w:rPr>
                <w:b/>
                <w:bCs/>
                <w:color w:val="000000"/>
                <w:sz w:val="18"/>
                <w:szCs w:val="18"/>
              </w:rPr>
            </w:pPr>
            <w:r w:rsidRPr="00D928C5">
              <w:rPr>
                <w:b/>
                <w:bCs/>
                <w:color w:val="000000"/>
                <w:sz w:val="18"/>
                <w:szCs w:val="18"/>
              </w:rPr>
              <w:t>Actual Expenditure</w:t>
            </w:r>
          </w:p>
        </w:tc>
      </w:tr>
      <w:tr w:rsidR="006200B8" w:rsidRPr="00D928C5" w14:paraId="2CE18A57" w14:textId="77777777" w:rsidTr="006200B8">
        <w:trPr>
          <w:trHeight w:val="224"/>
        </w:trPr>
        <w:tc>
          <w:tcPr>
            <w:tcW w:w="820" w:type="pct"/>
            <w:vMerge/>
            <w:shd w:val="clear" w:color="auto" w:fill="C2D69B" w:themeFill="accent3" w:themeFillTint="99"/>
            <w:noWrap/>
            <w:vAlign w:val="center"/>
            <w:hideMark/>
          </w:tcPr>
          <w:p w14:paraId="63B2A59E" w14:textId="77777777" w:rsidR="006200B8" w:rsidRPr="00D928C5" w:rsidRDefault="006200B8" w:rsidP="006200B8">
            <w:pPr>
              <w:spacing w:line="240" w:lineRule="auto"/>
              <w:jc w:val="center"/>
              <w:rPr>
                <w:b/>
                <w:color w:val="000000"/>
                <w:sz w:val="18"/>
                <w:szCs w:val="18"/>
              </w:rPr>
            </w:pPr>
          </w:p>
        </w:tc>
        <w:tc>
          <w:tcPr>
            <w:tcW w:w="447" w:type="pct"/>
            <w:shd w:val="clear" w:color="auto" w:fill="C2D69B" w:themeFill="accent3" w:themeFillTint="99"/>
            <w:noWrap/>
            <w:vAlign w:val="center"/>
            <w:hideMark/>
          </w:tcPr>
          <w:p w14:paraId="57888B1E" w14:textId="77777777" w:rsidR="006200B8" w:rsidRPr="00D928C5" w:rsidRDefault="006200B8" w:rsidP="006200B8">
            <w:pPr>
              <w:spacing w:line="240" w:lineRule="auto"/>
              <w:jc w:val="center"/>
              <w:rPr>
                <w:b/>
                <w:color w:val="000000"/>
                <w:sz w:val="18"/>
                <w:szCs w:val="18"/>
              </w:rPr>
            </w:pPr>
            <w:r w:rsidRPr="00D928C5">
              <w:rPr>
                <w:b/>
                <w:color w:val="000000"/>
                <w:sz w:val="18"/>
                <w:szCs w:val="18"/>
              </w:rPr>
              <w:t>2012/13</w:t>
            </w:r>
          </w:p>
        </w:tc>
        <w:tc>
          <w:tcPr>
            <w:tcW w:w="399" w:type="pct"/>
            <w:shd w:val="clear" w:color="auto" w:fill="C2D69B" w:themeFill="accent3" w:themeFillTint="99"/>
            <w:noWrap/>
            <w:vAlign w:val="center"/>
            <w:hideMark/>
          </w:tcPr>
          <w:p w14:paraId="2C4DED3E" w14:textId="77777777" w:rsidR="006200B8" w:rsidRPr="00D928C5" w:rsidRDefault="006200B8" w:rsidP="006200B8">
            <w:pPr>
              <w:spacing w:line="240" w:lineRule="auto"/>
              <w:jc w:val="center"/>
              <w:rPr>
                <w:b/>
                <w:color w:val="000000"/>
                <w:sz w:val="18"/>
                <w:szCs w:val="18"/>
              </w:rPr>
            </w:pPr>
            <w:r w:rsidRPr="00D928C5">
              <w:rPr>
                <w:b/>
                <w:color w:val="000000"/>
                <w:sz w:val="18"/>
                <w:szCs w:val="18"/>
              </w:rPr>
              <w:t>2013/14</w:t>
            </w:r>
          </w:p>
        </w:tc>
        <w:tc>
          <w:tcPr>
            <w:tcW w:w="474" w:type="pct"/>
            <w:shd w:val="clear" w:color="auto" w:fill="C2D69B" w:themeFill="accent3" w:themeFillTint="99"/>
            <w:noWrap/>
            <w:vAlign w:val="center"/>
            <w:hideMark/>
          </w:tcPr>
          <w:p w14:paraId="44933A37" w14:textId="77777777" w:rsidR="006200B8" w:rsidRPr="00D928C5" w:rsidRDefault="006200B8" w:rsidP="006200B8">
            <w:pPr>
              <w:spacing w:line="240" w:lineRule="auto"/>
              <w:jc w:val="center"/>
              <w:rPr>
                <w:b/>
                <w:color w:val="000000"/>
                <w:sz w:val="18"/>
                <w:szCs w:val="18"/>
              </w:rPr>
            </w:pPr>
            <w:r w:rsidRPr="00D928C5">
              <w:rPr>
                <w:b/>
                <w:color w:val="000000"/>
                <w:sz w:val="18"/>
                <w:szCs w:val="18"/>
              </w:rPr>
              <w:t>2014/15</w:t>
            </w:r>
          </w:p>
        </w:tc>
        <w:tc>
          <w:tcPr>
            <w:tcW w:w="423" w:type="pct"/>
            <w:shd w:val="clear" w:color="auto" w:fill="C2D69B" w:themeFill="accent3" w:themeFillTint="99"/>
            <w:noWrap/>
            <w:vAlign w:val="center"/>
            <w:hideMark/>
          </w:tcPr>
          <w:p w14:paraId="5F2D2FE3" w14:textId="77777777" w:rsidR="006200B8" w:rsidRPr="00D928C5" w:rsidRDefault="006200B8" w:rsidP="006200B8">
            <w:pPr>
              <w:spacing w:line="240" w:lineRule="auto"/>
              <w:jc w:val="center"/>
              <w:rPr>
                <w:b/>
                <w:color w:val="000000"/>
                <w:sz w:val="18"/>
                <w:szCs w:val="18"/>
              </w:rPr>
            </w:pPr>
            <w:r w:rsidRPr="00D928C5">
              <w:rPr>
                <w:b/>
                <w:color w:val="000000"/>
                <w:sz w:val="18"/>
                <w:szCs w:val="18"/>
              </w:rPr>
              <w:t>2015/16</w:t>
            </w:r>
          </w:p>
        </w:tc>
        <w:tc>
          <w:tcPr>
            <w:tcW w:w="530" w:type="pct"/>
            <w:shd w:val="clear" w:color="auto" w:fill="C2D69B" w:themeFill="accent3" w:themeFillTint="99"/>
            <w:noWrap/>
            <w:vAlign w:val="center"/>
            <w:hideMark/>
          </w:tcPr>
          <w:p w14:paraId="6393047C" w14:textId="77777777" w:rsidR="006200B8" w:rsidRPr="00D928C5" w:rsidRDefault="006200B8" w:rsidP="006200B8">
            <w:pPr>
              <w:spacing w:line="240" w:lineRule="auto"/>
              <w:jc w:val="center"/>
              <w:rPr>
                <w:b/>
                <w:color w:val="000000"/>
                <w:sz w:val="18"/>
                <w:szCs w:val="18"/>
              </w:rPr>
            </w:pPr>
            <w:r w:rsidRPr="00D928C5">
              <w:rPr>
                <w:b/>
                <w:color w:val="000000"/>
                <w:sz w:val="18"/>
                <w:szCs w:val="18"/>
              </w:rPr>
              <w:t>2016/17</w:t>
            </w:r>
          </w:p>
        </w:tc>
        <w:tc>
          <w:tcPr>
            <w:tcW w:w="497" w:type="pct"/>
            <w:shd w:val="clear" w:color="auto" w:fill="C2D69B" w:themeFill="accent3" w:themeFillTint="99"/>
            <w:noWrap/>
            <w:vAlign w:val="center"/>
            <w:hideMark/>
          </w:tcPr>
          <w:p w14:paraId="1A1FEDE7" w14:textId="77777777" w:rsidR="006200B8" w:rsidRPr="00D928C5" w:rsidRDefault="006200B8" w:rsidP="006200B8">
            <w:pPr>
              <w:spacing w:line="240" w:lineRule="auto"/>
              <w:jc w:val="center"/>
              <w:rPr>
                <w:b/>
                <w:color w:val="000000"/>
                <w:sz w:val="18"/>
                <w:szCs w:val="18"/>
              </w:rPr>
            </w:pPr>
            <w:r w:rsidRPr="00D928C5">
              <w:rPr>
                <w:b/>
                <w:color w:val="000000"/>
                <w:sz w:val="18"/>
                <w:szCs w:val="18"/>
              </w:rPr>
              <w:t>2012/13</w:t>
            </w:r>
          </w:p>
        </w:tc>
        <w:tc>
          <w:tcPr>
            <w:tcW w:w="460" w:type="pct"/>
            <w:shd w:val="clear" w:color="auto" w:fill="C2D69B" w:themeFill="accent3" w:themeFillTint="99"/>
            <w:noWrap/>
            <w:vAlign w:val="center"/>
            <w:hideMark/>
          </w:tcPr>
          <w:p w14:paraId="55F67D20" w14:textId="77777777" w:rsidR="006200B8" w:rsidRPr="00D928C5" w:rsidRDefault="006200B8" w:rsidP="006200B8">
            <w:pPr>
              <w:spacing w:line="240" w:lineRule="auto"/>
              <w:jc w:val="center"/>
              <w:rPr>
                <w:b/>
                <w:color w:val="000000"/>
                <w:sz w:val="18"/>
                <w:szCs w:val="18"/>
              </w:rPr>
            </w:pPr>
            <w:r w:rsidRPr="00D928C5">
              <w:rPr>
                <w:b/>
                <w:color w:val="000000"/>
                <w:sz w:val="18"/>
                <w:szCs w:val="18"/>
              </w:rPr>
              <w:t>2013/14</w:t>
            </w:r>
          </w:p>
        </w:tc>
        <w:tc>
          <w:tcPr>
            <w:tcW w:w="494" w:type="pct"/>
            <w:shd w:val="clear" w:color="auto" w:fill="C2D69B" w:themeFill="accent3" w:themeFillTint="99"/>
            <w:noWrap/>
            <w:vAlign w:val="center"/>
            <w:hideMark/>
          </w:tcPr>
          <w:p w14:paraId="6C2B1608" w14:textId="77777777" w:rsidR="006200B8" w:rsidRPr="00D928C5" w:rsidRDefault="006200B8" w:rsidP="006200B8">
            <w:pPr>
              <w:spacing w:line="240" w:lineRule="auto"/>
              <w:jc w:val="center"/>
              <w:rPr>
                <w:b/>
                <w:color w:val="000000"/>
                <w:sz w:val="18"/>
                <w:szCs w:val="18"/>
              </w:rPr>
            </w:pPr>
            <w:r w:rsidRPr="00D928C5">
              <w:rPr>
                <w:b/>
                <w:color w:val="000000"/>
                <w:sz w:val="18"/>
                <w:szCs w:val="18"/>
              </w:rPr>
              <w:t>2014/15</w:t>
            </w:r>
          </w:p>
        </w:tc>
        <w:tc>
          <w:tcPr>
            <w:tcW w:w="456" w:type="pct"/>
            <w:shd w:val="clear" w:color="auto" w:fill="C2D69B" w:themeFill="accent3" w:themeFillTint="99"/>
            <w:noWrap/>
            <w:vAlign w:val="center"/>
            <w:hideMark/>
          </w:tcPr>
          <w:p w14:paraId="4BF90FD7" w14:textId="77777777" w:rsidR="006200B8" w:rsidRPr="00D928C5" w:rsidRDefault="006200B8" w:rsidP="006200B8">
            <w:pPr>
              <w:spacing w:line="240" w:lineRule="auto"/>
              <w:jc w:val="center"/>
              <w:rPr>
                <w:b/>
                <w:color w:val="000000"/>
                <w:sz w:val="18"/>
                <w:szCs w:val="18"/>
              </w:rPr>
            </w:pPr>
            <w:r w:rsidRPr="00D928C5">
              <w:rPr>
                <w:b/>
                <w:color w:val="000000"/>
                <w:sz w:val="18"/>
                <w:szCs w:val="18"/>
              </w:rPr>
              <w:t>2015/16</w:t>
            </w:r>
          </w:p>
        </w:tc>
      </w:tr>
      <w:tr w:rsidR="006200B8" w:rsidRPr="00D928C5" w14:paraId="6AC6DCD3" w14:textId="77777777" w:rsidTr="006200B8">
        <w:trPr>
          <w:trHeight w:val="409"/>
        </w:trPr>
        <w:tc>
          <w:tcPr>
            <w:tcW w:w="820" w:type="pct"/>
            <w:shd w:val="clear" w:color="auto" w:fill="auto"/>
            <w:noWrap/>
            <w:hideMark/>
          </w:tcPr>
          <w:p w14:paraId="63850046" w14:textId="77777777" w:rsidR="006200B8" w:rsidRPr="00D928C5" w:rsidRDefault="006200B8" w:rsidP="006200B8">
            <w:pPr>
              <w:spacing w:line="240" w:lineRule="auto"/>
              <w:jc w:val="left"/>
              <w:rPr>
                <w:color w:val="000000"/>
                <w:sz w:val="18"/>
                <w:szCs w:val="18"/>
              </w:rPr>
            </w:pPr>
            <w:r w:rsidRPr="00D928C5">
              <w:rPr>
                <w:color w:val="000000"/>
                <w:sz w:val="18"/>
                <w:szCs w:val="18"/>
              </w:rPr>
              <w:t>Government</w:t>
            </w:r>
          </w:p>
        </w:tc>
        <w:tc>
          <w:tcPr>
            <w:tcW w:w="447" w:type="pct"/>
            <w:shd w:val="clear" w:color="auto" w:fill="auto"/>
            <w:noWrap/>
            <w:vAlign w:val="bottom"/>
            <w:hideMark/>
          </w:tcPr>
          <w:p w14:paraId="00686103"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408,529 </w:t>
            </w:r>
          </w:p>
        </w:tc>
        <w:tc>
          <w:tcPr>
            <w:tcW w:w="399" w:type="pct"/>
            <w:shd w:val="clear" w:color="auto" w:fill="auto"/>
            <w:noWrap/>
            <w:vAlign w:val="bottom"/>
            <w:hideMark/>
          </w:tcPr>
          <w:p w14:paraId="3F5E72ED"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513,472 </w:t>
            </w:r>
          </w:p>
        </w:tc>
        <w:tc>
          <w:tcPr>
            <w:tcW w:w="474" w:type="pct"/>
            <w:shd w:val="clear" w:color="auto" w:fill="auto"/>
            <w:noWrap/>
            <w:vAlign w:val="bottom"/>
            <w:hideMark/>
          </w:tcPr>
          <w:p w14:paraId="256BC8D7"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481,911 </w:t>
            </w:r>
          </w:p>
        </w:tc>
        <w:tc>
          <w:tcPr>
            <w:tcW w:w="423" w:type="pct"/>
            <w:shd w:val="clear" w:color="auto" w:fill="auto"/>
            <w:noWrap/>
            <w:vAlign w:val="bottom"/>
            <w:hideMark/>
          </w:tcPr>
          <w:p w14:paraId="3304A0B2"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523,517 </w:t>
            </w:r>
          </w:p>
        </w:tc>
        <w:tc>
          <w:tcPr>
            <w:tcW w:w="530" w:type="pct"/>
            <w:shd w:val="clear" w:color="auto" w:fill="auto"/>
            <w:noWrap/>
            <w:vAlign w:val="bottom"/>
            <w:hideMark/>
          </w:tcPr>
          <w:p w14:paraId="5395962B"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778,840 </w:t>
            </w:r>
          </w:p>
        </w:tc>
        <w:tc>
          <w:tcPr>
            <w:tcW w:w="497" w:type="pct"/>
            <w:shd w:val="clear" w:color="auto" w:fill="auto"/>
            <w:noWrap/>
            <w:vAlign w:val="center"/>
            <w:hideMark/>
          </w:tcPr>
          <w:p w14:paraId="2CAED0BB"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223,637 </w:t>
            </w:r>
          </w:p>
        </w:tc>
        <w:tc>
          <w:tcPr>
            <w:tcW w:w="460" w:type="pct"/>
            <w:shd w:val="clear" w:color="auto" w:fill="auto"/>
            <w:noWrap/>
            <w:vAlign w:val="center"/>
            <w:hideMark/>
          </w:tcPr>
          <w:p w14:paraId="498A58FF"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265,518 </w:t>
            </w:r>
          </w:p>
        </w:tc>
        <w:tc>
          <w:tcPr>
            <w:tcW w:w="494" w:type="pct"/>
            <w:shd w:val="clear" w:color="auto" w:fill="auto"/>
            <w:noWrap/>
            <w:vAlign w:val="center"/>
            <w:hideMark/>
          </w:tcPr>
          <w:p w14:paraId="5B84F7EA"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390,764 </w:t>
            </w:r>
          </w:p>
        </w:tc>
        <w:tc>
          <w:tcPr>
            <w:tcW w:w="456" w:type="pct"/>
            <w:shd w:val="clear" w:color="auto" w:fill="auto"/>
            <w:noWrap/>
            <w:vAlign w:val="center"/>
            <w:hideMark/>
          </w:tcPr>
          <w:p w14:paraId="1727BE93"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436,412 </w:t>
            </w:r>
          </w:p>
        </w:tc>
      </w:tr>
      <w:tr w:rsidR="006200B8" w:rsidRPr="00D928C5" w14:paraId="7E327F17" w14:textId="77777777" w:rsidTr="006200B8">
        <w:trPr>
          <w:trHeight w:val="575"/>
        </w:trPr>
        <w:tc>
          <w:tcPr>
            <w:tcW w:w="820" w:type="pct"/>
            <w:shd w:val="clear" w:color="auto" w:fill="auto"/>
            <w:hideMark/>
          </w:tcPr>
          <w:p w14:paraId="6A12792B" w14:textId="77777777" w:rsidR="006200B8" w:rsidRPr="00D928C5" w:rsidRDefault="006200B8" w:rsidP="006200B8">
            <w:pPr>
              <w:spacing w:line="240" w:lineRule="auto"/>
              <w:jc w:val="left"/>
              <w:rPr>
                <w:color w:val="000000"/>
                <w:sz w:val="18"/>
                <w:szCs w:val="18"/>
              </w:rPr>
            </w:pPr>
            <w:r w:rsidRPr="00D928C5">
              <w:rPr>
                <w:color w:val="000000"/>
                <w:sz w:val="18"/>
                <w:szCs w:val="18"/>
              </w:rPr>
              <w:t>Health Sector Basket Fund-HSBF</w:t>
            </w:r>
          </w:p>
        </w:tc>
        <w:tc>
          <w:tcPr>
            <w:tcW w:w="447" w:type="pct"/>
            <w:shd w:val="clear" w:color="auto" w:fill="auto"/>
            <w:noWrap/>
            <w:vAlign w:val="bottom"/>
            <w:hideMark/>
          </w:tcPr>
          <w:p w14:paraId="61BF63D3"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105,909 </w:t>
            </w:r>
          </w:p>
        </w:tc>
        <w:tc>
          <w:tcPr>
            <w:tcW w:w="399" w:type="pct"/>
            <w:shd w:val="clear" w:color="auto" w:fill="auto"/>
            <w:noWrap/>
            <w:vAlign w:val="bottom"/>
            <w:hideMark/>
          </w:tcPr>
          <w:p w14:paraId="06658380"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103,553 </w:t>
            </w:r>
          </w:p>
        </w:tc>
        <w:tc>
          <w:tcPr>
            <w:tcW w:w="474" w:type="pct"/>
            <w:shd w:val="clear" w:color="auto" w:fill="auto"/>
            <w:noWrap/>
            <w:vAlign w:val="bottom"/>
            <w:hideMark/>
          </w:tcPr>
          <w:p w14:paraId="7F7283E9"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89,132 </w:t>
            </w:r>
          </w:p>
        </w:tc>
        <w:tc>
          <w:tcPr>
            <w:tcW w:w="423" w:type="pct"/>
            <w:shd w:val="clear" w:color="auto" w:fill="auto"/>
            <w:noWrap/>
            <w:vAlign w:val="bottom"/>
            <w:hideMark/>
          </w:tcPr>
          <w:p w14:paraId="673B8D9C"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64,759 </w:t>
            </w:r>
          </w:p>
        </w:tc>
        <w:tc>
          <w:tcPr>
            <w:tcW w:w="530" w:type="pct"/>
            <w:shd w:val="clear" w:color="auto" w:fill="auto"/>
            <w:noWrap/>
            <w:vAlign w:val="bottom"/>
            <w:hideMark/>
          </w:tcPr>
          <w:p w14:paraId="72B47F32"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106,611 </w:t>
            </w:r>
          </w:p>
        </w:tc>
        <w:tc>
          <w:tcPr>
            <w:tcW w:w="497" w:type="pct"/>
            <w:shd w:val="clear" w:color="auto" w:fill="auto"/>
            <w:noWrap/>
            <w:vAlign w:val="center"/>
            <w:hideMark/>
          </w:tcPr>
          <w:p w14:paraId="1180A617"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64,164 </w:t>
            </w:r>
          </w:p>
        </w:tc>
        <w:tc>
          <w:tcPr>
            <w:tcW w:w="460" w:type="pct"/>
            <w:shd w:val="clear" w:color="auto" w:fill="auto"/>
            <w:noWrap/>
            <w:vAlign w:val="center"/>
            <w:hideMark/>
          </w:tcPr>
          <w:p w14:paraId="0F707CD3"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75,799 </w:t>
            </w:r>
          </w:p>
        </w:tc>
        <w:tc>
          <w:tcPr>
            <w:tcW w:w="494" w:type="pct"/>
            <w:shd w:val="clear" w:color="auto" w:fill="auto"/>
            <w:noWrap/>
            <w:vAlign w:val="center"/>
            <w:hideMark/>
          </w:tcPr>
          <w:p w14:paraId="69717488"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80,311 </w:t>
            </w:r>
          </w:p>
        </w:tc>
        <w:tc>
          <w:tcPr>
            <w:tcW w:w="456" w:type="pct"/>
            <w:shd w:val="clear" w:color="auto" w:fill="auto"/>
            <w:noWrap/>
            <w:vAlign w:val="center"/>
            <w:hideMark/>
          </w:tcPr>
          <w:p w14:paraId="409062FE"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80,167 </w:t>
            </w:r>
          </w:p>
        </w:tc>
      </w:tr>
      <w:tr w:rsidR="006200B8" w:rsidRPr="00D928C5" w14:paraId="0F36F6AB" w14:textId="77777777" w:rsidTr="006200B8">
        <w:trPr>
          <w:trHeight w:val="409"/>
        </w:trPr>
        <w:tc>
          <w:tcPr>
            <w:tcW w:w="820" w:type="pct"/>
            <w:shd w:val="clear" w:color="auto" w:fill="auto"/>
            <w:hideMark/>
          </w:tcPr>
          <w:p w14:paraId="724286DE" w14:textId="77777777" w:rsidR="006200B8" w:rsidRPr="00D928C5" w:rsidRDefault="006200B8" w:rsidP="006200B8">
            <w:pPr>
              <w:spacing w:line="240" w:lineRule="auto"/>
              <w:jc w:val="left"/>
              <w:rPr>
                <w:color w:val="000000"/>
                <w:sz w:val="18"/>
                <w:szCs w:val="18"/>
              </w:rPr>
            </w:pPr>
            <w:r w:rsidRPr="00D928C5">
              <w:rPr>
                <w:color w:val="000000"/>
                <w:sz w:val="18"/>
                <w:szCs w:val="18"/>
              </w:rPr>
              <w:t>Own Source</w:t>
            </w:r>
          </w:p>
        </w:tc>
        <w:tc>
          <w:tcPr>
            <w:tcW w:w="447" w:type="pct"/>
            <w:shd w:val="clear" w:color="auto" w:fill="auto"/>
            <w:noWrap/>
            <w:vAlign w:val="bottom"/>
            <w:hideMark/>
          </w:tcPr>
          <w:p w14:paraId="7D3CFA0A"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26,105 </w:t>
            </w:r>
          </w:p>
        </w:tc>
        <w:tc>
          <w:tcPr>
            <w:tcW w:w="399" w:type="pct"/>
            <w:shd w:val="clear" w:color="auto" w:fill="auto"/>
            <w:noWrap/>
            <w:vAlign w:val="bottom"/>
            <w:hideMark/>
          </w:tcPr>
          <w:p w14:paraId="27515A87"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25,790 </w:t>
            </w:r>
          </w:p>
        </w:tc>
        <w:tc>
          <w:tcPr>
            <w:tcW w:w="474" w:type="pct"/>
            <w:shd w:val="clear" w:color="auto" w:fill="auto"/>
            <w:noWrap/>
            <w:vAlign w:val="bottom"/>
            <w:hideMark/>
          </w:tcPr>
          <w:p w14:paraId="770AC17C"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34,808 </w:t>
            </w:r>
          </w:p>
        </w:tc>
        <w:tc>
          <w:tcPr>
            <w:tcW w:w="423" w:type="pct"/>
            <w:shd w:val="clear" w:color="auto" w:fill="auto"/>
            <w:noWrap/>
            <w:vAlign w:val="bottom"/>
            <w:hideMark/>
          </w:tcPr>
          <w:p w14:paraId="72ADA715"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50,516 </w:t>
            </w:r>
          </w:p>
        </w:tc>
        <w:tc>
          <w:tcPr>
            <w:tcW w:w="530" w:type="pct"/>
            <w:shd w:val="clear" w:color="auto" w:fill="auto"/>
            <w:noWrap/>
            <w:vAlign w:val="bottom"/>
            <w:hideMark/>
          </w:tcPr>
          <w:p w14:paraId="0AEFC658"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27,027 </w:t>
            </w:r>
          </w:p>
        </w:tc>
        <w:tc>
          <w:tcPr>
            <w:tcW w:w="497" w:type="pct"/>
            <w:shd w:val="clear" w:color="auto" w:fill="auto"/>
            <w:noWrap/>
            <w:vAlign w:val="center"/>
            <w:hideMark/>
          </w:tcPr>
          <w:p w14:paraId="2B98DF3C"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12,463 </w:t>
            </w:r>
          </w:p>
        </w:tc>
        <w:tc>
          <w:tcPr>
            <w:tcW w:w="460" w:type="pct"/>
            <w:shd w:val="clear" w:color="auto" w:fill="auto"/>
            <w:noWrap/>
            <w:vAlign w:val="center"/>
            <w:hideMark/>
          </w:tcPr>
          <w:p w14:paraId="22B8BC4B"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9,792 </w:t>
            </w:r>
          </w:p>
        </w:tc>
        <w:tc>
          <w:tcPr>
            <w:tcW w:w="494" w:type="pct"/>
            <w:shd w:val="clear" w:color="auto" w:fill="auto"/>
            <w:noWrap/>
            <w:vAlign w:val="center"/>
            <w:hideMark/>
          </w:tcPr>
          <w:p w14:paraId="241C4544"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15,839 </w:t>
            </w:r>
          </w:p>
        </w:tc>
        <w:tc>
          <w:tcPr>
            <w:tcW w:w="456" w:type="pct"/>
            <w:shd w:val="clear" w:color="auto" w:fill="auto"/>
            <w:noWrap/>
            <w:vAlign w:val="center"/>
            <w:hideMark/>
          </w:tcPr>
          <w:p w14:paraId="6B9A0822"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15,452 </w:t>
            </w:r>
          </w:p>
        </w:tc>
      </w:tr>
      <w:tr w:rsidR="006200B8" w:rsidRPr="00D928C5" w14:paraId="6229F725" w14:textId="77777777" w:rsidTr="006200B8">
        <w:trPr>
          <w:trHeight w:val="575"/>
        </w:trPr>
        <w:tc>
          <w:tcPr>
            <w:tcW w:w="820" w:type="pct"/>
            <w:shd w:val="clear" w:color="auto" w:fill="auto"/>
            <w:hideMark/>
          </w:tcPr>
          <w:p w14:paraId="4AA1AA67" w14:textId="77777777" w:rsidR="006200B8" w:rsidRPr="00D928C5" w:rsidRDefault="006200B8" w:rsidP="006200B8">
            <w:pPr>
              <w:spacing w:line="240" w:lineRule="auto"/>
              <w:jc w:val="left"/>
              <w:rPr>
                <w:color w:val="000000"/>
                <w:sz w:val="18"/>
                <w:szCs w:val="18"/>
              </w:rPr>
            </w:pPr>
            <w:r w:rsidRPr="00D928C5">
              <w:rPr>
                <w:color w:val="000000"/>
                <w:sz w:val="18"/>
                <w:szCs w:val="18"/>
              </w:rPr>
              <w:t>Community Contribution/user fee</w:t>
            </w:r>
          </w:p>
        </w:tc>
        <w:tc>
          <w:tcPr>
            <w:tcW w:w="447" w:type="pct"/>
            <w:shd w:val="clear" w:color="auto" w:fill="auto"/>
            <w:noWrap/>
            <w:vAlign w:val="bottom"/>
            <w:hideMark/>
          </w:tcPr>
          <w:p w14:paraId="371318AC"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493 </w:t>
            </w:r>
          </w:p>
        </w:tc>
        <w:tc>
          <w:tcPr>
            <w:tcW w:w="399" w:type="pct"/>
            <w:shd w:val="clear" w:color="auto" w:fill="auto"/>
            <w:noWrap/>
            <w:vAlign w:val="bottom"/>
            <w:hideMark/>
          </w:tcPr>
          <w:p w14:paraId="72A63D7F"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243 </w:t>
            </w:r>
          </w:p>
        </w:tc>
        <w:tc>
          <w:tcPr>
            <w:tcW w:w="474" w:type="pct"/>
            <w:shd w:val="clear" w:color="auto" w:fill="auto"/>
            <w:noWrap/>
            <w:vAlign w:val="bottom"/>
            <w:hideMark/>
          </w:tcPr>
          <w:p w14:paraId="6E92281F"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62 </w:t>
            </w:r>
          </w:p>
        </w:tc>
        <w:tc>
          <w:tcPr>
            <w:tcW w:w="423" w:type="pct"/>
            <w:shd w:val="clear" w:color="auto" w:fill="auto"/>
            <w:noWrap/>
            <w:vAlign w:val="bottom"/>
            <w:hideMark/>
          </w:tcPr>
          <w:p w14:paraId="781A182E"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192 </w:t>
            </w:r>
          </w:p>
        </w:tc>
        <w:tc>
          <w:tcPr>
            <w:tcW w:w="530" w:type="pct"/>
            <w:shd w:val="clear" w:color="auto" w:fill="auto"/>
            <w:noWrap/>
            <w:vAlign w:val="bottom"/>
            <w:hideMark/>
          </w:tcPr>
          <w:p w14:paraId="1C1EA4B5"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33,894 </w:t>
            </w:r>
          </w:p>
        </w:tc>
        <w:tc>
          <w:tcPr>
            <w:tcW w:w="497" w:type="pct"/>
            <w:shd w:val="clear" w:color="auto" w:fill="auto"/>
            <w:noWrap/>
            <w:vAlign w:val="center"/>
            <w:hideMark/>
          </w:tcPr>
          <w:p w14:paraId="5EA1814E"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128 </w:t>
            </w:r>
          </w:p>
        </w:tc>
        <w:tc>
          <w:tcPr>
            <w:tcW w:w="460" w:type="pct"/>
            <w:shd w:val="clear" w:color="auto" w:fill="auto"/>
            <w:noWrap/>
            <w:vAlign w:val="center"/>
            <w:hideMark/>
          </w:tcPr>
          <w:p w14:paraId="74EA6719"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123 </w:t>
            </w:r>
          </w:p>
        </w:tc>
        <w:tc>
          <w:tcPr>
            <w:tcW w:w="494" w:type="pct"/>
            <w:shd w:val="clear" w:color="auto" w:fill="auto"/>
            <w:noWrap/>
            <w:vAlign w:val="center"/>
            <w:hideMark/>
          </w:tcPr>
          <w:p w14:paraId="5F821B26"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   </w:t>
            </w:r>
          </w:p>
        </w:tc>
        <w:tc>
          <w:tcPr>
            <w:tcW w:w="456" w:type="pct"/>
            <w:shd w:val="clear" w:color="auto" w:fill="auto"/>
            <w:noWrap/>
            <w:vAlign w:val="center"/>
            <w:hideMark/>
          </w:tcPr>
          <w:p w14:paraId="1D585E64"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   </w:t>
            </w:r>
          </w:p>
        </w:tc>
      </w:tr>
      <w:tr w:rsidR="006200B8" w:rsidRPr="00D928C5" w14:paraId="0B6FDA1C" w14:textId="77777777" w:rsidTr="006200B8">
        <w:trPr>
          <w:trHeight w:val="575"/>
        </w:trPr>
        <w:tc>
          <w:tcPr>
            <w:tcW w:w="820" w:type="pct"/>
            <w:shd w:val="clear" w:color="auto" w:fill="auto"/>
            <w:hideMark/>
          </w:tcPr>
          <w:p w14:paraId="7EFB37F4" w14:textId="77777777" w:rsidR="006200B8" w:rsidRPr="00D928C5" w:rsidRDefault="006200B8" w:rsidP="006200B8">
            <w:pPr>
              <w:spacing w:line="240" w:lineRule="auto"/>
              <w:jc w:val="left"/>
              <w:rPr>
                <w:color w:val="000000"/>
                <w:sz w:val="18"/>
                <w:szCs w:val="18"/>
              </w:rPr>
            </w:pPr>
            <w:r w:rsidRPr="00D928C5">
              <w:rPr>
                <w:color w:val="000000"/>
                <w:sz w:val="18"/>
                <w:szCs w:val="18"/>
              </w:rPr>
              <w:t>Community Health Fund</w:t>
            </w:r>
          </w:p>
        </w:tc>
        <w:tc>
          <w:tcPr>
            <w:tcW w:w="447" w:type="pct"/>
            <w:shd w:val="clear" w:color="auto" w:fill="auto"/>
            <w:noWrap/>
            <w:vAlign w:val="bottom"/>
            <w:hideMark/>
          </w:tcPr>
          <w:p w14:paraId="069E92F7"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21,475 </w:t>
            </w:r>
          </w:p>
        </w:tc>
        <w:tc>
          <w:tcPr>
            <w:tcW w:w="399" w:type="pct"/>
            <w:shd w:val="clear" w:color="auto" w:fill="auto"/>
            <w:noWrap/>
            <w:vAlign w:val="bottom"/>
            <w:hideMark/>
          </w:tcPr>
          <w:p w14:paraId="0C78C302"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9,007 </w:t>
            </w:r>
          </w:p>
        </w:tc>
        <w:tc>
          <w:tcPr>
            <w:tcW w:w="474" w:type="pct"/>
            <w:shd w:val="clear" w:color="auto" w:fill="auto"/>
            <w:noWrap/>
            <w:vAlign w:val="bottom"/>
            <w:hideMark/>
          </w:tcPr>
          <w:p w14:paraId="0FDDDCD3"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10,552 </w:t>
            </w:r>
          </w:p>
        </w:tc>
        <w:tc>
          <w:tcPr>
            <w:tcW w:w="423" w:type="pct"/>
            <w:shd w:val="clear" w:color="auto" w:fill="auto"/>
            <w:noWrap/>
            <w:vAlign w:val="bottom"/>
            <w:hideMark/>
          </w:tcPr>
          <w:p w14:paraId="4D6D4DDD"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17,301 </w:t>
            </w:r>
          </w:p>
        </w:tc>
        <w:tc>
          <w:tcPr>
            <w:tcW w:w="530" w:type="pct"/>
            <w:shd w:val="clear" w:color="auto" w:fill="auto"/>
            <w:noWrap/>
            <w:vAlign w:val="bottom"/>
            <w:hideMark/>
          </w:tcPr>
          <w:p w14:paraId="7550EE80"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23,449 </w:t>
            </w:r>
          </w:p>
        </w:tc>
        <w:tc>
          <w:tcPr>
            <w:tcW w:w="497" w:type="pct"/>
            <w:shd w:val="clear" w:color="auto" w:fill="auto"/>
            <w:noWrap/>
            <w:vAlign w:val="center"/>
            <w:hideMark/>
          </w:tcPr>
          <w:p w14:paraId="3CDA8ED3"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3,320 </w:t>
            </w:r>
          </w:p>
        </w:tc>
        <w:tc>
          <w:tcPr>
            <w:tcW w:w="460" w:type="pct"/>
            <w:shd w:val="clear" w:color="auto" w:fill="auto"/>
            <w:noWrap/>
            <w:vAlign w:val="center"/>
            <w:hideMark/>
          </w:tcPr>
          <w:p w14:paraId="27A604E7"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2,065 </w:t>
            </w:r>
          </w:p>
        </w:tc>
        <w:tc>
          <w:tcPr>
            <w:tcW w:w="494" w:type="pct"/>
            <w:shd w:val="clear" w:color="auto" w:fill="auto"/>
            <w:noWrap/>
            <w:vAlign w:val="center"/>
            <w:hideMark/>
          </w:tcPr>
          <w:p w14:paraId="2716DA00"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1,851 </w:t>
            </w:r>
          </w:p>
        </w:tc>
        <w:tc>
          <w:tcPr>
            <w:tcW w:w="456" w:type="pct"/>
            <w:shd w:val="clear" w:color="auto" w:fill="auto"/>
            <w:noWrap/>
            <w:vAlign w:val="center"/>
            <w:hideMark/>
          </w:tcPr>
          <w:p w14:paraId="32B601CD"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1,933 </w:t>
            </w:r>
          </w:p>
        </w:tc>
      </w:tr>
      <w:tr w:rsidR="006200B8" w:rsidRPr="00D928C5" w14:paraId="1326B521" w14:textId="77777777" w:rsidTr="006200B8">
        <w:trPr>
          <w:trHeight w:val="575"/>
        </w:trPr>
        <w:tc>
          <w:tcPr>
            <w:tcW w:w="820" w:type="pct"/>
            <w:shd w:val="clear" w:color="auto" w:fill="auto"/>
            <w:hideMark/>
          </w:tcPr>
          <w:p w14:paraId="5D0F2655" w14:textId="77777777" w:rsidR="006200B8" w:rsidRPr="00D928C5" w:rsidRDefault="006200B8" w:rsidP="006200B8">
            <w:pPr>
              <w:spacing w:line="240" w:lineRule="auto"/>
              <w:jc w:val="left"/>
              <w:rPr>
                <w:color w:val="000000"/>
                <w:sz w:val="18"/>
                <w:szCs w:val="18"/>
              </w:rPr>
            </w:pPr>
            <w:r w:rsidRPr="00D928C5">
              <w:rPr>
                <w:color w:val="000000"/>
                <w:sz w:val="18"/>
                <w:szCs w:val="18"/>
              </w:rPr>
              <w:t xml:space="preserve">NHIF </w:t>
            </w:r>
          </w:p>
        </w:tc>
        <w:tc>
          <w:tcPr>
            <w:tcW w:w="447" w:type="pct"/>
            <w:shd w:val="clear" w:color="auto" w:fill="auto"/>
            <w:noWrap/>
            <w:vAlign w:val="bottom"/>
            <w:hideMark/>
          </w:tcPr>
          <w:p w14:paraId="293E73A1" w14:textId="77777777" w:rsidR="006200B8" w:rsidRPr="00D928C5" w:rsidRDefault="006200B8" w:rsidP="006200B8">
            <w:pPr>
              <w:spacing w:line="240" w:lineRule="auto"/>
              <w:jc w:val="right"/>
              <w:rPr>
                <w:color w:val="000000"/>
                <w:sz w:val="18"/>
                <w:szCs w:val="18"/>
              </w:rPr>
            </w:pPr>
            <w:r w:rsidRPr="00D928C5">
              <w:rPr>
                <w:color w:val="000000"/>
                <w:sz w:val="18"/>
                <w:szCs w:val="18"/>
              </w:rPr>
              <w:t> </w:t>
            </w:r>
          </w:p>
        </w:tc>
        <w:tc>
          <w:tcPr>
            <w:tcW w:w="399" w:type="pct"/>
            <w:shd w:val="clear" w:color="auto" w:fill="auto"/>
            <w:noWrap/>
            <w:vAlign w:val="bottom"/>
            <w:hideMark/>
          </w:tcPr>
          <w:p w14:paraId="5BE6BEC7" w14:textId="77777777" w:rsidR="006200B8" w:rsidRPr="00D928C5" w:rsidRDefault="006200B8" w:rsidP="006200B8">
            <w:pPr>
              <w:spacing w:line="240" w:lineRule="auto"/>
              <w:jc w:val="right"/>
              <w:rPr>
                <w:color w:val="000000"/>
                <w:sz w:val="18"/>
                <w:szCs w:val="18"/>
              </w:rPr>
            </w:pPr>
            <w:r w:rsidRPr="00D928C5">
              <w:rPr>
                <w:color w:val="000000"/>
                <w:sz w:val="18"/>
                <w:szCs w:val="18"/>
              </w:rPr>
              <w:t> </w:t>
            </w:r>
          </w:p>
        </w:tc>
        <w:tc>
          <w:tcPr>
            <w:tcW w:w="474" w:type="pct"/>
            <w:shd w:val="clear" w:color="auto" w:fill="auto"/>
            <w:noWrap/>
            <w:vAlign w:val="bottom"/>
            <w:hideMark/>
          </w:tcPr>
          <w:p w14:paraId="3E31C996" w14:textId="77777777" w:rsidR="006200B8" w:rsidRPr="00D928C5" w:rsidRDefault="006200B8" w:rsidP="006200B8">
            <w:pPr>
              <w:spacing w:line="240" w:lineRule="auto"/>
              <w:jc w:val="right"/>
              <w:rPr>
                <w:color w:val="000000"/>
                <w:sz w:val="18"/>
                <w:szCs w:val="18"/>
              </w:rPr>
            </w:pPr>
            <w:r w:rsidRPr="00D928C5">
              <w:rPr>
                <w:color w:val="000000"/>
                <w:sz w:val="18"/>
                <w:szCs w:val="18"/>
              </w:rPr>
              <w:t> </w:t>
            </w:r>
          </w:p>
        </w:tc>
        <w:tc>
          <w:tcPr>
            <w:tcW w:w="423" w:type="pct"/>
            <w:shd w:val="clear" w:color="auto" w:fill="auto"/>
            <w:noWrap/>
            <w:vAlign w:val="bottom"/>
            <w:hideMark/>
          </w:tcPr>
          <w:p w14:paraId="170F4B8C" w14:textId="77777777" w:rsidR="006200B8" w:rsidRPr="00D928C5" w:rsidRDefault="006200B8" w:rsidP="006200B8">
            <w:pPr>
              <w:spacing w:line="240" w:lineRule="auto"/>
              <w:jc w:val="right"/>
              <w:rPr>
                <w:color w:val="000000"/>
                <w:sz w:val="18"/>
                <w:szCs w:val="18"/>
              </w:rPr>
            </w:pPr>
            <w:r w:rsidRPr="00D928C5">
              <w:rPr>
                <w:color w:val="000000"/>
                <w:sz w:val="18"/>
                <w:szCs w:val="18"/>
              </w:rPr>
              <w:t> </w:t>
            </w:r>
          </w:p>
        </w:tc>
        <w:tc>
          <w:tcPr>
            <w:tcW w:w="530" w:type="pct"/>
            <w:shd w:val="clear" w:color="auto" w:fill="auto"/>
            <w:noWrap/>
            <w:vAlign w:val="bottom"/>
            <w:hideMark/>
          </w:tcPr>
          <w:p w14:paraId="40D1FB59"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20,097 </w:t>
            </w:r>
          </w:p>
        </w:tc>
        <w:tc>
          <w:tcPr>
            <w:tcW w:w="497" w:type="pct"/>
            <w:shd w:val="clear" w:color="auto" w:fill="auto"/>
            <w:noWrap/>
            <w:vAlign w:val="center"/>
            <w:hideMark/>
          </w:tcPr>
          <w:p w14:paraId="52A455BB" w14:textId="77777777" w:rsidR="006200B8" w:rsidRPr="00D928C5" w:rsidRDefault="006200B8" w:rsidP="006200B8">
            <w:pPr>
              <w:spacing w:line="240" w:lineRule="auto"/>
              <w:jc w:val="right"/>
              <w:rPr>
                <w:color w:val="000000"/>
                <w:sz w:val="18"/>
                <w:szCs w:val="18"/>
              </w:rPr>
            </w:pPr>
            <w:r w:rsidRPr="00D928C5">
              <w:rPr>
                <w:color w:val="000000"/>
                <w:sz w:val="18"/>
                <w:szCs w:val="18"/>
              </w:rPr>
              <w:t> </w:t>
            </w:r>
          </w:p>
        </w:tc>
        <w:tc>
          <w:tcPr>
            <w:tcW w:w="460" w:type="pct"/>
            <w:shd w:val="clear" w:color="auto" w:fill="auto"/>
            <w:noWrap/>
            <w:vAlign w:val="center"/>
            <w:hideMark/>
          </w:tcPr>
          <w:p w14:paraId="0579BCF5" w14:textId="77777777" w:rsidR="006200B8" w:rsidRPr="00D928C5" w:rsidRDefault="006200B8" w:rsidP="006200B8">
            <w:pPr>
              <w:spacing w:line="240" w:lineRule="auto"/>
              <w:jc w:val="right"/>
              <w:rPr>
                <w:color w:val="000000"/>
                <w:sz w:val="18"/>
                <w:szCs w:val="18"/>
              </w:rPr>
            </w:pPr>
            <w:r w:rsidRPr="00D928C5">
              <w:rPr>
                <w:color w:val="000000"/>
                <w:sz w:val="18"/>
                <w:szCs w:val="18"/>
              </w:rPr>
              <w:t> </w:t>
            </w:r>
          </w:p>
        </w:tc>
        <w:tc>
          <w:tcPr>
            <w:tcW w:w="494" w:type="pct"/>
            <w:shd w:val="clear" w:color="auto" w:fill="auto"/>
            <w:noWrap/>
            <w:vAlign w:val="center"/>
            <w:hideMark/>
          </w:tcPr>
          <w:p w14:paraId="2A52A433" w14:textId="77777777" w:rsidR="006200B8" w:rsidRPr="00D928C5" w:rsidRDefault="006200B8" w:rsidP="006200B8">
            <w:pPr>
              <w:spacing w:line="240" w:lineRule="auto"/>
              <w:jc w:val="right"/>
              <w:rPr>
                <w:color w:val="000000"/>
                <w:sz w:val="18"/>
                <w:szCs w:val="18"/>
              </w:rPr>
            </w:pPr>
            <w:r w:rsidRPr="00D928C5">
              <w:rPr>
                <w:color w:val="000000"/>
                <w:sz w:val="18"/>
                <w:szCs w:val="18"/>
              </w:rPr>
              <w:t> </w:t>
            </w:r>
          </w:p>
        </w:tc>
        <w:tc>
          <w:tcPr>
            <w:tcW w:w="456" w:type="pct"/>
            <w:shd w:val="clear" w:color="auto" w:fill="auto"/>
            <w:noWrap/>
            <w:vAlign w:val="center"/>
            <w:hideMark/>
          </w:tcPr>
          <w:p w14:paraId="3F71FDE9" w14:textId="77777777" w:rsidR="006200B8" w:rsidRPr="00D928C5" w:rsidRDefault="006200B8" w:rsidP="006200B8">
            <w:pPr>
              <w:spacing w:line="240" w:lineRule="auto"/>
              <w:jc w:val="right"/>
              <w:rPr>
                <w:color w:val="000000"/>
                <w:sz w:val="18"/>
                <w:szCs w:val="18"/>
              </w:rPr>
            </w:pPr>
            <w:r w:rsidRPr="00D928C5">
              <w:rPr>
                <w:color w:val="000000"/>
                <w:sz w:val="18"/>
                <w:szCs w:val="18"/>
              </w:rPr>
              <w:t> </w:t>
            </w:r>
          </w:p>
        </w:tc>
      </w:tr>
      <w:tr w:rsidR="006200B8" w:rsidRPr="00D928C5" w14:paraId="4732E11D" w14:textId="77777777" w:rsidTr="006200B8">
        <w:trPr>
          <w:trHeight w:val="575"/>
        </w:trPr>
        <w:tc>
          <w:tcPr>
            <w:tcW w:w="820" w:type="pct"/>
            <w:shd w:val="clear" w:color="auto" w:fill="auto"/>
            <w:hideMark/>
          </w:tcPr>
          <w:p w14:paraId="4EFF7287" w14:textId="77777777" w:rsidR="006200B8" w:rsidRPr="00D928C5" w:rsidRDefault="006200B8" w:rsidP="006200B8">
            <w:pPr>
              <w:spacing w:line="240" w:lineRule="auto"/>
              <w:jc w:val="left"/>
              <w:rPr>
                <w:color w:val="000000"/>
                <w:sz w:val="18"/>
                <w:szCs w:val="18"/>
              </w:rPr>
            </w:pPr>
            <w:r w:rsidRPr="00D928C5">
              <w:rPr>
                <w:color w:val="000000"/>
                <w:sz w:val="18"/>
                <w:szCs w:val="18"/>
              </w:rPr>
              <w:t xml:space="preserve">Others donors </w:t>
            </w:r>
          </w:p>
        </w:tc>
        <w:tc>
          <w:tcPr>
            <w:tcW w:w="447" w:type="pct"/>
            <w:shd w:val="clear" w:color="auto" w:fill="auto"/>
            <w:noWrap/>
            <w:vAlign w:val="bottom"/>
            <w:hideMark/>
          </w:tcPr>
          <w:p w14:paraId="38D98015"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60,869 </w:t>
            </w:r>
          </w:p>
        </w:tc>
        <w:tc>
          <w:tcPr>
            <w:tcW w:w="399" w:type="pct"/>
            <w:shd w:val="clear" w:color="auto" w:fill="auto"/>
            <w:noWrap/>
            <w:vAlign w:val="bottom"/>
            <w:hideMark/>
          </w:tcPr>
          <w:p w14:paraId="0B1373B5"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40,314 </w:t>
            </w:r>
          </w:p>
        </w:tc>
        <w:tc>
          <w:tcPr>
            <w:tcW w:w="474" w:type="pct"/>
            <w:shd w:val="clear" w:color="auto" w:fill="auto"/>
            <w:noWrap/>
            <w:vAlign w:val="bottom"/>
            <w:hideMark/>
          </w:tcPr>
          <w:p w14:paraId="044AA493"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35,439 </w:t>
            </w:r>
          </w:p>
        </w:tc>
        <w:tc>
          <w:tcPr>
            <w:tcW w:w="423" w:type="pct"/>
            <w:shd w:val="clear" w:color="auto" w:fill="auto"/>
            <w:noWrap/>
            <w:vAlign w:val="bottom"/>
            <w:hideMark/>
          </w:tcPr>
          <w:p w14:paraId="3E984942"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39,794 </w:t>
            </w:r>
          </w:p>
        </w:tc>
        <w:tc>
          <w:tcPr>
            <w:tcW w:w="530" w:type="pct"/>
            <w:shd w:val="clear" w:color="auto" w:fill="auto"/>
            <w:noWrap/>
            <w:vAlign w:val="bottom"/>
            <w:hideMark/>
          </w:tcPr>
          <w:p w14:paraId="733F491B"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274,158 </w:t>
            </w:r>
          </w:p>
        </w:tc>
        <w:tc>
          <w:tcPr>
            <w:tcW w:w="497" w:type="pct"/>
            <w:shd w:val="clear" w:color="auto" w:fill="auto"/>
            <w:noWrap/>
            <w:vAlign w:val="center"/>
            <w:hideMark/>
          </w:tcPr>
          <w:p w14:paraId="5DE492BC"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15,087 </w:t>
            </w:r>
          </w:p>
        </w:tc>
        <w:tc>
          <w:tcPr>
            <w:tcW w:w="460" w:type="pct"/>
            <w:shd w:val="clear" w:color="auto" w:fill="auto"/>
            <w:noWrap/>
            <w:vAlign w:val="center"/>
            <w:hideMark/>
          </w:tcPr>
          <w:p w14:paraId="24DE0EF0"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15,533 </w:t>
            </w:r>
          </w:p>
        </w:tc>
        <w:tc>
          <w:tcPr>
            <w:tcW w:w="494" w:type="pct"/>
            <w:shd w:val="clear" w:color="auto" w:fill="auto"/>
            <w:noWrap/>
            <w:vAlign w:val="center"/>
            <w:hideMark/>
          </w:tcPr>
          <w:p w14:paraId="75EFE274"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52,559 </w:t>
            </w:r>
          </w:p>
        </w:tc>
        <w:tc>
          <w:tcPr>
            <w:tcW w:w="456" w:type="pct"/>
            <w:shd w:val="clear" w:color="auto" w:fill="auto"/>
            <w:noWrap/>
            <w:vAlign w:val="center"/>
            <w:hideMark/>
          </w:tcPr>
          <w:p w14:paraId="0ECF711B" w14:textId="77777777" w:rsidR="006200B8" w:rsidRPr="00D928C5" w:rsidRDefault="006200B8" w:rsidP="006200B8">
            <w:pPr>
              <w:spacing w:line="240" w:lineRule="auto"/>
              <w:jc w:val="right"/>
              <w:rPr>
                <w:color w:val="000000"/>
                <w:sz w:val="18"/>
                <w:szCs w:val="18"/>
              </w:rPr>
            </w:pPr>
            <w:r w:rsidRPr="00D928C5">
              <w:rPr>
                <w:color w:val="000000"/>
                <w:sz w:val="18"/>
                <w:szCs w:val="18"/>
              </w:rPr>
              <w:t xml:space="preserve">       52,504 </w:t>
            </w:r>
          </w:p>
        </w:tc>
      </w:tr>
      <w:tr w:rsidR="006200B8" w:rsidRPr="00D928C5" w14:paraId="5B95031A" w14:textId="77777777" w:rsidTr="006200B8">
        <w:trPr>
          <w:trHeight w:val="575"/>
        </w:trPr>
        <w:tc>
          <w:tcPr>
            <w:tcW w:w="820" w:type="pct"/>
            <w:shd w:val="clear" w:color="auto" w:fill="auto"/>
            <w:noWrap/>
            <w:hideMark/>
          </w:tcPr>
          <w:p w14:paraId="05F2FA3E" w14:textId="77777777" w:rsidR="006200B8" w:rsidRPr="00D928C5" w:rsidRDefault="006200B8" w:rsidP="006200B8">
            <w:pPr>
              <w:spacing w:line="240" w:lineRule="auto"/>
              <w:jc w:val="left"/>
              <w:rPr>
                <w:b/>
                <w:bCs/>
                <w:color w:val="000000"/>
                <w:sz w:val="18"/>
                <w:szCs w:val="18"/>
              </w:rPr>
            </w:pPr>
            <w:r w:rsidRPr="00D928C5">
              <w:rPr>
                <w:b/>
                <w:bCs/>
                <w:color w:val="000000"/>
                <w:sz w:val="18"/>
                <w:szCs w:val="18"/>
              </w:rPr>
              <w:t>Grand Total</w:t>
            </w:r>
          </w:p>
        </w:tc>
        <w:tc>
          <w:tcPr>
            <w:tcW w:w="447" w:type="pct"/>
            <w:shd w:val="clear" w:color="auto" w:fill="auto"/>
            <w:noWrap/>
            <w:vAlign w:val="bottom"/>
            <w:hideMark/>
          </w:tcPr>
          <w:p w14:paraId="5576D4CB" w14:textId="77777777" w:rsidR="006200B8" w:rsidRPr="00D928C5" w:rsidRDefault="006200B8" w:rsidP="006200B8">
            <w:pPr>
              <w:spacing w:line="240" w:lineRule="auto"/>
              <w:jc w:val="right"/>
              <w:rPr>
                <w:b/>
                <w:bCs/>
                <w:color w:val="000000"/>
                <w:sz w:val="18"/>
                <w:szCs w:val="18"/>
              </w:rPr>
            </w:pPr>
            <w:r w:rsidRPr="00D928C5">
              <w:rPr>
                <w:b/>
                <w:bCs/>
                <w:color w:val="000000"/>
                <w:sz w:val="18"/>
                <w:szCs w:val="18"/>
              </w:rPr>
              <w:t xml:space="preserve">     623,381 </w:t>
            </w:r>
          </w:p>
        </w:tc>
        <w:tc>
          <w:tcPr>
            <w:tcW w:w="399" w:type="pct"/>
            <w:shd w:val="clear" w:color="auto" w:fill="auto"/>
            <w:noWrap/>
            <w:vAlign w:val="bottom"/>
            <w:hideMark/>
          </w:tcPr>
          <w:p w14:paraId="4ACE5965" w14:textId="77777777" w:rsidR="006200B8" w:rsidRPr="00D928C5" w:rsidRDefault="006200B8" w:rsidP="006200B8">
            <w:pPr>
              <w:spacing w:line="240" w:lineRule="auto"/>
              <w:jc w:val="right"/>
              <w:rPr>
                <w:b/>
                <w:bCs/>
                <w:color w:val="000000"/>
                <w:sz w:val="18"/>
                <w:szCs w:val="18"/>
              </w:rPr>
            </w:pPr>
            <w:r w:rsidRPr="00D928C5">
              <w:rPr>
                <w:b/>
                <w:bCs/>
                <w:color w:val="000000"/>
                <w:sz w:val="18"/>
                <w:szCs w:val="18"/>
              </w:rPr>
              <w:t xml:space="preserve">       692,377 </w:t>
            </w:r>
          </w:p>
        </w:tc>
        <w:tc>
          <w:tcPr>
            <w:tcW w:w="474" w:type="pct"/>
            <w:shd w:val="clear" w:color="auto" w:fill="auto"/>
            <w:noWrap/>
            <w:vAlign w:val="bottom"/>
            <w:hideMark/>
          </w:tcPr>
          <w:p w14:paraId="694855E0" w14:textId="77777777" w:rsidR="006200B8" w:rsidRPr="00D928C5" w:rsidRDefault="006200B8" w:rsidP="006200B8">
            <w:pPr>
              <w:spacing w:line="240" w:lineRule="auto"/>
              <w:jc w:val="right"/>
              <w:rPr>
                <w:b/>
                <w:bCs/>
                <w:color w:val="000000"/>
                <w:sz w:val="18"/>
                <w:szCs w:val="18"/>
              </w:rPr>
            </w:pPr>
            <w:r w:rsidRPr="00D928C5">
              <w:rPr>
                <w:b/>
                <w:bCs/>
                <w:color w:val="000000"/>
                <w:sz w:val="18"/>
                <w:szCs w:val="18"/>
              </w:rPr>
              <w:t xml:space="preserve">     651,904 </w:t>
            </w:r>
          </w:p>
        </w:tc>
        <w:tc>
          <w:tcPr>
            <w:tcW w:w="423" w:type="pct"/>
            <w:shd w:val="clear" w:color="auto" w:fill="auto"/>
            <w:noWrap/>
            <w:vAlign w:val="bottom"/>
            <w:hideMark/>
          </w:tcPr>
          <w:p w14:paraId="17135894" w14:textId="77777777" w:rsidR="006200B8" w:rsidRPr="00D928C5" w:rsidRDefault="006200B8" w:rsidP="006200B8">
            <w:pPr>
              <w:spacing w:line="240" w:lineRule="auto"/>
              <w:jc w:val="right"/>
              <w:rPr>
                <w:b/>
                <w:bCs/>
                <w:color w:val="000000"/>
                <w:sz w:val="18"/>
                <w:szCs w:val="18"/>
              </w:rPr>
            </w:pPr>
            <w:r w:rsidRPr="00D928C5">
              <w:rPr>
                <w:b/>
                <w:bCs/>
                <w:color w:val="000000"/>
                <w:sz w:val="18"/>
                <w:szCs w:val="18"/>
              </w:rPr>
              <w:t xml:space="preserve">   696,078 </w:t>
            </w:r>
          </w:p>
        </w:tc>
        <w:tc>
          <w:tcPr>
            <w:tcW w:w="530" w:type="pct"/>
            <w:shd w:val="clear" w:color="auto" w:fill="auto"/>
            <w:noWrap/>
            <w:vAlign w:val="bottom"/>
            <w:hideMark/>
          </w:tcPr>
          <w:p w14:paraId="5C39F650" w14:textId="77777777" w:rsidR="006200B8" w:rsidRPr="00D928C5" w:rsidRDefault="006200B8" w:rsidP="006200B8">
            <w:pPr>
              <w:spacing w:line="240" w:lineRule="auto"/>
              <w:jc w:val="right"/>
              <w:rPr>
                <w:b/>
                <w:bCs/>
                <w:color w:val="000000"/>
                <w:sz w:val="18"/>
                <w:szCs w:val="18"/>
              </w:rPr>
            </w:pPr>
            <w:r w:rsidRPr="00D928C5">
              <w:rPr>
                <w:b/>
                <w:bCs/>
                <w:color w:val="000000"/>
                <w:sz w:val="18"/>
                <w:szCs w:val="18"/>
              </w:rPr>
              <w:t xml:space="preserve">     1,264,076 </w:t>
            </w:r>
          </w:p>
        </w:tc>
        <w:tc>
          <w:tcPr>
            <w:tcW w:w="497" w:type="pct"/>
            <w:shd w:val="clear" w:color="auto" w:fill="auto"/>
            <w:noWrap/>
            <w:vAlign w:val="bottom"/>
            <w:hideMark/>
          </w:tcPr>
          <w:p w14:paraId="36AB3F05" w14:textId="77777777" w:rsidR="006200B8" w:rsidRPr="00D928C5" w:rsidRDefault="006200B8" w:rsidP="006200B8">
            <w:pPr>
              <w:spacing w:line="240" w:lineRule="auto"/>
              <w:jc w:val="right"/>
              <w:rPr>
                <w:b/>
                <w:bCs/>
                <w:color w:val="000000"/>
                <w:sz w:val="18"/>
                <w:szCs w:val="18"/>
              </w:rPr>
            </w:pPr>
            <w:r w:rsidRPr="00D928C5">
              <w:rPr>
                <w:b/>
                <w:bCs/>
                <w:color w:val="000000"/>
                <w:sz w:val="18"/>
                <w:szCs w:val="18"/>
              </w:rPr>
              <w:t xml:space="preserve">      318,799 </w:t>
            </w:r>
          </w:p>
        </w:tc>
        <w:tc>
          <w:tcPr>
            <w:tcW w:w="460" w:type="pct"/>
            <w:shd w:val="clear" w:color="auto" w:fill="auto"/>
            <w:noWrap/>
            <w:vAlign w:val="bottom"/>
            <w:hideMark/>
          </w:tcPr>
          <w:p w14:paraId="629D6221" w14:textId="77777777" w:rsidR="006200B8" w:rsidRPr="00D928C5" w:rsidRDefault="006200B8" w:rsidP="006200B8">
            <w:pPr>
              <w:spacing w:line="240" w:lineRule="auto"/>
              <w:jc w:val="right"/>
              <w:rPr>
                <w:b/>
                <w:bCs/>
                <w:color w:val="000000"/>
                <w:sz w:val="18"/>
                <w:szCs w:val="18"/>
              </w:rPr>
            </w:pPr>
            <w:r w:rsidRPr="00D928C5">
              <w:rPr>
                <w:b/>
                <w:bCs/>
                <w:color w:val="000000"/>
                <w:sz w:val="18"/>
                <w:szCs w:val="18"/>
              </w:rPr>
              <w:t xml:space="preserve">     368,830 </w:t>
            </w:r>
          </w:p>
        </w:tc>
        <w:tc>
          <w:tcPr>
            <w:tcW w:w="494" w:type="pct"/>
            <w:shd w:val="clear" w:color="auto" w:fill="auto"/>
            <w:noWrap/>
            <w:vAlign w:val="bottom"/>
            <w:hideMark/>
          </w:tcPr>
          <w:p w14:paraId="4ACA787C" w14:textId="77777777" w:rsidR="006200B8" w:rsidRPr="00D928C5" w:rsidRDefault="006200B8" w:rsidP="006200B8">
            <w:pPr>
              <w:spacing w:line="240" w:lineRule="auto"/>
              <w:jc w:val="right"/>
              <w:rPr>
                <w:b/>
                <w:bCs/>
                <w:color w:val="000000"/>
                <w:sz w:val="18"/>
                <w:szCs w:val="18"/>
              </w:rPr>
            </w:pPr>
            <w:r w:rsidRPr="00D928C5">
              <w:rPr>
                <w:b/>
                <w:bCs/>
                <w:color w:val="000000"/>
                <w:sz w:val="18"/>
                <w:szCs w:val="18"/>
              </w:rPr>
              <w:t xml:space="preserve">       541,324 </w:t>
            </w:r>
          </w:p>
        </w:tc>
        <w:tc>
          <w:tcPr>
            <w:tcW w:w="456" w:type="pct"/>
            <w:shd w:val="clear" w:color="auto" w:fill="auto"/>
            <w:noWrap/>
            <w:vAlign w:val="bottom"/>
            <w:hideMark/>
          </w:tcPr>
          <w:p w14:paraId="547D077C" w14:textId="77777777" w:rsidR="006200B8" w:rsidRPr="00D928C5" w:rsidRDefault="006200B8" w:rsidP="006200B8">
            <w:pPr>
              <w:spacing w:line="240" w:lineRule="auto"/>
              <w:jc w:val="right"/>
              <w:rPr>
                <w:b/>
                <w:bCs/>
                <w:color w:val="000000"/>
                <w:sz w:val="18"/>
                <w:szCs w:val="18"/>
              </w:rPr>
            </w:pPr>
            <w:r w:rsidRPr="00D928C5">
              <w:rPr>
                <w:b/>
                <w:bCs/>
                <w:color w:val="000000"/>
                <w:sz w:val="18"/>
                <w:szCs w:val="18"/>
              </w:rPr>
              <w:t xml:space="preserve">     586,468 </w:t>
            </w:r>
          </w:p>
        </w:tc>
      </w:tr>
    </w:tbl>
    <w:p w14:paraId="6AC04370" w14:textId="67A2FBB6" w:rsidR="00984FA0" w:rsidRDefault="00984FA0" w:rsidP="00E577CB">
      <w:pPr>
        <w:pStyle w:val="Caption"/>
      </w:pPr>
      <w:r>
        <w:t xml:space="preserve">Table </w:t>
      </w:r>
      <w:r w:rsidR="00E577CB">
        <w:t>5.1:</w:t>
      </w:r>
      <w:r w:rsidR="00E577CB">
        <w:tab/>
      </w:r>
      <w:r w:rsidRPr="001170AC">
        <w:t xml:space="preserve">LGA </w:t>
      </w:r>
      <w:r>
        <w:t xml:space="preserve">Budget </w:t>
      </w:r>
      <w:r w:rsidR="00204E75">
        <w:t xml:space="preserve">and Expenditure </w:t>
      </w:r>
      <w:r w:rsidRPr="001170AC">
        <w:t>by Source</w:t>
      </w:r>
      <w:r w:rsidR="006246DC">
        <w:t xml:space="preserve"> (MN TZS)</w:t>
      </w:r>
      <w:bookmarkEnd w:id="122"/>
    </w:p>
    <w:p w14:paraId="2FF2F0A0" w14:textId="77777777" w:rsidR="007C7FB5" w:rsidRPr="00D928C5" w:rsidRDefault="006246DC" w:rsidP="007C7FB5">
      <w:pPr>
        <w:rPr>
          <w:b/>
          <w:i/>
          <w:color w:val="000000"/>
        </w:rPr>
      </w:pPr>
      <w:r w:rsidRPr="00D928C5">
        <w:rPr>
          <w:b/>
          <w:i/>
          <w:color w:val="000000"/>
        </w:rPr>
        <w:t xml:space="preserve">Source: </w:t>
      </w:r>
      <w:r w:rsidR="007C7FB5" w:rsidRPr="00D928C5">
        <w:rPr>
          <w:b/>
          <w:i/>
          <w:color w:val="000000"/>
        </w:rPr>
        <w:t xml:space="preserve">LGA Epicor </w:t>
      </w:r>
      <w:r w:rsidR="00423FA0" w:rsidRPr="00D928C5">
        <w:rPr>
          <w:b/>
          <w:i/>
          <w:color w:val="000000"/>
        </w:rPr>
        <w:t xml:space="preserve">System. </w:t>
      </w:r>
    </w:p>
    <w:p w14:paraId="1605FB20" w14:textId="77777777" w:rsidR="00134B7C" w:rsidRDefault="00134B7C" w:rsidP="00FC03A9"/>
    <w:p w14:paraId="7E7FBBA9" w14:textId="77777777" w:rsidR="00FC03A9" w:rsidRDefault="009125D0" w:rsidP="00840A70">
      <w:pPr>
        <w:pStyle w:val="Caption1"/>
      </w:pPr>
      <w:r>
        <w:br w:type="page"/>
      </w:r>
      <w:bookmarkStart w:id="123" w:name="_Toc488423309"/>
      <w:r w:rsidR="00840A70">
        <w:lastRenderedPageBreak/>
        <w:t>Figure 5.1:</w:t>
      </w:r>
      <w:r w:rsidR="00840A70">
        <w:tab/>
      </w:r>
      <w:r w:rsidR="00FC03A9" w:rsidRPr="001170AC">
        <w:t xml:space="preserve">LGA </w:t>
      </w:r>
      <w:r w:rsidR="009F0EB5">
        <w:t xml:space="preserve">Budget </w:t>
      </w:r>
      <w:r w:rsidR="00204E75">
        <w:t xml:space="preserve">and Expenditure </w:t>
      </w:r>
      <w:r w:rsidR="00FC03A9" w:rsidRPr="001170AC">
        <w:t>by Source</w:t>
      </w:r>
      <w:bookmarkEnd w:id="123"/>
      <w:r w:rsidR="00FC03A9" w:rsidRPr="001170AC">
        <w:t xml:space="preserve"> </w:t>
      </w:r>
    </w:p>
    <w:p w14:paraId="45DD18B9" w14:textId="3480AADC" w:rsidR="006200B8" w:rsidRDefault="006200B8" w:rsidP="00840A70">
      <w:pPr>
        <w:pStyle w:val="Caption1"/>
      </w:pPr>
      <w:r>
        <w:drawing>
          <wp:inline distT="0" distB="0" distL="0" distR="0" wp14:anchorId="4727969C" wp14:editId="57EF3FD3">
            <wp:extent cx="5538789" cy="3371850"/>
            <wp:effectExtent l="0" t="0" r="5080"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14:paraId="4ACC4F93" w14:textId="77777777" w:rsidR="00FC03A9" w:rsidRPr="00535160" w:rsidRDefault="009F0EB5" w:rsidP="00670B35">
      <w:pPr>
        <w:rPr>
          <w:sz w:val="20"/>
          <w:szCs w:val="20"/>
        </w:rPr>
      </w:pPr>
      <w:r w:rsidRPr="00535160">
        <w:rPr>
          <w:b/>
          <w:i/>
          <w:sz w:val="20"/>
          <w:szCs w:val="20"/>
        </w:rPr>
        <w:t xml:space="preserve">Source: </w:t>
      </w:r>
      <w:r w:rsidR="004B0D09" w:rsidRPr="00535160">
        <w:rPr>
          <w:b/>
          <w:i/>
          <w:sz w:val="20"/>
          <w:szCs w:val="20"/>
        </w:rPr>
        <w:t xml:space="preserve"> </w:t>
      </w:r>
      <w:r w:rsidR="00423FA0" w:rsidRPr="00535160">
        <w:rPr>
          <w:b/>
          <w:i/>
          <w:sz w:val="20"/>
          <w:szCs w:val="20"/>
        </w:rPr>
        <w:t xml:space="preserve">LGA </w:t>
      </w:r>
      <w:r w:rsidR="004B0D09" w:rsidRPr="00535160">
        <w:rPr>
          <w:b/>
          <w:i/>
          <w:sz w:val="20"/>
          <w:szCs w:val="20"/>
        </w:rPr>
        <w:t xml:space="preserve">Epicor </w:t>
      </w:r>
      <w:r w:rsidR="00423FA0" w:rsidRPr="00535160">
        <w:rPr>
          <w:b/>
          <w:i/>
          <w:sz w:val="20"/>
          <w:szCs w:val="20"/>
        </w:rPr>
        <w:t xml:space="preserve">System. </w:t>
      </w:r>
    </w:p>
    <w:bookmarkEnd w:id="114"/>
    <w:bookmarkEnd w:id="115"/>
    <w:bookmarkEnd w:id="116"/>
    <w:bookmarkEnd w:id="117"/>
    <w:p w14:paraId="1B1586AF" w14:textId="77777777" w:rsidR="00614815" w:rsidRDefault="00614815" w:rsidP="00670B35">
      <w:pPr>
        <w:rPr>
          <w:b/>
        </w:rPr>
      </w:pPr>
    </w:p>
    <w:p w14:paraId="23DC979B" w14:textId="77777777" w:rsidR="00C85938" w:rsidRPr="001170AC" w:rsidRDefault="00D33DB9" w:rsidP="00197026">
      <w:pPr>
        <w:pStyle w:val="Heading2"/>
      </w:pPr>
      <w:bookmarkStart w:id="124" w:name="_Toc488423270"/>
      <w:r w:rsidRPr="001170AC">
        <w:t>5.</w:t>
      </w:r>
      <w:r w:rsidR="002E1048">
        <w:t>3</w:t>
      </w:r>
      <w:r w:rsidR="00197026">
        <w:tab/>
      </w:r>
      <w:r w:rsidR="00C85938" w:rsidRPr="001170AC">
        <w:t>Recurrent and Development Spending at LGA</w:t>
      </w:r>
      <w:bookmarkEnd w:id="124"/>
      <w:r w:rsidR="00C85938" w:rsidRPr="001170AC">
        <w:t xml:space="preserve"> </w:t>
      </w:r>
    </w:p>
    <w:p w14:paraId="60B0D958" w14:textId="77777777" w:rsidR="00D33DB9" w:rsidRPr="001170AC" w:rsidRDefault="00D33DB9" w:rsidP="00670B35"/>
    <w:p w14:paraId="7B8EDC1B" w14:textId="77777777" w:rsidR="00B13ADC" w:rsidRDefault="00B13ADC" w:rsidP="00B13ADC">
      <w:pPr>
        <w:pStyle w:val="1-DocText"/>
        <w:spacing w:before="0" w:after="0" w:line="276" w:lineRule="auto"/>
        <w:jc w:val="both"/>
        <w:rPr>
          <w:rFonts w:ascii="Calibri" w:hAnsi="Calibri" w:cs="Calibri"/>
          <w:color w:val="000000"/>
          <w:sz w:val="24"/>
          <w:szCs w:val="24"/>
        </w:rPr>
      </w:pPr>
      <w:r>
        <w:rPr>
          <w:rFonts w:ascii="Calibri" w:hAnsi="Calibri" w:cs="Calibri"/>
          <w:color w:val="000000"/>
          <w:sz w:val="24"/>
          <w:szCs w:val="24"/>
        </w:rPr>
        <w:t>A</w:t>
      </w:r>
      <w:r w:rsidRPr="00533EAF">
        <w:rPr>
          <w:rFonts w:ascii="Calibri" w:hAnsi="Calibri" w:cs="Calibri"/>
          <w:color w:val="000000"/>
          <w:sz w:val="24"/>
          <w:szCs w:val="24"/>
        </w:rPr>
        <w:t>nalysis</w:t>
      </w:r>
      <w:r>
        <w:rPr>
          <w:rFonts w:ascii="Calibri" w:hAnsi="Calibri" w:cs="Calibri"/>
          <w:color w:val="000000"/>
          <w:sz w:val="24"/>
          <w:szCs w:val="24"/>
        </w:rPr>
        <w:t xml:space="preserve"> of expenditure by r</w:t>
      </w:r>
      <w:r w:rsidRPr="00533EAF">
        <w:rPr>
          <w:rFonts w:ascii="Calibri" w:hAnsi="Calibri" w:cs="Calibri"/>
          <w:color w:val="000000"/>
          <w:sz w:val="24"/>
          <w:szCs w:val="24"/>
        </w:rPr>
        <w:t xml:space="preserve">ecurrent </w:t>
      </w:r>
      <w:r>
        <w:rPr>
          <w:rFonts w:ascii="Calibri" w:hAnsi="Calibri" w:cs="Calibri"/>
          <w:color w:val="000000"/>
          <w:sz w:val="24"/>
          <w:szCs w:val="24"/>
        </w:rPr>
        <w:t>(PE and OC) and d</w:t>
      </w:r>
      <w:r w:rsidRPr="00533EAF">
        <w:rPr>
          <w:rFonts w:ascii="Calibri" w:hAnsi="Calibri" w:cs="Calibri"/>
          <w:color w:val="000000"/>
          <w:sz w:val="24"/>
          <w:szCs w:val="24"/>
        </w:rPr>
        <w:t xml:space="preserve">evelopment </w:t>
      </w:r>
      <w:r>
        <w:rPr>
          <w:rFonts w:ascii="Calibri" w:hAnsi="Calibri" w:cs="Calibri"/>
          <w:color w:val="000000"/>
          <w:sz w:val="24"/>
          <w:szCs w:val="24"/>
        </w:rPr>
        <w:t xml:space="preserve">categories was done as shown in </w:t>
      </w:r>
      <w:r w:rsidR="008E4BF6">
        <w:rPr>
          <w:rFonts w:ascii="Calibri" w:hAnsi="Calibri" w:cs="Calibri"/>
          <w:color w:val="000000"/>
          <w:sz w:val="24"/>
          <w:szCs w:val="24"/>
        </w:rPr>
        <w:t xml:space="preserve">Table 5.2 and </w:t>
      </w:r>
      <w:r>
        <w:rPr>
          <w:rFonts w:ascii="Calibri" w:hAnsi="Calibri" w:cs="Calibri"/>
          <w:color w:val="000000"/>
          <w:sz w:val="24"/>
          <w:szCs w:val="24"/>
        </w:rPr>
        <w:t>Figure 5.</w:t>
      </w:r>
      <w:r w:rsidR="008E4BF6">
        <w:rPr>
          <w:rFonts w:ascii="Calibri" w:hAnsi="Calibri" w:cs="Calibri"/>
          <w:color w:val="000000"/>
          <w:sz w:val="24"/>
          <w:szCs w:val="24"/>
        </w:rPr>
        <w:t>2</w:t>
      </w:r>
      <w:r>
        <w:rPr>
          <w:rFonts w:ascii="Calibri" w:hAnsi="Calibri" w:cs="Calibri"/>
          <w:color w:val="000000"/>
          <w:sz w:val="24"/>
          <w:szCs w:val="24"/>
        </w:rPr>
        <w:t xml:space="preserve">. </w:t>
      </w:r>
      <w:r w:rsidR="00E86F5D">
        <w:rPr>
          <w:rFonts w:ascii="Calibri" w:hAnsi="Calibri" w:cs="Calibri"/>
          <w:color w:val="000000"/>
          <w:sz w:val="24"/>
          <w:szCs w:val="24"/>
        </w:rPr>
        <w:t>PE as the share of total spending has increased from 55% in 2012/13 to 68% in 2016/17. Development expenditure is the least – ranged from 9% - 12% during the review period</w:t>
      </w:r>
      <w:r w:rsidR="009125D0" w:rsidRPr="007C16D0">
        <w:rPr>
          <w:rFonts w:ascii="Calibri" w:hAnsi="Calibri" w:cs="Calibri"/>
          <w:color w:val="000000"/>
          <w:sz w:val="24"/>
          <w:szCs w:val="24"/>
        </w:rPr>
        <w:t>. Increase in PE expenditures reflects the increase in the Human Resource for Health (HRH) and remuneration for the same.  Low allocation to the development expenditure is a concern given the status of some health facilities in the rural areas. Some are dilapidated and they need major repair.</w:t>
      </w:r>
      <w:r w:rsidR="009125D0">
        <w:rPr>
          <w:rFonts w:ascii="Calibri" w:hAnsi="Calibri" w:cs="Calibri"/>
          <w:color w:val="000000"/>
          <w:sz w:val="24"/>
          <w:szCs w:val="24"/>
        </w:rPr>
        <w:t xml:space="preserve"> </w:t>
      </w:r>
    </w:p>
    <w:p w14:paraId="329F0187" w14:textId="77777777" w:rsidR="008E4BF6" w:rsidRDefault="008E4BF6" w:rsidP="008E4BF6">
      <w:pPr>
        <w:rPr>
          <w:b/>
        </w:rPr>
      </w:pPr>
    </w:p>
    <w:p w14:paraId="190A6C7D" w14:textId="77777777" w:rsidR="008E4BF6" w:rsidRDefault="009125D0" w:rsidP="00535160">
      <w:pPr>
        <w:pStyle w:val="Caption"/>
      </w:pPr>
      <w:r>
        <w:br w:type="page"/>
      </w:r>
      <w:bookmarkStart w:id="125" w:name="_Toc488423289"/>
      <w:r w:rsidR="008E4BF6" w:rsidRPr="001170AC">
        <w:lastRenderedPageBreak/>
        <w:t xml:space="preserve">Table </w:t>
      </w:r>
      <w:r w:rsidR="008E4BF6">
        <w:t>5.2</w:t>
      </w:r>
      <w:r w:rsidR="008E4BF6" w:rsidRPr="001170AC">
        <w:t xml:space="preserve">: </w:t>
      </w:r>
      <w:r w:rsidR="00535160">
        <w:tab/>
      </w:r>
      <w:r w:rsidR="008E4BF6" w:rsidRPr="001170AC">
        <w:t xml:space="preserve">Government Recurrent and Development </w:t>
      </w:r>
      <w:r w:rsidR="008E4BF6">
        <w:t xml:space="preserve">Budget and Expenditures </w:t>
      </w:r>
      <w:r w:rsidR="008E4BF6" w:rsidRPr="001170AC">
        <w:t>at LGA</w:t>
      </w:r>
      <w:r>
        <w:t>s</w:t>
      </w:r>
      <w:r w:rsidR="008E4BF6" w:rsidRPr="001170AC">
        <w:t>, FY 201</w:t>
      </w:r>
      <w:r w:rsidR="008E4BF6">
        <w:t>4</w:t>
      </w:r>
      <w:r w:rsidR="008E4BF6" w:rsidRPr="001170AC">
        <w:t>/1</w:t>
      </w:r>
      <w:r w:rsidR="008E4BF6">
        <w:t>5</w:t>
      </w:r>
      <w:bookmarkEnd w:id="125"/>
    </w:p>
    <w:tbl>
      <w:tblPr>
        <w:tblW w:w="5000" w:type="pct"/>
        <w:tblBorders>
          <w:top w:val="double" w:sz="4" w:space="0" w:color="3333FF"/>
          <w:left w:val="double" w:sz="4" w:space="0" w:color="3333FF"/>
          <w:bottom w:val="double" w:sz="4" w:space="0" w:color="3333FF"/>
          <w:right w:val="double" w:sz="4" w:space="0" w:color="3333FF"/>
          <w:insideH w:val="single" w:sz="4" w:space="0" w:color="auto"/>
          <w:insideV w:val="single" w:sz="4" w:space="0" w:color="auto"/>
        </w:tblBorders>
        <w:tblLayout w:type="fixed"/>
        <w:tblLook w:val="04A0" w:firstRow="1" w:lastRow="0" w:firstColumn="1" w:lastColumn="0" w:noHBand="0" w:noVBand="1"/>
      </w:tblPr>
      <w:tblGrid>
        <w:gridCol w:w="976"/>
        <w:gridCol w:w="1087"/>
        <w:gridCol w:w="1727"/>
        <w:gridCol w:w="2301"/>
        <w:gridCol w:w="1475"/>
        <w:gridCol w:w="1430"/>
      </w:tblGrid>
      <w:tr w:rsidR="008E4BF6" w:rsidRPr="00D928C5" w14:paraId="2787A07C" w14:textId="77777777" w:rsidTr="006200B8">
        <w:trPr>
          <w:trHeight w:val="300"/>
        </w:trPr>
        <w:tc>
          <w:tcPr>
            <w:tcW w:w="542" w:type="pct"/>
            <w:shd w:val="clear" w:color="auto" w:fill="C2D69B" w:themeFill="accent3" w:themeFillTint="99"/>
            <w:noWrap/>
            <w:vAlign w:val="bottom"/>
            <w:hideMark/>
          </w:tcPr>
          <w:p w14:paraId="3FF0C616" w14:textId="77777777" w:rsidR="001B0571" w:rsidRPr="00D928C5" w:rsidRDefault="001B0571" w:rsidP="00535160">
            <w:pPr>
              <w:pStyle w:val="NoSpacing"/>
              <w:rPr>
                <w:b/>
                <w:sz w:val="20"/>
                <w:szCs w:val="20"/>
              </w:rPr>
            </w:pPr>
          </w:p>
        </w:tc>
        <w:tc>
          <w:tcPr>
            <w:tcW w:w="604" w:type="pct"/>
            <w:shd w:val="clear" w:color="auto" w:fill="C2D69B" w:themeFill="accent3" w:themeFillTint="99"/>
            <w:noWrap/>
            <w:vAlign w:val="bottom"/>
            <w:hideMark/>
          </w:tcPr>
          <w:p w14:paraId="12EC0932" w14:textId="77777777" w:rsidR="001B0571" w:rsidRPr="00D928C5" w:rsidRDefault="001B0571" w:rsidP="00535160">
            <w:pPr>
              <w:pStyle w:val="NoSpacing"/>
              <w:jc w:val="center"/>
              <w:rPr>
                <w:b/>
                <w:sz w:val="20"/>
                <w:szCs w:val="20"/>
              </w:rPr>
            </w:pPr>
          </w:p>
        </w:tc>
        <w:tc>
          <w:tcPr>
            <w:tcW w:w="960" w:type="pct"/>
            <w:shd w:val="clear" w:color="auto" w:fill="C2D69B" w:themeFill="accent3" w:themeFillTint="99"/>
            <w:noWrap/>
            <w:vAlign w:val="bottom"/>
            <w:hideMark/>
          </w:tcPr>
          <w:p w14:paraId="0429766B" w14:textId="77777777" w:rsidR="001B0571" w:rsidRPr="00D928C5" w:rsidRDefault="008E4BF6" w:rsidP="00535160">
            <w:pPr>
              <w:pStyle w:val="NoSpacing"/>
              <w:jc w:val="center"/>
              <w:rPr>
                <w:b/>
                <w:sz w:val="20"/>
                <w:szCs w:val="20"/>
              </w:rPr>
            </w:pPr>
            <w:r w:rsidRPr="00D928C5">
              <w:rPr>
                <w:b/>
                <w:sz w:val="20"/>
                <w:szCs w:val="20"/>
              </w:rPr>
              <w:t>Development</w:t>
            </w:r>
          </w:p>
        </w:tc>
        <w:tc>
          <w:tcPr>
            <w:tcW w:w="1279" w:type="pct"/>
            <w:shd w:val="clear" w:color="auto" w:fill="C2D69B" w:themeFill="accent3" w:themeFillTint="99"/>
            <w:noWrap/>
            <w:vAlign w:val="bottom"/>
            <w:hideMark/>
          </w:tcPr>
          <w:p w14:paraId="45B0A3A3" w14:textId="77777777" w:rsidR="001B0571" w:rsidRPr="00D928C5" w:rsidRDefault="001B0571" w:rsidP="00535160">
            <w:pPr>
              <w:pStyle w:val="NoSpacing"/>
              <w:jc w:val="center"/>
              <w:rPr>
                <w:b/>
                <w:sz w:val="20"/>
                <w:szCs w:val="20"/>
              </w:rPr>
            </w:pPr>
            <w:r w:rsidRPr="00D928C5">
              <w:rPr>
                <w:b/>
                <w:sz w:val="20"/>
                <w:szCs w:val="20"/>
              </w:rPr>
              <w:t>OC</w:t>
            </w:r>
          </w:p>
        </w:tc>
        <w:tc>
          <w:tcPr>
            <w:tcW w:w="820" w:type="pct"/>
            <w:shd w:val="clear" w:color="auto" w:fill="C2D69B" w:themeFill="accent3" w:themeFillTint="99"/>
            <w:noWrap/>
            <w:vAlign w:val="bottom"/>
            <w:hideMark/>
          </w:tcPr>
          <w:p w14:paraId="248289F8" w14:textId="77777777" w:rsidR="001B0571" w:rsidRPr="00D928C5" w:rsidRDefault="001B0571" w:rsidP="00535160">
            <w:pPr>
              <w:pStyle w:val="NoSpacing"/>
              <w:jc w:val="center"/>
              <w:rPr>
                <w:b/>
                <w:sz w:val="20"/>
                <w:szCs w:val="20"/>
              </w:rPr>
            </w:pPr>
            <w:r w:rsidRPr="00D928C5">
              <w:rPr>
                <w:b/>
                <w:sz w:val="20"/>
                <w:szCs w:val="20"/>
              </w:rPr>
              <w:t>PE</w:t>
            </w:r>
          </w:p>
        </w:tc>
        <w:tc>
          <w:tcPr>
            <w:tcW w:w="795" w:type="pct"/>
            <w:shd w:val="clear" w:color="auto" w:fill="C2D69B" w:themeFill="accent3" w:themeFillTint="99"/>
            <w:noWrap/>
            <w:vAlign w:val="bottom"/>
            <w:hideMark/>
          </w:tcPr>
          <w:p w14:paraId="3EF3BC32" w14:textId="77777777" w:rsidR="001B0571" w:rsidRPr="00D928C5" w:rsidRDefault="001B0571" w:rsidP="00535160">
            <w:pPr>
              <w:pStyle w:val="NoSpacing"/>
              <w:jc w:val="center"/>
              <w:rPr>
                <w:b/>
                <w:sz w:val="20"/>
                <w:szCs w:val="20"/>
              </w:rPr>
            </w:pPr>
            <w:r w:rsidRPr="00D928C5">
              <w:rPr>
                <w:b/>
                <w:sz w:val="20"/>
                <w:szCs w:val="20"/>
              </w:rPr>
              <w:t>Total</w:t>
            </w:r>
          </w:p>
        </w:tc>
      </w:tr>
      <w:tr w:rsidR="001B0571" w:rsidRPr="00D928C5" w14:paraId="554C311A" w14:textId="77777777" w:rsidTr="006200B8">
        <w:trPr>
          <w:trHeight w:val="251"/>
        </w:trPr>
        <w:tc>
          <w:tcPr>
            <w:tcW w:w="542" w:type="pct"/>
            <w:vMerge w:val="restart"/>
            <w:shd w:val="clear" w:color="auto" w:fill="auto"/>
            <w:noWrap/>
            <w:vAlign w:val="bottom"/>
            <w:hideMark/>
          </w:tcPr>
          <w:p w14:paraId="1924721E" w14:textId="77777777" w:rsidR="001B0571" w:rsidRPr="00D928C5" w:rsidRDefault="001B0571" w:rsidP="00535160">
            <w:pPr>
              <w:pStyle w:val="NoSpacing"/>
              <w:rPr>
                <w:sz w:val="20"/>
                <w:szCs w:val="20"/>
              </w:rPr>
            </w:pPr>
            <w:r w:rsidRPr="00D928C5">
              <w:rPr>
                <w:sz w:val="20"/>
                <w:szCs w:val="20"/>
              </w:rPr>
              <w:t>2012/13</w:t>
            </w:r>
          </w:p>
        </w:tc>
        <w:tc>
          <w:tcPr>
            <w:tcW w:w="604" w:type="pct"/>
            <w:shd w:val="clear" w:color="auto" w:fill="auto"/>
            <w:noWrap/>
            <w:vAlign w:val="bottom"/>
            <w:hideMark/>
          </w:tcPr>
          <w:p w14:paraId="263A9DCD" w14:textId="77777777" w:rsidR="001B0571" w:rsidRPr="00D928C5" w:rsidRDefault="001B0571" w:rsidP="00535160">
            <w:pPr>
              <w:pStyle w:val="NoSpacing"/>
              <w:rPr>
                <w:sz w:val="20"/>
                <w:szCs w:val="20"/>
              </w:rPr>
            </w:pPr>
            <w:r w:rsidRPr="00D928C5">
              <w:rPr>
                <w:sz w:val="20"/>
                <w:szCs w:val="20"/>
              </w:rPr>
              <w:t xml:space="preserve">Budget </w:t>
            </w:r>
          </w:p>
        </w:tc>
        <w:tc>
          <w:tcPr>
            <w:tcW w:w="960" w:type="pct"/>
            <w:shd w:val="clear" w:color="auto" w:fill="auto"/>
            <w:noWrap/>
            <w:vAlign w:val="bottom"/>
            <w:hideMark/>
          </w:tcPr>
          <w:p w14:paraId="31C47E17" w14:textId="77777777" w:rsidR="001B0571" w:rsidRPr="00D928C5" w:rsidRDefault="001B0571" w:rsidP="00535160">
            <w:pPr>
              <w:pStyle w:val="NoSpacing"/>
              <w:jc w:val="right"/>
              <w:rPr>
                <w:sz w:val="20"/>
                <w:szCs w:val="20"/>
              </w:rPr>
            </w:pPr>
            <w:r w:rsidRPr="00D928C5">
              <w:rPr>
                <w:sz w:val="20"/>
                <w:szCs w:val="20"/>
              </w:rPr>
              <w:t xml:space="preserve">                      99,954 </w:t>
            </w:r>
          </w:p>
        </w:tc>
        <w:tc>
          <w:tcPr>
            <w:tcW w:w="1279" w:type="pct"/>
            <w:shd w:val="clear" w:color="auto" w:fill="auto"/>
            <w:noWrap/>
            <w:vAlign w:val="bottom"/>
            <w:hideMark/>
          </w:tcPr>
          <w:p w14:paraId="5A26102C" w14:textId="77777777" w:rsidR="001B0571" w:rsidRPr="00D928C5" w:rsidRDefault="001B0571" w:rsidP="00535160">
            <w:pPr>
              <w:pStyle w:val="NoSpacing"/>
              <w:jc w:val="right"/>
              <w:rPr>
                <w:sz w:val="20"/>
                <w:szCs w:val="20"/>
              </w:rPr>
            </w:pPr>
            <w:r w:rsidRPr="00D928C5">
              <w:rPr>
                <w:sz w:val="20"/>
                <w:szCs w:val="20"/>
              </w:rPr>
              <w:t xml:space="preserve">          </w:t>
            </w:r>
            <w:r w:rsidR="008E4BF6" w:rsidRPr="00D928C5">
              <w:rPr>
                <w:sz w:val="20"/>
                <w:szCs w:val="20"/>
              </w:rPr>
              <w:t xml:space="preserve">                      217,197</w:t>
            </w:r>
            <w:r w:rsidRPr="00D928C5">
              <w:rPr>
                <w:sz w:val="20"/>
                <w:szCs w:val="20"/>
              </w:rPr>
              <w:t xml:space="preserve"> </w:t>
            </w:r>
          </w:p>
        </w:tc>
        <w:tc>
          <w:tcPr>
            <w:tcW w:w="820" w:type="pct"/>
            <w:shd w:val="clear" w:color="auto" w:fill="auto"/>
            <w:noWrap/>
            <w:vAlign w:val="bottom"/>
            <w:hideMark/>
          </w:tcPr>
          <w:p w14:paraId="01473D55" w14:textId="77777777" w:rsidR="001B0571" w:rsidRPr="00D928C5" w:rsidRDefault="008E4BF6" w:rsidP="00535160">
            <w:pPr>
              <w:pStyle w:val="NoSpacing"/>
              <w:jc w:val="right"/>
              <w:rPr>
                <w:sz w:val="20"/>
                <w:szCs w:val="20"/>
              </w:rPr>
            </w:pPr>
            <w:r w:rsidRPr="00D928C5">
              <w:rPr>
                <w:sz w:val="20"/>
                <w:szCs w:val="20"/>
              </w:rPr>
              <w:t xml:space="preserve">              304,125</w:t>
            </w:r>
            <w:r w:rsidR="001B0571" w:rsidRPr="00D928C5">
              <w:rPr>
                <w:sz w:val="20"/>
                <w:szCs w:val="20"/>
              </w:rPr>
              <w:t xml:space="preserve"> </w:t>
            </w:r>
          </w:p>
        </w:tc>
        <w:tc>
          <w:tcPr>
            <w:tcW w:w="795" w:type="pct"/>
            <w:shd w:val="clear" w:color="auto" w:fill="auto"/>
            <w:noWrap/>
            <w:vAlign w:val="bottom"/>
            <w:hideMark/>
          </w:tcPr>
          <w:p w14:paraId="25089516" w14:textId="77777777" w:rsidR="001B0571" w:rsidRPr="00D928C5" w:rsidRDefault="008E4BF6" w:rsidP="00535160">
            <w:pPr>
              <w:pStyle w:val="NoSpacing"/>
              <w:jc w:val="right"/>
              <w:rPr>
                <w:sz w:val="20"/>
                <w:szCs w:val="20"/>
              </w:rPr>
            </w:pPr>
            <w:r w:rsidRPr="00D928C5">
              <w:rPr>
                <w:sz w:val="20"/>
                <w:szCs w:val="20"/>
              </w:rPr>
              <w:t xml:space="preserve">             621,276</w:t>
            </w:r>
            <w:r w:rsidR="001B0571" w:rsidRPr="00D928C5">
              <w:rPr>
                <w:sz w:val="20"/>
                <w:szCs w:val="20"/>
              </w:rPr>
              <w:t xml:space="preserve"> </w:t>
            </w:r>
          </w:p>
        </w:tc>
      </w:tr>
      <w:tr w:rsidR="001B0571" w:rsidRPr="00D928C5" w14:paraId="0B89EA70" w14:textId="77777777" w:rsidTr="006200B8">
        <w:trPr>
          <w:trHeight w:val="288"/>
        </w:trPr>
        <w:tc>
          <w:tcPr>
            <w:tcW w:w="542" w:type="pct"/>
            <w:vMerge/>
            <w:vAlign w:val="center"/>
            <w:hideMark/>
          </w:tcPr>
          <w:p w14:paraId="67049C0E" w14:textId="77777777" w:rsidR="001B0571" w:rsidRPr="00D928C5" w:rsidRDefault="001B0571" w:rsidP="00535160">
            <w:pPr>
              <w:pStyle w:val="NoSpacing"/>
              <w:rPr>
                <w:sz w:val="20"/>
                <w:szCs w:val="20"/>
              </w:rPr>
            </w:pPr>
          </w:p>
        </w:tc>
        <w:tc>
          <w:tcPr>
            <w:tcW w:w="604" w:type="pct"/>
            <w:shd w:val="clear" w:color="auto" w:fill="auto"/>
            <w:noWrap/>
            <w:vAlign w:val="bottom"/>
            <w:hideMark/>
          </w:tcPr>
          <w:p w14:paraId="36E3B2EF" w14:textId="77777777" w:rsidR="001B0571" w:rsidRPr="00D928C5" w:rsidRDefault="001B0571" w:rsidP="00535160">
            <w:pPr>
              <w:pStyle w:val="NoSpacing"/>
              <w:rPr>
                <w:sz w:val="20"/>
                <w:szCs w:val="20"/>
              </w:rPr>
            </w:pPr>
            <w:r w:rsidRPr="00D928C5">
              <w:rPr>
                <w:sz w:val="20"/>
                <w:szCs w:val="20"/>
              </w:rPr>
              <w:t xml:space="preserve">Allocations </w:t>
            </w:r>
          </w:p>
        </w:tc>
        <w:tc>
          <w:tcPr>
            <w:tcW w:w="960" w:type="pct"/>
            <w:shd w:val="clear" w:color="auto" w:fill="auto"/>
            <w:noWrap/>
            <w:vAlign w:val="bottom"/>
            <w:hideMark/>
          </w:tcPr>
          <w:p w14:paraId="5854393D" w14:textId="77777777" w:rsidR="001B0571" w:rsidRPr="00D928C5" w:rsidRDefault="008E4BF6" w:rsidP="00535160">
            <w:pPr>
              <w:pStyle w:val="NoSpacing"/>
              <w:jc w:val="right"/>
              <w:rPr>
                <w:sz w:val="20"/>
                <w:szCs w:val="20"/>
              </w:rPr>
            </w:pPr>
            <w:r w:rsidRPr="00D928C5">
              <w:rPr>
                <w:sz w:val="20"/>
                <w:szCs w:val="20"/>
              </w:rPr>
              <w:t xml:space="preserve">                      39,285</w:t>
            </w:r>
            <w:r w:rsidR="001B0571" w:rsidRPr="00D928C5">
              <w:rPr>
                <w:sz w:val="20"/>
                <w:szCs w:val="20"/>
              </w:rPr>
              <w:t xml:space="preserve"> </w:t>
            </w:r>
          </w:p>
        </w:tc>
        <w:tc>
          <w:tcPr>
            <w:tcW w:w="1279" w:type="pct"/>
            <w:shd w:val="clear" w:color="auto" w:fill="auto"/>
            <w:noWrap/>
            <w:vAlign w:val="bottom"/>
            <w:hideMark/>
          </w:tcPr>
          <w:p w14:paraId="3224BEC4" w14:textId="77777777" w:rsidR="001B0571" w:rsidRPr="00D928C5" w:rsidRDefault="001B0571" w:rsidP="00535160">
            <w:pPr>
              <w:pStyle w:val="NoSpacing"/>
              <w:jc w:val="right"/>
              <w:rPr>
                <w:sz w:val="20"/>
                <w:szCs w:val="20"/>
              </w:rPr>
            </w:pPr>
            <w:r w:rsidRPr="00D928C5">
              <w:rPr>
                <w:sz w:val="20"/>
                <w:szCs w:val="20"/>
              </w:rPr>
              <w:t xml:space="preserve">                                </w:t>
            </w:r>
            <w:r w:rsidR="008E4BF6" w:rsidRPr="00D928C5">
              <w:rPr>
                <w:sz w:val="20"/>
                <w:szCs w:val="20"/>
              </w:rPr>
              <w:t>138,131</w:t>
            </w:r>
            <w:r w:rsidRPr="00D928C5">
              <w:rPr>
                <w:sz w:val="20"/>
                <w:szCs w:val="20"/>
              </w:rPr>
              <w:t xml:space="preserve"> </w:t>
            </w:r>
          </w:p>
        </w:tc>
        <w:tc>
          <w:tcPr>
            <w:tcW w:w="820" w:type="pct"/>
            <w:shd w:val="clear" w:color="auto" w:fill="auto"/>
            <w:noWrap/>
            <w:vAlign w:val="bottom"/>
            <w:hideMark/>
          </w:tcPr>
          <w:p w14:paraId="46B7245E" w14:textId="77777777" w:rsidR="001B0571" w:rsidRPr="00D928C5" w:rsidRDefault="008E4BF6" w:rsidP="00535160">
            <w:pPr>
              <w:pStyle w:val="NoSpacing"/>
              <w:jc w:val="right"/>
              <w:rPr>
                <w:sz w:val="20"/>
                <w:szCs w:val="20"/>
              </w:rPr>
            </w:pPr>
            <w:r w:rsidRPr="00D928C5">
              <w:rPr>
                <w:sz w:val="20"/>
                <w:szCs w:val="20"/>
              </w:rPr>
              <w:t xml:space="preserve">              181,397</w:t>
            </w:r>
            <w:r w:rsidR="001B0571" w:rsidRPr="00D928C5">
              <w:rPr>
                <w:sz w:val="20"/>
                <w:szCs w:val="20"/>
              </w:rPr>
              <w:t xml:space="preserve"> </w:t>
            </w:r>
          </w:p>
        </w:tc>
        <w:tc>
          <w:tcPr>
            <w:tcW w:w="795" w:type="pct"/>
            <w:shd w:val="clear" w:color="auto" w:fill="auto"/>
            <w:noWrap/>
            <w:vAlign w:val="bottom"/>
            <w:hideMark/>
          </w:tcPr>
          <w:p w14:paraId="7AFB08B4" w14:textId="77777777" w:rsidR="001B0571" w:rsidRPr="00D928C5" w:rsidRDefault="008E4BF6" w:rsidP="00535160">
            <w:pPr>
              <w:pStyle w:val="NoSpacing"/>
              <w:jc w:val="right"/>
              <w:rPr>
                <w:sz w:val="20"/>
                <w:szCs w:val="20"/>
              </w:rPr>
            </w:pPr>
            <w:r w:rsidRPr="00D928C5">
              <w:rPr>
                <w:sz w:val="20"/>
                <w:szCs w:val="20"/>
              </w:rPr>
              <w:t xml:space="preserve">             358,814</w:t>
            </w:r>
            <w:r w:rsidR="001B0571" w:rsidRPr="00D928C5">
              <w:rPr>
                <w:sz w:val="20"/>
                <w:szCs w:val="20"/>
              </w:rPr>
              <w:t xml:space="preserve"> </w:t>
            </w:r>
          </w:p>
        </w:tc>
      </w:tr>
      <w:tr w:rsidR="001B0571" w:rsidRPr="00D928C5" w14:paraId="112C0BF5" w14:textId="77777777" w:rsidTr="006200B8">
        <w:trPr>
          <w:trHeight w:val="288"/>
        </w:trPr>
        <w:tc>
          <w:tcPr>
            <w:tcW w:w="542" w:type="pct"/>
            <w:vMerge/>
            <w:vAlign w:val="center"/>
            <w:hideMark/>
          </w:tcPr>
          <w:p w14:paraId="44F386B5" w14:textId="77777777" w:rsidR="001B0571" w:rsidRPr="00D928C5" w:rsidRDefault="001B0571" w:rsidP="00535160">
            <w:pPr>
              <w:pStyle w:val="NoSpacing"/>
              <w:rPr>
                <w:sz w:val="20"/>
                <w:szCs w:val="20"/>
              </w:rPr>
            </w:pPr>
          </w:p>
        </w:tc>
        <w:tc>
          <w:tcPr>
            <w:tcW w:w="604" w:type="pct"/>
            <w:shd w:val="clear" w:color="auto" w:fill="auto"/>
            <w:noWrap/>
            <w:vAlign w:val="bottom"/>
            <w:hideMark/>
          </w:tcPr>
          <w:p w14:paraId="4D839430" w14:textId="77777777" w:rsidR="001B0571" w:rsidRPr="00D928C5" w:rsidRDefault="001B0571" w:rsidP="00535160">
            <w:pPr>
              <w:pStyle w:val="NoSpacing"/>
              <w:rPr>
                <w:sz w:val="20"/>
                <w:szCs w:val="20"/>
              </w:rPr>
            </w:pPr>
            <w:r w:rsidRPr="00D928C5">
              <w:rPr>
                <w:sz w:val="20"/>
                <w:szCs w:val="20"/>
              </w:rPr>
              <w:t xml:space="preserve">Expenditure </w:t>
            </w:r>
          </w:p>
        </w:tc>
        <w:tc>
          <w:tcPr>
            <w:tcW w:w="960" w:type="pct"/>
            <w:shd w:val="clear" w:color="auto" w:fill="auto"/>
            <w:noWrap/>
            <w:vAlign w:val="bottom"/>
            <w:hideMark/>
          </w:tcPr>
          <w:p w14:paraId="4BD8C563" w14:textId="77777777" w:rsidR="001B0571" w:rsidRPr="00D928C5" w:rsidRDefault="008E4BF6" w:rsidP="00535160">
            <w:pPr>
              <w:pStyle w:val="NoSpacing"/>
              <w:jc w:val="right"/>
              <w:rPr>
                <w:sz w:val="20"/>
                <w:szCs w:val="20"/>
              </w:rPr>
            </w:pPr>
            <w:r w:rsidRPr="00D928C5">
              <w:rPr>
                <w:sz w:val="20"/>
                <w:szCs w:val="20"/>
              </w:rPr>
              <w:t xml:space="preserve">                      29,092</w:t>
            </w:r>
            <w:r w:rsidR="001B0571" w:rsidRPr="00D928C5">
              <w:rPr>
                <w:sz w:val="20"/>
                <w:szCs w:val="20"/>
              </w:rPr>
              <w:t xml:space="preserve"> </w:t>
            </w:r>
          </w:p>
        </w:tc>
        <w:tc>
          <w:tcPr>
            <w:tcW w:w="1279" w:type="pct"/>
            <w:shd w:val="clear" w:color="auto" w:fill="auto"/>
            <w:noWrap/>
            <w:vAlign w:val="bottom"/>
            <w:hideMark/>
          </w:tcPr>
          <w:p w14:paraId="56193989" w14:textId="77777777" w:rsidR="001B0571" w:rsidRPr="00D928C5" w:rsidRDefault="001B0571" w:rsidP="00535160">
            <w:pPr>
              <w:pStyle w:val="NoSpacing"/>
              <w:jc w:val="right"/>
              <w:rPr>
                <w:sz w:val="20"/>
                <w:szCs w:val="20"/>
              </w:rPr>
            </w:pPr>
            <w:r w:rsidRPr="00D928C5">
              <w:rPr>
                <w:sz w:val="20"/>
                <w:szCs w:val="20"/>
              </w:rPr>
              <w:t xml:space="preserve">          </w:t>
            </w:r>
            <w:r w:rsidR="008E4BF6" w:rsidRPr="00D928C5">
              <w:rPr>
                <w:sz w:val="20"/>
                <w:szCs w:val="20"/>
              </w:rPr>
              <w:t xml:space="preserve">                      113,766</w:t>
            </w:r>
            <w:r w:rsidRPr="00D928C5">
              <w:rPr>
                <w:sz w:val="20"/>
                <w:szCs w:val="20"/>
              </w:rPr>
              <w:t xml:space="preserve"> </w:t>
            </w:r>
          </w:p>
        </w:tc>
        <w:tc>
          <w:tcPr>
            <w:tcW w:w="820" w:type="pct"/>
            <w:shd w:val="clear" w:color="auto" w:fill="auto"/>
            <w:noWrap/>
            <w:vAlign w:val="bottom"/>
            <w:hideMark/>
          </w:tcPr>
          <w:p w14:paraId="20C11D0E" w14:textId="77777777" w:rsidR="001B0571" w:rsidRPr="00D928C5" w:rsidRDefault="008E4BF6" w:rsidP="00535160">
            <w:pPr>
              <w:pStyle w:val="NoSpacing"/>
              <w:jc w:val="right"/>
              <w:rPr>
                <w:sz w:val="20"/>
                <w:szCs w:val="20"/>
              </w:rPr>
            </w:pPr>
            <w:r w:rsidRPr="00D928C5">
              <w:rPr>
                <w:sz w:val="20"/>
                <w:szCs w:val="20"/>
              </w:rPr>
              <w:t xml:space="preserve">              174,766</w:t>
            </w:r>
            <w:r w:rsidR="001B0571" w:rsidRPr="00D928C5">
              <w:rPr>
                <w:sz w:val="20"/>
                <w:szCs w:val="20"/>
              </w:rPr>
              <w:t xml:space="preserve"> </w:t>
            </w:r>
          </w:p>
        </w:tc>
        <w:tc>
          <w:tcPr>
            <w:tcW w:w="795" w:type="pct"/>
            <w:shd w:val="clear" w:color="auto" w:fill="auto"/>
            <w:noWrap/>
            <w:vAlign w:val="bottom"/>
            <w:hideMark/>
          </w:tcPr>
          <w:p w14:paraId="2B846539" w14:textId="77777777" w:rsidR="001B0571" w:rsidRPr="00D928C5" w:rsidRDefault="008E4BF6" w:rsidP="00535160">
            <w:pPr>
              <w:pStyle w:val="NoSpacing"/>
              <w:jc w:val="right"/>
              <w:rPr>
                <w:sz w:val="20"/>
                <w:szCs w:val="20"/>
              </w:rPr>
            </w:pPr>
            <w:r w:rsidRPr="00D928C5">
              <w:rPr>
                <w:sz w:val="20"/>
                <w:szCs w:val="20"/>
              </w:rPr>
              <w:t xml:space="preserve">             317,624</w:t>
            </w:r>
            <w:r w:rsidR="001B0571" w:rsidRPr="00D928C5">
              <w:rPr>
                <w:sz w:val="20"/>
                <w:szCs w:val="20"/>
              </w:rPr>
              <w:t xml:space="preserve"> </w:t>
            </w:r>
          </w:p>
        </w:tc>
      </w:tr>
      <w:tr w:rsidR="001B0571" w:rsidRPr="00D928C5" w14:paraId="075DAFBD" w14:textId="77777777" w:rsidTr="006200B8">
        <w:trPr>
          <w:trHeight w:val="288"/>
        </w:trPr>
        <w:tc>
          <w:tcPr>
            <w:tcW w:w="542" w:type="pct"/>
            <w:vMerge w:val="restart"/>
            <w:shd w:val="clear" w:color="auto" w:fill="auto"/>
            <w:noWrap/>
            <w:vAlign w:val="bottom"/>
            <w:hideMark/>
          </w:tcPr>
          <w:p w14:paraId="61D37E15" w14:textId="77777777" w:rsidR="001B0571" w:rsidRPr="00D928C5" w:rsidRDefault="001B0571" w:rsidP="00535160">
            <w:pPr>
              <w:pStyle w:val="NoSpacing"/>
              <w:rPr>
                <w:sz w:val="20"/>
                <w:szCs w:val="20"/>
              </w:rPr>
            </w:pPr>
            <w:r w:rsidRPr="00D928C5">
              <w:rPr>
                <w:sz w:val="20"/>
                <w:szCs w:val="20"/>
              </w:rPr>
              <w:t>2013/14</w:t>
            </w:r>
          </w:p>
        </w:tc>
        <w:tc>
          <w:tcPr>
            <w:tcW w:w="604" w:type="pct"/>
            <w:shd w:val="clear" w:color="auto" w:fill="auto"/>
            <w:noWrap/>
            <w:vAlign w:val="bottom"/>
            <w:hideMark/>
          </w:tcPr>
          <w:p w14:paraId="0998E1CB" w14:textId="77777777" w:rsidR="001B0571" w:rsidRPr="00D928C5" w:rsidRDefault="001B0571" w:rsidP="00535160">
            <w:pPr>
              <w:pStyle w:val="NoSpacing"/>
              <w:rPr>
                <w:sz w:val="20"/>
                <w:szCs w:val="20"/>
              </w:rPr>
            </w:pPr>
            <w:r w:rsidRPr="00D928C5">
              <w:rPr>
                <w:sz w:val="20"/>
                <w:szCs w:val="20"/>
              </w:rPr>
              <w:t xml:space="preserve">Budget </w:t>
            </w:r>
          </w:p>
        </w:tc>
        <w:tc>
          <w:tcPr>
            <w:tcW w:w="960" w:type="pct"/>
            <w:shd w:val="clear" w:color="auto" w:fill="auto"/>
            <w:noWrap/>
            <w:vAlign w:val="bottom"/>
            <w:hideMark/>
          </w:tcPr>
          <w:p w14:paraId="491AED61" w14:textId="77777777" w:rsidR="001B0571" w:rsidRPr="00D928C5" w:rsidRDefault="001B0571" w:rsidP="00535160">
            <w:pPr>
              <w:pStyle w:val="NoSpacing"/>
              <w:jc w:val="right"/>
              <w:rPr>
                <w:sz w:val="20"/>
                <w:szCs w:val="20"/>
              </w:rPr>
            </w:pPr>
            <w:r w:rsidRPr="00D928C5">
              <w:rPr>
                <w:sz w:val="20"/>
                <w:szCs w:val="20"/>
              </w:rPr>
              <w:t xml:space="preserve">            </w:t>
            </w:r>
            <w:r w:rsidR="008E4BF6" w:rsidRPr="00D928C5">
              <w:rPr>
                <w:sz w:val="20"/>
                <w:szCs w:val="20"/>
              </w:rPr>
              <w:t xml:space="preserve">          56,130</w:t>
            </w:r>
            <w:r w:rsidRPr="00D928C5">
              <w:rPr>
                <w:sz w:val="20"/>
                <w:szCs w:val="20"/>
              </w:rPr>
              <w:t xml:space="preserve"> </w:t>
            </w:r>
          </w:p>
        </w:tc>
        <w:tc>
          <w:tcPr>
            <w:tcW w:w="1279" w:type="pct"/>
            <w:shd w:val="clear" w:color="auto" w:fill="auto"/>
            <w:noWrap/>
            <w:vAlign w:val="bottom"/>
            <w:hideMark/>
          </w:tcPr>
          <w:p w14:paraId="29118AC4" w14:textId="77777777" w:rsidR="001B0571" w:rsidRPr="00D928C5" w:rsidRDefault="001B0571" w:rsidP="00535160">
            <w:pPr>
              <w:pStyle w:val="NoSpacing"/>
              <w:jc w:val="right"/>
              <w:rPr>
                <w:sz w:val="20"/>
                <w:szCs w:val="20"/>
              </w:rPr>
            </w:pPr>
            <w:r w:rsidRPr="00D928C5">
              <w:rPr>
                <w:sz w:val="20"/>
                <w:szCs w:val="20"/>
              </w:rPr>
              <w:t xml:space="preserve">            </w:t>
            </w:r>
            <w:r w:rsidR="008E4BF6" w:rsidRPr="00D928C5">
              <w:rPr>
                <w:sz w:val="20"/>
                <w:szCs w:val="20"/>
              </w:rPr>
              <w:t xml:space="preserve">                       96,371</w:t>
            </w:r>
            <w:r w:rsidRPr="00D928C5">
              <w:rPr>
                <w:sz w:val="20"/>
                <w:szCs w:val="20"/>
              </w:rPr>
              <w:t xml:space="preserve"> </w:t>
            </w:r>
          </w:p>
        </w:tc>
        <w:tc>
          <w:tcPr>
            <w:tcW w:w="820" w:type="pct"/>
            <w:shd w:val="clear" w:color="auto" w:fill="auto"/>
            <w:noWrap/>
            <w:vAlign w:val="bottom"/>
            <w:hideMark/>
          </w:tcPr>
          <w:p w14:paraId="21054398" w14:textId="77777777" w:rsidR="001B0571" w:rsidRPr="00D928C5" w:rsidRDefault="008E4BF6" w:rsidP="00535160">
            <w:pPr>
              <w:pStyle w:val="NoSpacing"/>
              <w:jc w:val="right"/>
              <w:rPr>
                <w:sz w:val="20"/>
                <w:szCs w:val="20"/>
              </w:rPr>
            </w:pPr>
            <w:r w:rsidRPr="00D928C5">
              <w:rPr>
                <w:sz w:val="20"/>
                <w:szCs w:val="20"/>
              </w:rPr>
              <w:t xml:space="preserve">             223,136</w:t>
            </w:r>
            <w:r w:rsidR="001B0571" w:rsidRPr="00D928C5">
              <w:rPr>
                <w:sz w:val="20"/>
                <w:szCs w:val="20"/>
              </w:rPr>
              <w:t xml:space="preserve"> </w:t>
            </w:r>
          </w:p>
        </w:tc>
        <w:tc>
          <w:tcPr>
            <w:tcW w:w="795" w:type="pct"/>
            <w:shd w:val="clear" w:color="auto" w:fill="auto"/>
            <w:noWrap/>
            <w:vAlign w:val="bottom"/>
            <w:hideMark/>
          </w:tcPr>
          <w:p w14:paraId="61FECF25" w14:textId="77777777" w:rsidR="001B0571" w:rsidRPr="00D928C5" w:rsidRDefault="008E4BF6" w:rsidP="00535160">
            <w:pPr>
              <w:pStyle w:val="NoSpacing"/>
              <w:jc w:val="right"/>
              <w:rPr>
                <w:sz w:val="20"/>
                <w:szCs w:val="20"/>
              </w:rPr>
            </w:pPr>
            <w:r w:rsidRPr="00D928C5">
              <w:rPr>
                <w:sz w:val="20"/>
                <w:szCs w:val="20"/>
              </w:rPr>
              <w:t xml:space="preserve">             375,637</w:t>
            </w:r>
            <w:r w:rsidR="001B0571" w:rsidRPr="00D928C5">
              <w:rPr>
                <w:sz w:val="20"/>
                <w:szCs w:val="20"/>
              </w:rPr>
              <w:t xml:space="preserve"> </w:t>
            </w:r>
          </w:p>
        </w:tc>
      </w:tr>
      <w:tr w:rsidR="001B0571" w:rsidRPr="00D928C5" w14:paraId="48C6503E" w14:textId="77777777" w:rsidTr="006200B8">
        <w:trPr>
          <w:trHeight w:val="288"/>
        </w:trPr>
        <w:tc>
          <w:tcPr>
            <w:tcW w:w="542" w:type="pct"/>
            <w:vMerge/>
            <w:vAlign w:val="center"/>
            <w:hideMark/>
          </w:tcPr>
          <w:p w14:paraId="302B8B5A" w14:textId="77777777" w:rsidR="001B0571" w:rsidRPr="00D928C5" w:rsidRDefault="001B0571" w:rsidP="00535160">
            <w:pPr>
              <w:pStyle w:val="NoSpacing"/>
              <w:rPr>
                <w:sz w:val="20"/>
                <w:szCs w:val="20"/>
              </w:rPr>
            </w:pPr>
          </w:p>
        </w:tc>
        <w:tc>
          <w:tcPr>
            <w:tcW w:w="604" w:type="pct"/>
            <w:shd w:val="clear" w:color="auto" w:fill="auto"/>
            <w:noWrap/>
            <w:vAlign w:val="bottom"/>
            <w:hideMark/>
          </w:tcPr>
          <w:p w14:paraId="118DBD30" w14:textId="77777777" w:rsidR="001B0571" w:rsidRPr="00D928C5" w:rsidRDefault="001B0571" w:rsidP="00535160">
            <w:pPr>
              <w:pStyle w:val="NoSpacing"/>
              <w:rPr>
                <w:sz w:val="20"/>
                <w:szCs w:val="20"/>
              </w:rPr>
            </w:pPr>
            <w:r w:rsidRPr="00D928C5">
              <w:rPr>
                <w:sz w:val="20"/>
                <w:szCs w:val="20"/>
              </w:rPr>
              <w:t xml:space="preserve">Allocations </w:t>
            </w:r>
          </w:p>
        </w:tc>
        <w:tc>
          <w:tcPr>
            <w:tcW w:w="960" w:type="pct"/>
            <w:shd w:val="clear" w:color="auto" w:fill="auto"/>
            <w:noWrap/>
            <w:vAlign w:val="bottom"/>
            <w:hideMark/>
          </w:tcPr>
          <w:p w14:paraId="059F847A" w14:textId="77777777" w:rsidR="001B0571" w:rsidRPr="00D928C5" w:rsidRDefault="008E4BF6" w:rsidP="00535160">
            <w:pPr>
              <w:pStyle w:val="NoSpacing"/>
              <w:jc w:val="right"/>
              <w:rPr>
                <w:sz w:val="20"/>
                <w:szCs w:val="20"/>
              </w:rPr>
            </w:pPr>
            <w:r w:rsidRPr="00D928C5">
              <w:rPr>
                <w:sz w:val="20"/>
                <w:szCs w:val="20"/>
              </w:rPr>
              <w:t xml:space="preserve">                      22,868</w:t>
            </w:r>
            <w:r w:rsidR="001B0571" w:rsidRPr="00D928C5">
              <w:rPr>
                <w:sz w:val="20"/>
                <w:szCs w:val="20"/>
              </w:rPr>
              <w:t xml:space="preserve"> </w:t>
            </w:r>
          </w:p>
        </w:tc>
        <w:tc>
          <w:tcPr>
            <w:tcW w:w="1279" w:type="pct"/>
            <w:shd w:val="clear" w:color="auto" w:fill="auto"/>
            <w:noWrap/>
            <w:vAlign w:val="bottom"/>
            <w:hideMark/>
          </w:tcPr>
          <w:p w14:paraId="53A9EBF9" w14:textId="77777777" w:rsidR="001B0571" w:rsidRPr="00D928C5" w:rsidRDefault="001B0571" w:rsidP="00535160">
            <w:pPr>
              <w:pStyle w:val="NoSpacing"/>
              <w:jc w:val="right"/>
              <w:rPr>
                <w:sz w:val="20"/>
                <w:szCs w:val="20"/>
              </w:rPr>
            </w:pPr>
            <w:r w:rsidRPr="00D928C5">
              <w:rPr>
                <w:sz w:val="20"/>
                <w:szCs w:val="20"/>
              </w:rPr>
              <w:t xml:space="preserve">            </w:t>
            </w:r>
            <w:r w:rsidR="008E4BF6" w:rsidRPr="00D928C5">
              <w:rPr>
                <w:sz w:val="20"/>
                <w:szCs w:val="20"/>
              </w:rPr>
              <w:t xml:space="preserve">                       75,476</w:t>
            </w:r>
            <w:r w:rsidRPr="00D928C5">
              <w:rPr>
                <w:sz w:val="20"/>
                <w:szCs w:val="20"/>
              </w:rPr>
              <w:t xml:space="preserve"> </w:t>
            </w:r>
          </w:p>
        </w:tc>
        <w:tc>
          <w:tcPr>
            <w:tcW w:w="820" w:type="pct"/>
            <w:shd w:val="clear" w:color="auto" w:fill="auto"/>
            <w:noWrap/>
            <w:vAlign w:val="bottom"/>
            <w:hideMark/>
          </w:tcPr>
          <w:p w14:paraId="38CE9D61" w14:textId="77777777" w:rsidR="001B0571" w:rsidRPr="00D928C5" w:rsidRDefault="008E4BF6" w:rsidP="00535160">
            <w:pPr>
              <w:pStyle w:val="NoSpacing"/>
              <w:jc w:val="right"/>
              <w:rPr>
                <w:sz w:val="20"/>
                <w:szCs w:val="20"/>
              </w:rPr>
            </w:pPr>
            <w:r w:rsidRPr="00D928C5">
              <w:rPr>
                <w:sz w:val="20"/>
                <w:szCs w:val="20"/>
              </w:rPr>
              <w:t xml:space="preserve">              130,458</w:t>
            </w:r>
            <w:r w:rsidR="001B0571" w:rsidRPr="00D928C5">
              <w:rPr>
                <w:sz w:val="20"/>
                <w:szCs w:val="20"/>
              </w:rPr>
              <w:t xml:space="preserve"> </w:t>
            </w:r>
          </w:p>
        </w:tc>
        <w:tc>
          <w:tcPr>
            <w:tcW w:w="795" w:type="pct"/>
            <w:shd w:val="clear" w:color="auto" w:fill="auto"/>
            <w:noWrap/>
            <w:vAlign w:val="bottom"/>
            <w:hideMark/>
          </w:tcPr>
          <w:p w14:paraId="6978579F" w14:textId="77777777" w:rsidR="001B0571" w:rsidRPr="00D928C5" w:rsidRDefault="001B0571" w:rsidP="00535160">
            <w:pPr>
              <w:pStyle w:val="NoSpacing"/>
              <w:jc w:val="right"/>
              <w:rPr>
                <w:sz w:val="20"/>
                <w:szCs w:val="20"/>
              </w:rPr>
            </w:pPr>
            <w:r w:rsidRPr="00D928C5">
              <w:rPr>
                <w:sz w:val="20"/>
                <w:szCs w:val="20"/>
              </w:rPr>
              <w:t xml:space="preserve">     </w:t>
            </w:r>
            <w:r w:rsidR="008E4BF6" w:rsidRPr="00D928C5">
              <w:rPr>
                <w:sz w:val="20"/>
                <w:szCs w:val="20"/>
              </w:rPr>
              <w:t xml:space="preserve">        228,802</w:t>
            </w:r>
            <w:r w:rsidRPr="00D928C5">
              <w:rPr>
                <w:sz w:val="20"/>
                <w:szCs w:val="20"/>
              </w:rPr>
              <w:t xml:space="preserve"> </w:t>
            </w:r>
          </w:p>
        </w:tc>
      </w:tr>
      <w:tr w:rsidR="001B0571" w:rsidRPr="00D928C5" w14:paraId="6BC7B5C4" w14:textId="77777777" w:rsidTr="006200B8">
        <w:trPr>
          <w:trHeight w:val="288"/>
        </w:trPr>
        <w:tc>
          <w:tcPr>
            <w:tcW w:w="542" w:type="pct"/>
            <w:vMerge/>
            <w:vAlign w:val="center"/>
            <w:hideMark/>
          </w:tcPr>
          <w:p w14:paraId="7B01406C" w14:textId="77777777" w:rsidR="001B0571" w:rsidRPr="00D928C5" w:rsidRDefault="001B0571" w:rsidP="00535160">
            <w:pPr>
              <w:pStyle w:val="NoSpacing"/>
              <w:rPr>
                <w:sz w:val="20"/>
                <w:szCs w:val="20"/>
              </w:rPr>
            </w:pPr>
          </w:p>
        </w:tc>
        <w:tc>
          <w:tcPr>
            <w:tcW w:w="604" w:type="pct"/>
            <w:shd w:val="clear" w:color="auto" w:fill="auto"/>
            <w:noWrap/>
            <w:vAlign w:val="bottom"/>
            <w:hideMark/>
          </w:tcPr>
          <w:p w14:paraId="7A1170A2" w14:textId="77777777" w:rsidR="001B0571" w:rsidRPr="00D928C5" w:rsidRDefault="001B0571" w:rsidP="00535160">
            <w:pPr>
              <w:pStyle w:val="NoSpacing"/>
              <w:rPr>
                <w:sz w:val="20"/>
                <w:szCs w:val="20"/>
              </w:rPr>
            </w:pPr>
            <w:r w:rsidRPr="00D928C5">
              <w:rPr>
                <w:sz w:val="20"/>
                <w:szCs w:val="20"/>
              </w:rPr>
              <w:t xml:space="preserve">Expenditure </w:t>
            </w:r>
          </w:p>
        </w:tc>
        <w:tc>
          <w:tcPr>
            <w:tcW w:w="960" w:type="pct"/>
            <w:shd w:val="clear" w:color="auto" w:fill="auto"/>
            <w:noWrap/>
            <w:vAlign w:val="bottom"/>
            <w:hideMark/>
          </w:tcPr>
          <w:p w14:paraId="0A1AEB5E" w14:textId="77777777" w:rsidR="001B0571" w:rsidRPr="00D928C5" w:rsidRDefault="008E4BF6" w:rsidP="00535160">
            <w:pPr>
              <w:pStyle w:val="NoSpacing"/>
              <w:jc w:val="right"/>
              <w:rPr>
                <w:sz w:val="20"/>
                <w:szCs w:val="20"/>
              </w:rPr>
            </w:pPr>
            <w:r w:rsidRPr="00D928C5">
              <w:rPr>
                <w:sz w:val="20"/>
                <w:szCs w:val="20"/>
              </w:rPr>
              <w:t xml:space="preserve">                      19,306</w:t>
            </w:r>
            <w:r w:rsidR="001B0571" w:rsidRPr="00D928C5">
              <w:rPr>
                <w:sz w:val="20"/>
                <w:szCs w:val="20"/>
              </w:rPr>
              <w:t xml:space="preserve"> </w:t>
            </w:r>
          </w:p>
        </w:tc>
        <w:tc>
          <w:tcPr>
            <w:tcW w:w="1279" w:type="pct"/>
            <w:shd w:val="clear" w:color="auto" w:fill="auto"/>
            <w:noWrap/>
            <w:vAlign w:val="bottom"/>
            <w:hideMark/>
          </w:tcPr>
          <w:p w14:paraId="45C43A02" w14:textId="77777777" w:rsidR="001B0571" w:rsidRPr="00D928C5" w:rsidRDefault="001B0571" w:rsidP="00535160">
            <w:pPr>
              <w:pStyle w:val="NoSpacing"/>
              <w:jc w:val="right"/>
              <w:rPr>
                <w:sz w:val="20"/>
                <w:szCs w:val="20"/>
              </w:rPr>
            </w:pPr>
            <w:r w:rsidRPr="00D928C5">
              <w:rPr>
                <w:sz w:val="20"/>
                <w:szCs w:val="20"/>
              </w:rPr>
              <w:t xml:space="preserve">            </w:t>
            </w:r>
            <w:r w:rsidR="008E4BF6" w:rsidRPr="00D928C5">
              <w:rPr>
                <w:sz w:val="20"/>
                <w:szCs w:val="20"/>
              </w:rPr>
              <w:t xml:space="preserve">                       65,526</w:t>
            </w:r>
            <w:r w:rsidRPr="00D928C5">
              <w:rPr>
                <w:sz w:val="20"/>
                <w:szCs w:val="20"/>
              </w:rPr>
              <w:t xml:space="preserve"> </w:t>
            </w:r>
          </w:p>
        </w:tc>
        <w:tc>
          <w:tcPr>
            <w:tcW w:w="820" w:type="pct"/>
            <w:shd w:val="clear" w:color="auto" w:fill="auto"/>
            <w:noWrap/>
            <w:vAlign w:val="bottom"/>
            <w:hideMark/>
          </w:tcPr>
          <w:p w14:paraId="13F235CC" w14:textId="77777777" w:rsidR="001B0571" w:rsidRPr="00D928C5" w:rsidRDefault="008E4BF6" w:rsidP="00535160">
            <w:pPr>
              <w:pStyle w:val="NoSpacing"/>
              <w:jc w:val="right"/>
              <w:rPr>
                <w:sz w:val="20"/>
                <w:szCs w:val="20"/>
              </w:rPr>
            </w:pPr>
            <w:r w:rsidRPr="00D928C5">
              <w:rPr>
                <w:sz w:val="20"/>
                <w:szCs w:val="20"/>
              </w:rPr>
              <w:t xml:space="preserve">              121,894</w:t>
            </w:r>
            <w:r w:rsidR="001B0571" w:rsidRPr="00D928C5">
              <w:rPr>
                <w:sz w:val="20"/>
                <w:szCs w:val="20"/>
              </w:rPr>
              <w:t xml:space="preserve"> </w:t>
            </w:r>
          </w:p>
        </w:tc>
        <w:tc>
          <w:tcPr>
            <w:tcW w:w="795" w:type="pct"/>
            <w:shd w:val="clear" w:color="auto" w:fill="auto"/>
            <w:noWrap/>
            <w:vAlign w:val="bottom"/>
            <w:hideMark/>
          </w:tcPr>
          <w:p w14:paraId="4E068922" w14:textId="77777777" w:rsidR="001B0571" w:rsidRPr="00D928C5" w:rsidRDefault="008E4BF6" w:rsidP="00535160">
            <w:pPr>
              <w:pStyle w:val="NoSpacing"/>
              <w:jc w:val="right"/>
              <w:rPr>
                <w:sz w:val="20"/>
                <w:szCs w:val="20"/>
              </w:rPr>
            </w:pPr>
            <w:r w:rsidRPr="00D928C5">
              <w:rPr>
                <w:sz w:val="20"/>
                <w:szCs w:val="20"/>
              </w:rPr>
              <w:t xml:space="preserve">             206,727</w:t>
            </w:r>
            <w:r w:rsidR="001B0571" w:rsidRPr="00D928C5">
              <w:rPr>
                <w:sz w:val="20"/>
                <w:szCs w:val="20"/>
              </w:rPr>
              <w:t xml:space="preserve"> </w:t>
            </w:r>
          </w:p>
        </w:tc>
      </w:tr>
      <w:tr w:rsidR="001B0571" w:rsidRPr="00D928C5" w14:paraId="7E0901CA" w14:textId="77777777" w:rsidTr="006200B8">
        <w:trPr>
          <w:trHeight w:val="288"/>
        </w:trPr>
        <w:tc>
          <w:tcPr>
            <w:tcW w:w="542" w:type="pct"/>
            <w:vMerge w:val="restart"/>
            <w:shd w:val="clear" w:color="auto" w:fill="auto"/>
            <w:noWrap/>
            <w:vAlign w:val="bottom"/>
            <w:hideMark/>
          </w:tcPr>
          <w:p w14:paraId="679506ED" w14:textId="77777777" w:rsidR="001B0571" w:rsidRPr="00D928C5" w:rsidRDefault="001B0571" w:rsidP="00535160">
            <w:pPr>
              <w:pStyle w:val="NoSpacing"/>
              <w:rPr>
                <w:sz w:val="20"/>
                <w:szCs w:val="20"/>
              </w:rPr>
            </w:pPr>
            <w:r w:rsidRPr="00D928C5">
              <w:rPr>
                <w:sz w:val="20"/>
                <w:szCs w:val="20"/>
              </w:rPr>
              <w:t xml:space="preserve">2014/15 </w:t>
            </w:r>
          </w:p>
        </w:tc>
        <w:tc>
          <w:tcPr>
            <w:tcW w:w="604" w:type="pct"/>
            <w:shd w:val="clear" w:color="auto" w:fill="auto"/>
            <w:noWrap/>
            <w:vAlign w:val="bottom"/>
            <w:hideMark/>
          </w:tcPr>
          <w:p w14:paraId="5B37B37F" w14:textId="77777777" w:rsidR="001B0571" w:rsidRPr="00D928C5" w:rsidRDefault="001B0571" w:rsidP="00535160">
            <w:pPr>
              <w:pStyle w:val="NoSpacing"/>
              <w:rPr>
                <w:sz w:val="20"/>
                <w:szCs w:val="20"/>
              </w:rPr>
            </w:pPr>
            <w:r w:rsidRPr="00D928C5">
              <w:rPr>
                <w:sz w:val="20"/>
                <w:szCs w:val="20"/>
              </w:rPr>
              <w:t xml:space="preserve">Budget </w:t>
            </w:r>
          </w:p>
        </w:tc>
        <w:tc>
          <w:tcPr>
            <w:tcW w:w="960" w:type="pct"/>
            <w:shd w:val="clear" w:color="auto" w:fill="auto"/>
            <w:noWrap/>
            <w:vAlign w:val="bottom"/>
            <w:hideMark/>
          </w:tcPr>
          <w:p w14:paraId="02EE0394" w14:textId="77777777" w:rsidR="001B0571" w:rsidRPr="00D928C5" w:rsidRDefault="008E4BF6" w:rsidP="00535160">
            <w:pPr>
              <w:pStyle w:val="NoSpacing"/>
              <w:jc w:val="right"/>
              <w:rPr>
                <w:sz w:val="20"/>
                <w:szCs w:val="20"/>
              </w:rPr>
            </w:pPr>
            <w:r w:rsidRPr="00D928C5">
              <w:rPr>
                <w:sz w:val="20"/>
                <w:szCs w:val="20"/>
              </w:rPr>
              <w:t xml:space="preserve">                      85,399</w:t>
            </w:r>
            <w:r w:rsidR="001B0571" w:rsidRPr="00D928C5">
              <w:rPr>
                <w:sz w:val="20"/>
                <w:szCs w:val="20"/>
              </w:rPr>
              <w:t xml:space="preserve"> </w:t>
            </w:r>
          </w:p>
        </w:tc>
        <w:tc>
          <w:tcPr>
            <w:tcW w:w="1279" w:type="pct"/>
            <w:shd w:val="clear" w:color="auto" w:fill="auto"/>
            <w:noWrap/>
            <w:vAlign w:val="bottom"/>
            <w:hideMark/>
          </w:tcPr>
          <w:p w14:paraId="000C0296" w14:textId="77777777" w:rsidR="001B0571" w:rsidRPr="00D928C5" w:rsidRDefault="001B0571" w:rsidP="00535160">
            <w:pPr>
              <w:pStyle w:val="NoSpacing"/>
              <w:jc w:val="right"/>
              <w:rPr>
                <w:sz w:val="20"/>
                <w:szCs w:val="20"/>
              </w:rPr>
            </w:pPr>
            <w:r w:rsidRPr="00D928C5">
              <w:rPr>
                <w:sz w:val="20"/>
                <w:szCs w:val="20"/>
              </w:rPr>
              <w:t xml:space="preserve">                    </w:t>
            </w:r>
            <w:r w:rsidR="008E4BF6" w:rsidRPr="00D928C5">
              <w:rPr>
                <w:sz w:val="20"/>
                <w:szCs w:val="20"/>
              </w:rPr>
              <w:t xml:space="preserve">            181,046</w:t>
            </w:r>
            <w:r w:rsidRPr="00D928C5">
              <w:rPr>
                <w:sz w:val="20"/>
                <w:szCs w:val="20"/>
              </w:rPr>
              <w:t xml:space="preserve"> </w:t>
            </w:r>
          </w:p>
        </w:tc>
        <w:tc>
          <w:tcPr>
            <w:tcW w:w="820" w:type="pct"/>
            <w:shd w:val="clear" w:color="auto" w:fill="auto"/>
            <w:noWrap/>
            <w:vAlign w:val="bottom"/>
            <w:hideMark/>
          </w:tcPr>
          <w:p w14:paraId="67CBE259" w14:textId="77777777" w:rsidR="001B0571" w:rsidRPr="00D928C5" w:rsidRDefault="008E4BF6" w:rsidP="00535160">
            <w:pPr>
              <w:pStyle w:val="NoSpacing"/>
              <w:jc w:val="right"/>
              <w:rPr>
                <w:sz w:val="20"/>
                <w:szCs w:val="20"/>
              </w:rPr>
            </w:pPr>
            <w:r w:rsidRPr="00D928C5">
              <w:rPr>
                <w:sz w:val="20"/>
                <w:szCs w:val="20"/>
              </w:rPr>
              <w:t xml:space="preserve">              385,459</w:t>
            </w:r>
            <w:r w:rsidR="001B0571" w:rsidRPr="00D928C5">
              <w:rPr>
                <w:sz w:val="20"/>
                <w:szCs w:val="20"/>
              </w:rPr>
              <w:t xml:space="preserve"> </w:t>
            </w:r>
          </w:p>
        </w:tc>
        <w:tc>
          <w:tcPr>
            <w:tcW w:w="795" w:type="pct"/>
            <w:shd w:val="clear" w:color="auto" w:fill="auto"/>
            <w:noWrap/>
            <w:vAlign w:val="bottom"/>
            <w:hideMark/>
          </w:tcPr>
          <w:p w14:paraId="13B76777" w14:textId="77777777" w:rsidR="001B0571" w:rsidRPr="00D928C5" w:rsidRDefault="008E4BF6" w:rsidP="00535160">
            <w:pPr>
              <w:pStyle w:val="NoSpacing"/>
              <w:jc w:val="right"/>
              <w:rPr>
                <w:sz w:val="20"/>
                <w:szCs w:val="20"/>
              </w:rPr>
            </w:pPr>
            <w:r w:rsidRPr="00D928C5">
              <w:rPr>
                <w:sz w:val="20"/>
                <w:szCs w:val="20"/>
              </w:rPr>
              <w:t xml:space="preserve">             651,904</w:t>
            </w:r>
            <w:r w:rsidR="001B0571" w:rsidRPr="00D928C5">
              <w:rPr>
                <w:sz w:val="20"/>
                <w:szCs w:val="20"/>
              </w:rPr>
              <w:t xml:space="preserve"> </w:t>
            </w:r>
          </w:p>
        </w:tc>
      </w:tr>
      <w:tr w:rsidR="001B0571" w:rsidRPr="00D928C5" w14:paraId="7BB0899B" w14:textId="77777777" w:rsidTr="006200B8">
        <w:trPr>
          <w:trHeight w:val="288"/>
        </w:trPr>
        <w:tc>
          <w:tcPr>
            <w:tcW w:w="542" w:type="pct"/>
            <w:vMerge/>
            <w:vAlign w:val="center"/>
            <w:hideMark/>
          </w:tcPr>
          <w:p w14:paraId="3A96A01D" w14:textId="77777777" w:rsidR="001B0571" w:rsidRPr="00D928C5" w:rsidRDefault="001B0571" w:rsidP="00535160">
            <w:pPr>
              <w:pStyle w:val="NoSpacing"/>
              <w:rPr>
                <w:sz w:val="20"/>
                <w:szCs w:val="20"/>
              </w:rPr>
            </w:pPr>
          </w:p>
        </w:tc>
        <w:tc>
          <w:tcPr>
            <w:tcW w:w="604" w:type="pct"/>
            <w:shd w:val="clear" w:color="auto" w:fill="auto"/>
            <w:noWrap/>
            <w:vAlign w:val="bottom"/>
            <w:hideMark/>
          </w:tcPr>
          <w:p w14:paraId="3F894A95" w14:textId="77777777" w:rsidR="001B0571" w:rsidRPr="00D928C5" w:rsidRDefault="001B0571" w:rsidP="00535160">
            <w:pPr>
              <w:pStyle w:val="NoSpacing"/>
              <w:rPr>
                <w:sz w:val="20"/>
                <w:szCs w:val="20"/>
              </w:rPr>
            </w:pPr>
            <w:r w:rsidRPr="00D928C5">
              <w:rPr>
                <w:sz w:val="20"/>
                <w:szCs w:val="20"/>
              </w:rPr>
              <w:t xml:space="preserve">Expenditure </w:t>
            </w:r>
          </w:p>
        </w:tc>
        <w:tc>
          <w:tcPr>
            <w:tcW w:w="960" w:type="pct"/>
            <w:shd w:val="clear" w:color="auto" w:fill="auto"/>
            <w:noWrap/>
            <w:vAlign w:val="bottom"/>
            <w:hideMark/>
          </w:tcPr>
          <w:p w14:paraId="10FF0C00" w14:textId="77777777" w:rsidR="001B0571" w:rsidRPr="00D928C5" w:rsidRDefault="008E4BF6" w:rsidP="00535160">
            <w:pPr>
              <w:pStyle w:val="NoSpacing"/>
              <w:jc w:val="right"/>
              <w:rPr>
                <w:sz w:val="20"/>
                <w:szCs w:val="20"/>
              </w:rPr>
            </w:pPr>
            <w:r w:rsidRPr="00D928C5">
              <w:rPr>
                <w:sz w:val="20"/>
                <w:szCs w:val="20"/>
              </w:rPr>
              <w:t xml:space="preserve">                      64,124</w:t>
            </w:r>
            <w:r w:rsidR="001B0571" w:rsidRPr="00D928C5">
              <w:rPr>
                <w:sz w:val="20"/>
                <w:szCs w:val="20"/>
              </w:rPr>
              <w:t xml:space="preserve"> </w:t>
            </w:r>
          </w:p>
        </w:tc>
        <w:tc>
          <w:tcPr>
            <w:tcW w:w="1279" w:type="pct"/>
            <w:shd w:val="clear" w:color="auto" w:fill="auto"/>
            <w:noWrap/>
            <w:vAlign w:val="bottom"/>
            <w:hideMark/>
          </w:tcPr>
          <w:p w14:paraId="237C159F" w14:textId="77777777" w:rsidR="001B0571" w:rsidRPr="00D928C5" w:rsidRDefault="001B0571" w:rsidP="00535160">
            <w:pPr>
              <w:pStyle w:val="NoSpacing"/>
              <w:jc w:val="right"/>
              <w:rPr>
                <w:sz w:val="20"/>
                <w:szCs w:val="20"/>
              </w:rPr>
            </w:pPr>
            <w:r w:rsidRPr="00D928C5">
              <w:rPr>
                <w:sz w:val="20"/>
                <w:szCs w:val="20"/>
              </w:rPr>
              <w:t xml:space="preserve">          </w:t>
            </w:r>
            <w:r w:rsidR="008E4BF6" w:rsidRPr="00D928C5">
              <w:rPr>
                <w:sz w:val="20"/>
                <w:szCs w:val="20"/>
              </w:rPr>
              <w:t xml:space="preserve">                      122,779</w:t>
            </w:r>
            <w:r w:rsidRPr="00D928C5">
              <w:rPr>
                <w:sz w:val="20"/>
                <w:szCs w:val="20"/>
              </w:rPr>
              <w:t xml:space="preserve"> </w:t>
            </w:r>
          </w:p>
        </w:tc>
        <w:tc>
          <w:tcPr>
            <w:tcW w:w="820" w:type="pct"/>
            <w:shd w:val="clear" w:color="auto" w:fill="auto"/>
            <w:noWrap/>
            <w:vAlign w:val="bottom"/>
            <w:hideMark/>
          </w:tcPr>
          <w:p w14:paraId="6A564263" w14:textId="77777777" w:rsidR="001B0571" w:rsidRPr="00D928C5" w:rsidRDefault="008E4BF6" w:rsidP="00535160">
            <w:pPr>
              <w:pStyle w:val="NoSpacing"/>
              <w:jc w:val="right"/>
              <w:rPr>
                <w:sz w:val="20"/>
                <w:szCs w:val="20"/>
              </w:rPr>
            </w:pPr>
            <w:r w:rsidRPr="00D928C5">
              <w:rPr>
                <w:sz w:val="20"/>
                <w:szCs w:val="20"/>
              </w:rPr>
              <w:t xml:space="preserve">              354,421</w:t>
            </w:r>
            <w:r w:rsidR="001B0571" w:rsidRPr="00D928C5">
              <w:rPr>
                <w:sz w:val="20"/>
                <w:szCs w:val="20"/>
              </w:rPr>
              <w:t xml:space="preserve"> </w:t>
            </w:r>
          </w:p>
        </w:tc>
        <w:tc>
          <w:tcPr>
            <w:tcW w:w="795" w:type="pct"/>
            <w:shd w:val="clear" w:color="auto" w:fill="auto"/>
            <w:noWrap/>
            <w:vAlign w:val="bottom"/>
            <w:hideMark/>
          </w:tcPr>
          <w:p w14:paraId="0A3DB0B3" w14:textId="77777777" w:rsidR="001B0571" w:rsidRPr="00D928C5" w:rsidRDefault="001B0571" w:rsidP="00535160">
            <w:pPr>
              <w:pStyle w:val="NoSpacing"/>
              <w:jc w:val="right"/>
              <w:rPr>
                <w:sz w:val="20"/>
                <w:szCs w:val="20"/>
              </w:rPr>
            </w:pPr>
            <w:r w:rsidRPr="00D928C5">
              <w:rPr>
                <w:sz w:val="20"/>
                <w:szCs w:val="20"/>
              </w:rPr>
              <w:t xml:space="preserve">             </w:t>
            </w:r>
            <w:r w:rsidR="008E4BF6" w:rsidRPr="00D928C5">
              <w:rPr>
                <w:sz w:val="20"/>
                <w:szCs w:val="20"/>
              </w:rPr>
              <w:t>541,324</w:t>
            </w:r>
            <w:r w:rsidRPr="00D928C5">
              <w:rPr>
                <w:sz w:val="20"/>
                <w:szCs w:val="20"/>
              </w:rPr>
              <w:t xml:space="preserve"> </w:t>
            </w:r>
          </w:p>
        </w:tc>
      </w:tr>
      <w:tr w:rsidR="001B0571" w:rsidRPr="00D928C5" w14:paraId="28F033B9" w14:textId="77777777" w:rsidTr="006200B8">
        <w:trPr>
          <w:trHeight w:val="288"/>
        </w:trPr>
        <w:tc>
          <w:tcPr>
            <w:tcW w:w="542" w:type="pct"/>
            <w:vMerge w:val="restart"/>
            <w:shd w:val="clear" w:color="auto" w:fill="auto"/>
            <w:noWrap/>
            <w:vAlign w:val="bottom"/>
            <w:hideMark/>
          </w:tcPr>
          <w:p w14:paraId="3E9C038F" w14:textId="77777777" w:rsidR="001B0571" w:rsidRPr="00D928C5" w:rsidRDefault="001B0571" w:rsidP="00535160">
            <w:pPr>
              <w:pStyle w:val="NoSpacing"/>
              <w:rPr>
                <w:sz w:val="20"/>
                <w:szCs w:val="20"/>
              </w:rPr>
            </w:pPr>
            <w:r w:rsidRPr="00D928C5">
              <w:rPr>
                <w:sz w:val="20"/>
                <w:szCs w:val="20"/>
              </w:rPr>
              <w:t>2015/16</w:t>
            </w:r>
          </w:p>
        </w:tc>
        <w:tc>
          <w:tcPr>
            <w:tcW w:w="604" w:type="pct"/>
            <w:shd w:val="clear" w:color="auto" w:fill="auto"/>
            <w:noWrap/>
            <w:vAlign w:val="bottom"/>
            <w:hideMark/>
          </w:tcPr>
          <w:p w14:paraId="02414F5B" w14:textId="77777777" w:rsidR="001B0571" w:rsidRPr="00D928C5" w:rsidRDefault="001B0571" w:rsidP="00535160">
            <w:pPr>
              <w:pStyle w:val="NoSpacing"/>
              <w:rPr>
                <w:sz w:val="20"/>
                <w:szCs w:val="20"/>
              </w:rPr>
            </w:pPr>
            <w:r w:rsidRPr="00D928C5">
              <w:rPr>
                <w:sz w:val="20"/>
                <w:szCs w:val="20"/>
              </w:rPr>
              <w:t xml:space="preserve">Budget </w:t>
            </w:r>
          </w:p>
        </w:tc>
        <w:tc>
          <w:tcPr>
            <w:tcW w:w="960" w:type="pct"/>
            <w:shd w:val="clear" w:color="auto" w:fill="auto"/>
            <w:noWrap/>
            <w:vAlign w:val="bottom"/>
            <w:hideMark/>
          </w:tcPr>
          <w:p w14:paraId="1E8E17B3" w14:textId="77777777" w:rsidR="001B0571" w:rsidRPr="00D928C5" w:rsidRDefault="008E4BF6" w:rsidP="00535160">
            <w:pPr>
              <w:pStyle w:val="NoSpacing"/>
              <w:jc w:val="right"/>
              <w:rPr>
                <w:sz w:val="20"/>
                <w:szCs w:val="20"/>
              </w:rPr>
            </w:pPr>
            <w:r w:rsidRPr="00D928C5">
              <w:rPr>
                <w:sz w:val="20"/>
                <w:szCs w:val="20"/>
              </w:rPr>
              <w:t xml:space="preserve">                      76,630</w:t>
            </w:r>
            <w:r w:rsidR="001B0571" w:rsidRPr="00D928C5">
              <w:rPr>
                <w:sz w:val="20"/>
                <w:szCs w:val="20"/>
              </w:rPr>
              <w:t xml:space="preserve"> </w:t>
            </w:r>
          </w:p>
        </w:tc>
        <w:tc>
          <w:tcPr>
            <w:tcW w:w="1279" w:type="pct"/>
            <w:shd w:val="clear" w:color="auto" w:fill="auto"/>
            <w:noWrap/>
            <w:vAlign w:val="bottom"/>
            <w:hideMark/>
          </w:tcPr>
          <w:p w14:paraId="4C2FE600" w14:textId="77777777" w:rsidR="001B0571" w:rsidRPr="00D928C5" w:rsidRDefault="001B0571" w:rsidP="00535160">
            <w:pPr>
              <w:pStyle w:val="NoSpacing"/>
              <w:jc w:val="right"/>
              <w:rPr>
                <w:sz w:val="20"/>
                <w:szCs w:val="20"/>
              </w:rPr>
            </w:pPr>
            <w:r w:rsidRPr="00D928C5">
              <w:rPr>
                <w:sz w:val="20"/>
                <w:szCs w:val="20"/>
              </w:rPr>
              <w:t xml:space="preserve">          </w:t>
            </w:r>
            <w:r w:rsidR="008E4BF6" w:rsidRPr="00D928C5">
              <w:rPr>
                <w:sz w:val="20"/>
                <w:szCs w:val="20"/>
              </w:rPr>
              <w:t xml:space="preserve">                      178,278</w:t>
            </w:r>
            <w:r w:rsidRPr="00D928C5">
              <w:rPr>
                <w:sz w:val="20"/>
                <w:szCs w:val="20"/>
              </w:rPr>
              <w:t xml:space="preserve"> </w:t>
            </w:r>
          </w:p>
        </w:tc>
        <w:tc>
          <w:tcPr>
            <w:tcW w:w="820" w:type="pct"/>
            <w:shd w:val="clear" w:color="auto" w:fill="auto"/>
            <w:noWrap/>
            <w:vAlign w:val="bottom"/>
            <w:hideMark/>
          </w:tcPr>
          <w:p w14:paraId="649772C7" w14:textId="77777777" w:rsidR="001B0571" w:rsidRPr="00D928C5" w:rsidRDefault="008E4BF6" w:rsidP="00535160">
            <w:pPr>
              <w:pStyle w:val="NoSpacing"/>
              <w:jc w:val="right"/>
              <w:rPr>
                <w:sz w:val="20"/>
                <w:szCs w:val="20"/>
              </w:rPr>
            </w:pPr>
            <w:r w:rsidRPr="00D928C5">
              <w:rPr>
                <w:sz w:val="20"/>
                <w:szCs w:val="20"/>
              </w:rPr>
              <w:t xml:space="preserve">              441,170</w:t>
            </w:r>
            <w:r w:rsidR="001B0571" w:rsidRPr="00D928C5">
              <w:rPr>
                <w:sz w:val="20"/>
                <w:szCs w:val="20"/>
              </w:rPr>
              <w:t xml:space="preserve"> </w:t>
            </w:r>
          </w:p>
        </w:tc>
        <w:tc>
          <w:tcPr>
            <w:tcW w:w="795" w:type="pct"/>
            <w:shd w:val="clear" w:color="auto" w:fill="auto"/>
            <w:noWrap/>
            <w:vAlign w:val="bottom"/>
            <w:hideMark/>
          </w:tcPr>
          <w:p w14:paraId="211B21E6" w14:textId="77777777" w:rsidR="001B0571" w:rsidRPr="00D928C5" w:rsidRDefault="008E4BF6" w:rsidP="00535160">
            <w:pPr>
              <w:pStyle w:val="NoSpacing"/>
              <w:jc w:val="right"/>
              <w:rPr>
                <w:sz w:val="20"/>
                <w:szCs w:val="20"/>
              </w:rPr>
            </w:pPr>
            <w:r w:rsidRPr="00D928C5">
              <w:rPr>
                <w:sz w:val="20"/>
                <w:szCs w:val="20"/>
              </w:rPr>
              <w:t xml:space="preserve">             696,078</w:t>
            </w:r>
            <w:r w:rsidR="001B0571" w:rsidRPr="00D928C5">
              <w:rPr>
                <w:sz w:val="20"/>
                <w:szCs w:val="20"/>
              </w:rPr>
              <w:t xml:space="preserve"> </w:t>
            </w:r>
          </w:p>
        </w:tc>
      </w:tr>
      <w:tr w:rsidR="001B0571" w:rsidRPr="00D928C5" w14:paraId="7AC53C4A" w14:textId="77777777" w:rsidTr="006200B8">
        <w:trPr>
          <w:trHeight w:val="269"/>
        </w:trPr>
        <w:tc>
          <w:tcPr>
            <w:tcW w:w="542" w:type="pct"/>
            <w:vMerge/>
            <w:vAlign w:val="center"/>
            <w:hideMark/>
          </w:tcPr>
          <w:p w14:paraId="21FCF868" w14:textId="77777777" w:rsidR="001B0571" w:rsidRPr="00D928C5" w:rsidRDefault="001B0571" w:rsidP="00535160">
            <w:pPr>
              <w:pStyle w:val="NoSpacing"/>
              <w:rPr>
                <w:sz w:val="20"/>
                <w:szCs w:val="20"/>
              </w:rPr>
            </w:pPr>
          </w:p>
        </w:tc>
        <w:tc>
          <w:tcPr>
            <w:tcW w:w="604" w:type="pct"/>
            <w:shd w:val="clear" w:color="auto" w:fill="auto"/>
            <w:noWrap/>
            <w:vAlign w:val="bottom"/>
            <w:hideMark/>
          </w:tcPr>
          <w:p w14:paraId="00D26A1A" w14:textId="77777777" w:rsidR="001B0571" w:rsidRPr="00D928C5" w:rsidRDefault="001B0571" w:rsidP="00535160">
            <w:pPr>
              <w:pStyle w:val="NoSpacing"/>
              <w:rPr>
                <w:sz w:val="20"/>
                <w:szCs w:val="20"/>
              </w:rPr>
            </w:pPr>
            <w:r w:rsidRPr="00D928C5">
              <w:rPr>
                <w:sz w:val="20"/>
                <w:szCs w:val="20"/>
              </w:rPr>
              <w:t xml:space="preserve">Expenditure </w:t>
            </w:r>
          </w:p>
        </w:tc>
        <w:tc>
          <w:tcPr>
            <w:tcW w:w="960" w:type="pct"/>
            <w:shd w:val="clear" w:color="auto" w:fill="auto"/>
            <w:noWrap/>
            <w:vAlign w:val="bottom"/>
            <w:hideMark/>
          </w:tcPr>
          <w:p w14:paraId="233D2364" w14:textId="77777777" w:rsidR="001B0571" w:rsidRPr="00D928C5" w:rsidRDefault="008E4BF6" w:rsidP="00535160">
            <w:pPr>
              <w:pStyle w:val="NoSpacing"/>
              <w:jc w:val="right"/>
              <w:rPr>
                <w:sz w:val="20"/>
                <w:szCs w:val="20"/>
              </w:rPr>
            </w:pPr>
            <w:r w:rsidRPr="00D928C5">
              <w:rPr>
                <w:sz w:val="20"/>
                <w:szCs w:val="20"/>
              </w:rPr>
              <w:t xml:space="preserve">                      63,670</w:t>
            </w:r>
            <w:r w:rsidR="001B0571" w:rsidRPr="00D928C5">
              <w:rPr>
                <w:sz w:val="20"/>
                <w:szCs w:val="20"/>
              </w:rPr>
              <w:t xml:space="preserve"> </w:t>
            </w:r>
          </w:p>
        </w:tc>
        <w:tc>
          <w:tcPr>
            <w:tcW w:w="1279" w:type="pct"/>
            <w:shd w:val="clear" w:color="auto" w:fill="auto"/>
            <w:noWrap/>
            <w:vAlign w:val="bottom"/>
            <w:hideMark/>
          </w:tcPr>
          <w:p w14:paraId="7B8372CA" w14:textId="77777777" w:rsidR="001B0571" w:rsidRPr="00D928C5" w:rsidRDefault="001B0571" w:rsidP="00535160">
            <w:pPr>
              <w:pStyle w:val="NoSpacing"/>
              <w:jc w:val="right"/>
              <w:rPr>
                <w:sz w:val="20"/>
                <w:szCs w:val="20"/>
              </w:rPr>
            </w:pPr>
            <w:r w:rsidRPr="00D928C5">
              <w:rPr>
                <w:sz w:val="20"/>
                <w:szCs w:val="20"/>
              </w:rPr>
              <w:t xml:space="preserve">          </w:t>
            </w:r>
            <w:r w:rsidR="008E4BF6" w:rsidRPr="00D928C5">
              <w:rPr>
                <w:sz w:val="20"/>
                <w:szCs w:val="20"/>
              </w:rPr>
              <w:t xml:space="preserve">                      122,537</w:t>
            </w:r>
            <w:r w:rsidRPr="00D928C5">
              <w:rPr>
                <w:sz w:val="20"/>
                <w:szCs w:val="20"/>
              </w:rPr>
              <w:t xml:space="preserve"> </w:t>
            </w:r>
          </w:p>
        </w:tc>
        <w:tc>
          <w:tcPr>
            <w:tcW w:w="820" w:type="pct"/>
            <w:shd w:val="clear" w:color="auto" w:fill="auto"/>
            <w:noWrap/>
            <w:vAlign w:val="bottom"/>
            <w:hideMark/>
          </w:tcPr>
          <w:p w14:paraId="7CD7B550" w14:textId="77777777" w:rsidR="001B0571" w:rsidRPr="00D928C5" w:rsidRDefault="008E4BF6" w:rsidP="00535160">
            <w:pPr>
              <w:pStyle w:val="NoSpacing"/>
              <w:jc w:val="right"/>
              <w:rPr>
                <w:sz w:val="20"/>
                <w:szCs w:val="20"/>
              </w:rPr>
            </w:pPr>
            <w:r w:rsidRPr="00D928C5">
              <w:rPr>
                <w:sz w:val="20"/>
                <w:szCs w:val="20"/>
              </w:rPr>
              <w:t xml:space="preserve">              400,261</w:t>
            </w:r>
            <w:r w:rsidR="001B0571" w:rsidRPr="00D928C5">
              <w:rPr>
                <w:sz w:val="20"/>
                <w:szCs w:val="20"/>
              </w:rPr>
              <w:t xml:space="preserve"> </w:t>
            </w:r>
          </w:p>
        </w:tc>
        <w:tc>
          <w:tcPr>
            <w:tcW w:w="795" w:type="pct"/>
            <w:shd w:val="clear" w:color="auto" w:fill="auto"/>
            <w:noWrap/>
            <w:vAlign w:val="bottom"/>
            <w:hideMark/>
          </w:tcPr>
          <w:p w14:paraId="7A53C54E" w14:textId="77777777" w:rsidR="001B0571" w:rsidRPr="00D928C5" w:rsidRDefault="008E4BF6" w:rsidP="00535160">
            <w:pPr>
              <w:pStyle w:val="NoSpacing"/>
              <w:jc w:val="right"/>
              <w:rPr>
                <w:sz w:val="20"/>
                <w:szCs w:val="20"/>
              </w:rPr>
            </w:pPr>
            <w:r w:rsidRPr="00D928C5">
              <w:rPr>
                <w:sz w:val="20"/>
                <w:szCs w:val="20"/>
              </w:rPr>
              <w:t xml:space="preserve">             586,468</w:t>
            </w:r>
            <w:r w:rsidR="001B0571" w:rsidRPr="00D928C5">
              <w:rPr>
                <w:sz w:val="20"/>
                <w:szCs w:val="20"/>
              </w:rPr>
              <w:t xml:space="preserve"> </w:t>
            </w:r>
          </w:p>
        </w:tc>
      </w:tr>
    </w:tbl>
    <w:p w14:paraId="7BA6E5EE" w14:textId="77777777" w:rsidR="007C7FB5" w:rsidRPr="00423FA0" w:rsidRDefault="007C7FB5" w:rsidP="007C7FB5">
      <w:pPr>
        <w:rPr>
          <w:b/>
          <w:i/>
          <w:color w:val="000000"/>
        </w:rPr>
      </w:pPr>
      <w:r w:rsidRPr="00423FA0">
        <w:rPr>
          <w:b/>
          <w:i/>
          <w:color w:val="000000"/>
        </w:rPr>
        <w:t>Source</w:t>
      </w:r>
      <w:r w:rsidR="00423FA0" w:rsidRPr="00423FA0">
        <w:rPr>
          <w:b/>
          <w:i/>
          <w:color w:val="000000"/>
        </w:rPr>
        <w:t>:</w:t>
      </w:r>
      <w:r w:rsidRPr="00423FA0">
        <w:rPr>
          <w:b/>
          <w:i/>
          <w:color w:val="000000"/>
        </w:rPr>
        <w:t xml:space="preserve"> LGA Epicor </w:t>
      </w:r>
      <w:r w:rsidR="00423FA0" w:rsidRPr="00423FA0">
        <w:rPr>
          <w:b/>
          <w:i/>
          <w:color w:val="000000"/>
        </w:rPr>
        <w:t>System.</w:t>
      </w:r>
    </w:p>
    <w:p w14:paraId="4CCFCFD3" w14:textId="77777777" w:rsidR="00204E75" w:rsidRPr="00423FA0" w:rsidRDefault="00204E75" w:rsidP="00B13ADC">
      <w:pPr>
        <w:pStyle w:val="1-DocText"/>
        <w:spacing w:before="0" w:after="0" w:line="276" w:lineRule="auto"/>
        <w:jc w:val="both"/>
        <w:rPr>
          <w:rFonts w:ascii="Calibri" w:hAnsi="Calibri" w:cs="Calibri"/>
          <w:color w:val="000000"/>
          <w:sz w:val="24"/>
          <w:szCs w:val="24"/>
          <w:highlight w:val="yellow"/>
        </w:rPr>
      </w:pPr>
    </w:p>
    <w:p w14:paraId="5B64AEF0" w14:textId="77777777" w:rsidR="00C85938" w:rsidRDefault="008E4BF6" w:rsidP="00E577CB">
      <w:pPr>
        <w:pStyle w:val="Caption1"/>
      </w:pPr>
      <w:bookmarkStart w:id="126" w:name="_Toc488423310"/>
      <w:r>
        <w:t xml:space="preserve">Figure </w:t>
      </w:r>
      <w:r w:rsidR="00B13ADC">
        <w:t>5.</w:t>
      </w:r>
      <w:r>
        <w:t>2</w:t>
      </w:r>
      <w:r w:rsidR="00D33DB9" w:rsidRPr="001170AC">
        <w:t>:</w:t>
      </w:r>
      <w:r w:rsidR="00E577CB">
        <w:tab/>
      </w:r>
      <w:r w:rsidR="009E4F8E" w:rsidRPr="001170AC">
        <w:t xml:space="preserve">Government </w:t>
      </w:r>
      <w:r w:rsidR="00C85938" w:rsidRPr="001170AC">
        <w:t>Recurrent and Development Spending at</w:t>
      </w:r>
      <w:r w:rsidR="00B125FF" w:rsidRPr="001170AC">
        <w:t xml:space="preserve"> LGA</w:t>
      </w:r>
      <w:bookmarkEnd w:id="126"/>
    </w:p>
    <w:p w14:paraId="40980C7F" w14:textId="77777777" w:rsidR="008E4BF6" w:rsidRDefault="000B5E1A" w:rsidP="00670B35">
      <w:pPr>
        <w:rPr>
          <w:b/>
        </w:rPr>
      </w:pPr>
      <w:r>
        <w:rPr>
          <w:noProof/>
          <w:bdr w:val="double" w:sz="4" w:space="0" w:color="3333FF"/>
        </w:rPr>
        <w:drawing>
          <wp:inline distT="0" distB="0" distL="0" distR="0" wp14:anchorId="725864C5" wp14:editId="441EC204">
            <wp:extent cx="4571992" cy="2744724"/>
            <wp:effectExtent l="12192" t="6096" r="3056" b="0"/>
            <wp:docPr id="122"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inline>
        </w:drawing>
      </w:r>
    </w:p>
    <w:p w14:paraId="24243FC7" w14:textId="77777777" w:rsidR="009E5545" w:rsidRPr="00535160" w:rsidRDefault="009E5545" w:rsidP="00670B35">
      <w:pPr>
        <w:rPr>
          <w:b/>
          <w:i/>
          <w:color w:val="000000"/>
          <w:sz w:val="20"/>
          <w:szCs w:val="20"/>
        </w:rPr>
      </w:pPr>
      <w:r w:rsidRPr="00535160">
        <w:rPr>
          <w:b/>
          <w:i/>
          <w:color w:val="000000"/>
          <w:sz w:val="20"/>
          <w:szCs w:val="20"/>
        </w:rPr>
        <w:t>Source</w:t>
      </w:r>
      <w:r w:rsidR="00FF2D02" w:rsidRPr="00535160">
        <w:rPr>
          <w:b/>
          <w:i/>
          <w:color w:val="000000"/>
          <w:sz w:val="20"/>
          <w:szCs w:val="20"/>
        </w:rPr>
        <w:t xml:space="preserve">: </w:t>
      </w:r>
      <w:r w:rsidR="00DC45E6" w:rsidRPr="00535160">
        <w:rPr>
          <w:b/>
          <w:i/>
          <w:color w:val="000000"/>
          <w:sz w:val="20"/>
          <w:szCs w:val="20"/>
        </w:rPr>
        <w:t>LGA Epicor</w:t>
      </w:r>
      <w:r w:rsidR="008E4BF6" w:rsidRPr="00535160">
        <w:rPr>
          <w:b/>
          <w:i/>
          <w:color w:val="000000"/>
          <w:sz w:val="20"/>
          <w:szCs w:val="20"/>
        </w:rPr>
        <w:t xml:space="preserve"> System</w:t>
      </w:r>
      <w:r w:rsidR="00DC45E6" w:rsidRPr="00535160">
        <w:rPr>
          <w:b/>
          <w:i/>
          <w:color w:val="000000"/>
          <w:sz w:val="20"/>
          <w:szCs w:val="20"/>
        </w:rPr>
        <w:t>.</w:t>
      </w:r>
    </w:p>
    <w:p w14:paraId="1DAF6E64" w14:textId="77777777" w:rsidR="009E5545" w:rsidRDefault="009E5545" w:rsidP="00670B35">
      <w:pPr>
        <w:rPr>
          <w:color w:val="000000"/>
          <w:highlight w:val="yellow"/>
        </w:rPr>
      </w:pPr>
    </w:p>
    <w:p w14:paraId="6E2AB589" w14:textId="77777777" w:rsidR="00E86F5D" w:rsidRDefault="009125D0" w:rsidP="00197026">
      <w:pPr>
        <w:pStyle w:val="Heading2"/>
      </w:pPr>
      <w:r>
        <w:br w:type="page"/>
      </w:r>
      <w:bookmarkStart w:id="127" w:name="_Toc488423271"/>
      <w:r w:rsidR="00E86F5D" w:rsidRPr="001170AC">
        <w:lastRenderedPageBreak/>
        <w:t>5.</w:t>
      </w:r>
      <w:r w:rsidR="002E1048">
        <w:t>4</w:t>
      </w:r>
      <w:r w:rsidR="00197026">
        <w:tab/>
      </w:r>
      <w:r w:rsidR="00E86F5D">
        <w:t>Budget and Expenditure by LGAs Sub-Votes</w:t>
      </w:r>
      <w:bookmarkEnd w:id="127"/>
      <w:r w:rsidR="00E86F5D">
        <w:t xml:space="preserve"> </w:t>
      </w:r>
    </w:p>
    <w:p w14:paraId="77834659" w14:textId="77777777" w:rsidR="00F74BCF" w:rsidRDefault="00F74BCF" w:rsidP="00E86F5D">
      <w:pPr>
        <w:rPr>
          <w:b/>
        </w:rPr>
      </w:pPr>
    </w:p>
    <w:p w14:paraId="022EAEA9" w14:textId="54C92913" w:rsidR="00C633A3" w:rsidRPr="00C633A3" w:rsidRDefault="002E7DC8" w:rsidP="00E86F5D">
      <w:r>
        <w:t>Expenditures by S</w:t>
      </w:r>
      <w:r w:rsidR="00C633A3">
        <w:t>ub-votes increas</w:t>
      </w:r>
      <w:r w:rsidR="00C633A3" w:rsidRPr="00C633A3">
        <w:t xml:space="preserve">ed from </w:t>
      </w:r>
      <w:r w:rsidR="00C633A3">
        <w:t xml:space="preserve">TZS </w:t>
      </w:r>
      <w:r w:rsidR="00C633A3" w:rsidRPr="00C633A3">
        <w:t xml:space="preserve">317,624 </w:t>
      </w:r>
      <w:r w:rsidR="00C633A3">
        <w:t xml:space="preserve">Million </w:t>
      </w:r>
      <w:r w:rsidR="00C633A3" w:rsidRPr="00C633A3">
        <w:t xml:space="preserve">in 2012/13 to </w:t>
      </w:r>
      <w:r w:rsidR="00C633A3">
        <w:t xml:space="preserve">TZS </w:t>
      </w:r>
      <w:r w:rsidR="00C633A3" w:rsidRPr="00C633A3">
        <w:t xml:space="preserve">586,468 </w:t>
      </w:r>
      <w:r w:rsidR="00C633A3">
        <w:t xml:space="preserve">Million </w:t>
      </w:r>
      <w:r w:rsidR="00C633A3" w:rsidRPr="00C633A3">
        <w:t>in</w:t>
      </w:r>
      <w:r w:rsidR="00C633A3">
        <w:t xml:space="preserve"> 2015</w:t>
      </w:r>
      <w:r w:rsidR="00E9667E">
        <w:t>/</w:t>
      </w:r>
      <w:r w:rsidR="00C633A3">
        <w:t>16.</w:t>
      </w:r>
      <w:r w:rsidR="00C633A3" w:rsidRPr="00C633A3">
        <w:t xml:space="preserve"> </w:t>
      </w:r>
      <w:r w:rsidR="00E9667E">
        <w:t>For the 2012/1</w:t>
      </w:r>
      <w:r>
        <w:t>3 and 2013/14 financial years, S</w:t>
      </w:r>
      <w:r w:rsidR="00E9667E">
        <w:t>ub-vote 508E (Dispensaries) had the hi</w:t>
      </w:r>
      <w:r>
        <w:t>ghest expenditures followed by S</w:t>
      </w:r>
      <w:r w:rsidR="00E9667E">
        <w:t xml:space="preserve">ub-vote 508A (CHMT). This trend was reversed in the 2014/15 and 2015/16 </w:t>
      </w:r>
      <w:r>
        <w:t xml:space="preserve">financial years </w:t>
      </w:r>
      <w:r w:rsidR="00E9667E">
        <w:t>with CHMT having higher</w:t>
      </w:r>
      <w:r>
        <w:t xml:space="preserve"> </w:t>
      </w:r>
      <w:r w:rsidR="00E9667E">
        <w:t>expenditure</w:t>
      </w:r>
      <w:r>
        <w:t>s</w:t>
      </w:r>
      <w:r w:rsidR="00E9667E">
        <w:t xml:space="preserve"> than Dispens</w:t>
      </w:r>
      <w:r>
        <w:t xml:space="preserve">aries. </w:t>
      </w:r>
      <w:r w:rsidR="00E9667E">
        <w:t>This is a concern given</w:t>
      </w:r>
      <w:r>
        <w:t xml:space="preserve"> t</w:t>
      </w:r>
      <w:r w:rsidR="00E9667E">
        <w:t>he need to channel resour</w:t>
      </w:r>
      <w:r>
        <w:t>ces at the health</w:t>
      </w:r>
      <w:r w:rsidR="00E9667E">
        <w:t xml:space="preserve"> service</w:t>
      </w:r>
      <w:r>
        <w:t xml:space="preserve">s </w:t>
      </w:r>
      <w:r w:rsidR="00E9667E">
        <w:t>del</w:t>
      </w:r>
      <w:r>
        <w:t xml:space="preserve">ivery </w:t>
      </w:r>
      <w:r w:rsidR="00E9667E">
        <w:t>points</w:t>
      </w:r>
      <w:r w:rsidR="006200B8">
        <w:t xml:space="preserve"> </w:t>
      </w:r>
      <w:r w:rsidR="006200B8">
        <w:rPr>
          <w:rStyle w:val="FootnoteReference"/>
        </w:rPr>
        <w:footnoteReference w:id="3"/>
      </w:r>
      <w:r w:rsidR="00E9667E">
        <w:t xml:space="preserve">.   </w:t>
      </w:r>
    </w:p>
    <w:p w14:paraId="53EF3347" w14:textId="77777777" w:rsidR="00C633A3" w:rsidRDefault="00C633A3" w:rsidP="00F74BCF">
      <w:pPr>
        <w:rPr>
          <w:b/>
        </w:rPr>
      </w:pPr>
    </w:p>
    <w:p w14:paraId="1A8F193E" w14:textId="77777777" w:rsidR="00F74BCF" w:rsidRDefault="00F74BCF" w:rsidP="00535160">
      <w:pPr>
        <w:pStyle w:val="Caption"/>
      </w:pPr>
      <w:bookmarkStart w:id="128" w:name="_Toc488423290"/>
      <w:r>
        <w:t xml:space="preserve">Table </w:t>
      </w:r>
      <w:r w:rsidRPr="001170AC">
        <w:t>5.</w:t>
      </w:r>
      <w:r>
        <w:t>3:</w:t>
      </w:r>
      <w:r w:rsidR="00535160">
        <w:tab/>
      </w:r>
      <w:r>
        <w:t>Budget and Expenditure by LGAs Sub-Votes</w:t>
      </w:r>
      <w:bookmarkEnd w:id="128"/>
      <w:r>
        <w:t xml:space="preserve"> </w:t>
      </w:r>
    </w:p>
    <w:tbl>
      <w:tblPr>
        <w:tblW w:w="9000" w:type="dxa"/>
        <w:tblInd w:w="108" w:type="dxa"/>
        <w:tblBorders>
          <w:top w:val="double" w:sz="4" w:space="0" w:color="3333FF"/>
          <w:left w:val="double" w:sz="4" w:space="0" w:color="3333FF"/>
          <w:bottom w:val="double" w:sz="4" w:space="0" w:color="3333FF"/>
          <w:right w:val="double" w:sz="4" w:space="0" w:color="3333FF"/>
          <w:insideH w:val="single" w:sz="4" w:space="0" w:color="auto"/>
          <w:insideV w:val="single" w:sz="4" w:space="0" w:color="auto"/>
        </w:tblBorders>
        <w:tblLook w:val="04A0" w:firstRow="1" w:lastRow="0" w:firstColumn="1" w:lastColumn="0" w:noHBand="0" w:noVBand="1"/>
      </w:tblPr>
      <w:tblGrid>
        <w:gridCol w:w="1062"/>
        <w:gridCol w:w="876"/>
        <w:gridCol w:w="925"/>
        <w:gridCol w:w="990"/>
        <w:gridCol w:w="990"/>
        <w:gridCol w:w="900"/>
        <w:gridCol w:w="1097"/>
        <w:gridCol w:w="1080"/>
        <w:gridCol w:w="1080"/>
      </w:tblGrid>
      <w:tr w:rsidR="00197026" w:rsidRPr="006103DB" w14:paraId="04F11307" w14:textId="77777777" w:rsidTr="00197026">
        <w:trPr>
          <w:trHeight w:val="300"/>
        </w:trPr>
        <w:tc>
          <w:tcPr>
            <w:tcW w:w="1062" w:type="dxa"/>
            <w:vMerge w:val="restart"/>
            <w:shd w:val="clear" w:color="auto" w:fill="C2D69B" w:themeFill="accent3" w:themeFillTint="99"/>
            <w:noWrap/>
            <w:vAlign w:val="center"/>
            <w:hideMark/>
          </w:tcPr>
          <w:p w14:paraId="7EC81FF5" w14:textId="77777777" w:rsidR="00197026" w:rsidRPr="00F74BCF" w:rsidRDefault="00197026" w:rsidP="00197026">
            <w:pPr>
              <w:jc w:val="center"/>
              <w:rPr>
                <w:b/>
                <w:color w:val="000000"/>
                <w:sz w:val="20"/>
                <w:szCs w:val="20"/>
              </w:rPr>
            </w:pPr>
            <w:r>
              <w:rPr>
                <w:b/>
                <w:color w:val="000000"/>
                <w:sz w:val="20"/>
                <w:szCs w:val="20"/>
              </w:rPr>
              <w:t>S</w:t>
            </w:r>
            <w:r w:rsidRPr="00F74BCF">
              <w:rPr>
                <w:b/>
                <w:color w:val="000000"/>
                <w:sz w:val="20"/>
                <w:szCs w:val="20"/>
              </w:rPr>
              <w:t>ub vote</w:t>
            </w:r>
          </w:p>
        </w:tc>
        <w:tc>
          <w:tcPr>
            <w:tcW w:w="1801" w:type="dxa"/>
            <w:gridSpan w:val="2"/>
            <w:shd w:val="clear" w:color="auto" w:fill="C2D69B" w:themeFill="accent3" w:themeFillTint="99"/>
            <w:noWrap/>
            <w:vAlign w:val="center"/>
            <w:hideMark/>
          </w:tcPr>
          <w:p w14:paraId="5E7F024C" w14:textId="77777777" w:rsidR="00197026" w:rsidRPr="00F74BCF" w:rsidRDefault="00197026" w:rsidP="00197026">
            <w:pPr>
              <w:spacing w:line="240" w:lineRule="auto"/>
              <w:jc w:val="center"/>
              <w:rPr>
                <w:b/>
                <w:color w:val="000000"/>
                <w:sz w:val="20"/>
                <w:szCs w:val="20"/>
              </w:rPr>
            </w:pPr>
            <w:r w:rsidRPr="00F74BCF">
              <w:rPr>
                <w:b/>
                <w:color w:val="000000"/>
                <w:sz w:val="20"/>
                <w:szCs w:val="20"/>
              </w:rPr>
              <w:t>2012/13</w:t>
            </w:r>
          </w:p>
        </w:tc>
        <w:tc>
          <w:tcPr>
            <w:tcW w:w="1980" w:type="dxa"/>
            <w:gridSpan w:val="2"/>
            <w:shd w:val="clear" w:color="auto" w:fill="C2D69B" w:themeFill="accent3" w:themeFillTint="99"/>
            <w:noWrap/>
            <w:vAlign w:val="center"/>
            <w:hideMark/>
          </w:tcPr>
          <w:p w14:paraId="49880709" w14:textId="77777777" w:rsidR="00197026" w:rsidRPr="00F74BCF" w:rsidRDefault="00197026" w:rsidP="00197026">
            <w:pPr>
              <w:spacing w:line="240" w:lineRule="auto"/>
              <w:jc w:val="center"/>
              <w:rPr>
                <w:b/>
                <w:color w:val="000000"/>
                <w:sz w:val="20"/>
                <w:szCs w:val="20"/>
              </w:rPr>
            </w:pPr>
            <w:r w:rsidRPr="00F74BCF">
              <w:rPr>
                <w:b/>
                <w:color w:val="000000"/>
                <w:sz w:val="20"/>
                <w:szCs w:val="20"/>
              </w:rPr>
              <w:t>2013/14</w:t>
            </w:r>
          </w:p>
        </w:tc>
        <w:tc>
          <w:tcPr>
            <w:tcW w:w="1997" w:type="dxa"/>
            <w:gridSpan w:val="2"/>
            <w:shd w:val="clear" w:color="auto" w:fill="C2D69B" w:themeFill="accent3" w:themeFillTint="99"/>
            <w:noWrap/>
            <w:vAlign w:val="center"/>
            <w:hideMark/>
          </w:tcPr>
          <w:p w14:paraId="0282AD8E" w14:textId="77777777" w:rsidR="00197026" w:rsidRPr="00F74BCF" w:rsidRDefault="00197026" w:rsidP="00197026">
            <w:pPr>
              <w:spacing w:line="240" w:lineRule="auto"/>
              <w:jc w:val="center"/>
              <w:rPr>
                <w:b/>
                <w:color w:val="000000"/>
                <w:sz w:val="20"/>
                <w:szCs w:val="20"/>
              </w:rPr>
            </w:pPr>
            <w:r w:rsidRPr="00F74BCF">
              <w:rPr>
                <w:b/>
                <w:color w:val="000000"/>
                <w:sz w:val="20"/>
                <w:szCs w:val="20"/>
              </w:rPr>
              <w:t>2014/15</w:t>
            </w:r>
          </w:p>
        </w:tc>
        <w:tc>
          <w:tcPr>
            <w:tcW w:w="2160" w:type="dxa"/>
            <w:gridSpan w:val="2"/>
            <w:shd w:val="clear" w:color="auto" w:fill="C2D69B" w:themeFill="accent3" w:themeFillTint="99"/>
            <w:noWrap/>
            <w:vAlign w:val="center"/>
            <w:hideMark/>
          </w:tcPr>
          <w:p w14:paraId="6A48C66C" w14:textId="77777777" w:rsidR="00197026" w:rsidRPr="00F74BCF" w:rsidRDefault="00197026" w:rsidP="00197026">
            <w:pPr>
              <w:spacing w:line="240" w:lineRule="auto"/>
              <w:jc w:val="center"/>
              <w:rPr>
                <w:b/>
                <w:color w:val="000000"/>
                <w:sz w:val="20"/>
                <w:szCs w:val="20"/>
              </w:rPr>
            </w:pPr>
            <w:r w:rsidRPr="00F74BCF">
              <w:rPr>
                <w:b/>
                <w:color w:val="000000"/>
                <w:sz w:val="20"/>
                <w:szCs w:val="20"/>
              </w:rPr>
              <w:t>2015/16</w:t>
            </w:r>
          </w:p>
        </w:tc>
      </w:tr>
      <w:tr w:rsidR="00197026" w:rsidRPr="00F74BCF" w14:paraId="11F03E9D" w14:textId="77777777" w:rsidTr="00197026">
        <w:trPr>
          <w:trHeight w:val="300"/>
        </w:trPr>
        <w:tc>
          <w:tcPr>
            <w:tcW w:w="1062" w:type="dxa"/>
            <w:vMerge/>
            <w:shd w:val="clear" w:color="auto" w:fill="C2D69B" w:themeFill="accent3" w:themeFillTint="99"/>
            <w:noWrap/>
            <w:vAlign w:val="center"/>
            <w:hideMark/>
          </w:tcPr>
          <w:p w14:paraId="2F73AC57" w14:textId="77777777" w:rsidR="00197026" w:rsidRPr="00F74BCF" w:rsidRDefault="00197026" w:rsidP="00197026">
            <w:pPr>
              <w:spacing w:line="240" w:lineRule="auto"/>
              <w:jc w:val="center"/>
              <w:rPr>
                <w:b/>
                <w:color w:val="000000"/>
                <w:sz w:val="20"/>
                <w:szCs w:val="20"/>
              </w:rPr>
            </w:pPr>
          </w:p>
        </w:tc>
        <w:tc>
          <w:tcPr>
            <w:tcW w:w="876" w:type="dxa"/>
            <w:shd w:val="clear" w:color="auto" w:fill="C2D69B" w:themeFill="accent3" w:themeFillTint="99"/>
            <w:noWrap/>
            <w:vAlign w:val="center"/>
            <w:hideMark/>
          </w:tcPr>
          <w:p w14:paraId="03A7534F" w14:textId="77777777" w:rsidR="00197026" w:rsidRPr="00F74BCF" w:rsidRDefault="00197026" w:rsidP="00197026">
            <w:pPr>
              <w:spacing w:line="240" w:lineRule="auto"/>
              <w:jc w:val="center"/>
              <w:rPr>
                <w:b/>
                <w:color w:val="000000"/>
                <w:sz w:val="20"/>
                <w:szCs w:val="20"/>
              </w:rPr>
            </w:pPr>
            <w:r w:rsidRPr="00F74BCF">
              <w:rPr>
                <w:b/>
                <w:color w:val="000000"/>
                <w:sz w:val="20"/>
                <w:szCs w:val="20"/>
              </w:rPr>
              <w:t>Budget</w:t>
            </w:r>
          </w:p>
        </w:tc>
        <w:tc>
          <w:tcPr>
            <w:tcW w:w="925" w:type="dxa"/>
            <w:shd w:val="clear" w:color="auto" w:fill="C2D69B" w:themeFill="accent3" w:themeFillTint="99"/>
            <w:noWrap/>
            <w:vAlign w:val="center"/>
            <w:hideMark/>
          </w:tcPr>
          <w:p w14:paraId="4533BF09" w14:textId="77777777" w:rsidR="00197026" w:rsidRPr="00F74BCF" w:rsidRDefault="00197026" w:rsidP="00197026">
            <w:pPr>
              <w:spacing w:line="240" w:lineRule="auto"/>
              <w:jc w:val="center"/>
              <w:rPr>
                <w:b/>
                <w:color w:val="000000"/>
                <w:sz w:val="20"/>
                <w:szCs w:val="20"/>
              </w:rPr>
            </w:pPr>
            <w:r w:rsidRPr="00F74BCF">
              <w:rPr>
                <w:b/>
                <w:color w:val="000000"/>
                <w:sz w:val="20"/>
                <w:szCs w:val="20"/>
              </w:rPr>
              <w:t>Exp.</w:t>
            </w:r>
          </w:p>
        </w:tc>
        <w:tc>
          <w:tcPr>
            <w:tcW w:w="990" w:type="dxa"/>
            <w:shd w:val="clear" w:color="auto" w:fill="C2D69B" w:themeFill="accent3" w:themeFillTint="99"/>
            <w:noWrap/>
            <w:vAlign w:val="center"/>
            <w:hideMark/>
          </w:tcPr>
          <w:p w14:paraId="6D34A517" w14:textId="77777777" w:rsidR="00197026" w:rsidRPr="00F74BCF" w:rsidRDefault="00197026" w:rsidP="00197026">
            <w:pPr>
              <w:spacing w:line="240" w:lineRule="auto"/>
              <w:jc w:val="center"/>
              <w:rPr>
                <w:b/>
                <w:color w:val="000000"/>
                <w:sz w:val="20"/>
                <w:szCs w:val="20"/>
              </w:rPr>
            </w:pPr>
            <w:r w:rsidRPr="00F74BCF">
              <w:rPr>
                <w:b/>
                <w:color w:val="000000"/>
                <w:sz w:val="20"/>
                <w:szCs w:val="20"/>
              </w:rPr>
              <w:t>Budget</w:t>
            </w:r>
          </w:p>
        </w:tc>
        <w:tc>
          <w:tcPr>
            <w:tcW w:w="990" w:type="dxa"/>
            <w:shd w:val="clear" w:color="auto" w:fill="C2D69B" w:themeFill="accent3" w:themeFillTint="99"/>
            <w:noWrap/>
            <w:vAlign w:val="center"/>
            <w:hideMark/>
          </w:tcPr>
          <w:p w14:paraId="17AE67FB" w14:textId="77777777" w:rsidR="00197026" w:rsidRPr="00F74BCF" w:rsidRDefault="00197026" w:rsidP="00197026">
            <w:pPr>
              <w:spacing w:line="240" w:lineRule="auto"/>
              <w:jc w:val="center"/>
              <w:rPr>
                <w:b/>
                <w:color w:val="000000"/>
                <w:sz w:val="20"/>
                <w:szCs w:val="20"/>
              </w:rPr>
            </w:pPr>
            <w:r w:rsidRPr="00F74BCF">
              <w:rPr>
                <w:b/>
                <w:color w:val="000000"/>
                <w:sz w:val="20"/>
                <w:szCs w:val="20"/>
              </w:rPr>
              <w:t>Exp.</w:t>
            </w:r>
          </w:p>
        </w:tc>
        <w:tc>
          <w:tcPr>
            <w:tcW w:w="900" w:type="dxa"/>
            <w:shd w:val="clear" w:color="auto" w:fill="C2D69B" w:themeFill="accent3" w:themeFillTint="99"/>
            <w:noWrap/>
            <w:vAlign w:val="center"/>
            <w:hideMark/>
          </w:tcPr>
          <w:p w14:paraId="18D7CF25" w14:textId="77777777" w:rsidR="00197026" w:rsidRPr="00F74BCF" w:rsidRDefault="00197026" w:rsidP="00197026">
            <w:pPr>
              <w:spacing w:line="240" w:lineRule="auto"/>
              <w:jc w:val="center"/>
              <w:rPr>
                <w:b/>
                <w:color w:val="000000"/>
                <w:sz w:val="20"/>
                <w:szCs w:val="20"/>
              </w:rPr>
            </w:pPr>
            <w:r w:rsidRPr="00F74BCF">
              <w:rPr>
                <w:b/>
                <w:color w:val="000000"/>
                <w:sz w:val="20"/>
                <w:szCs w:val="20"/>
              </w:rPr>
              <w:t>Budget</w:t>
            </w:r>
          </w:p>
        </w:tc>
        <w:tc>
          <w:tcPr>
            <w:tcW w:w="1097" w:type="dxa"/>
            <w:shd w:val="clear" w:color="auto" w:fill="C2D69B" w:themeFill="accent3" w:themeFillTint="99"/>
            <w:noWrap/>
            <w:vAlign w:val="center"/>
            <w:hideMark/>
          </w:tcPr>
          <w:p w14:paraId="2A327271" w14:textId="77777777" w:rsidR="00197026" w:rsidRPr="00F74BCF" w:rsidRDefault="00197026" w:rsidP="00197026">
            <w:pPr>
              <w:spacing w:line="240" w:lineRule="auto"/>
              <w:jc w:val="center"/>
              <w:rPr>
                <w:b/>
                <w:color w:val="000000"/>
                <w:sz w:val="20"/>
                <w:szCs w:val="20"/>
              </w:rPr>
            </w:pPr>
            <w:r w:rsidRPr="00F74BCF">
              <w:rPr>
                <w:b/>
                <w:color w:val="000000"/>
                <w:sz w:val="20"/>
                <w:szCs w:val="20"/>
              </w:rPr>
              <w:t>Exp.</w:t>
            </w:r>
          </w:p>
        </w:tc>
        <w:tc>
          <w:tcPr>
            <w:tcW w:w="1080" w:type="dxa"/>
            <w:shd w:val="clear" w:color="auto" w:fill="C2D69B" w:themeFill="accent3" w:themeFillTint="99"/>
            <w:noWrap/>
            <w:vAlign w:val="center"/>
            <w:hideMark/>
          </w:tcPr>
          <w:p w14:paraId="6C5D3523" w14:textId="77777777" w:rsidR="00197026" w:rsidRPr="00F74BCF" w:rsidRDefault="00197026" w:rsidP="00197026">
            <w:pPr>
              <w:spacing w:line="240" w:lineRule="auto"/>
              <w:jc w:val="center"/>
              <w:rPr>
                <w:b/>
                <w:color w:val="000000"/>
                <w:sz w:val="20"/>
                <w:szCs w:val="20"/>
              </w:rPr>
            </w:pPr>
            <w:r w:rsidRPr="00F74BCF">
              <w:rPr>
                <w:b/>
                <w:color w:val="000000"/>
                <w:sz w:val="20"/>
                <w:szCs w:val="20"/>
              </w:rPr>
              <w:t>Budget</w:t>
            </w:r>
          </w:p>
        </w:tc>
        <w:tc>
          <w:tcPr>
            <w:tcW w:w="1080" w:type="dxa"/>
            <w:shd w:val="clear" w:color="auto" w:fill="C2D69B" w:themeFill="accent3" w:themeFillTint="99"/>
            <w:noWrap/>
            <w:vAlign w:val="center"/>
            <w:hideMark/>
          </w:tcPr>
          <w:p w14:paraId="4ECC629F" w14:textId="77777777" w:rsidR="00197026" w:rsidRPr="00F74BCF" w:rsidRDefault="00197026" w:rsidP="00197026">
            <w:pPr>
              <w:spacing w:line="240" w:lineRule="auto"/>
              <w:jc w:val="center"/>
              <w:rPr>
                <w:b/>
                <w:color w:val="000000"/>
                <w:sz w:val="20"/>
                <w:szCs w:val="20"/>
              </w:rPr>
            </w:pPr>
            <w:r w:rsidRPr="00F74BCF">
              <w:rPr>
                <w:b/>
                <w:color w:val="000000"/>
                <w:sz w:val="20"/>
                <w:szCs w:val="20"/>
              </w:rPr>
              <w:t>Exp.</w:t>
            </w:r>
          </w:p>
        </w:tc>
      </w:tr>
      <w:tr w:rsidR="00F74BCF" w:rsidRPr="00F74BCF" w14:paraId="05861E44" w14:textId="77777777" w:rsidTr="00197026">
        <w:trPr>
          <w:trHeight w:val="300"/>
        </w:trPr>
        <w:tc>
          <w:tcPr>
            <w:tcW w:w="1062" w:type="dxa"/>
            <w:shd w:val="clear" w:color="auto" w:fill="auto"/>
            <w:noWrap/>
            <w:vAlign w:val="center"/>
            <w:hideMark/>
          </w:tcPr>
          <w:p w14:paraId="489EC023" w14:textId="77777777" w:rsidR="00F74BCF" w:rsidRPr="00F74BCF" w:rsidRDefault="00F74BCF" w:rsidP="00197026">
            <w:pPr>
              <w:spacing w:line="240" w:lineRule="auto"/>
              <w:jc w:val="left"/>
              <w:rPr>
                <w:color w:val="000000"/>
                <w:sz w:val="20"/>
                <w:szCs w:val="20"/>
              </w:rPr>
            </w:pPr>
            <w:r w:rsidRPr="00F74BCF">
              <w:rPr>
                <w:color w:val="000000"/>
                <w:sz w:val="20"/>
                <w:szCs w:val="20"/>
              </w:rPr>
              <w:t>508A</w:t>
            </w:r>
          </w:p>
        </w:tc>
        <w:tc>
          <w:tcPr>
            <w:tcW w:w="876" w:type="dxa"/>
            <w:shd w:val="clear" w:color="auto" w:fill="auto"/>
            <w:noWrap/>
            <w:vAlign w:val="center"/>
            <w:hideMark/>
          </w:tcPr>
          <w:p w14:paraId="0D3DD3E9"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133,853</w:t>
            </w:r>
          </w:p>
        </w:tc>
        <w:tc>
          <w:tcPr>
            <w:tcW w:w="925" w:type="dxa"/>
            <w:shd w:val="clear" w:color="auto" w:fill="auto"/>
            <w:noWrap/>
            <w:vAlign w:val="center"/>
            <w:hideMark/>
          </w:tcPr>
          <w:p w14:paraId="17F75947"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82,260</w:t>
            </w:r>
          </w:p>
        </w:tc>
        <w:tc>
          <w:tcPr>
            <w:tcW w:w="990" w:type="dxa"/>
            <w:shd w:val="clear" w:color="auto" w:fill="auto"/>
            <w:noWrap/>
            <w:vAlign w:val="center"/>
            <w:hideMark/>
          </w:tcPr>
          <w:p w14:paraId="0728C526"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170,690 </w:t>
            </w:r>
          </w:p>
        </w:tc>
        <w:tc>
          <w:tcPr>
            <w:tcW w:w="990" w:type="dxa"/>
            <w:shd w:val="clear" w:color="auto" w:fill="auto"/>
            <w:noWrap/>
            <w:vAlign w:val="center"/>
            <w:hideMark/>
          </w:tcPr>
          <w:p w14:paraId="421FF9CD"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98,032 </w:t>
            </w:r>
          </w:p>
        </w:tc>
        <w:tc>
          <w:tcPr>
            <w:tcW w:w="900" w:type="dxa"/>
            <w:shd w:val="clear" w:color="auto" w:fill="auto"/>
            <w:noWrap/>
            <w:vAlign w:val="center"/>
            <w:hideMark/>
          </w:tcPr>
          <w:p w14:paraId="5FBF13C0"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207,933 </w:t>
            </w:r>
          </w:p>
        </w:tc>
        <w:tc>
          <w:tcPr>
            <w:tcW w:w="1097" w:type="dxa"/>
            <w:shd w:val="clear" w:color="auto" w:fill="auto"/>
            <w:noWrap/>
            <w:vAlign w:val="center"/>
            <w:hideMark/>
          </w:tcPr>
          <w:p w14:paraId="40658444"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179,133</w:t>
            </w:r>
          </w:p>
        </w:tc>
        <w:tc>
          <w:tcPr>
            <w:tcW w:w="1080" w:type="dxa"/>
            <w:shd w:val="clear" w:color="auto" w:fill="auto"/>
            <w:noWrap/>
            <w:vAlign w:val="center"/>
            <w:hideMark/>
          </w:tcPr>
          <w:p w14:paraId="1190048A"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221,819 </w:t>
            </w:r>
          </w:p>
        </w:tc>
        <w:tc>
          <w:tcPr>
            <w:tcW w:w="1080" w:type="dxa"/>
            <w:shd w:val="clear" w:color="auto" w:fill="auto"/>
            <w:noWrap/>
            <w:vAlign w:val="center"/>
            <w:hideMark/>
          </w:tcPr>
          <w:p w14:paraId="5D0AE1D2"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184,749</w:t>
            </w:r>
          </w:p>
        </w:tc>
      </w:tr>
      <w:tr w:rsidR="00F74BCF" w:rsidRPr="00F74BCF" w14:paraId="62180D9C" w14:textId="77777777" w:rsidTr="00197026">
        <w:trPr>
          <w:trHeight w:val="300"/>
        </w:trPr>
        <w:tc>
          <w:tcPr>
            <w:tcW w:w="1062" w:type="dxa"/>
            <w:shd w:val="clear" w:color="auto" w:fill="auto"/>
            <w:noWrap/>
            <w:vAlign w:val="center"/>
            <w:hideMark/>
          </w:tcPr>
          <w:p w14:paraId="0543DC8A" w14:textId="77777777" w:rsidR="00F74BCF" w:rsidRPr="00F74BCF" w:rsidRDefault="00F74BCF" w:rsidP="00197026">
            <w:pPr>
              <w:spacing w:line="240" w:lineRule="auto"/>
              <w:jc w:val="left"/>
              <w:rPr>
                <w:color w:val="000000"/>
                <w:sz w:val="20"/>
                <w:szCs w:val="20"/>
              </w:rPr>
            </w:pPr>
            <w:r w:rsidRPr="00F74BCF">
              <w:rPr>
                <w:color w:val="000000"/>
                <w:sz w:val="20"/>
                <w:szCs w:val="20"/>
              </w:rPr>
              <w:t>508B</w:t>
            </w:r>
          </w:p>
        </w:tc>
        <w:tc>
          <w:tcPr>
            <w:tcW w:w="876" w:type="dxa"/>
            <w:shd w:val="clear" w:color="auto" w:fill="auto"/>
            <w:noWrap/>
            <w:vAlign w:val="center"/>
            <w:hideMark/>
          </w:tcPr>
          <w:p w14:paraId="177058B3"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120,390</w:t>
            </w:r>
          </w:p>
        </w:tc>
        <w:tc>
          <w:tcPr>
            <w:tcW w:w="925" w:type="dxa"/>
            <w:shd w:val="clear" w:color="auto" w:fill="auto"/>
            <w:noWrap/>
            <w:vAlign w:val="center"/>
            <w:hideMark/>
          </w:tcPr>
          <w:p w14:paraId="4C079834"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58,988</w:t>
            </w:r>
          </w:p>
        </w:tc>
        <w:tc>
          <w:tcPr>
            <w:tcW w:w="990" w:type="dxa"/>
            <w:shd w:val="clear" w:color="auto" w:fill="auto"/>
            <w:noWrap/>
            <w:vAlign w:val="center"/>
            <w:hideMark/>
          </w:tcPr>
          <w:p w14:paraId="5A66E02D"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113,881</w:t>
            </w:r>
          </w:p>
        </w:tc>
        <w:tc>
          <w:tcPr>
            <w:tcW w:w="990" w:type="dxa"/>
            <w:shd w:val="clear" w:color="auto" w:fill="auto"/>
            <w:noWrap/>
            <w:vAlign w:val="center"/>
            <w:hideMark/>
          </w:tcPr>
          <w:p w14:paraId="37B2FDA8"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58,614</w:t>
            </w:r>
          </w:p>
        </w:tc>
        <w:tc>
          <w:tcPr>
            <w:tcW w:w="900" w:type="dxa"/>
            <w:shd w:val="clear" w:color="auto" w:fill="auto"/>
            <w:noWrap/>
            <w:vAlign w:val="center"/>
            <w:hideMark/>
          </w:tcPr>
          <w:p w14:paraId="68B9F1AB"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98,377 </w:t>
            </w:r>
          </w:p>
        </w:tc>
        <w:tc>
          <w:tcPr>
            <w:tcW w:w="1097" w:type="dxa"/>
            <w:shd w:val="clear" w:color="auto" w:fill="auto"/>
            <w:noWrap/>
            <w:vAlign w:val="center"/>
            <w:hideMark/>
          </w:tcPr>
          <w:p w14:paraId="40790C94"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108,932 </w:t>
            </w:r>
          </w:p>
        </w:tc>
        <w:tc>
          <w:tcPr>
            <w:tcW w:w="1080" w:type="dxa"/>
            <w:shd w:val="clear" w:color="auto" w:fill="auto"/>
            <w:noWrap/>
            <w:vAlign w:val="center"/>
            <w:hideMark/>
          </w:tcPr>
          <w:p w14:paraId="7EE47356"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111,160 </w:t>
            </w:r>
          </w:p>
        </w:tc>
        <w:tc>
          <w:tcPr>
            <w:tcW w:w="1080" w:type="dxa"/>
            <w:shd w:val="clear" w:color="auto" w:fill="auto"/>
            <w:noWrap/>
            <w:vAlign w:val="center"/>
            <w:hideMark/>
          </w:tcPr>
          <w:p w14:paraId="1D29A7D3"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110,231</w:t>
            </w:r>
          </w:p>
        </w:tc>
      </w:tr>
      <w:tr w:rsidR="00F74BCF" w:rsidRPr="00F74BCF" w14:paraId="635B3401" w14:textId="77777777" w:rsidTr="00197026">
        <w:trPr>
          <w:trHeight w:val="300"/>
        </w:trPr>
        <w:tc>
          <w:tcPr>
            <w:tcW w:w="1062" w:type="dxa"/>
            <w:shd w:val="clear" w:color="auto" w:fill="auto"/>
            <w:noWrap/>
            <w:vAlign w:val="center"/>
            <w:hideMark/>
          </w:tcPr>
          <w:p w14:paraId="4FCF1035" w14:textId="77777777" w:rsidR="00F74BCF" w:rsidRPr="00F74BCF" w:rsidRDefault="00F74BCF" w:rsidP="00197026">
            <w:pPr>
              <w:spacing w:line="240" w:lineRule="auto"/>
              <w:jc w:val="left"/>
              <w:rPr>
                <w:color w:val="000000"/>
                <w:sz w:val="20"/>
                <w:szCs w:val="20"/>
              </w:rPr>
            </w:pPr>
            <w:r w:rsidRPr="00F74BCF">
              <w:rPr>
                <w:color w:val="000000"/>
                <w:sz w:val="20"/>
                <w:szCs w:val="20"/>
              </w:rPr>
              <w:t>508C</w:t>
            </w:r>
          </w:p>
        </w:tc>
        <w:tc>
          <w:tcPr>
            <w:tcW w:w="876" w:type="dxa"/>
            <w:shd w:val="clear" w:color="auto" w:fill="auto"/>
            <w:noWrap/>
            <w:vAlign w:val="center"/>
            <w:hideMark/>
          </w:tcPr>
          <w:p w14:paraId="55ADA8BB"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12,908</w:t>
            </w:r>
          </w:p>
        </w:tc>
        <w:tc>
          <w:tcPr>
            <w:tcW w:w="925" w:type="dxa"/>
            <w:shd w:val="clear" w:color="auto" w:fill="auto"/>
            <w:noWrap/>
            <w:vAlign w:val="center"/>
            <w:hideMark/>
          </w:tcPr>
          <w:p w14:paraId="022EE1DB"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6,643</w:t>
            </w:r>
          </w:p>
        </w:tc>
        <w:tc>
          <w:tcPr>
            <w:tcW w:w="990" w:type="dxa"/>
            <w:shd w:val="clear" w:color="auto" w:fill="auto"/>
            <w:noWrap/>
            <w:vAlign w:val="center"/>
            <w:hideMark/>
          </w:tcPr>
          <w:p w14:paraId="5B9B52D1"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4,010</w:t>
            </w:r>
          </w:p>
        </w:tc>
        <w:tc>
          <w:tcPr>
            <w:tcW w:w="990" w:type="dxa"/>
            <w:shd w:val="clear" w:color="auto" w:fill="auto"/>
            <w:noWrap/>
            <w:vAlign w:val="center"/>
            <w:hideMark/>
          </w:tcPr>
          <w:p w14:paraId="70C507F9"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3,237</w:t>
            </w:r>
          </w:p>
        </w:tc>
        <w:tc>
          <w:tcPr>
            <w:tcW w:w="900" w:type="dxa"/>
            <w:shd w:val="clear" w:color="auto" w:fill="auto"/>
            <w:noWrap/>
            <w:vAlign w:val="center"/>
            <w:hideMark/>
          </w:tcPr>
          <w:p w14:paraId="51CFC973"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4,252</w:t>
            </w:r>
          </w:p>
        </w:tc>
        <w:tc>
          <w:tcPr>
            <w:tcW w:w="1097" w:type="dxa"/>
            <w:shd w:val="clear" w:color="auto" w:fill="auto"/>
            <w:noWrap/>
            <w:vAlign w:val="center"/>
            <w:hideMark/>
          </w:tcPr>
          <w:p w14:paraId="2B70337E"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3,072</w:t>
            </w:r>
          </w:p>
        </w:tc>
        <w:tc>
          <w:tcPr>
            <w:tcW w:w="1080" w:type="dxa"/>
            <w:shd w:val="clear" w:color="auto" w:fill="auto"/>
            <w:noWrap/>
            <w:vAlign w:val="center"/>
            <w:hideMark/>
          </w:tcPr>
          <w:p w14:paraId="0A744623"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3,613</w:t>
            </w:r>
          </w:p>
        </w:tc>
        <w:tc>
          <w:tcPr>
            <w:tcW w:w="1080" w:type="dxa"/>
            <w:shd w:val="clear" w:color="auto" w:fill="auto"/>
            <w:noWrap/>
            <w:vAlign w:val="center"/>
            <w:hideMark/>
          </w:tcPr>
          <w:p w14:paraId="29B36CA1"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3,052</w:t>
            </w:r>
          </w:p>
        </w:tc>
      </w:tr>
      <w:tr w:rsidR="00F74BCF" w:rsidRPr="00F74BCF" w14:paraId="202D52FD" w14:textId="77777777" w:rsidTr="00197026">
        <w:trPr>
          <w:trHeight w:val="300"/>
        </w:trPr>
        <w:tc>
          <w:tcPr>
            <w:tcW w:w="1062" w:type="dxa"/>
            <w:shd w:val="clear" w:color="auto" w:fill="auto"/>
            <w:noWrap/>
            <w:vAlign w:val="center"/>
            <w:hideMark/>
          </w:tcPr>
          <w:p w14:paraId="3CE6EA32" w14:textId="77777777" w:rsidR="00F74BCF" w:rsidRPr="00F74BCF" w:rsidRDefault="00F74BCF" w:rsidP="00197026">
            <w:pPr>
              <w:spacing w:line="240" w:lineRule="auto"/>
              <w:jc w:val="left"/>
              <w:rPr>
                <w:color w:val="000000"/>
                <w:sz w:val="20"/>
                <w:szCs w:val="20"/>
              </w:rPr>
            </w:pPr>
            <w:r w:rsidRPr="00F74BCF">
              <w:rPr>
                <w:color w:val="000000"/>
                <w:sz w:val="20"/>
                <w:szCs w:val="20"/>
              </w:rPr>
              <w:t>508D</w:t>
            </w:r>
          </w:p>
        </w:tc>
        <w:tc>
          <w:tcPr>
            <w:tcW w:w="876" w:type="dxa"/>
            <w:shd w:val="clear" w:color="auto" w:fill="auto"/>
            <w:noWrap/>
            <w:vAlign w:val="center"/>
            <w:hideMark/>
          </w:tcPr>
          <w:p w14:paraId="01B36638"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135,087</w:t>
            </w:r>
          </w:p>
        </w:tc>
        <w:tc>
          <w:tcPr>
            <w:tcW w:w="925" w:type="dxa"/>
            <w:shd w:val="clear" w:color="auto" w:fill="auto"/>
            <w:noWrap/>
            <w:vAlign w:val="center"/>
            <w:hideMark/>
          </w:tcPr>
          <w:p w14:paraId="5A6534F4"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65,187</w:t>
            </w:r>
          </w:p>
        </w:tc>
        <w:tc>
          <w:tcPr>
            <w:tcW w:w="990" w:type="dxa"/>
            <w:shd w:val="clear" w:color="auto" w:fill="auto"/>
            <w:noWrap/>
            <w:vAlign w:val="center"/>
            <w:hideMark/>
          </w:tcPr>
          <w:p w14:paraId="77AD60D6"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167,921</w:t>
            </w:r>
          </w:p>
        </w:tc>
        <w:tc>
          <w:tcPr>
            <w:tcW w:w="990" w:type="dxa"/>
            <w:shd w:val="clear" w:color="auto" w:fill="auto"/>
            <w:noWrap/>
            <w:vAlign w:val="center"/>
            <w:hideMark/>
          </w:tcPr>
          <w:p w14:paraId="5168EDAC"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87,144</w:t>
            </w:r>
          </w:p>
        </w:tc>
        <w:tc>
          <w:tcPr>
            <w:tcW w:w="900" w:type="dxa"/>
            <w:shd w:val="clear" w:color="auto" w:fill="auto"/>
            <w:noWrap/>
            <w:vAlign w:val="center"/>
            <w:hideMark/>
          </w:tcPr>
          <w:p w14:paraId="4172CA1C"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145,714 </w:t>
            </w:r>
          </w:p>
        </w:tc>
        <w:tc>
          <w:tcPr>
            <w:tcW w:w="1097" w:type="dxa"/>
            <w:shd w:val="clear" w:color="auto" w:fill="auto"/>
            <w:noWrap/>
            <w:vAlign w:val="center"/>
            <w:hideMark/>
          </w:tcPr>
          <w:p w14:paraId="6BC059DA"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109,824 </w:t>
            </w:r>
          </w:p>
        </w:tc>
        <w:tc>
          <w:tcPr>
            <w:tcW w:w="1080" w:type="dxa"/>
            <w:shd w:val="clear" w:color="auto" w:fill="auto"/>
            <w:noWrap/>
            <w:vAlign w:val="center"/>
            <w:hideMark/>
          </w:tcPr>
          <w:p w14:paraId="4D43FD8D"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154,355</w:t>
            </w:r>
          </w:p>
        </w:tc>
        <w:tc>
          <w:tcPr>
            <w:tcW w:w="1080" w:type="dxa"/>
            <w:shd w:val="clear" w:color="auto" w:fill="auto"/>
            <w:noWrap/>
            <w:vAlign w:val="center"/>
            <w:hideMark/>
          </w:tcPr>
          <w:p w14:paraId="4462DFB7"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119,849</w:t>
            </w:r>
          </w:p>
        </w:tc>
      </w:tr>
      <w:tr w:rsidR="00F74BCF" w:rsidRPr="00F74BCF" w14:paraId="79FFE4A1" w14:textId="77777777" w:rsidTr="00197026">
        <w:trPr>
          <w:trHeight w:val="300"/>
        </w:trPr>
        <w:tc>
          <w:tcPr>
            <w:tcW w:w="1062" w:type="dxa"/>
            <w:shd w:val="clear" w:color="auto" w:fill="auto"/>
            <w:noWrap/>
            <w:vAlign w:val="center"/>
            <w:hideMark/>
          </w:tcPr>
          <w:p w14:paraId="05D56FC8" w14:textId="77777777" w:rsidR="00F74BCF" w:rsidRPr="00F74BCF" w:rsidRDefault="00F74BCF" w:rsidP="00197026">
            <w:pPr>
              <w:spacing w:line="240" w:lineRule="auto"/>
              <w:jc w:val="left"/>
              <w:rPr>
                <w:color w:val="000000"/>
                <w:sz w:val="20"/>
                <w:szCs w:val="20"/>
              </w:rPr>
            </w:pPr>
            <w:r w:rsidRPr="00F74BCF">
              <w:rPr>
                <w:color w:val="000000"/>
                <w:sz w:val="20"/>
                <w:szCs w:val="20"/>
              </w:rPr>
              <w:t>508E</w:t>
            </w:r>
          </w:p>
        </w:tc>
        <w:tc>
          <w:tcPr>
            <w:tcW w:w="876" w:type="dxa"/>
            <w:shd w:val="clear" w:color="auto" w:fill="auto"/>
            <w:noWrap/>
            <w:vAlign w:val="center"/>
            <w:hideMark/>
          </w:tcPr>
          <w:p w14:paraId="682E0426"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178,589</w:t>
            </w:r>
          </w:p>
        </w:tc>
        <w:tc>
          <w:tcPr>
            <w:tcW w:w="925" w:type="dxa"/>
            <w:shd w:val="clear" w:color="auto" w:fill="auto"/>
            <w:noWrap/>
            <w:vAlign w:val="center"/>
            <w:hideMark/>
          </w:tcPr>
          <w:p w14:paraId="4862245C"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87,497</w:t>
            </w:r>
          </w:p>
        </w:tc>
        <w:tc>
          <w:tcPr>
            <w:tcW w:w="990" w:type="dxa"/>
            <w:shd w:val="clear" w:color="auto" w:fill="auto"/>
            <w:noWrap/>
            <w:vAlign w:val="center"/>
            <w:hideMark/>
          </w:tcPr>
          <w:p w14:paraId="7819AF3E"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225,504</w:t>
            </w:r>
          </w:p>
        </w:tc>
        <w:tc>
          <w:tcPr>
            <w:tcW w:w="990" w:type="dxa"/>
            <w:shd w:val="clear" w:color="auto" w:fill="auto"/>
            <w:noWrap/>
            <w:vAlign w:val="center"/>
            <w:hideMark/>
          </w:tcPr>
          <w:p w14:paraId="0C64C4DA"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116,739 </w:t>
            </w:r>
          </w:p>
        </w:tc>
        <w:tc>
          <w:tcPr>
            <w:tcW w:w="900" w:type="dxa"/>
            <w:shd w:val="clear" w:color="auto" w:fill="auto"/>
            <w:noWrap/>
            <w:vAlign w:val="center"/>
            <w:hideMark/>
          </w:tcPr>
          <w:p w14:paraId="10E0A542"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195,627 </w:t>
            </w:r>
          </w:p>
        </w:tc>
        <w:tc>
          <w:tcPr>
            <w:tcW w:w="1097" w:type="dxa"/>
            <w:shd w:val="clear" w:color="auto" w:fill="auto"/>
            <w:noWrap/>
            <w:vAlign w:val="center"/>
            <w:hideMark/>
          </w:tcPr>
          <w:p w14:paraId="15308216"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140,364 </w:t>
            </w:r>
          </w:p>
        </w:tc>
        <w:tc>
          <w:tcPr>
            <w:tcW w:w="1080" w:type="dxa"/>
            <w:shd w:val="clear" w:color="auto" w:fill="auto"/>
            <w:noWrap/>
            <w:vAlign w:val="center"/>
            <w:hideMark/>
          </w:tcPr>
          <w:p w14:paraId="00FB46CF"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198,141</w:t>
            </w:r>
          </w:p>
        </w:tc>
        <w:tc>
          <w:tcPr>
            <w:tcW w:w="1080" w:type="dxa"/>
            <w:shd w:val="clear" w:color="auto" w:fill="auto"/>
            <w:noWrap/>
            <w:vAlign w:val="center"/>
            <w:hideMark/>
          </w:tcPr>
          <w:p w14:paraId="42D82B3F"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157,557</w:t>
            </w:r>
          </w:p>
        </w:tc>
      </w:tr>
      <w:tr w:rsidR="00F74BCF" w:rsidRPr="00F74BCF" w14:paraId="2AFC2C3F" w14:textId="77777777" w:rsidTr="00197026">
        <w:trPr>
          <w:trHeight w:val="300"/>
        </w:trPr>
        <w:tc>
          <w:tcPr>
            <w:tcW w:w="1062" w:type="dxa"/>
            <w:shd w:val="clear" w:color="auto" w:fill="auto"/>
            <w:noWrap/>
            <w:vAlign w:val="center"/>
            <w:hideMark/>
          </w:tcPr>
          <w:p w14:paraId="68F2EA80" w14:textId="77777777" w:rsidR="00F74BCF" w:rsidRPr="00F74BCF" w:rsidRDefault="00F74BCF" w:rsidP="00197026">
            <w:pPr>
              <w:spacing w:line="240" w:lineRule="auto"/>
              <w:jc w:val="left"/>
              <w:rPr>
                <w:color w:val="000000"/>
                <w:sz w:val="20"/>
                <w:szCs w:val="20"/>
              </w:rPr>
            </w:pPr>
            <w:r w:rsidRPr="00F74BCF">
              <w:rPr>
                <w:color w:val="000000"/>
                <w:sz w:val="20"/>
                <w:szCs w:val="20"/>
              </w:rPr>
              <w:t>508F</w:t>
            </w:r>
          </w:p>
        </w:tc>
        <w:tc>
          <w:tcPr>
            <w:tcW w:w="876" w:type="dxa"/>
            <w:shd w:val="clear" w:color="auto" w:fill="auto"/>
            <w:noWrap/>
            <w:vAlign w:val="center"/>
            <w:hideMark/>
          </w:tcPr>
          <w:p w14:paraId="4A1B0DA3"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35,998</w:t>
            </w:r>
          </w:p>
        </w:tc>
        <w:tc>
          <w:tcPr>
            <w:tcW w:w="925" w:type="dxa"/>
            <w:shd w:val="clear" w:color="auto" w:fill="auto"/>
            <w:noWrap/>
            <w:vAlign w:val="center"/>
            <w:hideMark/>
          </w:tcPr>
          <w:p w14:paraId="0AE6F797"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15,587</w:t>
            </w:r>
          </w:p>
        </w:tc>
        <w:tc>
          <w:tcPr>
            <w:tcW w:w="990" w:type="dxa"/>
            <w:shd w:val="clear" w:color="auto" w:fill="auto"/>
            <w:noWrap/>
            <w:vAlign w:val="center"/>
            <w:hideMark/>
          </w:tcPr>
          <w:p w14:paraId="59B5195F"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9,125</w:t>
            </w:r>
          </w:p>
        </w:tc>
        <w:tc>
          <w:tcPr>
            <w:tcW w:w="990" w:type="dxa"/>
            <w:shd w:val="clear" w:color="auto" w:fill="auto"/>
            <w:noWrap/>
            <w:vAlign w:val="center"/>
            <w:hideMark/>
          </w:tcPr>
          <w:p w14:paraId="139B3039"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4,507</w:t>
            </w:r>
          </w:p>
        </w:tc>
        <w:tc>
          <w:tcPr>
            <w:tcW w:w="900" w:type="dxa"/>
            <w:shd w:val="clear" w:color="auto" w:fill="auto"/>
            <w:noWrap/>
            <w:vAlign w:val="center"/>
            <w:hideMark/>
          </w:tcPr>
          <w:p w14:paraId="4395C4F6"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10,629 </w:t>
            </w:r>
          </w:p>
        </w:tc>
        <w:tc>
          <w:tcPr>
            <w:tcW w:w="1097" w:type="dxa"/>
            <w:shd w:val="clear" w:color="auto" w:fill="auto"/>
            <w:noWrap/>
            <w:vAlign w:val="center"/>
            <w:hideMark/>
          </w:tcPr>
          <w:p w14:paraId="63B1EB6E" w14:textId="77777777" w:rsidR="00F74BCF" w:rsidRPr="00F74BCF" w:rsidRDefault="00F74BCF" w:rsidP="00197026">
            <w:pPr>
              <w:spacing w:line="240" w:lineRule="auto"/>
              <w:jc w:val="right"/>
              <w:rPr>
                <w:color w:val="000000"/>
                <w:sz w:val="20"/>
                <w:szCs w:val="20"/>
              </w:rPr>
            </w:pPr>
            <w:r w:rsidRPr="00F74BCF">
              <w:rPr>
                <w:color w:val="000000"/>
                <w:sz w:val="20"/>
                <w:szCs w:val="20"/>
              </w:rPr>
              <w:t>9743</w:t>
            </w:r>
          </w:p>
        </w:tc>
        <w:tc>
          <w:tcPr>
            <w:tcW w:w="1080" w:type="dxa"/>
            <w:shd w:val="clear" w:color="auto" w:fill="auto"/>
            <w:noWrap/>
            <w:vAlign w:val="center"/>
            <w:hideMark/>
          </w:tcPr>
          <w:p w14:paraId="3BA1C18A"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6,474</w:t>
            </w:r>
          </w:p>
        </w:tc>
        <w:tc>
          <w:tcPr>
            <w:tcW w:w="1080" w:type="dxa"/>
            <w:shd w:val="clear" w:color="auto" w:fill="auto"/>
            <w:noWrap/>
            <w:vAlign w:val="center"/>
            <w:hideMark/>
          </w:tcPr>
          <w:p w14:paraId="478A9829"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10,650</w:t>
            </w:r>
          </w:p>
        </w:tc>
      </w:tr>
      <w:tr w:rsidR="00F74BCF" w:rsidRPr="00F74BCF" w14:paraId="59958516" w14:textId="77777777" w:rsidTr="00197026">
        <w:trPr>
          <w:trHeight w:val="300"/>
        </w:trPr>
        <w:tc>
          <w:tcPr>
            <w:tcW w:w="1062" w:type="dxa"/>
            <w:shd w:val="clear" w:color="auto" w:fill="auto"/>
            <w:noWrap/>
            <w:vAlign w:val="center"/>
            <w:hideMark/>
          </w:tcPr>
          <w:p w14:paraId="273A2E14" w14:textId="77777777" w:rsidR="00F74BCF" w:rsidRPr="00F74BCF" w:rsidRDefault="00F74BCF" w:rsidP="00197026">
            <w:pPr>
              <w:spacing w:line="240" w:lineRule="auto"/>
              <w:jc w:val="left"/>
              <w:rPr>
                <w:color w:val="000000"/>
                <w:sz w:val="20"/>
                <w:szCs w:val="20"/>
              </w:rPr>
            </w:pPr>
            <w:r w:rsidRPr="00F74BCF">
              <w:rPr>
                <w:color w:val="000000"/>
                <w:sz w:val="20"/>
                <w:szCs w:val="20"/>
              </w:rPr>
              <w:t>508G</w:t>
            </w:r>
          </w:p>
        </w:tc>
        <w:tc>
          <w:tcPr>
            <w:tcW w:w="876" w:type="dxa"/>
            <w:shd w:val="clear" w:color="auto" w:fill="auto"/>
            <w:noWrap/>
            <w:vAlign w:val="center"/>
            <w:hideMark/>
          </w:tcPr>
          <w:p w14:paraId="7E0669C9"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4,449</w:t>
            </w:r>
          </w:p>
        </w:tc>
        <w:tc>
          <w:tcPr>
            <w:tcW w:w="925" w:type="dxa"/>
            <w:shd w:val="clear" w:color="auto" w:fill="auto"/>
            <w:noWrap/>
            <w:vAlign w:val="center"/>
            <w:hideMark/>
          </w:tcPr>
          <w:p w14:paraId="571550E2"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1,462</w:t>
            </w:r>
          </w:p>
        </w:tc>
        <w:tc>
          <w:tcPr>
            <w:tcW w:w="990" w:type="dxa"/>
            <w:shd w:val="clear" w:color="auto" w:fill="auto"/>
            <w:noWrap/>
            <w:vAlign w:val="center"/>
            <w:hideMark/>
          </w:tcPr>
          <w:p w14:paraId="67CCDA85"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1,247</w:t>
            </w:r>
          </w:p>
        </w:tc>
        <w:tc>
          <w:tcPr>
            <w:tcW w:w="990" w:type="dxa"/>
            <w:shd w:val="clear" w:color="auto" w:fill="auto"/>
            <w:noWrap/>
            <w:vAlign w:val="center"/>
            <w:hideMark/>
          </w:tcPr>
          <w:p w14:paraId="38E81A27"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557</w:t>
            </w:r>
          </w:p>
        </w:tc>
        <w:tc>
          <w:tcPr>
            <w:tcW w:w="900" w:type="dxa"/>
            <w:shd w:val="clear" w:color="auto" w:fill="auto"/>
            <w:noWrap/>
            <w:vAlign w:val="center"/>
            <w:hideMark/>
          </w:tcPr>
          <w:p w14:paraId="3B400AFB"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351 </w:t>
            </w:r>
          </w:p>
        </w:tc>
        <w:tc>
          <w:tcPr>
            <w:tcW w:w="1097" w:type="dxa"/>
            <w:shd w:val="clear" w:color="auto" w:fill="auto"/>
            <w:noWrap/>
            <w:vAlign w:val="center"/>
            <w:hideMark/>
          </w:tcPr>
          <w:p w14:paraId="22F21D98" w14:textId="77777777" w:rsidR="00F74BCF" w:rsidRPr="00F74BCF" w:rsidRDefault="00F74BCF" w:rsidP="00197026">
            <w:pPr>
              <w:spacing w:line="240" w:lineRule="auto"/>
              <w:jc w:val="right"/>
              <w:rPr>
                <w:color w:val="000000"/>
                <w:sz w:val="20"/>
                <w:szCs w:val="20"/>
              </w:rPr>
            </w:pPr>
            <w:r w:rsidRPr="00F74BCF">
              <w:rPr>
                <w:color w:val="000000"/>
                <w:sz w:val="20"/>
                <w:szCs w:val="20"/>
              </w:rPr>
              <w:t>379</w:t>
            </w:r>
          </w:p>
        </w:tc>
        <w:tc>
          <w:tcPr>
            <w:tcW w:w="1080" w:type="dxa"/>
            <w:shd w:val="clear" w:color="auto" w:fill="auto"/>
            <w:noWrap/>
            <w:vAlign w:val="center"/>
            <w:hideMark/>
          </w:tcPr>
          <w:p w14:paraId="3D6624F7"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517</w:t>
            </w:r>
          </w:p>
        </w:tc>
        <w:tc>
          <w:tcPr>
            <w:tcW w:w="1080" w:type="dxa"/>
            <w:shd w:val="clear" w:color="auto" w:fill="auto"/>
            <w:noWrap/>
            <w:vAlign w:val="center"/>
            <w:hideMark/>
          </w:tcPr>
          <w:p w14:paraId="12A4DBEB" w14:textId="77777777" w:rsidR="00F74BCF" w:rsidRPr="00F74BCF" w:rsidRDefault="00F74BCF" w:rsidP="00197026">
            <w:pPr>
              <w:spacing w:line="240" w:lineRule="auto"/>
              <w:jc w:val="right"/>
              <w:rPr>
                <w:color w:val="000000"/>
                <w:sz w:val="20"/>
                <w:szCs w:val="20"/>
              </w:rPr>
            </w:pPr>
            <w:r w:rsidRPr="00F74BCF">
              <w:rPr>
                <w:color w:val="000000"/>
                <w:sz w:val="20"/>
                <w:szCs w:val="20"/>
              </w:rPr>
              <w:t xml:space="preserve">                  379</w:t>
            </w:r>
          </w:p>
        </w:tc>
      </w:tr>
      <w:tr w:rsidR="00F74BCF" w:rsidRPr="006103DB" w14:paraId="6D8C46A1" w14:textId="77777777" w:rsidTr="00197026">
        <w:trPr>
          <w:trHeight w:val="300"/>
        </w:trPr>
        <w:tc>
          <w:tcPr>
            <w:tcW w:w="1062" w:type="dxa"/>
            <w:shd w:val="clear" w:color="auto" w:fill="auto"/>
            <w:noWrap/>
            <w:vAlign w:val="center"/>
          </w:tcPr>
          <w:p w14:paraId="581F781B" w14:textId="77777777" w:rsidR="00F74BCF" w:rsidRPr="00F74BCF" w:rsidRDefault="00F74BCF" w:rsidP="00197026">
            <w:pPr>
              <w:spacing w:line="240" w:lineRule="auto"/>
              <w:jc w:val="left"/>
              <w:rPr>
                <w:color w:val="000000"/>
                <w:sz w:val="20"/>
                <w:szCs w:val="20"/>
              </w:rPr>
            </w:pPr>
            <w:r w:rsidRPr="00F74BCF">
              <w:rPr>
                <w:color w:val="000000"/>
                <w:sz w:val="20"/>
                <w:szCs w:val="20"/>
              </w:rPr>
              <w:t>508H</w:t>
            </w:r>
          </w:p>
        </w:tc>
        <w:tc>
          <w:tcPr>
            <w:tcW w:w="876" w:type="dxa"/>
            <w:shd w:val="clear" w:color="auto" w:fill="auto"/>
            <w:noWrap/>
            <w:vAlign w:val="center"/>
          </w:tcPr>
          <w:p w14:paraId="4A4F78DA" w14:textId="77777777" w:rsidR="00F74BCF" w:rsidRPr="00F74BCF" w:rsidRDefault="00F74BCF" w:rsidP="00197026">
            <w:pPr>
              <w:spacing w:line="240" w:lineRule="auto"/>
              <w:jc w:val="right"/>
              <w:rPr>
                <w:color w:val="000000"/>
                <w:sz w:val="20"/>
                <w:szCs w:val="20"/>
              </w:rPr>
            </w:pPr>
            <w:r w:rsidRPr="00F74BCF">
              <w:rPr>
                <w:color w:val="000000"/>
                <w:sz w:val="20"/>
                <w:szCs w:val="20"/>
              </w:rPr>
              <w:t>2.59</w:t>
            </w:r>
          </w:p>
        </w:tc>
        <w:tc>
          <w:tcPr>
            <w:tcW w:w="925" w:type="dxa"/>
            <w:shd w:val="clear" w:color="auto" w:fill="auto"/>
            <w:noWrap/>
            <w:vAlign w:val="center"/>
          </w:tcPr>
          <w:p w14:paraId="65DC2340" w14:textId="77777777" w:rsidR="00F74BCF" w:rsidRPr="00F74BCF" w:rsidRDefault="00887C93" w:rsidP="00197026">
            <w:pPr>
              <w:spacing w:line="240" w:lineRule="auto"/>
              <w:jc w:val="right"/>
              <w:rPr>
                <w:color w:val="000000"/>
                <w:sz w:val="20"/>
                <w:szCs w:val="20"/>
              </w:rPr>
            </w:pPr>
            <w:r>
              <w:rPr>
                <w:color w:val="000000"/>
                <w:sz w:val="20"/>
                <w:szCs w:val="20"/>
              </w:rPr>
              <w:t>-</w:t>
            </w:r>
          </w:p>
        </w:tc>
        <w:tc>
          <w:tcPr>
            <w:tcW w:w="990" w:type="dxa"/>
            <w:shd w:val="clear" w:color="auto" w:fill="auto"/>
            <w:noWrap/>
            <w:vAlign w:val="center"/>
          </w:tcPr>
          <w:p w14:paraId="49414935" w14:textId="77777777" w:rsidR="00F74BCF" w:rsidRPr="00F74BCF" w:rsidRDefault="00887C93" w:rsidP="00197026">
            <w:pPr>
              <w:spacing w:line="240" w:lineRule="auto"/>
              <w:jc w:val="right"/>
              <w:rPr>
                <w:color w:val="000000"/>
                <w:sz w:val="20"/>
                <w:szCs w:val="20"/>
              </w:rPr>
            </w:pPr>
            <w:r>
              <w:rPr>
                <w:color w:val="000000"/>
                <w:sz w:val="20"/>
                <w:szCs w:val="20"/>
              </w:rPr>
              <w:t>-</w:t>
            </w:r>
          </w:p>
        </w:tc>
        <w:tc>
          <w:tcPr>
            <w:tcW w:w="990" w:type="dxa"/>
            <w:shd w:val="clear" w:color="auto" w:fill="auto"/>
            <w:noWrap/>
            <w:vAlign w:val="center"/>
          </w:tcPr>
          <w:p w14:paraId="68A252DD" w14:textId="77777777" w:rsidR="00F74BCF" w:rsidRPr="00F74BCF" w:rsidRDefault="00887C93" w:rsidP="00197026">
            <w:pPr>
              <w:spacing w:line="240" w:lineRule="auto"/>
              <w:jc w:val="right"/>
              <w:rPr>
                <w:color w:val="000000"/>
                <w:sz w:val="20"/>
                <w:szCs w:val="20"/>
              </w:rPr>
            </w:pPr>
            <w:r>
              <w:rPr>
                <w:color w:val="000000"/>
                <w:sz w:val="20"/>
                <w:szCs w:val="20"/>
              </w:rPr>
              <w:t>-</w:t>
            </w:r>
          </w:p>
        </w:tc>
        <w:tc>
          <w:tcPr>
            <w:tcW w:w="900" w:type="dxa"/>
            <w:shd w:val="clear" w:color="auto" w:fill="auto"/>
            <w:noWrap/>
            <w:vAlign w:val="center"/>
          </w:tcPr>
          <w:p w14:paraId="3651D59B" w14:textId="77777777" w:rsidR="00F74BCF" w:rsidRPr="00F74BCF" w:rsidRDefault="00887C93" w:rsidP="00197026">
            <w:pPr>
              <w:spacing w:line="240" w:lineRule="auto"/>
              <w:jc w:val="right"/>
              <w:rPr>
                <w:color w:val="000000"/>
                <w:sz w:val="20"/>
                <w:szCs w:val="20"/>
              </w:rPr>
            </w:pPr>
            <w:r>
              <w:rPr>
                <w:color w:val="000000"/>
                <w:sz w:val="20"/>
                <w:szCs w:val="20"/>
              </w:rPr>
              <w:t>-</w:t>
            </w:r>
          </w:p>
        </w:tc>
        <w:tc>
          <w:tcPr>
            <w:tcW w:w="1097" w:type="dxa"/>
            <w:shd w:val="clear" w:color="auto" w:fill="auto"/>
            <w:noWrap/>
            <w:vAlign w:val="center"/>
          </w:tcPr>
          <w:p w14:paraId="7C7C75AB" w14:textId="77777777" w:rsidR="00F74BCF" w:rsidRPr="00F74BCF" w:rsidRDefault="00887C93" w:rsidP="00197026">
            <w:pPr>
              <w:spacing w:line="240" w:lineRule="auto"/>
              <w:jc w:val="right"/>
              <w:rPr>
                <w:color w:val="000000"/>
                <w:sz w:val="20"/>
                <w:szCs w:val="20"/>
              </w:rPr>
            </w:pPr>
            <w:r>
              <w:rPr>
                <w:color w:val="000000"/>
                <w:sz w:val="20"/>
                <w:szCs w:val="20"/>
              </w:rPr>
              <w:t>-</w:t>
            </w:r>
          </w:p>
        </w:tc>
        <w:tc>
          <w:tcPr>
            <w:tcW w:w="1080" w:type="dxa"/>
            <w:shd w:val="clear" w:color="auto" w:fill="auto"/>
            <w:noWrap/>
            <w:vAlign w:val="center"/>
          </w:tcPr>
          <w:p w14:paraId="4DBB2392" w14:textId="77777777" w:rsidR="00F74BCF" w:rsidRPr="00F74BCF" w:rsidRDefault="00887C93" w:rsidP="00197026">
            <w:pPr>
              <w:spacing w:line="240" w:lineRule="auto"/>
              <w:jc w:val="right"/>
              <w:rPr>
                <w:color w:val="000000"/>
                <w:sz w:val="20"/>
                <w:szCs w:val="20"/>
              </w:rPr>
            </w:pPr>
            <w:r>
              <w:rPr>
                <w:color w:val="000000"/>
                <w:sz w:val="20"/>
                <w:szCs w:val="20"/>
              </w:rPr>
              <w:t>-</w:t>
            </w:r>
          </w:p>
        </w:tc>
        <w:tc>
          <w:tcPr>
            <w:tcW w:w="1080" w:type="dxa"/>
            <w:shd w:val="clear" w:color="auto" w:fill="auto"/>
            <w:noWrap/>
            <w:vAlign w:val="center"/>
          </w:tcPr>
          <w:p w14:paraId="1F507B06" w14:textId="77777777" w:rsidR="00F74BCF" w:rsidRPr="00F74BCF" w:rsidRDefault="00887C93" w:rsidP="00197026">
            <w:pPr>
              <w:spacing w:line="240" w:lineRule="auto"/>
              <w:jc w:val="right"/>
              <w:rPr>
                <w:color w:val="000000"/>
                <w:sz w:val="20"/>
                <w:szCs w:val="20"/>
              </w:rPr>
            </w:pPr>
            <w:r>
              <w:rPr>
                <w:color w:val="000000"/>
                <w:sz w:val="20"/>
                <w:szCs w:val="20"/>
              </w:rPr>
              <w:t>-</w:t>
            </w:r>
          </w:p>
        </w:tc>
      </w:tr>
      <w:tr w:rsidR="00F74BCF" w:rsidRPr="00F74BCF" w14:paraId="41FD84B2" w14:textId="77777777" w:rsidTr="00197026">
        <w:trPr>
          <w:trHeight w:val="300"/>
        </w:trPr>
        <w:tc>
          <w:tcPr>
            <w:tcW w:w="1062" w:type="dxa"/>
            <w:shd w:val="clear" w:color="auto" w:fill="auto"/>
            <w:noWrap/>
            <w:vAlign w:val="center"/>
            <w:hideMark/>
          </w:tcPr>
          <w:p w14:paraId="397E8A32" w14:textId="77777777" w:rsidR="00F74BCF" w:rsidRPr="00887C93" w:rsidRDefault="00F74BCF" w:rsidP="00197026">
            <w:pPr>
              <w:spacing w:line="240" w:lineRule="auto"/>
              <w:jc w:val="left"/>
              <w:rPr>
                <w:b/>
                <w:color w:val="000000"/>
                <w:sz w:val="20"/>
                <w:szCs w:val="20"/>
              </w:rPr>
            </w:pPr>
            <w:r w:rsidRPr="00887C93">
              <w:rPr>
                <w:b/>
                <w:color w:val="000000"/>
                <w:sz w:val="20"/>
                <w:szCs w:val="20"/>
              </w:rPr>
              <w:t>Grand Total</w:t>
            </w:r>
          </w:p>
        </w:tc>
        <w:tc>
          <w:tcPr>
            <w:tcW w:w="876" w:type="dxa"/>
            <w:shd w:val="clear" w:color="auto" w:fill="auto"/>
            <w:noWrap/>
            <w:hideMark/>
          </w:tcPr>
          <w:p w14:paraId="468875CF" w14:textId="77777777" w:rsidR="00F74BCF" w:rsidRPr="00887C93" w:rsidRDefault="00F74BCF" w:rsidP="00197026">
            <w:pPr>
              <w:spacing w:line="240" w:lineRule="auto"/>
              <w:jc w:val="right"/>
              <w:rPr>
                <w:b/>
                <w:color w:val="000000"/>
                <w:sz w:val="20"/>
                <w:szCs w:val="20"/>
              </w:rPr>
            </w:pPr>
            <w:r w:rsidRPr="00887C93">
              <w:rPr>
                <w:b/>
                <w:color w:val="000000"/>
                <w:sz w:val="20"/>
                <w:szCs w:val="20"/>
              </w:rPr>
              <w:t xml:space="preserve">          621,276</w:t>
            </w:r>
          </w:p>
        </w:tc>
        <w:tc>
          <w:tcPr>
            <w:tcW w:w="925" w:type="dxa"/>
            <w:shd w:val="clear" w:color="auto" w:fill="auto"/>
            <w:noWrap/>
            <w:hideMark/>
          </w:tcPr>
          <w:p w14:paraId="7C1C5146" w14:textId="77777777" w:rsidR="00F74BCF" w:rsidRPr="00887C93" w:rsidRDefault="00F74BCF" w:rsidP="00197026">
            <w:pPr>
              <w:spacing w:line="240" w:lineRule="auto"/>
              <w:jc w:val="right"/>
              <w:rPr>
                <w:b/>
                <w:color w:val="000000"/>
                <w:sz w:val="20"/>
                <w:szCs w:val="20"/>
              </w:rPr>
            </w:pPr>
            <w:r w:rsidRPr="00887C93">
              <w:rPr>
                <w:b/>
                <w:color w:val="000000"/>
                <w:sz w:val="20"/>
                <w:szCs w:val="20"/>
              </w:rPr>
              <w:t xml:space="preserve">        317,624</w:t>
            </w:r>
          </w:p>
        </w:tc>
        <w:tc>
          <w:tcPr>
            <w:tcW w:w="990" w:type="dxa"/>
            <w:shd w:val="clear" w:color="auto" w:fill="auto"/>
            <w:noWrap/>
            <w:hideMark/>
          </w:tcPr>
          <w:p w14:paraId="6566EAC8" w14:textId="77777777" w:rsidR="00F74BCF" w:rsidRPr="00887C93" w:rsidRDefault="00F74BCF" w:rsidP="00197026">
            <w:pPr>
              <w:spacing w:line="240" w:lineRule="auto"/>
              <w:jc w:val="right"/>
              <w:rPr>
                <w:b/>
                <w:color w:val="000000"/>
                <w:sz w:val="20"/>
                <w:szCs w:val="20"/>
              </w:rPr>
            </w:pPr>
            <w:r w:rsidRPr="00887C93">
              <w:rPr>
                <w:b/>
                <w:color w:val="000000"/>
                <w:sz w:val="20"/>
                <w:szCs w:val="20"/>
              </w:rPr>
              <w:t xml:space="preserve">            692,377</w:t>
            </w:r>
          </w:p>
        </w:tc>
        <w:tc>
          <w:tcPr>
            <w:tcW w:w="990" w:type="dxa"/>
            <w:shd w:val="clear" w:color="auto" w:fill="auto"/>
            <w:noWrap/>
            <w:hideMark/>
          </w:tcPr>
          <w:p w14:paraId="3849DA57" w14:textId="77777777" w:rsidR="00F74BCF" w:rsidRPr="00887C93" w:rsidRDefault="00F74BCF" w:rsidP="00197026">
            <w:pPr>
              <w:spacing w:line="240" w:lineRule="auto"/>
              <w:jc w:val="right"/>
              <w:rPr>
                <w:b/>
                <w:color w:val="000000"/>
                <w:sz w:val="20"/>
                <w:szCs w:val="20"/>
              </w:rPr>
            </w:pPr>
            <w:r w:rsidRPr="00887C93">
              <w:rPr>
                <w:b/>
                <w:color w:val="000000"/>
                <w:sz w:val="20"/>
                <w:szCs w:val="20"/>
              </w:rPr>
              <w:t xml:space="preserve">     368,830 </w:t>
            </w:r>
          </w:p>
        </w:tc>
        <w:tc>
          <w:tcPr>
            <w:tcW w:w="900" w:type="dxa"/>
            <w:shd w:val="clear" w:color="auto" w:fill="auto"/>
            <w:noWrap/>
            <w:hideMark/>
          </w:tcPr>
          <w:p w14:paraId="044A13BA" w14:textId="77777777" w:rsidR="00F74BCF" w:rsidRPr="00887C93" w:rsidRDefault="00F74BCF" w:rsidP="00197026">
            <w:pPr>
              <w:spacing w:line="240" w:lineRule="auto"/>
              <w:jc w:val="right"/>
              <w:rPr>
                <w:b/>
                <w:color w:val="000000"/>
                <w:sz w:val="20"/>
                <w:szCs w:val="20"/>
              </w:rPr>
            </w:pPr>
            <w:r w:rsidRPr="00887C93">
              <w:rPr>
                <w:b/>
                <w:color w:val="000000"/>
                <w:sz w:val="20"/>
                <w:szCs w:val="20"/>
              </w:rPr>
              <w:t xml:space="preserve">   662,883 </w:t>
            </w:r>
          </w:p>
        </w:tc>
        <w:tc>
          <w:tcPr>
            <w:tcW w:w="1097" w:type="dxa"/>
            <w:shd w:val="clear" w:color="auto" w:fill="auto"/>
            <w:noWrap/>
            <w:hideMark/>
          </w:tcPr>
          <w:p w14:paraId="28E36B10" w14:textId="77777777" w:rsidR="00197026" w:rsidRDefault="00F74BCF" w:rsidP="00197026">
            <w:pPr>
              <w:spacing w:line="240" w:lineRule="auto"/>
              <w:jc w:val="right"/>
              <w:rPr>
                <w:b/>
                <w:color w:val="000000"/>
                <w:sz w:val="20"/>
                <w:szCs w:val="20"/>
              </w:rPr>
            </w:pPr>
            <w:r w:rsidRPr="00887C93">
              <w:rPr>
                <w:b/>
                <w:color w:val="000000"/>
                <w:sz w:val="20"/>
                <w:szCs w:val="20"/>
              </w:rPr>
              <w:t xml:space="preserve">   </w:t>
            </w:r>
          </w:p>
          <w:p w14:paraId="378F09E6" w14:textId="77777777" w:rsidR="00F74BCF" w:rsidRPr="00887C93" w:rsidRDefault="00F74BCF" w:rsidP="00197026">
            <w:pPr>
              <w:spacing w:line="240" w:lineRule="auto"/>
              <w:jc w:val="right"/>
              <w:rPr>
                <w:b/>
                <w:color w:val="000000"/>
                <w:sz w:val="20"/>
                <w:szCs w:val="20"/>
              </w:rPr>
            </w:pPr>
            <w:r w:rsidRPr="00887C93">
              <w:rPr>
                <w:b/>
                <w:color w:val="000000"/>
                <w:sz w:val="20"/>
                <w:szCs w:val="20"/>
              </w:rPr>
              <w:t>551,446</w:t>
            </w:r>
          </w:p>
        </w:tc>
        <w:tc>
          <w:tcPr>
            <w:tcW w:w="1080" w:type="dxa"/>
            <w:shd w:val="clear" w:color="auto" w:fill="auto"/>
            <w:noWrap/>
            <w:hideMark/>
          </w:tcPr>
          <w:p w14:paraId="057B822B" w14:textId="77777777" w:rsidR="00F74BCF" w:rsidRPr="00887C93" w:rsidRDefault="00F74BCF" w:rsidP="00197026">
            <w:pPr>
              <w:spacing w:line="240" w:lineRule="auto"/>
              <w:jc w:val="right"/>
              <w:rPr>
                <w:b/>
                <w:color w:val="000000"/>
                <w:sz w:val="20"/>
                <w:szCs w:val="20"/>
              </w:rPr>
            </w:pPr>
            <w:r w:rsidRPr="00887C93">
              <w:rPr>
                <w:b/>
                <w:color w:val="000000"/>
                <w:sz w:val="20"/>
                <w:szCs w:val="20"/>
              </w:rPr>
              <w:t xml:space="preserve">       696,078</w:t>
            </w:r>
          </w:p>
        </w:tc>
        <w:tc>
          <w:tcPr>
            <w:tcW w:w="1080" w:type="dxa"/>
            <w:shd w:val="clear" w:color="auto" w:fill="auto"/>
            <w:noWrap/>
            <w:hideMark/>
          </w:tcPr>
          <w:p w14:paraId="6E3D5547" w14:textId="77777777" w:rsidR="00F74BCF" w:rsidRPr="00887C93" w:rsidRDefault="00F74BCF" w:rsidP="00197026">
            <w:pPr>
              <w:spacing w:line="240" w:lineRule="auto"/>
              <w:jc w:val="right"/>
              <w:rPr>
                <w:b/>
                <w:color w:val="000000"/>
                <w:sz w:val="20"/>
                <w:szCs w:val="20"/>
              </w:rPr>
            </w:pPr>
            <w:r w:rsidRPr="00887C93">
              <w:rPr>
                <w:b/>
                <w:color w:val="000000"/>
                <w:sz w:val="20"/>
                <w:szCs w:val="20"/>
              </w:rPr>
              <w:t xml:space="preserve">          586,468</w:t>
            </w:r>
          </w:p>
        </w:tc>
      </w:tr>
    </w:tbl>
    <w:p w14:paraId="35D87CE7" w14:textId="77777777" w:rsidR="00535160" w:rsidRPr="00535160" w:rsidRDefault="007C7FB5" w:rsidP="00670B35">
      <w:pPr>
        <w:rPr>
          <w:b/>
          <w:i/>
          <w:color w:val="000000"/>
          <w:sz w:val="20"/>
          <w:szCs w:val="20"/>
        </w:rPr>
      </w:pPr>
      <w:r w:rsidRPr="00535160">
        <w:rPr>
          <w:b/>
          <w:i/>
          <w:color w:val="000000"/>
          <w:sz w:val="20"/>
          <w:szCs w:val="20"/>
        </w:rPr>
        <w:t>Source</w:t>
      </w:r>
      <w:r w:rsidR="009125D0" w:rsidRPr="00535160">
        <w:rPr>
          <w:b/>
          <w:i/>
          <w:color w:val="000000"/>
          <w:sz w:val="20"/>
          <w:szCs w:val="20"/>
        </w:rPr>
        <w:t>:</w:t>
      </w:r>
      <w:r w:rsidRPr="00535160">
        <w:rPr>
          <w:b/>
          <w:i/>
          <w:color w:val="000000"/>
          <w:sz w:val="20"/>
          <w:szCs w:val="20"/>
        </w:rPr>
        <w:t xml:space="preserve"> LGA Epicor</w:t>
      </w:r>
      <w:r w:rsidR="00535160" w:rsidRPr="00535160">
        <w:rPr>
          <w:b/>
          <w:i/>
          <w:color w:val="000000"/>
          <w:sz w:val="20"/>
          <w:szCs w:val="20"/>
        </w:rPr>
        <w:t xml:space="preserve"> System</w:t>
      </w:r>
    </w:p>
    <w:p w14:paraId="4D3C7465" w14:textId="77777777" w:rsidR="00535160" w:rsidRPr="009125D0" w:rsidRDefault="00535160" w:rsidP="00670B35">
      <w:pPr>
        <w:rPr>
          <w:b/>
          <w:i/>
          <w:color w:val="000000"/>
        </w:rPr>
      </w:pPr>
    </w:p>
    <w:p w14:paraId="60F4243F" w14:textId="77777777" w:rsidR="00475B3B" w:rsidRPr="001170AC" w:rsidRDefault="00475B3B" w:rsidP="00670B35">
      <w:pPr>
        <w:rPr>
          <w:color w:val="000000"/>
          <w:highlight w:val="yellow"/>
        </w:rPr>
      </w:pPr>
    </w:p>
    <w:p w14:paraId="7AC29574" w14:textId="77777777" w:rsidR="003C0AC7" w:rsidRPr="00FB0639" w:rsidRDefault="003C0AC7" w:rsidP="00670B35">
      <w:pPr>
        <w:rPr>
          <w:color w:val="000000"/>
        </w:rPr>
      </w:pPr>
    </w:p>
    <w:p w14:paraId="2A921847" w14:textId="77777777" w:rsidR="00535160" w:rsidRDefault="00535160" w:rsidP="00D1561F">
      <w:pPr>
        <w:rPr>
          <w:b/>
        </w:rPr>
      </w:pPr>
    </w:p>
    <w:p w14:paraId="7CA97A82" w14:textId="77777777" w:rsidR="00E240A3" w:rsidRPr="001170AC" w:rsidRDefault="00E240A3" w:rsidP="00670B35">
      <w:pPr>
        <w:rPr>
          <w:color w:val="000000"/>
          <w:highlight w:val="yellow"/>
        </w:rPr>
      </w:pPr>
    </w:p>
    <w:p w14:paraId="0CCDBE72" w14:textId="77777777" w:rsidR="009E5545" w:rsidRPr="001170AC" w:rsidRDefault="009E5545" w:rsidP="00670B35">
      <w:pPr>
        <w:rPr>
          <w:highlight w:val="yellow"/>
          <w:lang w:val="en-GB" w:eastAsia="en-GB"/>
        </w:rPr>
      </w:pPr>
    </w:p>
    <w:p w14:paraId="4C0FE093" w14:textId="77777777" w:rsidR="009E5545" w:rsidRPr="001170AC" w:rsidRDefault="009E5545" w:rsidP="00670B35">
      <w:pPr>
        <w:rPr>
          <w:highlight w:val="yellow"/>
          <w:lang w:val="en-GB" w:eastAsia="en-GB"/>
        </w:rPr>
      </w:pPr>
    </w:p>
    <w:p w14:paraId="182733FB" w14:textId="77777777" w:rsidR="009E5545" w:rsidRPr="001170AC" w:rsidRDefault="009E5545" w:rsidP="00670B35">
      <w:pPr>
        <w:rPr>
          <w:highlight w:val="yellow"/>
          <w:lang w:val="en-GB" w:eastAsia="en-GB"/>
        </w:rPr>
      </w:pPr>
    </w:p>
    <w:p w14:paraId="3301F016" w14:textId="77777777" w:rsidR="00C9069E" w:rsidRDefault="00C9069E" w:rsidP="00C9069E">
      <w:pPr>
        <w:spacing w:after="200"/>
        <w:rPr>
          <w:b/>
          <w:lang w:val="en-GB" w:eastAsia="en-GB"/>
        </w:rPr>
      </w:pPr>
    </w:p>
    <w:p w14:paraId="6C6455E7" w14:textId="77777777" w:rsidR="00C9069E" w:rsidRPr="005734DC" w:rsidRDefault="00C9069E" w:rsidP="00C9069E">
      <w:pPr>
        <w:spacing w:after="200"/>
        <w:rPr>
          <w:rFonts w:cs="Calibri"/>
          <w:b/>
        </w:rPr>
      </w:pPr>
    </w:p>
    <w:p w14:paraId="60407DEB" w14:textId="77777777" w:rsidR="003C3DA4" w:rsidRPr="003C3DA4" w:rsidRDefault="00C85938" w:rsidP="00197026">
      <w:pPr>
        <w:pStyle w:val="Heading1"/>
      </w:pPr>
      <w:r w:rsidRPr="001170AC">
        <w:rPr>
          <w:highlight w:val="red"/>
        </w:rPr>
        <w:br w:type="page"/>
      </w:r>
      <w:bookmarkStart w:id="129" w:name="_Toc323526018"/>
      <w:bookmarkStart w:id="130" w:name="_Toc327143923"/>
      <w:bookmarkStart w:id="131" w:name="_Toc408467918"/>
      <w:bookmarkStart w:id="132" w:name="_Toc422287345"/>
      <w:bookmarkStart w:id="133" w:name="_Toc488423273"/>
      <w:r w:rsidR="00197026">
        <w:lastRenderedPageBreak/>
        <w:t>6.0</w:t>
      </w:r>
      <w:r w:rsidR="00197026">
        <w:tab/>
      </w:r>
      <w:r w:rsidR="003C3DA4" w:rsidRPr="003C3DA4">
        <w:t>Conclusions and Recommendations</w:t>
      </w:r>
      <w:bookmarkEnd w:id="129"/>
      <w:bookmarkEnd w:id="130"/>
      <w:bookmarkEnd w:id="131"/>
      <w:bookmarkEnd w:id="132"/>
      <w:bookmarkEnd w:id="133"/>
    </w:p>
    <w:p w14:paraId="252B9C14" w14:textId="77777777" w:rsidR="003C3DA4" w:rsidRPr="003C3DA4" w:rsidRDefault="003C3DA4" w:rsidP="003C3DA4">
      <w:pPr>
        <w:rPr>
          <w:lang w:val="en-GB"/>
        </w:rPr>
      </w:pPr>
      <w:bookmarkStart w:id="134" w:name="_Toc323526019"/>
      <w:bookmarkStart w:id="135" w:name="_Toc327143924"/>
      <w:bookmarkStart w:id="136" w:name="_Toc408467919"/>
      <w:bookmarkStart w:id="137" w:name="_Toc422287346"/>
    </w:p>
    <w:p w14:paraId="150F80D6" w14:textId="77777777" w:rsidR="003C3DA4" w:rsidRPr="003C3DA4" w:rsidRDefault="00197026" w:rsidP="00197026">
      <w:pPr>
        <w:pStyle w:val="Heading2"/>
      </w:pPr>
      <w:bookmarkStart w:id="138" w:name="_Toc488423274"/>
      <w:r>
        <w:t>6.1</w:t>
      </w:r>
      <w:r>
        <w:tab/>
      </w:r>
      <w:r w:rsidR="003C3DA4" w:rsidRPr="003C3DA4">
        <w:t>Health Financing</w:t>
      </w:r>
      <w:bookmarkEnd w:id="138"/>
    </w:p>
    <w:p w14:paraId="0ECE55DB" w14:textId="77777777" w:rsidR="003C3DA4" w:rsidRPr="003C3DA4" w:rsidRDefault="003C3DA4" w:rsidP="003C3DA4">
      <w:pPr>
        <w:rPr>
          <w:lang w:val="en-GB"/>
        </w:rPr>
      </w:pPr>
    </w:p>
    <w:bookmarkEnd w:id="134"/>
    <w:bookmarkEnd w:id="135"/>
    <w:bookmarkEnd w:id="136"/>
    <w:bookmarkEnd w:id="137"/>
    <w:p w14:paraId="1CC06A4F" w14:textId="77777777" w:rsidR="00E102E3" w:rsidRPr="00E102E3" w:rsidRDefault="00E102E3" w:rsidP="00E102E3">
      <w:pPr>
        <w:pStyle w:val="1-DocText"/>
        <w:spacing w:before="0" w:after="0" w:line="276" w:lineRule="auto"/>
        <w:jc w:val="both"/>
        <w:rPr>
          <w:rFonts w:ascii="Calibri" w:hAnsi="Calibri"/>
          <w:b/>
          <w:i/>
          <w:color w:val="000000"/>
          <w:sz w:val="24"/>
          <w:szCs w:val="24"/>
          <w:lang w:val="en-GB" w:eastAsia="en-GB"/>
        </w:rPr>
      </w:pPr>
      <w:r w:rsidRPr="00E102E3">
        <w:rPr>
          <w:rFonts w:ascii="Calibri" w:hAnsi="Calibri"/>
          <w:b/>
          <w:i/>
          <w:color w:val="000000"/>
          <w:sz w:val="24"/>
          <w:szCs w:val="24"/>
          <w:lang w:val="en-GB" w:eastAsia="en-GB"/>
        </w:rPr>
        <w:t>General trend in health financing</w:t>
      </w:r>
    </w:p>
    <w:p w14:paraId="1CBB1193" w14:textId="77777777" w:rsidR="00E102E3" w:rsidRPr="00E102E3" w:rsidRDefault="00E102E3" w:rsidP="00E102E3">
      <w:pPr>
        <w:pStyle w:val="1-DocText"/>
        <w:spacing w:before="0" w:after="0" w:line="276" w:lineRule="auto"/>
        <w:jc w:val="both"/>
        <w:rPr>
          <w:rFonts w:ascii="Calibri" w:hAnsi="Calibri"/>
          <w:color w:val="000000"/>
          <w:sz w:val="24"/>
          <w:szCs w:val="24"/>
          <w:lang w:val="en-GB" w:eastAsia="en-GB"/>
        </w:rPr>
      </w:pPr>
      <w:r w:rsidRPr="00E102E3">
        <w:rPr>
          <w:rFonts w:ascii="Calibri" w:hAnsi="Calibri"/>
          <w:color w:val="000000"/>
          <w:sz w:val="24"/>
          <w:szCs w:val="24"/>
          <w:lang w:val="en-GB" w:eastAsia="en-GB"/>
        </w:rPr>
        <w:t xml:space="preserve">The total public health budget in nominal </w:t>
      </w:r>
      <w:r w:rsidR="005A6565">
        <w:rPr>
          <w:rFonts w:ascii="Calibri" w:hAnsi="Calibri"/>
          <w:color w:val="000000"/>
          <w:sz w:val="24"/>
          <w:szCs w:val="24"/>
          <w:lang w:val="en-GB" w:eastAsia="en-GB"/>
        </w:rPr>
        <w:t xml:space="preserve">and real </w:t>
      </w:r>
      <w:r w:rsidRPr="00E102E3">
        <w:rPr>
          <w:rFonts w:ascii="Calibri" w:hAnsi="Calibri"/>
          <w:color w:val="000000"/>
          <w:sz w:val="24"/>
          <w:szCs w:val="24"/>
          <w:lang w:val="en-GB" w:eastAsia="en-GB"/>
        </w:rPr>
        <w:t>terms increased significantly from Tanzanian Shillings (TZS) 1.270 trillion</w:t>
      </w:r>
      <w:r w:rsidR="005A6565">
        <w:rPr>
          <w:rFonts w:ascii="Calibri" w:hAnsi="Calibri"/>
          <w:color w:val="000000"/>
          <w:sz w:val="24"/>
          <w:szCs w:val="24"/>
          <w:lang w:val="en-GB" w:eastAsia="en-GB"/>
        </w:rPr>
        <w:t xml:space="preserve"> and 715 billion</w:t>
      </w:r>
      <w:r w:rsidRPr="00E102E3">
        <w:rPr>
          <w:rFonts w:ascii="Calibri" w:hAnsi="Calibri"/>
          <w:color w:val="000000"/>
          <w:sz w:val="24"/>
          <w:szCs w:val="24"/>
          <w:lang w:val="en-GB" w:eastAsia="en-GB"/>
        </w:rPr>
        <w:t xml:space="preserve"> in 2012/13 to TZS 1.821 trillion </w:t>
      </w:r>
      <w:r w:rsidR="005A6565">
        <w:rPr>
          <w:rFonts w:ascii="Calibri" w:hAnsi="Calibri"/>
          <w:color w:val="000000"/>
          <w:sz w:val="24"/>
          <w:szCs w:val="24"/>
          <w:lang w:val="en-GB" w:eastAsia="en-GB"/>
        </w:rPr>
        <w:t xml:space="preserve">and 876 billion respectively in </w:t>
      </w:r>
      <w:r w:rsidRPr="00E102E3">
        <w:rPr>
          <w:rFonts w:ascii="Calibri" w:hAnsi="Calibri"/>
          <w:color w:val="000000"/>
          <w:sz w:val="24"/>
          <w:szCs w:val="24"/>
          <w:lang w:val="en-GB" w:eastAsia="en-GB"/>
        </w:rPr>
        <w:t>2015/16</w:t>
      </w:r>
      <w:r w:rsidR="005A6565">
        <w:rPr>
          <w:rFonts w:ascii="Calibri" w:hAnsi="Calibri"/>
          <w:color w:val="000000"/>
          <w:sz w:val="24"/>
          <w:szCs w:val="24"/>
          <w:lang w:val="en-GB" w:eastAsia="en-GB"/>
        </w:rPr>
        <w:t xml:space="preserve">. The budget was </w:t>
      </w:r>
      <w:r w:rsidRPr="00E102E3">
        <w:rPr>
          <w:rFonts w:ascii="Calibri" w:hAnsi="Calibri"/>
          <w:color w:val="000000"/>
          <w:sz w:val="24"/>
          <w:szCs w:val="24"/>
          <w:lang w:val="en-GB" w:eastAsia="en-GB"/>
        </w:rPr>
        <w:t xml:space="preserve">projected to increase further to TZS 2.465 trillion </w:t>
      </w:r>
      <w:r w:rsidR="005A6565">
        <w:rPr>
          <w:rFonts w:ascii="Calibri" w:hAnsi="Calibri"/>
          <w:color w:val="000000"/>
          <w:sz w:val="24"/>
          <w:szCs w:val="24"/>
          <w:lang w:val="en-GB" w:eastAsia="en-GB"/>
        </w:rPr>
        <w:t xml:space="preserve">in nominal terms and 1.196 trillion in real terms </w:t>
      </w:r>
      <w:r w:rsidRPr="00E102E3">
        <w:rPr>
          <w:rFonts w:ascii="Calibri" w:hAnsi="Calibri"/>
          <w:color w:val="000000"/>
          <w:sz w:val="24"/>
          <w:szCs w:val="24"/>
          <w:lang w:val="en-GB" w:eastAsia="en-GB"/>
        </w:rPr>
        <w:t>in 2016/17. Th</w:t>
      </w:r>
      <w:r w:rsidR="00A77BD7">
        <w:rPr>
          <w:rFonts w:ascii="Calibri" w:hAnsi="Calibri"/>
          <w:color w:val="000000"/>
          <w:sz w:val="24"/>
          <w:szCs w:val="24"/>
          <w:lang w:val="en-GB" w:eastAsia="en-GB"/>
        </w:rPr>
        <w:t>is means that</w:t>
      </w:r>
      <w:r w:rsidRPr="00E102E3">
        <w:rPr>
          <w:rFonts w:ascii="Calibri" w:hAnsi="Calibri"/>
          <w:color w:val="000000"/>
          <w:sz w:val="24"/>
          <w:szCs w:val="24"/>
          <w:lang w:val="en-GB" w:eastAsia="en-GB"/>
        </w:rPr>
        <w:t>, between 2012/13 and 2016/17 there has been a 94.1% increase in the public health budget in nominal terms, and a 67.3% increase in real terms. In terms of actual health spending, it increased from TZS 1.055 trillion in 2012/13 to TZS 1.446 trillion in 2015/16 which is a 37.1% increase, while actual public health spending in real terms increased by 17% - an increase from TZS 594 billion in 2012/13 to TZS 695 billion in 2015/16.</w:t>
      </w:r>
    </w:p>
    <w:p w14:paraId="4F9DE2B5" w14:textId="77777777" w:rsidR="00E102E3" w:rsidRPr="00E102E3" w:rsidRDefault="00E102E3" w:rsidP="00E102E3">
      <w:pPr>
        <w:pStyle w:val="1-DocText"/>
        <w:spacing w:before="0" w:after="0" w:line="276" w:lineRule="auto"/>
        <w:jc w:val="both"/>
        <w:rPr>
          <w:rFonts w:ascii="Calibri" w:hAnsi="Calibri"/>
          <w:color w:val="000000"/>
          <w:sz w:val="24"/>
          <w:szCs w:val="24"/>
          <w:lang w:val="en-GB" w:eastAsia="en-GB"/>
        </w:rPr>
      </w:pPr>
    </w:p>
    <w:p w14:paraId="770F1D55" w14:textId="77777777" w:rsidR="00E102E3" w:rsidRPr="00E102E3" w:rsidRDefault="00E102E3" w:rsidP="00E102E3">
      <w:pPr>
        <w:rPr>
          <w:color w:val="000000"/>
          <w:lang w:val="en-GB" w:eastAsia="en-GB"/>
        </w:rPr>
      </w:pPr>
      <w:r w:rsidRPr="00E102E3">
        <w:rPr>
          <w:color w:val="000000"/>
          <w:lang w:val="en-GB" w:eastAsia="en-GB"/>
        </w:rPr>
        <w:t xml:space="preserve">The share of public health budget in total government budget, excluding CFS, was 9.3% in 2012/13 and it increased to 10.1% in 2015/16. With the CFS included, the share of health budget actually fell from 9.4% in 2012/13 to a mere 8.1% in 2015/16. Similarly, the share of actual health spending in total government spending (excluding CFS) declined from 9.2% in 2012/13 to 7.3% in 2015/16, while with CFS included the decline in the share of health spending was from 8.7% in 2012/13 to 8.0 in 2015/16. Based on these figures, we conclude that the share of government actual spending to the health sector has not kept pace with general government spending between 2012/13 and 2015/16 – it has declined with and without CFS.   </w:t>
      </w:r>
    </w:p>
    <w:p w14:paraId="19E52F15" w14:textId="77777777" w:rsidR="00E102E3" w:rsidRPr="00E102E3" w:rsidRDefault="00E102E3" w:rsidP="00E102E3"/>
    <w:p w14:paraId="084BED02" w14:textId="77777777" w:rsidR="00E102E3" w:rsidRPr="00E102E3" w:rsidRDefault="00E102E3" w:rsidP="00E102E3">
      <w:pPr>
        <w:rPr>
          <w:b/>
          <w:i/>
        </w:rPr>
      </w:pPr>
      <w:r w:rsidRPr="00E102E3">
        <w:rPr>
          <w:b/>
          <w:i/>
        </w:rPr>
        <w:t>Per capital expenditures</w:t>
      </w:r>
    </w:p>
    <w:p w14:paraId="63D017ED" w14:textId="77777777" w:rsidR="00E102E3" w:rsidRPr="00E102E3" w:rsidRDefault="00E102E3" w:rsidP="00E102E3">
      <w:pPr>
        <w:pStyle w:val="1-DocText"/>
        <w:spacing w:before="0" w:after="0" w:line="276" w:lineRule="auto"/>
        <w:jc w:val="both"/>
        <w:rPr>
          <w:rFonts w:ascii="Calibri" w:hAnsi="Calibri"/>
          <w:color w:val="000000"/>
          <w:sz w:val="24"/>
          <w:szCs w:val="24"/>
          <w:lang w:val="en-GB" w:eastAsia="en-GB"/>
        </w:rPr>
      </w:pPr>
      <w:r w:rsidRPr="00E102E3">
        <w:rPr>
          <w:rFonts w:ascii="Calibri" w:hAnsi="Calibri"/>
          <w:color w:val="000000"/>
          <w:sz w:val="24"/>
          <w:szCs w:val="24"/>
          <w:lang w:val="en-GB" w:eastAsia="en-GB"/>
        </w:rPr>
        <w:t xml:space="preserve">In real terms, there is an upward trend for both per capital budget allocation and actual expenditure – increase from TZS 16,228 (USD 10.27) in 2012/13 to TZS 18,315 (USD 10.59) in 2015/16 and TZS 13,480 (USD 8.53) in 2012/13 to TZS 14,540 (USD 8.41) in 2015/16 respectively. Because of domestic inflation and depreciation of the shilling, the estimated per capita health expenditures in real terms have consistently remained below USD 10 throughout the review period which is shot of USD 54 recommended by the World Health Organization (WHO). We conclude that despite the increase in the public health spending overtime, it has not kept pace with the population growth thus leaving </w:t>
      </w:r>
      <w:r w:rsidR="002A726F">
        <w:rPr>
          <w:rFonts w:ascii="Calibri" w:hAnsi="Calibri"/>
          <w:color w:val="000000"/>
          <w:sz w:val="24"/>
          <w:szCs w:val="24"/>
          <w:lang w:val="en-GB" w:eastAsia="en-GB"/>
        </w:rPr>
        <w:t xml:space="preserve">only a modest amount to </w:t>
      </w:r>
      <w:r w:rsidRPr="00E102E3">
        <w:rPr>
          <w:rFonts w:ascii="Calibri" w:hAnsi="Calibri"/>
          <w:color w:val="000000"/>
          <w:sz w:val="24"/>
          <w:szCs w:val="24"/>
          <w:lang w:val="en-GB" w:eastAsia="en-GB"/>
        </w:rPr>
        <w:t xml:space="preserve">be spent per capita. </w:t>
      </w:r>
    </w:p>
    <w:p w14:paraId="4132D3C3" w14:textId="77777777" w:rsidR="00E102E3" w:rsidRPr="00E102E3" w:rsidRDefault="00E102E3" w:rsidP="00E102E3">
      <w:pPr>
        <w:pStyle w:val="1-DocText"/>
        <w:spacing w:before="0" w:after="0" w:line="276" w:lineRule="auto"/>
        <w:jc w:val="both"/>
        <w:rPr>
          <w:rFonts w:ascii="Calibri" w:hAnsi="Calibri"/>
          <w:color w:val="000000"/>
          <w:sz w:val="24"/>
          <w:szCs w:val="24"/>
          <w:lang w:val="en-GB" w:eastAsia="en-GB"/>
        </w:rPr>
      </w:pPr>
    </w:p>
    <w:p w14:paraId="55F2B28F" w14:textId="77777777" w:rsidR="00E102E3" w:rsidRPr="00E102E3" w:rsidRDefault="00E102E3" w:rsidP="00E102E3">
      <w:pPr>
        <w:pStyle w:val="1-DocText"/>
        <w:spacing w:before="0" w:after="0" w:line="276" w:lineRule="auto"/>
        <w:jc w:val="both"/>
        <w:rPr>
          <w:rFonts w:ascii="Calibri" w:hAnsi="Calibri"/>
          <w:b/>
          <w:i/>
          <w:color w:val="000000"/>
          <w:sz w:val="24"/>
          <w:szCs w:val="24"/>
          <w:lang w:val="en-GB" w:eastAsia="en-GB"/>
        </w:rPr>
      </w:pPr>
      <w:r w:rsidRPr="00E102E3">
        <w:rPr>
          <w:rFonts w:ascii="Calibri" w:hAnsi="Calibri"/>
          <w:b/>
          <w:i/>
          <w:color w:val="000000"/>
          <w:sz w:val="24"/>
          <w:szCs w:val="24"/>
          <w:lang w:val="en-GB" w:eastAsia="en-GB"/>
        </w:rPr>
        <w:t>Sources of financing</w:t>
      </w:r>
    </w:p>
    <w:p w14:paraId="5AB9062B" w14:textId="77777777" w:rsidR="00E102E3" w:rsidRPr="00E102E3" w:rsidRDefault="00E102E3" w:rsidP="00E102E3">
      <w:pPr>
        <w:pStyle w:val="1-DocText"/>
        <w:spacing w:before="0" w:after="0" w:line="276" w:lineRule="auto"/>
        <w:jc w:val="both"/>
        <w:rPr>
          <w:rFonts w:ascii="Calibri" w:hAnsi="Calibri"/>
          <w:color w:val="000000"/>
          <w:sz w:val="24"/>
          <w:szCs w:val="24"/>
          <w:lang w:val="en-GB" w:eastAsia="en-GB"/>
        </w:rPr>
      </w:pPr>
      <w:r w:rsidRPr="00E102E3">
        <w:rPr>
          <w:rFonts w:ascii="Calibri" w:hAnsi="Calibri"/>
          <w:color w:val="000000"/>
          <w:sz w:val="24"/>
          <w:szCs w:val="24"/>
          <w:lang w:val="en-GB" w:eastAsia="en-GB"/>
        </w:rPr>
        <w:t>Government funding remains the dominant source of public health financing. The actual government spending increased from TZS 765.3 billion in 2012/13 to TZS 1,</w:t>
      </w:r>
      <w:r w:rsidR="00A77BD7">
        <w:rPr>
          <w:rFonts w:ascii="Calibri" w:hAnsi="Calibri"/>
          <w:color w:val="000000"/>
          <w:sz w:val="24"/>
          <w:szCs w:val="24"/>
          <w:lang w:val="en-GB" w:eastAsia="en-GB"/>
        </w:rPr>
        <w:t>343</w:t>
      </w:r>
      <w:r w:rsidRPr="00E102E3">
        <w:rPr>
          <w:rFonts w:ascii="Calibri" w:hAnsi="Calibri"/>
          <w:color w:val="000000"/>
          <w:sz w:val="24"/>
          <w:szCs w:val="24"/>
          <w:lang w:val="en-GB" w:eastAsia="en-GB"/>
        </w:rPr>
        <w:t xml:space="preserve"> billion in 2015/16 which is a 7</w:t>
      </w:r>
      <w:r w:rsidR="00A77BD7">
        <w:rPr>
          <w:rFonts w:ascii="Calibri" w:hAnsi="Calibri"/>
          <w:color w:val="000000"/>
          <w:sz w:val="24"/>
          <w:szCs w:val="24"/>
          <w:lang w:val="en-GB" w:eastAsia="en-GB"/>
        </w:rPr>
        <w:t>5.5</w:t>
      </w:r>
      <w:r w:rsidRPr="00E102E3">
        <w:rPr>
          <w:rFonts w:ascii="Calibri" w:hAnsi="Calibri"/>
          <w:color w:val="000000"/>
          <w:sz w:val="24"/>
          <w:szCs w:val="24"/>
          <w:lang w:val="en-GB" w:eastAsia="en-GB"/>
        </w:rPr>
        <w:t>% increase. The actual expenditure for foreign funds declined from TZS 289.9 billion in 2012/13 to TZS 1</w:t>
      </w:r>
      <w:r w:rsidR="00A77BD7">
        <w:rPr>
          <w:rFonts w:ascii="Calibri" w:hAnsi="Calibri"/>
          <w:color w:val="000000"/>
          <w:sz w:val="24"/>
          <w:szCs w:val="24"/>
          <w:lang w:val="en-GB" w:eastAsia="en-GB"/>
        </w:rPr>
        <w:t>6</w:t>
      </w:r>
      <w:r w:rsidRPr="00E102E3">
        <w:rPr>
          <w:rFonts w:ascii="Calibri" w:hAnsi="Calibri"/>
          <w:color w:val="000000"/>
          <w:sz w:val="24"/>
          <w:szCs w:val="24"/>
          <w:lang w:val="en-GB" w:eastAsia="en-GB"/>
        </w:rPr>
        <w:t xml:space="preserve">9 billion in 2015/16 which is a </w:t>
      </w:r>
      <w:r w:rsidR="00A77BD7">
        <w:rPr>
          <w:rFonts w:ascii="Calibri" w:hAnsi="Calibri"/>
          <w:color w:val="000000"/>
          <w:sz w:val="24"/>
          <w:szCs w:val="24"/>
          <w:lang w:val="en-GB" w:eastAsia="en-GB"/>
        </w:rPr>
        <w:t>71.6</w:t>
      </w:r>
      <w:r w:rsidRPr="00E102E3">
        <w:rPr>
          <w:rFonts w:ascii="Calibri" w:hAnsi="Calibri"/>
          <w:color w:val="000000"/>
          <w:sz w:val="24"/>
          <w:szCs w:val="24"/>
          <w:lang w:val="en-GB" w:eastAsia="en-GB"/>
        </w:rPr>
        <w:t xml:space="preserve">% decline. The </w:t>
      </w:r>
      <w:r w:rsidRPr="00E102E3">
        <w:rPr>
          <w:rFonts w:ascii="Calibri" w:hAnsi="Calibri"/>
          <w:color w:val="000000"/>
          <w:sz w:val="24"/>
          <w:szCs w:val="24"/>
          <w:lang w:val="en-GB" w:eastAsia="en-GB"/>
        </w:rPr>
        <w:lastRenderedPageBreak/>
        <w:t>expenditure from health bas</w:t>
      </w:r>
      <w:r w:rsidR="00A77BD7">
        <w:rPr>
          <w:rFonts w:ascii="Calibri" w:hAnsi="Calibri"/>
          <w:color w:val="000000"/>
          <w:sz w:val="24"/>
          <w:szCs w:val="24"/>
          <w:lang w:val="en-GB" w:eastAsia="en-GB"/>
        </w:rPr>
        <w:t xml:space="preserve">ket in particular, declined by </w:t>
      </w:r>
      <w:r w:rsidRPr="00E102E3">
        <w:rPr>
          <w:rFonts w:ascii="Calibri" w:hAnsi="Calibri"/>
          <w:color w:val="000000"/>
          <w:sz w:val="24"/>
          <w:szCs w:val="24"/>
          <w:lang w:val="en-GB" w:eastAsia="en-GB"/>
        </w:rPr>
        <w:t>4</w:t>
      </w:r>
      <w:r w:rsidR="00A77BD7">
        <w:rPr>
          <w:rFonts w:ascii="Calibri" w:hAnsi="Calibri"/>
          <w:color w:val="000000"/>
          <w:sz w:val="24"/>
          <w:szCs w:val="24"/>
          <w:lang w:val="en-GB" w:eastAsia="en-GB"/>
        </w:rPr>
        <w:t>4.7</w:t>
      </w:r>
      <w:r w:rsidRPr="00E102E3">
        <w:rPr>
          <w:rFonts w:ascii="Calibri" w:hAnsi="Calibri"/>
          <w:color w:val="000000"/>
          <w:sz w:val="24"/>
          <w:szCs w:val="24"/>
          <w:lang w:val="en-GB" w:eastAsia="en-GB"/>
        </w:rPr>
        <w:t xml:space="preserve">% from TZS 142.8 billion in 2012/13 to TZS </w:t>
      </w:r>
      <w:r w:rsidR="00A77BD7">
        <w:rPr>
          <w:rFonts w:ascii="Calibri" w:hAnsi="Calibri"/>
          <w:color w:val="000000"/>
          <w:sz w:val="24"/>
          <w:szCs w:val="24"/>
          <w:lang w:val="en-GB" w:eastAsia="en-GB"/>
        </w:rPr>
        <w:t>7</w:t>
      </w:r>
      <w:r w:rsidRPr="00E102E3">
        <w:rPr>
          <w:rFonts w:ascii="Calibri" w:hAnsi="Calibri"/>
          <w:color w:val="000000"/>
          <w:sz w:val="24"/>
          <w:szCs w:val="24"/>
          <w:lang w:val="en-GB" w:eastAsia="en-GB"/>
        </w:rPr>
        <w:t>9 billion in 2015/16. Comparing the non-basket funds approved estimates for 2015/16 with the actual expenditure there is a significant difference – TZS 4</w:t>
      </w:r>
      <w:r w:rsidR="00A77BD7">
        <w:rPr>
          <w:rFonts w:ascii="Calibri" w:hAnsi="Calibri"/>
          <w:color w:val="000000"/>
          <w:sz w:val="24"/>
          <w:szCs w:val="24"/>
          <w:lang w:val="en-GB" w:eastAsia="en-GB"/>
        </w:rPr>
        <w:t>07</w:t>
      </w:r>
      <w:r w:rsidRPr="00E102E3">
        <w:rPr>
          <w:rFonts w:ascii="Calibri" w:hAnsi="Calibri"/>
          <w:color w:val="000000"/>
          <w:sz w:val="24"/>
          <w:szCs w:val="24"/>
          <w:lang w:val="en-GB" w:eastAsia="en-GB"/>
        </w:rPr>
        <w:t xml:space="preserve"> billion, meaning that only 18% of the approved estimate was released.  The overall decrease for the foreign funds is contributed by some donors dropping from the basket and decrease in Global Fund. Given the unpredictability of donor funding, the government is urged to develop sustainable health </w:t>
      </w:r>
      <w:r w:rsidR="00FA3998">
        <w:rPr>
          <w:rFonts w:ascii="Calibri" w:hAnsi="Calibri"/>
          <w:color w:val="000000"/>
          <w:sz w:val="24"/>
          <w:szCs w:val="24"/>
          <w:lang w:val="en-GB" w:eastAsia="en-GB"/>
        </w:rPr>
        <w:t xml:space="preserve">financing strategies to curb future unexpected budget deficits. </w:t>
      </w:r>
    </w:p>
    <w:p w14:paraId="072E80E2" w14:textId="77777777" w:rsidR="00E102E3" w:rsidRPr="00E102E3" w:rsidRDefault="00E102E3" w:rsidP="00E102E3">
      <w:pPr>
        <w:pStyle w:val="1-DocText"/>
        <w:spacing w:before="0" w:after="0" w:line="276" w:lineRule="auto"/>
        <w:jc w:val="both"/>
        <w:rPr>
          <w:rFonts w:ascii="Calibri" w:hAnsi="Calibri"/>
          <w:color w:val="000000"/>
          <w:sz w:val="24"/>
          <w:szCs w:val="24"/>
          <w:lang w:val="en-GB" w:eastAsia="en-GB"/>
        </w:rPr>
      </w:pPr>
    </w:p>
    <w:p w14:paraId="1E1308BD" w14:textId="77777777" w:rsidR="00E102E3" w:rsidRPr="00E102E3" w:rsidRDefault="00E102E3" w:rsidP="00E102E3">
      <w:pPr>
        <w:pStyle w:val="NoSpacing"/>
        <w:spacing w:line="276" w:lineRule="auto"/>
        <w:rPr>
          <w:b/>
          <w:i/>
        </w:rPr>
      </w:pPr>
      <w:r w:rsidRPr="00E102E3">
        <w:rPr>
          <w:b/>
          <w:i/>
        </w:rPr>
        <w:t>Recurrent and development expenditures</w:t>
      </w:r>
    </w:p>
    <w:p w14:paraId="5B42FBB2" w14:textId="77777777" w:rsidR="00AB6CA3" w:rsidRPr="001170AC" w:rsidRDefault="00E102E3" w:rsidP="00AB6CA3">
      <w:pPr>
        <w:pStyle w:val="1-DocText"/>
        <w:spacing w:before="0" w:after="0" w:line="276" w:lineRule="auto"/>
        <w:jc w:val="both"/>
        <w:rPr>
          <w:rFonts w:ascii="Calibri" w:hAnsi="Calibri"/>
          <w:color w:val="000000"/>
          <w:sz w:val="24"/>
          <w:szCs w:val="24"/>
          <w:lang w:val="en-GB" w:eastAsia="en-GB"/>
        </w:rPr>
      </w:pPr>
      <w:r w:rsidRPr="00E102E3">
        <w:rPr>
          <w:rFonts w:ascii="Calibri" w:hAnsi="Calibri"/>
          <w:color w:val="000000"/>
          <w:sz w:val="24"/>
          <w:szCs w:val="24"/>
          <w:lang w:val="en-GB" w:eastAsia="en-GB"/>
        </w:rPr>
        <w:t>Following faster growth in the recurrent budget and expenditures relative to development budget and expenditures, the share of the recurrent budget increased significantly from 63% in 2012/13 to 70% in 2014/15 but declined to 62% in 2016/17. Also, the share of actual recurrent expenditure increased significantly from 64% in 2012/13 to 87% in 2015/16</w:t>
      </w:r>
      <w:r w:rsidR="00AB6CA3">
        <w:rPr>
          <w:rFonts w:ascii="Calibri" w:hAnsi="Calibri"/>
          <w:color w:val="000000"/>
          <w:sz w:val="24"/>
          <w:szCs w:val="24"/>
          <w:lang w:val="en-GB" w:eastAsia="en-GB"/>
        </w:rPr>
        <w:t>. Dwindling development expenditure is a concern given the need to improve health facility infrastructure especially in the rural areas.</w:t>
      </w:r>
    </w:p>
    <w:p w14:paraId="33BECEFB" w14:textId="77777777" w:rsidR="00E102E3" w:rsidRPr="00E102E3" w:rsidRDefault="00E102E3" w:rsidP="00E102E3"/>
    <w:p w14:paraId="3A173B91" w14:textId="77777777" w:rsidR="00E102E3" w:rsidRPr="00E102E3" w:rsidRDefault="00E102E3" w:rsidP="00E102E3">
      <w:pPr>
        <w:rPr>
          <w:b/>
          <w:i/>
        </w:rPr>
      </w:pPr>
      <w:r w:rsidRPr="00E102E3">
        <w:rPr>
          <w:b/>
          <w:i/>
        </w:rPr>
        <w:t xml:space="preserve">Budget performance </w:t>
      </w:r>
    </w:p>
    <w:p w14:paraId="2854EEFC" w14:textId="1EA9AF2E" w:rsidR="00E102E3" w:rsidRPr="00E102E3" w:rsidRDefault="00E102E3" w:rsidP="00E102E3">
      <w:pPr>
        <w:rPr>
          <w:color w:val="000000"/>
          <w:lang w:val="en-GB" w:eastAsia="en-GB"/>
        </w:rPr>
      </w:pPr>
      <w:r w:rsidRPr="00E102E3">
        <w:rPr>
          <w:color w:val="000000"/>
          <w:lang w:val="en-GB" w:eastAsia="en-GB"/>
        </w:rPr>
        <w:t xml:space="preserve">Overall, the execution of the total budget was consistently high (above 80%) from 2011/12 but it experienced a significant decline in 2015/16; declined to 70%. The performance of the basket fund is consistently high – above 89% for each year in the review period. Execution of non-basked funding is the lowest. Although the performance was 82% in 2013/14 it declined to 41% in 2014/15 and as low as 18% in 2015/16. This inconsistency in budget performance is detrimental to service delivery. </w:t>
      </w:r>
    </w:p>
    <w:p w14:paraId="5D61140F" w14:textId="77777777" w:rsidR="00E102E3" w:rsidRPr="00E102E3" w:rsidRDefault="00E102E3" w:rsidP="00E102E3"/>
    <w:p w14:paraId="704B6D78" w14:textId="77777777" w:rsidR="00E102E3" w:rsidRPr="00E102E3" w:rsidRDefault="00E102E3" w:rsidP="00E102E3">
      <w:pPr>
        <w:rPr>
          <w:b/>
          <w:i/>
        </w:rPr>
      </w:pPr>
      <w:r w:rsidRPr="00E102E3">
        <w:rPr>
          <w:b/>
          <w:i/>
        </w:rPr>
        <w:t>Budget and expenditure by levels of Government</w:t>
      </w:r>
    </w:p>
    <w:p w14:paraId="18B3959F" w14:textId="77777777" w:rsidR="00E102E3" w:rsidRPr="00E102E3" w:rsidRDefault="00E102E3" w:rsidP="00E102E3">
      <w:pPr>
        <w:pStyle w:val="NoSpacing"/>
        <w:spacing w:line="276" w:lineRule="auto"/>
        <w:rPr>
          <w:color w:val="000000"/>
          <w:lang w:val="en-GB" w:eastAsia="en-GB"/>
        </w:rPr>
      </w:pPr>
      <w:r w:rsidRPr="00E102E3">
        <w:rPr>
          <w:color w:val="000000"/>
          <w:lang w:val="en-GB" w:eastAsia="en-GB"/>
        </w:rPr>
        <w:t>There is a significant change of shares of resources among levels of government during the 2015/16 and 2016/17 budget cycle. The share of centrally controlled budgeted resources (MoHCDGEC, PO-RALG, and the NHIF) declined from 50% in 2012/13 to 42% in 2015/16. The actual expenditure also decreased from 50% in 2012/13 to 29% in 2015/16. The share of resources going to LGAs increased from 42% of the budget in 2012/13 to 58% in 2016/17 while the actual spending increased from 41% in 2012/13 to 49% 2016/17. This increase reflects the efforts of the current Government to channel resources to the local level where poverty levels are high.</w:t>
      </w:r>
    </w:p>
    <w:p w14:paraId="3C7FC682" w14:textId="77777777" w:rsidR="00E102E3" w:rsidRPr="00E102E3" w:rsidRDefault="00E102E3" w:rsidP="00E102E3">
      <w:pPr>
        <w:pStyle w:val="NoSpacing"/>
        <w:spacing w:line="276" w:lineRule="auto"/>
        <w:rPr>
          <w:color w:val="000000"/>
          <w:lang w:val="en-GB" w:eastAsia="en-GB"/>
        </w:rPr>
      </w:pPr>
    </w:p>
    <w:p w14:paraId="0CEF4996" w14:textId="77777777" w:rsidR="00E102E3" w:rsidRPr="00E102E3" w:rsidRDefault="00E102E3" w:rsidP="00E102E3">
      <w:pPr>
        <w:pStyle w:val="NoSpacing"/>
        <w:spacing w:line="276" w:lineRule="auto"/>
        <w:rPr>
          <w:b/>
          <w:i/>
          <w:color w:val="000000"/>
          <w:lang w:val="en-GB" w:eastAsia="en-GB"/>
        </w:rPr>
      </w:pPr>
      <w:r w:rsidRPr="00E102E3">
        <w:rPr>
          <w:b/>
          <w:i/>
          <w:color w:val="000000"/>
          <w:lang w:val="en-GB" w:eastAsia="en-GB"/>
        </w:rPr>
        <w:t>Complementary financing</w:t>
      </w:r>
    </w:p>
    <w:p w14:paraId="52E6C998" w14:textId="3F50EA21" w:rsidR="005A6565" w:rsidRDefault="003C0AC7" w:rsidP="00E102E3">
      <w:pPr>
        <w:rPr>
          <w:color w:val="000000"/>
          <w:lang w:val="en-GB" w:eastAsia="en-GB"/>
        </w:rPr>
      </w:pPr>
      <w:r>
        <w:rPr>
          <w:color w:val="000000"/>
          <w:lang w:val="en-GB" w:eastAsia="en-GB"/>
        </w:rPr>
        <w:t xml:space="preserve">The  complimentary a funding </w:t>
      </w:r>
      <w:r w:rsidR="005A6565" w:rsidRPr="00FA3998">
        <w:rPr>
          <w:color w:val="000000"/>
          <w:lang w:val="en-GB" w:eastAsia="en-GB"/>
        </w:rPr>
        <w:t xml:space="preserve"> continues to be an important source of funding for health facilities especially for operations and maintenance</w:t>
      </w:r>
      <w:r>
        <w:rPr>
          <w:color w:val="000000"/>
          <w:lang w:val="en-GB" w:eastAsia="en-GB"/>
        </w:rPr>
        <w:t xml:space="preserve"> although its contribution  to the health budget is still very minimal</w:t>
      </w:r>
      <w:r w:rsidR="005A6565" w:rsidRPr="00FA3998">
        <w:rPr>
          <w:color w:val="000000"/>
          <w:lang w:val="en-GB" w:eastAsia="en-GB"/>
        </w:rPr>
        <w:t>.</w:t>
      </w:r>
    </w:p>
    <w:p w14:paraId="7AD0BEB5" w14:textId="77777777" w:rsidR="00FA3998" w:rsidRDefault="00FA3998" w:rsidP="00E102E3">
      <w:pPr>
        <w:rPr>
          <w:color w:val="000000"/>
          <w:lang w:val="en-GB" w:eastAsia="en-GB"/>
        </w:rPr>
      </w:pPr>
    </w:p>
    <w:p w14:paraId="35311493" w14:textId="77777777" w:rsidR="00E102E3" w:rsidRPr="00E102E3" w:rsidRDefault="00E102E3" w:rsidP="00E102E3">
      <w:pPr>
        <w:rPr>
          <w:color w:val="000000"/>
          <w:lang w:val="en-GB" w:eastAsia="en-GB"/>
        </w:rPr>
      </w:pPr>
      <w:r w:rsidRPr="00E102E3">
        <w:rPr>
          <w:color w:val="000000"/>
          <w:lang w:val="en-GB" w:eastAsia="en-GB"/>
        </w:rPr>
        <w:t xml:space="preserve">A comparison of figures from 2012/13 and 2015/16 indicates an increase in the total </w:t>
      </w:r>
      <w:r w:rsidR="00FA3998">
        <w:rPr>
          <w:color w:val="000000"/>
          <w:lang w:val="en-GB" w:eastAsia="en-GB"/>
        </w:rPr>
        <w:t xml:space="preserve">NHIF </w:t>
      </w:r>
      <w:r w:rsidRPr="00E102E3">
        <w:rPr>
          <w:color w:val="000000"/>
          <w:lang w:val="en-GB" w:eastAsia="en-GB"/>
        </w:rPr>
        <w:t>revenue from TZS 2</w:t>
      </w:r>
      <w:r w:rsidR="00FA3998">
        <w:rPr>
          <w:color w:val="000000"/>
          <w:lang w:val="en-GB" w:eastAsia="en-GB"/>
        </w:rPr>
        <w:t>6</w:t>
      </w:r>
      <w:r w:rsidRPr="00E102E3">
        <w:rPr>
          <w:color w:val="000000"/>
          <w:lang w:val="en-GB" w:eastAsia="en-GB"/>
        </w:rPr>
        <w:t>6,</w:t>
      </w:r>
      <w:r w:rsidR="00FA3998">
        <w:rPr>
          <w:color w:val="000000"/>
          <w:lang w:val="en-GB" w:eastAsia="en-GB"/>
        </w:rPr>
        <w:t>533</w:t>
      </w:r>
      <w:r w:rsidRPr="00E102E3">
        <w:rPr>
          <w:color w:val="000000"/>
          <w:lang w:val="en-GB" w:eastAsia="en-GB"/>
        </w:rPr>
        <w:t xml:space="preserve"> million to TZS 453,997 million which is a 7</w:t>
      </w:r>
      <w:r w:rsidR="00FA3998">
        <w:rPr>
          <w:color w:val="000000"/>
          <w:lang w:val="en-GB" w:eastAsia="en-GB"/>
        </w:rPr>
        <w:t>0</w:t>
      </w:r>
      <w:r w:rsidRPr="00E102E3">
        <w:rPr>
          <w:color w:val="000000"/>
          <w:lang w:val="en-GB" w:eastAsia="en-GB"/>
        </w:rPr>
        <w:t xml:space="preserve">% increase. The NHIF </w:t>
      </w:r>
      <w:r w:rsidRPr="00E102E3">
        <w:rPr>
          <w:color w:val="000000"/>
          <w:lang w:val="en-GB" w:eastAsia="en-GB"/>
        </w:rPr>
        <w:lastRenderedPageBreak/>
        <w:t>surplus declined from 5</w:t>
      </w:r>
      <w:r w:rsidR="00FA3998">
        <w:rPr>
          <w:color w:val="000000"/>
          <w:lang w:val="en-GB" w:eastAsia="en-GB"/>
        </w:rPr>
        <w:t>0</w:t>
      </w:r>
      <w:r w:rsidRPr="00E102E3">
        <w:rPr>
          <w:color w:val="000000"/>
          <w:lang w:val="en-GB" w:eastAsia="en-GB"/>
        </w:rPr>
        <w:t>% in 2012/13 to 37% in 201</w:t>
      </w:r>
      <w:r w:rsidR="00FA3998">
        <w:rPr>
          <w:color w:val="000000"/>
          <w:lang w:val="en-GB" w:eastAsia="en-GB"/>
        </w:rPr>
        <w:t>5</w:t>
      </w:r>
      <w:r w:rsidRPr="00E102E3">
        <w:rPr>
          <w:color w:val="000000"/>
          <w:lang w:val="en-GB" w:eastAsia="en-GB"/>
        </w:rPr>
        <w:t>/1</w:t>
      </w:r>
      <w:r w:rsidR="00FA3998">
        <w:rPr>
          <w:color w:val="000000"/>
          <w:lang w:val="en-GB" w:eastAsia="en-GB"/>
        </w:rPr>
        <w:t>6</w:t>
      </w:r>
      <w:r w:rsidRPr="00E102E3">
        <w:rPr>
          <w:color w:val="000000"/>
          <w:lang w:val="en-GB" w:eastAsia="en-GB"/>
        </w:rPr>
        <w:t xml:space="preserve">. Previous PERs noted concerns on huge unspent balance. This significant decline in surplus despite increase in the revenue is commendable. The increase in the contribution and decline in the surplus signify the contribution NHIF is making in financing health services. However, Government facilities are receiving low and constant total reimbursement is cause for concern given the fact that they provide more services than faith-based and private for-profit health facilities. The reimbursement is according to fees for service. It is understandable that the government facilities receive less given their lower charges, but this would effectively mean that the government is subsidizing the NHIF. </w:t>
      </w:r>
    </w:p>
    <w:p w14:paraId="36EF17C1" w14:textId="77777777" w:rsidR="00E102E3" w:rsidRPr="00E102E3" w:rsidRDefault="00E102E3" w:rsidP="00E102E3">
      <w:pPr>
        <w:pStyle w:val="NoSpacing"/>
        <w:spacing w:line="276" w:lineRule="auto"/>
        <w:rPr>
          <w:color w:val="000000"/>
          <w:lang w:val="en-GB" w:eastAsia="en-GB"/>
        </w:rPr>
      </w:pPr>
    </w:p>
    <w:p w14:paraId="0D6F247A" w14:textId="71840388" w:rsidR="003737A9" w:rsidRPr="003737A9" w:rsidRDefault="00E102E3" w:rsidP="003737A9">
      <w:r w:rsidRPr="00E102E3">
        <w:t>Dar es Salaam region has the highest value of claims from NHIF and the value of such claims was 59% of the total claims. Dar es Salaam region is followed by Mbeya region which commanded 6% of the total cost.  Some regions</w:t>
      </w:r>
      <w:r w:rsidR="003C0AC7">
        <w:t xml:space="preserve"> such as </w:t>
      </w:r>
      <w:r w:rsidR="003C0AC7" w:rsidRPr="003C0AC7">
        <w:t xml:space="preserve"> </w:t>
      </w:r>
      <w:r w:rsidR="003C0AC7" w:rsidRPr="00E102E3">
        <w:t>Lindi, Rukwa Geita, Njombe and Katavi</w:t>
      </w:r>
      <w:r w:rsidR="003C0AC7">
        <w:t xml:space="preserve"> have very low claims </w:t>
      </w:r>
      <w:r w:rsidR="003737A9" w:rsidRPr="003737A9">
        <w:t>, these are some of the remote and marginalized regions.</w:t>
      </w:r>
    </w:p>
    <w:p w14:paraId="7BD71C3B" w14:textId="77777777" w:rsidR="00E102E3" w:rsidRPr="00E102E3" w:rsidRDefault="00E102E3" w:rsidP="00E102E3"/>
    <w:p w14:paraId="06630151" w14:textId="77777777" w:rsidR="00F67A8B" w:rsidRPr="00F67A8B" w:rsidRDefault="00E102E3" w:rsidP="00F67A8B">
      <w:pPr>
        <w:rPr>
          <w:color w:val="000000"/>
          <w:lang w:val="en-GB" w:eastAsia="en-GB"/>
        </w:rPr>
      </w:pPr>
      <w:r w:rsidRPr="00E102E3">
        <w:t xml:space="preserve">Progress in expansion of CHF continued in 2015/16. There is improvement in estimated population coverage from 7% in 2012/13 to 14% in 2014/15 and 18% in 2015/16. However, this low coverage has left huge population in rural areas unprotected meaning that the country is very far away from reaching the Universal Health Coverage goals. </w:t>
      </w:r>
      <w:r w:rsidR="00F67A8B">
        <w:t xml:space="preserve">Singida region has the highest CHF enrollment followed by Tanga and Mbeya regions. The low figures for Dodoma, Morogoro, and Shinyanga are surprising given the presence of HPSS Project. </w:t>
      </w:r>
    </w:p>
    <w:p w14:paraId="1F3639E6" w14:textId="77777777" w:rsidR="00E102E3" w:rsidRPr="00E102E3" w:rsidRDefault="00E102E3" w:rsidP="00E102E3"/>
    <w:p w14:paraId="7E57EC3E" w14:textId="77777777" w:rsidR="00E102E3" w:rsidRPr="00E102E3" w:rsidRDefault="00FA3998" w:rsidP="00E102E3">
      <w:pPr>
        <w:rPr>
          <w:b/>
          <w:i/>
        </w:rPr>
      </w:pPr>
      <w:r>
        <w:rPr>
          <w:b/>
          <w:i/>
        </w:rPr>
        <w:t xml:space="preserve">Sources of financing at LGAs </w:t>
      </w:r>
    </w:p>
    <w:p w14:paraId="0E0EEF80" w14:textId="77777777" w:rsidR="00E102E3" w:rsidRPr="00E102E3" w:rsidRDefault="00E102E3" w:rsidP="00E102E3">
      <w:r w:rsidRPr="00E102E3">
        <w:t xml:space="preserve">Block grant continues to be the major source of funds at Council level. In terms of actual </w:t>
      </w:r>
      <w:r w:rsidR="00610EFF">
        <w:t>spending, the share of block g</w:t>
      </w:r>
      <w:r w:rsidRPr="00E102E3">
        <w:t>rant increased from 70% in 2012/13 to 74% in 2015/16 while the basket fund expenditure decreased from 20% in 2012/13 to 14% in 2015/16. Expenditures from Council Own Source are broadly similar across years, at 3% - 4% of the total expenditure.</w:t>
      </w:r>
      <w:r w:rsidR="009D6FF5">
        <w:t xml:space="preserve"> </w:t>
      </w:r>
      <w:r w:rsidR="00610EFF">
        <w:t>Expenditures from own s</w:t>
      </w:r>
      <w:r w:rsidR="009D6FF5">
        <w:t xml:space="preserve">ources may decrease even further in the future given the current move of moving some of the </w:t>
      </w:r>
      <w:r w:rsidR="00610EFF">
        <w:t xml:space="preserve">revenue </w:t>
      </w:r>
      <w:r w:rsidR="009D6FF5">
        <w:t>sources to the central leve</w:t>
      </w:r>
      <w:r w:rsidR="00610EFF">
        <w:t>l. This implies that the block g</w:t>
      </w:r>
      <w:r w:rsidR="009D6FF5">
        <w:t>rant has to increase even further to cover the gap left by declining</w:t>
      </w:r>
      <w:r w:rsidR="00610EFF">
        <w:t xml:space="preserve"> own resource revenue. </w:t>
      </w:r>
      <w:r w:rsidR="009D6FF5">
        <w:t xml:space="preserve"> </w:t>
      </w:r>
    </w:p>
    <w:p w14:paraId="6E06C768" w14:textId="77777777" w:rsidR="00535160" w:rsidRDefault="00535160" w:rsidP="005A6565">
      <w:pPr>
        <w:rPr>
          <w:b/>
          <w:i/>
        </w:rPr>
      </w:pPr>
    </w:p>
    <w:p w14:paraId="151CCCAE" w14:textId="77777777" w:rsidR="005A6565" w:rsidRPr="00FA3998" w:rsidRDefault="00FA3998" w:rsidP="005A6565">
      <w:pPr>
        <w:rPr>
          <w:b/>
          <w:i/>
        </w:rPr>
      </w:pPr>
      <w:r w:rsidRPr="00FA3998">
        <w:rPr>
          <w:b/>
          <w:i/>
        </w:rPr>
        <w:t>Budget and e</w:t>
      </w:r>
      <w:r w:rsidR="005A6565" w:rsidRPr="00FA3998">
        <w:rPr>
          <w:b/>
          <w:i/>
        </w:rPr>
        <w:t xml:space="preserve">xpenditure </w:t>
      </w:r>
      <w:r w:rsidRPr="00FA3998">
        <w:rPr>
          <w:b/>
          <w:i/>
        </w:rPr>
        <w:t xml:space="preserve">at LGAs </w:t>
      </w:r>
      <w:r w:rsidR="005A6565" w:rsidRPr="00FA3998">
        <w:rPr>
          <w:b/>
          <w:i/>
        </w:rPr>
        <w:t xml:space="preserve">by </w:t>
      </w:r>
      <w:r w:rsidRPr="00FA3998">
        <w:rPr>
          <w:b/>
          <w:i/>
        </w:rPr>
        <w:t>sub-v</w:t>
      </w:r>
      <w:r w:rsidR="005A6565" w:rsidRPr="00FA3998">
        <w:rPr>
          <w:b/>
          <w:i/>
        </w:rPr>
        <w:t xml:space="preserve">otes </w:t>
      </w:r>
    </w:p>
    <w:p w14:paraId="0CE4F845" w14:textId="77777777" w:rsidR="005A6565" w:rsidRPr="00C633A3" w:rsidRDefault="005A6565" w:rsidP="005A6565">
      <w:r>
        <w:t>Expenditures by Sub-votes increas</w:t>
      </w:r>
      <w:r w:rsidRPr="00C633A3">
        <w:t xml:space="preserve">ed from </w:t>
      </w:r>
      <w:r>
        <w:t xml:space="preserve">TZS </w:t>
      </w:r>
      <w:r w:rsidRPr="00C633A3">
        <w:t xml:space="preserve">317,624 </w:t>
      </w:r>
      <w:r>
        <w:t xml:space="preserve">Million </w:t>
      </w:r>
      <w:r w:rsidRPr="00C633A3">
        <w:t xml:space="preserve">in 2012/13 to </w:t>
      </w:r>
      <w:r>
        <w:t xml:space="preserve">TZS </w:t>
      </w:r>
      <w:r w:rsidRPr="00C633A3">
        <w:t xml:space="preserve">586,468 </w:t>
      </w:r>
      <w:r>
        <w:t xml:space="preserve">Million </w:t>
      </w:r>
      <w:r w:rsidRPr="00C633A3">
        <w:t>in</w:t>
      </w:r>
      <w:r>
        <w:t xml:space="preserve"> 2015/16.</w:t>
      </w:r>
      <w:r w:rsidRPr="00C633A3">
        <w:t xml:space="preserve"> </w:t>
      </w:r>
      <w:r>
        <w:t xml:space="preserve">For the 2012/13 and 2013/14 financial years, Sub-vote 508E (Dispensaries) had the highest expenditures followed by Sub-vote 508A (CHMT). This trend was reversed in the 2014/15 and 2015/16 financial years with CHMT having higher expenditures than Dispensaries. This is a concern given the need to channel resources at the health services delivery points.   </w:t>
      </w:r>
    </w:p>
    <w:p w14:paraId="4715265D" w14:textId="77777777" w:rsidR="005A6565" w:rsidRDefault="005A6565" w:rsidP="003C3DA4"/>
    <w:p w14:paraId="116D9993" w14:textId="77777777" w:rsidR="005A6565" w:rsidRPr="00FA3998" w:rsidRDefault="00FA3998" w:rsidP="005A6565">
      <w:pPr>
        <w:rPr>
          <w:b/>
          <w:i/>
        </w:rPr>
      </w:pPr>
      <w:r w:rsidRPr="00FA3998">
        <w:rPr>
          <w:b/>
          <w:i/>
        </w:rPr>
        <w:t>Budget p</w:t>
      </w:r>
      <w:r w:rsidR="005A6565" w:rsidRPr="00FA3998">
        <w:rPr>
          <w:b/>
          <w:i/>
        </w:rPr>
        <w:t>erformance at LGA</w:t>
      </w:r>
      <w:r w:rsidRPr="00FA3998">
        <w:rPr>
          <w:b/>
          <w:i/>
        </w:rPr>
        <w:t>s l</w:t>
      </w:r>
      <w:r w:rsidR="005A6565" w:rsidRPr="00FA3998">
        <w:rPr>
          <w:b/>
          <w:i/>
        </w:rPr>
        <w:t>evel</w:t>
      </w:r>
    </w:p>
    <w:p w14:paraId="34A9636F" w14:textId="77777777" w:rsidR="005A6565" w:rsidRPr="00FB0639" w:rsidRDefault="005A6565" w:rsidP="005A6565">
      <w:pPr>
        <w:rPr>
          <w:color w:val="000000"/>
        </w:rPr>
      </w:pPr>
      <w:r w:rsidRPr="00FB0639">
        <w:rPr>
          <w:color w:val="000000"/>
        </w:rPr>
        <w:lastRenderedPageBreak/>
        <w:t xml:space="preserve">The average </w:t>
      </w:r>
      <w:r w:rsidR="00FA3998">
        <w:rPr>
          <w:color w:val="000000"/>
        </w:rPr>
        <w:t xml:space="preserve">budget </w:t>
      </w:r>
      <w:r w:rsidRPr="00FB0639">
        <w:rPr>
          <w:color w:val="000000"/>
        </w:rPr>
        <w:t xml:space="preserve">performance </w:t>
      </w:r>
      <w:r w:rsidR="00FA3998">
        <w:rPr>
          <w:color w:val="000000"/>
        </w:rPr>
        <w:t xml:space="preserve">at LGAs level </w:t>
      </w:r>
      <w:r w:rsidRPr="00FB0639">
        <w:rPr>
          <w:color w:val="000000"/>
        </w:rPr>
        <w:t xml:space="preserve">ranged from 53% to 65%. The performance of the basket fund is fairly good and in 2014/15 the basket fund was fully released. The performance of the block grant was above 65% in the three years. Other sources of funding (except MMAM in 2012/13) have consistently performed poorly. </w:t>
      </w:r>
    </w:p>
    <w:p w14:paraId="61587AA8" w14:textId="77777777" w:rsidR="005A6565" w:rsidRPr="003C3DA4" w:rsidRDefault="005A6565" w:rsidP="003C3DA4"/>
    <w:p w14:paraId="1A665700" w14:textId="77777777" w:rsidR="00771098" w:rsidRPr="00915658" w:rsidRDefault="00771098" w:rsidP="00197026">
      <w:pPr>
        <w:pStyle w:val="Heading2"/>
      </w:pPr>
      <w:bookmarkStart w:id="139" w:name="_Toc488423275"/>
      <w:r w:rsidRPr="00915658">
        <w:t>6.2</w:t>
      </w:r>
      <w:r w:rsidR="00197026">
        <w:tab/>
      </w:r>
      <w:r w:rsidRPr="00915658">
        <w:t>Recommendations</w:t>
      </w:r>
      <w:bookmarkEnd w:id="139"/>
    </w:p>
    <w:p w14:paraId="632457EA" w14:textId="77777777" w:rsidR="00771098" w:rsidRPr="00915658" w:rsidRDefault="00771098" w:rsidP="00771098">
      <w:pPr>
        <w:rPr>
          <w:color w:val="000000"/>
        </w:rPr>
      </w:pPr>
    </w:p>
    <w:p w14:paraId="044D9FB3" w14:textId="77777777" w:rsidR="00771098" w:rsidRPr="00915658" w:rsidRDefault="00771098" w:rsidP="003737A9">
      <w:pPr>
        <w:pStyle w:val="1-DocText"/>
        <w:numPr>
          <w:ilvl w:val="0"/>
          <w:numId w:val="33"/>
        </w:numPr>
        <w:spacing w:before="0" w:after="0" w:line="276" w:lineRule="auto"/>
        <w:jc w:val="both"/>
        <w:rPr>
          <w:rFonts w:ascii="Calibri" w:hAnsi="Calibri"/>
          <w:color w:val="000000"/>
          <w:sz w:val="24"/>
          <w:szCs w:val="24"/>
          <w:lang w:val="en-GB" w:eastAsia="en-GB"/>
        </w:rPr>
      </w:pPr>
      <w:r w:rsidRPr="00915658">
        <w:rPr>
          <w:rFonts w:ascii="Calibri" w:hAnsi="Calibri"/>
          <w:color w:val="000000"/>
          <w:sz w:val="24"/>
          <w:szCs w:val="24"/>
          <w:lang w:val="en-GB" w:eastAsia="en-GB"/>
        </w:rPr>
        <w:t xml:space="preserve">The Government funding remains the dominant source for the health sector. Given the unpredictability of donor funding, the government is urged to develop sustainable health financing strategies to curb the unexpected future budget deficits. </w:t>
      </w:r>
    </w:p>
    <w:p w14:paraId="30F45AE3" w14:textId="77777777" w:rsidR="00771098" w:rsidRPr="00915658" w:rsidRDefault="00771098" w:rsidP="003737A9">
      <w:pPr>
        <w:pStyle w:val="ListParagraph"/>
        <w:widowControl/>
        <w:numPr>
          <w:ilvl w:val="0"/>
          <w:numId w:val="33"/>
        </w:numPr>
        <w:overflowPunct/>
        <w:adjustRightInd/>
        <w:spacing w:line="276" w:lineRule="auto"/>
        <w:contextualSpacing/>
        <w:jc w:val="both"/>
        <w:rPr>
          <w:rFonts w:ascii="Calibri" w:hAnsi="Calibri"/>
        </w:rPr>
      </w:pPr>
      <w:r w:rsidRPr="00915658">
        <w:rPr>
          <w:rFonts w:ascii="Calibri" w:hAnsi="Calibri"/>
        </w:rPr>
        <w:t xml:space="preserve">It is important to note that due to delays in the processing of matching grants, payments made do not necessarily relate to the CHF revenues raised in a given financial year. </w:t>
      </w:r>
      <w:r w:rsidR="003B7C2B" w:rsidRPr="003B7C2B">
        <w:rPr>
          <w:rFonts w:ascii="Calibri" w:hAnsi="Calibri"/>
        </w:rPr>
        <w:t>NHIF should commission a study that will provide an analysis of the factors responsible for the delays in disbursement of matching fund</w:t>
      </w:r>
    </w:p>
    <w:p w14:paraId="294F8D89" w14:textId="77777777" w:rsidR="00771098" w:rsidRPr="00915658" w:rsidRDefault="00771098" w:rsidP="003737A9">
      <w:pPr>
        <w:pStyle w:val="ListParagraph"/>
        <w:widowControl/>
        <w:numPr>
          <w:ilvl w:val="0"/>
          <w:numId w:val="33"/>
        </w:numPr>
        <w:overflowPunct/>
        <w:adjustRightInd/>
        <w:spacing w:line="276" w:lineRule="auto"/>
        <w:contextualSpacing/>
        <w:jc w:val="both"/>
        <w:rPr>
          <w:rFonts w:ascii="Calibri" w:hAnsi="Calibri"/>
        </w:rPr>
      </w:pPr>
      <w:r w:rsidRPr="00915658">
        <w:rPr>
          <w:rFonts w:ascii="Calibri" w:hAnsi="Calibri"/>
          <w:color w:val="000000"/>
        </w:rPr>
        <w:t xml:space="preserve">In improving the feedback mechanism for the unpaid claims and matching fund, </w:t>
      </w:r>
      <w:r w:rsidRPr="00915658">
        <w:rPr>
          <w:rFonts w:ascii="Calibri" w:hAnsi="Calibri"/>
        </w:rPr>
        <w:t xml:space="preserve">NHIF has established e-claim system which has been installed in some of the health facilities. This system should be installed in all health facilities in order to smoothen the claiming and process. Further, NHIF should clarify how does the e-claim solved the claiming problems. </w:t>
      </w:r>
    </w:p>
    <w:p w14:paraId="6BF576CA" w14:textId="77777777" w:rsidR="00771098" w:rsidRPr="00915658" w:rsidRDefault="00771098" w:rsidP="003737A9">
      <w:pPr>
        <w:pStyle w:val="ListParagraph"/>
        <w:widowControl/>
        <w:numPr>
          <w:ilvl w:val="0"/>
          <w:numId w:val="33"/>
        </w:numPr>
        <w:overflowPunct/>
        <w:adjustRightInd/>
        <w:spacing w:line="276" w:lineRule="auto"/>
        <w:contextualSpacing/>
        <w:jc w:val="both"/>
        <w:rPr>
          <w:rFonts w:ascii="Calibri" w:hAnsi="Calibri"/>
        </w:rPr>
      </w:pPr>
      <w:r w:rsidRPr="00915658">
        <w:rPr>
          <w:rFonts w:ascii="Calibri" w:hAnsi="Calibri"/>
          <w:color w:val="000000"/>
          <w:lang w:val="en-GB" w:eastAsia="en-GB"/>
        </w:rPr>
        <w:t>Given the importance of Accredited Drug Dispensing Outlets (ADDOs) in reaching the poor and marginalized communities, NHIF should explore mechanisms to use ADDOs to supply pharmaceuticals using contributions from CHF.</w:t>
      </w:r>
    </w:p>
    <w:p w14:paraId="42DB2229" w14:textId="77777777" w:rsidR="00771098" w:rsidRPr="00915658" w:rsidRDefault="00771098" w:rsidP="003737A9">
      <w:pPr>
        <w:pStyle w:val="ListParagraph"/>
        <w:widowControl/>
        <w:numPr>
          <w:ilvl w:val="0"/>
          <w:numId w:val="33"/>
        </w:numPr>
        <w:overflowPunct/>
        <w:adjustRightInd/>
        <w:spacing w:line="276" w:lineRule="auto"/>
        <w:contextualSpacing/>
        <w:jc w:val="both"/>
        <w:rPr>
          <w:rFonts w:ascii="Calibri" w:hAnsi="Calibri"/>
        </w:rPr>
      </w:pPr>
      <w:r w:rsidRPr="00915658">
        <w:rPr>
          <w:rFonts w:ascii="Calibri" w:hAnsi="Calibri"/>
        </w:rPr>
        <w:t xml:space="preserve">There is a decline in the matching funds received from the Ministry of Health and the total payments to LGAs in 2015/16 compared to 2014/15. The reasons for this decline have to be identified and addressed. </w:t>
      </w:r>
    </w:p>
    <w:p w14:paraId="763A29D3" w14:textId="29BFCCCE" w:rsidR="004E579B" w:rsidRPr="0030132C" w:rsidRDefault="00771098" w:rsidP="00934881">
      <w:pPr>
        <w:pStyle w:val="ListParagraph"/>
        <w:widowControl/>
        <w:numPr>
          <w:ilvl w:val="0"/>
          <w:numId w:val="33"/>
        </w:numPr>
        <w:overflowPunct/>
        <w:adjustRightInd/>
        <w:spacing w:line="276" w:lineRule="auto"/>
        <w:contextualSpacing/>
        <w:jc w:val="both"/>
      </w:pPr>
      <w:r w:rsidRPr="00915658">
        <w:rPr>
          <w:rFonts w:ascii="Calibri" w:hAnsi="Calibri"/>
        </w:rPr>
        <w:t xml:space="preserve">Data inconsistencies regarding LGAs funding are substantial, with variation between the MoFP data, PO-RALG data, and data from the LGAs Epicor system and as reported in the </w:t>
      </w:r>
      <w:r w:rsidRPr="0030132C">
        <w:rPr>
          <w:rFonts w:ascii="Calibri" w:hAnsi="Calibri"/>
          <w:color w:val="000000"/>
        </w:rPr>
        <w:t xml:space="preserve">CCHP implementation reports. CCHPs capture direct funding to LGAs which is not always reflected in central. Efforts should be </w:t>
      </w:r>
      <w:r w:rsidR="0030132C" w:rsidRPr="0030132C">
        <w:rPr>
          <w:rFonts w:ascii="Calibri" w:hAnsi="Calibri"/>
          <w:color w:val="000000"/>
        </w:rPr>
        <w:t xml:space="preserve">made to link Plan Rep and Epicor and ensure that all </w:t>
      </w:r>
      <w:r w:rsidRPr="0030132C">
        <w:rPr>
          <w:rFonts w:ascii="Calibri" w:hAnsi="Calibri"/>
          <w:color w:val="000000"/>
        </w:rPr>
        <w:t xml:space="preserve"> </w:t>
      </w:r>
      <w:r w:rsidR="0030132C" w:rsidRPr="0030132C">
        <w:rPr>
          <w:rFonts w:ascii="Calibri" w:hAnsi="Calibri"/>
          <w:color w:val="000000"/>
        </w:rPr>
        <w:t xml:space="preserve"> Budget and expenditure data are captured in the Epicor System.    </w:t>
      </w:r>
    </w:p>
    <w:p w14:paraId="306379E4" w14:textId="77777777" w:rsidR="004E579B" w:rsidRPr="00535160" w:rsidRDefault="000D3E5C" w:rsidP="00CB0287">
      <w:pPr>
        <w:rPr>
          <w:rStyle w:val="Heading2Char"/>
        </w:rPr>
      </w:pPr>
      <w:r w:rsidRPr="001170AC">
        <w:br w:type="page"/>
      </w:r>
      <w:bookmarkStart w:id="140" w:name="_Toc488423276"/>
      <w:r w:rsidR="00535160" w:rsidRPr="00535160">
        <w:rPr>
          <w:rStyle w:val="Heading1Char"/>
        </w:rPr>
        <w:lastRenderedPageBreak/>
        <w:t>ANNEXES</w:t>
      </w:r>
      <w:bookmarkEnd w:id="140"/>
      <w:r w:rsidR="00535160" w:rsidRPr="00535160">
        <w:rPr>
          <w:rStyle w:val="Heading1Char"/>
        </w:rPr>
        <w:br w:type="page"/>
      </w:r>
      <w:bookmarkStart w:id="141" w:name="_Toc488423277"/>
      <w:r w:rsidR="002E1048">
        <w:rPr>
          <w:rStyle w:val="Heading2Char"/>
        </w:rPr>
        <w:lastRenderedPageBreak/>
        <w:t>Annex A:</w:t>
      </w:r>
      <w:r w:rsidR="002E1048">
        <w:rPr>
          <w:rStyle w:val="Heading2Char"/>
        </w:rPr>
        <w:tab/>
      </w:r>
      <w:r w:rsidR="00535160" w:rsidRPr="00535160">
        <w:rPr>
          <w:rStyle w:val="Heading2Char"/>
        </w:rPr>
        <w:t>Aggregate Data Used For Analysis (Tzs Million)</w:t>
      </w:r>
      <w:bookmarkEnd w:id="141"/>
      <w:r w:rsidR="00535160" w:rsidRPr="00535160">
        <w:rPr>
          <w:rStyle w:val="Heading2Char"/>
        </w:rPr>
        <w:t xml:space="preserve"> </w:t>
      </w:r>
    </w:p>
    <w:p w14:paraId="7347EB94" w14:textId="77777777" w:rsidR="00387AC0" w:rsidRPr="001170AC" w:rsidRDefault="00387AC0" w:rsidP="00CB0287">
      <w:pPr>
        <w:rPr>
          <w:b/>
        </w:rPr>
      </w:pPr>
    </w:p>
    <w:p w14:paraId="318E8D90" w14:textId="26CF9FEE" w:rsidR="00932593" w:rsidRPr="001170AC" w:rsidRDefault="00535160" w:rsidP="00DA7177">
      <w:pPr>
        <w:pStyle w:val="Heading2"/>
      </w:pPr>
      <w:r>
        <w:br w:type="page"/>
      </w:r>
    </w:p>
    <w:p w14:paraId="44D99AB7" w14:textId="77777777" w:rsidR="00670B35" w:rsidRPr="001170AC" w:rsidRDefault="00670B35"/>
    <w:sectPr w:rsidR="00670B35" w:rsidRPr="001170AC" w:rsidSect="00F13FB7">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7C87FF" w14:textId="77777777" w:rsidR="00F61317" w:rsidRDefault="00F61317" w:rsidP="00EE1289">
      <w:pPr>
        <w:spacing w:line="240" w:lineRule="auto"/>
      </w:pPr>
      <w:r>
        <w:separator/>
      </w:r>
    </w:p>
  </w:endnote>
  <w:endnote w:type="continuationSeparator" w:id="0">
    <w:p w14:paraId="6FCDE7E6" w14:textId="77777777" w:rsidR="00F61317" w:rsidRDefault="00F61317" w:rsidP="00EE128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PSMT"/>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Gill Sans MT">
    <w:panose1 w:val="020B0502020104020203"/>
    <w:charset w:val="00"/>
    <w:family w:val="swiss"/>
    <w:pitch w:val="variable"/>
    <w:sig w:usb0="00000007" w:usb1="00000000" w:usb2="00000000" w:usb3="00000000" w:csb0="00000003" w:csb1="00000000"/>
  </w:font>
  <w:font w:name="Gill Sans">
    <w:altName w:val="Gill Sans MT"/>
    <w:charset w:val="00"/>
    <w:family w:val="swiss"/>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TTE19DB438t00">
    <w:panose1 w:val="00000000000000000000"/>
    <w:charset w:val="00"/>
    <w:family w:val="auto"/>
    <w:notTrueType/>
    <w:pitch w:val="default"/>
    <w:sig w:usb0="00000003" w:usb1="00000000" w:usb2="00000000" w:usb3="00000000" w:csb0="00000001" w:csb1="00000000"/>
  </w:font>
  <w:font w:name="AGaramond-Regular">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47998E" w14:textId="77777777" w:rsidR="00934881" w:rsidRDefault="00934881">
    <w:pPr>
      <w:pStyle w:val="Footer"/>
      <w:jc w:val="right"/>
    </w:pPr>
    <w:r>
      <w:fldChar w:fldCharType="begin"/>
    </w:r>
    <w:r>
      <w:instrText xml:space="preserve"> PAGE   \* MERGEFORMAT </w:instrText>
    </w:r>
    <w:r>
      <w:fldChar w:fldCharType="separate"/>
    </w:r>
    <w:r w:rsidR="00AA54AF">
      <w:rPr>
        <w:noProof/>
      </w:rPr>
      <w:t>13</w:t>
    </w:r>
    <w:r>
      <w:rPr>
        <w:noProof/>
      </w:rPr>
      <w:fldChar w:fldCharType="end"/>
    </w:r>
  </w:p>
  <w:p w14:paraId="26DA80EE" w14:textId="77777777" w:rsidR="00934881" w:rsidRDefault="0093488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4871F0" w14:textId="77777777" w:rsidR="00F61317" w:rsidRDefault="00F61317" w:rsidP="00EE1289">
      <w:pPr>
        <w:spacing w:line="240" w:lineRule="auto"/>
      </w:pPr>
      <w:r>
        <w:separator/>
      </w:r>
    </w:p>
  </w:footnote>
  <w:footnote w:type="continuationSeparator" w:id="0">
    <w:p w14:paraId="14CAD603" w14:textId="77777777" w:rsidR="00F61317" w:rsidRDefault="00F61317" w:rsidP="00EE1289">
      <w:pPr>
        <w:spacing w:line="240" w:lineRule="auto"/>
      </w:pPr>
      <w:r>
        <w:continuationSeparator/>
      </w:r>
    </w:p>
  </w:footnote>
  <w:footnote w:id="1">
    <w:p w14:paraId="3BF742F4" w14:textId="77777777" w:rsidR="00934881" w:rsidRPr="001D57D9" w:rsidRDefault="00934881" w:rsidP="007A6D1C">
      <w:pPr>
        <w:pStyle w:val="Footnotes"/>
        <w:rPr>
          <w:rFonts w:ascii="Calibri" w:hAnsi="Calibri"/>
          <w:szCs w:val="18"/>
        </w:rPr>
      </w:pPr>
      <w:r w:rsidRPr="001D57D9">
        <w:rPr>
          <w:rStyle w:val="FootnoteReference"/>
          <w:rFonts w:ascii="Calibri" w:hAnsi="Calibri"/>
        </w:rPr>
        <w:footnoteRef/>
      </w:r>
      <w:r w:rsidRPr="001D57D9">
        <w:rPr>
          <w:rFonts w:ascii="Calibri" w:hAnsi="Calibri"/>
          <w:szCs w:val="18"/>
        </w:rPr>
        <w:t xml:space="preserve"> Majority of teachers and nurses reside in rural areas and they are all members of NHIF. However, these are the members with brown cards not green cards which allows access to limited number of services. Contrary, those in urban areas some have big salaries and thus qualify for green card. With green card, they consume more advanced services.</w:t>
      </w:r>
    </w:p>
  </w:footnote>
  <w:footnote w:id="2">
    <w:p w14:paraId="31B40875" w14:textId="77777777" w:rsidR="00934881" w:rsidRPr="004D0584" w:rsidRDefault="00934881" w:rsidP="00A8686B">
      <w:pPr>
        <w:autoSpaceDE w:val="0"/>
        <w:autoSpaceDN w:val="0"/>
        <w:adjustRightInd w:val="0"/>
        <w:spacing w:line="240" w:lineRule="auto"/>
        <w:rPr>
          <w:sz w:val="20"/>
          <w:szCs w:val="20"/>
        </w:rPr>
      </w:pPr>
      <w:r w:rsidRPr="004D0584">
        <w:rPr>
          <w:rStyle w:val="FootnoteReference"/>
          <w:rFonts w:ascii="Calibri" w:hAnsi="Calibri"/>
          <w:sz w:val="20"/>
          <w:szCs w:val="20"/>
        </w:rPr>
        <w:footnoteRef/>
      </w:r>
      <w:r w:rsidRPr="004D0584">
        <w:rPr>
          <w:sz w:val="20"/>
          <w:szCs w:val="20"/>
        </w:rPr>
        <w:t xml:space="preserve"> The National Five Year Development Plan 2016/17 – 2020/21 stresses the need to s</w:t>
      </w:r>
      <w:r w:rsidRPr="004D0584">
        <w:rPr>
          <w:rFonts w:eastAsia="Calibri" w:cs="AGaramond-Regular"/>
          <w:sz w:val="20"/>
          <w:szCs w:val="20"/>
        </w:rPr>
        <w:t xml:space="preserve">trengthen health systems (primary and referral) and equipping district, regional and referral hospitals with modern equipment. </w:t>
      </w:r>
    </w:p>
  </w:footnote>
  <w:footnote w:id="3">
    <w:p w14:paraId="4439927F" w14:textId="1D51BA38" w:rsidR="00934881" w:rsidRPr="006200B8" w:rsidRDefault="00934881" w:rsidP="006200B8">
      <w:r>
        <w:rPr>
          <w:rStyle w:val="FootnoteReference"/>
        </w:rPr>
        <w:footnoteRef/>
      </w:r>
      <w:r>
        <w:t xml:space="preserve"> </w:t>
      </w:r>
      <w:r w:rsidRPr="003C0AC7">
        <w:rPr>
          <w:color w:val="000000"/>
          <w:sz w:val="18"/>
          <w:szCs w:val="18"/>
        </w:rPr>
        <w:t>508A - Council Health Management Team (CHMT); 508B - Council Hospital;508C - Voluntary Agency Hospital;508D-HealthCentres;508E-Dispensaries;508F-Community  Health Initiatives/Promotion;508G - Projects</w:t>
      </w:r>
      <w:r>
        <w:rPr>
          <w:color w:val="000000"/>
          <w:sz w:val="22"/>
          <w:szCs w:val="22"/>
        </w:rPr>
        <w:t xml:space="preserve"> </w:t>
      </w:r>
      <w:r w:rsidRPr="002810BE">
        <w:rPr>
          <w:color w:val="000000"/>
          <w:sz w:val="22"/>
          <w:szCs w:val="22"/>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649957" w14:textId="77777777" w:rsidR="00934881" w:rsidRDefault="00934881">
    <w:pPr>
      <w:pStyle w:val="Header"/>
    </w:pPr>
  </w:p>
  <w:p w14:paraId="475B8110" w14:textId="77777777" w:rsidR="00934881" w:rsidRDefault="0093488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661A1"/>
    <w:multiLevelType w:val="hybridMultilevel"/>
    <w:tmpl w:val="1B96C7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6CC740D"/>
    <w:multiLevelType w:val="hybridMultilevel"/>
    <w:tmpl w:val="AAF0261E"/>
    <w:lvl w:ilvl="0" w:tplc="04090001">
      <w:start w:val="1"/>
      <w:numFmt w:val="bullet"/>
      <w:lvlText w:val=""/>
      <w:lvlJc w:val="left"/>
      <w:pPr>
        <w:ind w:left="702" w:hanging="360"/>
      </w:pPr>
      <w:rPr>
        <w:rFonts w:ascii="Symbol" w:hAnsi="Symbol"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2" w15:restartNumberingAfterBreak="0">
    <w:nsid w:val="1B084823"/>
    <w:multiLevelType w:val="hybridMultilevel"/>
    <w:tmpl w:val="FAD42F46"/>
    <w:lvl w:ilvl="0" w:tplc="20B63786">
      <w:start w:val="1"/>
      <w:numFmt w:val="bullet"/>
      <w:pStyle w:val="1-Bullet"/>
      <w:lvlText w:val=""/>
      <w:lvlJc w:val="left"/>
      <w:pPr>
        <w:tabs>
          <w:tab w:val="num" w:pos="360"/>
        </w:tabs>
        <w:ind w:left="360" w:hanging="360"/>
      </w:pPr>
      <w:rPr>
        <w:rFonts w:ascii="Symbol" w:hAnsi="Symbol" w:hint="default"/>
        <w:color w:val="7AC142"/>
      </w:rPr>
    </w:lvl>
    <w:lvl w:ilvl="1" w:tplc="71F061DC" w:tentative="1">
      <w:start w:val="1"/>
      <w:numFmt w:val="bullet"/>
      <w:lvlText w:val="o"/>
      <w:lvlJc w:val="left"/>
      <w:pPr>
        <w:tabs>
          <w:tab w:val="num" w:pos="1080"/>
        </w:tabs>
        <w:ind w:left="1080" w:hanging="360"/>
      </w:pPr>
      <w:rPr>
        <w:rFonts w:ascii="Courier New" w:hAnsi="Courier New" w:hint="default"/>
      </w:rPr>
    </w:lvl>
    <w:lvl w:ilvl="2" w:tplc="CC9C12C4" w:tentative="1">
      <w:start w:val="1"/>
      <w:numFmt w:val="bullet"/>
      <w:lvlText w:val=""/>
      <w:lvlJc w:val="left"/>
      <w:pPr>
        <w:tabs>
          <w:tab w:val="num" w:pos="1800"/>
        </w:tabs>
        <w:ind w:left="1800" w:hanging="360"/>
      </w:pPr>
      <w:rPr>
        <w:rFonts w:ascii="Wingdings" w:hAnsi="Wingdings" w:hint="default"/>
      </w:rPr>
    </w:lvl>
    <w:lvl w:ilvl="3" w:tplc="52C6F11C" w:tentative="1">
      <w:start w:val="1"/>
      <w:numFmt w:val="bullet"/>
      <w:lvlText w:val=""/>
      <w:lvlJc w:val="left"/>
      <w:pPr>
        <w:tabs>
          <w:tab w:val="num" w:pos="2520"/>
        </w:tabs>
        <w:ind w:left="2520" w:hanging="360"/>
      </w:pPr>
      <w:rPr>
        <w:rFonts w:ascii="Symbol" w:hAnsi="Symbol" w:hint="default"/>
      </w:rPr>
    </w:lvl>
    <w:lvl w:ilvl="4" w:tplc="6E3A34BA" w:tentative="1">
      <w:start w:val="1"/>
      <w:numFmt w:val="bullet"/>
      <w:lvlText w:val="o"/>
      <w:lvlJc w:val="left"/>
      <w:pPr>
        <w:tabs>
          <w:tab w:val="num" w:pos="3240"/>
        </w:tabs>
        <w:ind w:left="3240" w:hanging="360"/>
      </w:pPr>
      <w:rPr>
        <w:rFonts w:ascii="Courier New" w:hAnsi="Courier New" w:hint="default"/>
      </w:rPr>
    </w:lvl>
    <w:lvl w:ilvl="5" w:tplc="3F6ED382" w:tentative="1">
      <w:start w:val="1"/>
      <w:numFmt w:val="bullet"/>
      <w:lvlText w:val=""/>
      <w:lvlJc w:val="left"/>
      <w:pPr>
        <w:tabs>
          <w:tab w:val="num" w:pos="3960"/>
        </w:tabs>
        <w:ind w:left="3960" w:hanging="360"/>
      </w:pPr>
      <w:rPr>
        <w:rFonts w:ascii="Wingdings" w:hAnsi="Wingdings" w:hint="default"/>
      </w:rPr>
    </w:lvl>
    <w:lvl w:ilvl="6" w:tplc="C554ACA6" w:tentative="1">
      <w:start w:val="1"/>
      <w:numFmt w:val="bullet"/>
      <w:lvlText w:val=""/>
      <w:lvlJc w:val="left"/>
      <w:pPr>
        <w:tabs>
          <w:tab w:val="num" w:pos="4680"/>
        </w:tabs>
        <w:ind w:left="4680" w:hanging="360"/>
      </w:pPr>
      <w:rPr>
        <w:rFonts w:ascii="Symbol" w:hAnsi="Symbol" w:hint="default"/>
      </w:rPr>
    </w:lvl>
    <w:lvl w:ilvl="7" w:tplc="E894F904" w:tentative="1">
      <w:start w:val="1"/>
      <w:numFmt w:val="bullet"/>
      <w:lvlText w:val="o"/>
      <w:lvlJc w:val="left"/>
      <w:pPr>
        <w:tabs>
          <w:tab w:val="num" w:pos="5400"/>
        </w:tabs>
        <w:ind w:left="5400" w:hanging="360"/>
      </w:pPr>
      <w:rPr>
        <w:rFonts w:ascii="Courier New" w:hAnsi="Courier New" w:hint="default"/>
      </w:rPr>
    </w:lvl>
    <w:lvl w:ilvl="8" w:tplc="A648BE54"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23BA61B6"/>
    <w:multiLevelType w:val="hybridMultilevel"/>
    <w:tmpl w:val="F4FC20F4"/>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5206D51"/>
    <w:multiLevelType w:val="hybridMultilevel"/>
    <w:tmpl w:val="CBAACBFA"/>
    <w:lvl w:ilvl="0" w:tplc="AE64BDDE">
      <w:start w:val="1"/>
      <w:numFmt w:val="decimal"/>
      <w:lvlText w:val="%1."/>
      <w:lvlJc w:val="left"/>
      <w:pPr>
        <w:ind w:left="702" w:hanging="360"/>
      </w:pPr>
    </w:lvl>
    <w:lvl w:ilvl="1" w:tplc="8E20F678">
      <w:start w:val="1"/>
      <w:numFmt w:val="decimal"/>
      <w:lvlText w:val="%2."/>
      <w:lvlJc w:val="left"/>
      <w:pPr>
        <w:tabs>
          <w:tab w:val="num" w:pos="1422"/>
        </w:tabs>
        <w:ind w:left="1422" w:hanging="360"/>
      </w:pPr>
    </w:lvl>
    <w:lvl w:ilvl="2" w:tplc="FF4219C0">
      <w:start w:val="1"/>
      <w:numFmt w:val="decimal"/>
      <w:lvlText w:val="%3."/>
      <w:lvlJc w:val="left"/>
      <w:pPr>
        <w:tabs>
          <w:tab w:val="num" w:pos="2142"/>
        </w:tabs>
        <w:ind w:left="2142" w:hanging="360"/>
      </w:pPr>
    </w:lvl>
    <w:lvl w:ilvl="3" w:tplc="1F6E1DA0">
      <w:start w:val="1"/>
      <w:numFmt w:val="decimal"/>
      <w:lvlText w:val="%4."/>
      <w:lvlJc w:val="left"/>
      <w:pPr>
        <w:tabs>
          <w:tab w:val="num" w:pos="2862"/>
        </w:tabs>
        <w:ind w:left="2862" w:hanging="360"/>
      </w:pPr>
    </w:lvl>
    <w:lvl w:ilvl="4" w:tplc="DF0C7A04">
      <w:start w:val="1"/>
      <w:numFmt w:val="decimal"/>
      <w:lvlText w:val="%5."/>
      <w:lvlJc w:val="left"/>
      <w:pPr>
        <w:tabs>
          <w:tab w:val="num" w:pos="3582"/>
        </w:tabs>
        <w:ind w:left="3582" w:hanging="360"/>
      </w:pPr>
    </w:lvl>
    <w:lvl w:ilvl="5" w:tplc="57108FE6">
      <w:start w:val="1"/>
      <w:numFmt w:val="decimal"/>
      <w:lvlText w:val="%6."/>
      <w:lvlJc w:val="left"/>
      <w:pPr>
        <w:tabs>
          <w:tab w:val="num" w:pos="4302"/>
        </w:tabs>
        <w:ind w:left="4302" w:hanging="360"/>
      </w:pPr>
    </w:lvl>
    <w:lvl w:ilvl="6" w:tplc="0204D346">
      <w:start w:val="1"/>
      <w:numFmt w:val="decimal"/>
      <w:lvlText w:val="%7."/>
      <w:lvlJc w:val="left"/>
      <w:pPr>
        <w:tabs>
          <w:tab w:val="num" w:pos="5022"/>
        </w:tabs>
        <w:ind w:left="5022" w:hanging="360"/>
      </w:pPr>
    </w:lvl>
    <w:lvl w:ilvl="7" w:tplc="C2280800">
      <w:start w:val="1"/>
      <w:numFmt w:val="decimal"/>
      <w:lvlText w:val="%8."/>
      <w:lvlJc w:val="left"/>
      <w:pPr>
        <w:tabs>
          <w:tab w:val="num" w:pos="5742"/>
        </w:tabs>
        <w:ind w:left="5742" w:hanging="360"/>
      </w:pPr>
    </w:lvl>
    <w:lvl w:ilvl="8" w:tplc="47F045DE">
      <w:start w:val="1"/>
      <w:numFmt w:val="decimal"/>
      <w:lvlText w:val="%9."/>
      <w:lvlJc w:val="left"/>
      <w:pPr>
        <w:tabs>
          <w:tab w:val="num" w:pos="6462"/>
        </w:tabs>
        <w:ind w:left="6462" w:hanging="360"/>
      </w:pPr>
    </w:lvl>
  </w:abstractNum>
  <w:abstractNum w:abstractNumId="5" w15:restartNumberingAfterBreak="0">
    <w:nsid w:val="2A0E030D"/>
    <w:multiLevelType w:val="multilevel"/>
    <w:tmpl w:val="D994A4D4"/>
    <w:lvl w:ilvl="0">
      <w:start w:val="1"/>
      <w:numFmt w:val="decimal"/>
      <w:lvlText w:val="%1."/>
      <w:lvlJc w:val="left"/>
      <w:pPr>
        <w:ind w:left="786" w:hanging="360"/>
      </w:pPr>
      <w:rPr>
        <w:rFonts w:ascii="Calibri" w:hAnsi="Calibri" w:cs="Calibri" w:hint="default"/>
        <w:b/>
        <w:i w:val="0"/>
        <w:sz w:val="24"/>
        <w:szCs w:val="24"/>
      </w:rPr>
    </w:lvl>
    <w:lvl w:ilvl="1">
      <w:start w:val="1"/>
      <w:numFmt w:val="decimal"/>
      <w:lvlText w:val="%1.%2"/>
      <w:lvlJc w:val="left"/>
      <w:pPr>
        <w:tabs>
          <w:tab w:val="num" w:pos="864"/>
        </w:tabs>
        <w:ind w:left="864" w:hanging="864"/>
      </w:pPr>
      <w:rPr>
        <w:rFonts w:ascii="Gill Sans MT" w:hAnsi="Gill Sans MT" w:hint="default"/>
        <w:b/>
        <w:i w:val="0"/>
        <w:sz w:val="24"/>
        <w:szCs w:val="24"/>
      </w:rPr>
    </w:lvl>
    <w:lvl w:ilvl="2">
      <w:start w:val="1"/>
      <w:numFmt w:val="decimal"/>
      <w:lvlText w:val="%1.%2.%3"/>
      <w:lvlJc w:val="left"/>
      <w:pPr>
        <w:tabs>
          <w:tab w:val="num" w:pos="864"/>
        </w:tabs>
        <w:ind w:left="864" w:hanging="864"/>
      </w:pPr>
      <w:rPr>
        <w:rFonts w:ascii="Gill Sans MT" w:hAnsi="Gill Sans MT" w:hint="default"/>
        <w:b/>
        <w:i w:val="0"/>
        <w:sz w:val="24"/>
      </w:rPr>
    </w:lvl>
    <w:lvl w:ilvl="3">
      <w:start w:val="1"/>
      <w:numFmt w:val="decimal"/>
      <w:pStyle w:val="Heading4"/>
      <w:lvlText w:val="%1.%2.%3.%4"/>
      <w:lvlJc w:val="left"/>
      <w:pPr>
        <w:tabs>
          <w:tab w:val="num" w:pos="1920"/>
        </w:tabs>
        <w:ind w:left="912" w:hanging="432"/>
      </w:pPr>
    </w:lvl>
    <w:lvl w:ilvl="4">
      <w:start w:val="1"/>
      <w:numFmt w:val="decimal"/>
      <w:lvlText w:val="%1.%2.%3.%4.%5."/>
      <w:lvlJc w:val="left"/>
      <w:pPr>
        <w:tabs>
          <w:tab w:val="num" w:pos="3432"/>
        </w:tabs>
        <w:ind w:left="984" w:hanging="792"/>
      </w:pPr>
    </w:lvl>
    <w:lvl w:ilvl="5">
      <w:start w:val="1"/>
      <w:numFmt w:val="decimal"/>
      <w:lvlText w:val="%1.%2.%3.%4.%5.%6."/>
      <w:lvlJc w:val="left"/>
      <w:pPr>
        <w:tabs>
          <w:tab w:val="num" w:pos="4152"/>
        </w:tabs>
        <w:ind w:left="1488" w:hanging="936"/>
      </w:pPr>
    </w:lvl>
    <w:lvl w:ilvl="6">
      <w:start w:val="1"/>
      <w:numFmt w:val="decimal"/>
      <w:lvlText w:val="%1.%2.%3.%4.%5.%6.%7."/>
      <w:lvlJc w:val="left"/>
      <w:pPr>
        <w:tabs>
          <w:tab w:val="num" w:pos="5232"/>
        </w:tabs>
        <w:ind w:left="1992" w:hanging="1080"/>
      </w:pPr>
    </w:lvl>
    <w:lvl w:ilvl="7">
      <w:start w:val="1"/>
      <w:numFmt w:val="decimal"/>
      <w:lvlText w:val="%1.%2.%3.%4.%5.%6.%7.%8."/>
      <w:lvlJc w:val="left"/>
      <w:pPr>
        <w:tabs>
          <w:tab w:val="num" w:pos="6312"/>
        </w:tabs>
        <w:ind w:left="2496" w:hanging="1224"/>
      </w:pPr>
    </w:lvl>
    <w:lvl w:ilvl="8">
      <w:start w:val="1"/>
      <w:numFmt w:val="decimal"/>
      <w:lvlText w:val="%1.%2.%3.%4.%5.%6.%7.%8.%9."/>
      <w:lvlJc w:val="left"/>
      <w:pPr>
        <w:tabs>
          <w:tab w:val="num" w:pos="7032"/>
        </w:tabs>
        <w:ind w:left="3072" w:hanging="1440"/>
      </w:pPr>
    </w:lvl>
  </w:abstractNum>
  <w:abstractNum w:abstractNumId="6" w15:restartNumberingAfterBreak="0">
    <w:nsid w:val="2D16557A"/>
    <w:multiLevelType w:val="hybridMultilevel"/>
    <w:tmpl w:val="360A9B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92F7A8F"/>
    <w:multiLevelType w:val="hybridMultilevel"/>
    <w:tmpl w:val="8C26FC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DF51B83"/>
    <w:multiLevelType w:val="hybridMultilevel"/>
    <w:tmpl w:val="318AC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1901BA"/>
    <w:multiLevelType w:val="hybridMultilevel"/>
    <w:tmpl w:val="360A9B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6C111D5"/>
    <w:multiLevelType w:val="hybridMultilevel"/>
    <w:tmpl w:val="BE22B9B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480777FD"/>
    <w:multiLevelType w:val="hybridMultilevel"/>
    <w:tmpl w:val="3C44704A"/>
    <w:lvl w:ilvl="0" w:tplc="7D2ECA16">
      <w:start w:val="2"/>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12" w15:restartNumberingAfterBreak="0">
    <w:nsid w:val="48B809B0"/>
    <w:multiLevelType w:val="hybridMultilevel"/>
    <w:tmpl w:val="CBAACBFA"/>
    <w:lvl w:ilvl="0" w:tplc="AE64BDDE">
      <w:start w:val="1"/>
      <w:numFmt w:val="decimal"/>
      <w:lvlText w:val="%1."/>
      <w:lvlJc w:val="left"/>
      <w:pPr>
        <w:ind w:left="720" w:hanging="360"/>
      </w:pPr>
    </w:lvl>
    <w:lvl w:ilvl="1" w:tplc="8E20F678">
      <w:start w:val="1"/>
      <w:numFmt w:val="decimal"/>
      <w:lvlText w:val="%2."/>
      <w:lvlJc w:val="left"/>
      <w:pPr>
        <w:tabs>
          <w:tab w:val="num" w:pos="1440"/>
        </w:tabs>
        <w:ind w:left="1440" w:hanging="360"/>
      </w:pPr>
    </w:lvl>
    <w:lvl w:ilvl="2" w:tplc="FF4219C0">
      <w:start w:val="1"/>
      <w:numFmt w:val="decimal"/>
      <w:lvlText w:val="%3."/>
      <w:lvlJc w:val="left"/>
      <w:pPr>
        <w:tabs>
          <w:tab w:val="num" w:pos="2160"/>
        </w:tabs>
        <w:ind w:left="2160" w:hanging="360"/>
      </w:pPr>
    </w:lvl>
    <w:lvl w:ilvl="3" w:tplc="1F6E1DA0">
      <w:start w:val="1"/>
      <w:numFmt w:val="decimal"/>
      <w:lvlText w:val="%4."/>
      <w:lvlJc w:val="left"/>
      <w:pPr>
        <w:tabs>
          <w:tab w:val="num" w:pos="2880"/>
        </w:tabs>
        <w:ind w:left="2880" w:hanging="360"/>
      </w:pPr>
    </w:lvl>
    <w:lvl w:ilvl="4" w:tplc="DF0C7A04">
      <w:start w:val="1"/>
      <w:numFmt w:val="decimal"/>
      <w:lvlText w:val="%5."/>
      <w:lvlJc w:val="left"/>
      <w:pPr>
        <w:tabs>
          <w:tab w:val="num" w:pos="3600"/>
        </w:tabs>
        <w:ind w:left="3600" w:hanging="360"/>
      </w:pPr>
    </w:lvl>
    <w:lvl w:ilvl="5" w:tplc="57108FE6">
      <w:start w:val="1"/>
      <w:numFmt w:val="decimal"/>
      <w:lvlText w:val="%6."/>
      <w:lvlJc w:val="left"/>
      <w:pPr>
        <w:tabs>
          <w:tab w:val="num" w:pos="4320"/>
        </w:tabs>
        <w:ind w:left="4320" w:hanging="360"/>
      </w:pPr>
    </w:lvl>
    <w:lvl w:ilvl="6" w:tplc="0204D346">
      <w:start w:val="1"/>
      <w:numFmt w:val="decimal"/>
      <w:lvlText w:val="%7."/>
      <w:lvlJc w:val="left"/>
      <w:pPr>
        <w:tabs>
          <w:tab w:val="num" w:pos="5040"/>
        </w:tabs>
        <w:ind w:left="5040" w:hanging="360"/>
      </w:pPr>
    </w:lvl>
    <w:lvl w:ilvl="7" w:tplc="C2280800">
      <w:start w:val="1"/>
      <w:numFmt w:val="decimal"/>
      <w:lvlText w:val="%8."/>
      <w:lvlJc w:val="left"/>
      <w:pPr>
        <w:tabs>
          <w:tab w:val="num" w:pos="5760"/>
        </w:tabs>
        <w:ind w:left="5760" w:hanging="360"/>
      </w:pPr>
    </w:lvl>
    <w:lvl w:ilvl="8" w:tplc="47F045DE">
      <w:start w:val="1"/>
      <w:numFmt w:val="decimal"/>
      <w:lvlText w:val="%9."/>
      <w:lvlJc w:val="left"/>
      <w:pPr>
        <w:tabs>
          <w:tab w:val="num" w:pos="6480"/>
        </w:tabs>
        <w:ind w:left="6480" w:hanging="360"/>
      </w:pPr>
    </w:lvl>
  </w:abstractNum>
  <w:abstractNum w:abstractNumId="13" w15:restartNumberingAfterBreak="0">
    <w:nsid w:val="4E8511BF"/>
    <w:multiLevelType w:val="hybridMultilevel"/>
    <w:tmpl w:val="21A62D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AFE7D61"/>
    <w:multiLevelType w:val="hybridMultilevel"/>
    <w:tmpl w:val="CBAACBFA"/>
    <w:lvl w:ilvl="0" w:tplc="AE64BDDE">
      <w:start w:val="1"/>
      <w:numFmt w:val="decimal"/>
      <w:lvlText w:val="%1."/>
      <w:lvlJc w:val="left"/>
      <w:pPr>
        <w:ind w:left="720" w:hanging="360"/>
      </w:pPr>
    </w:lvl>
    <w:lvl w:ilvl="1" w:tplc="8E20F678">
      <w:start w:val="1"/>
      <w:numFmt w:val="decimal"/>
      <w:lvlText w:val="%2."/>
      <w:lvlJc w:val="left"/>
      <w:pPr>
        <w:tabs>
          <w:tab w:val="num" w:pos="1440"/>
        </w:tabs>
        <w:ind w:left="1440" w:hanging="360"/>
      </w:pPr>
    </w:lvl>
    <w:lvl w:ilvl="2" w:tplc="FF4219C0">
      <w:start w:val="1"/>
      <w:numFmt w:val="decimal"/>
      <w:lvlText w:val="%3."/>
      <w:lvlJc w:val="left"/>
      <w:pPr>
        <w:tabs>
          <w:tab w:val="num" w:pos="2160"/>
        </w:tabs>
        <w:ind w:left="2160" w:hanging="360"/>
      </w:pPr>
    </w:lvl>
    <w:lvl w:ilvl="3" w:tplc="1F6E1DA0">
      <w:start w:val="1"/>
      <w:numFmt w:val="decimal"/>
      <w:lvlText w:val="%4."/>
      <w:lvlJc w:val="left"/>
      <w:pPr>
        <w:tabs>
          <w:tab w:val="num" w:pos="2880"/>
        </w:tabs>
        <w:ind w:left="2880" w:hanging="360"/>
      </w:pPr>
    </w:lvl>
    <w:lvl w:ilvl="4" w:tplc="DF0C7A04">
      <w:start w:val="1"/>
      <w:numFmt w:val="decimal"/>
      <w:lvlText w:val="%5."/>
      <w:lvlJc w:val="left"/>
      <w:pPr>
        <w:tabs>
          <w:tab w:val="num" w:pos="3600"/>
        </w:tabs>
        <w:ind w:left="3600" w:hanging="360"/>
      </w:pPr>
    </w:lvl>
    <w:lvl w:ilvl="5" w:tplc="57108FE6">
      <w:start w:val="1"/>
      <w:numFmt w:val="decimal"/>
      <w:lvlText w:val="%6."/>
      <w:lvlJc w:val="left"/>
      <w:pPr>
        <w:tabs>
          <w:tab w:val="num" w:pos="4320"/>
        </w:tabs>
        <w:ind w:left="4320" w:hanging="360"/>
      </w:pPr>
    </w:lvl>
    <w:lvl w:ilvl="6" w:tplc="0204D346">
      <w:start w:val="1"/>
      <w:numFmt w:val="decimal"/>
      <w:lvlText w:val="%7."/>
      <w:lvlJc w:val="left"/>
      <w:pPr>
        <w:tabs>
          <w:tab w:val="num" w:pos="5040"/>
        </w:tabs>
        <w:ind w:left="5040" w:hanging="360"/>
      </w:pPr>
    </w:lvl>
    <w:lvl w:ilvl="7" w:tplc="C2280800">
      <w:start w:val="1"/>
      <w:numFmt w:val="decimal"/>
      <w:lvlText w:val="%8."/>
      <w:lvlJc w:val="left"/>
      <w:pPr>
        <w:tabs>
          <w:tab w:val="num" w:pos="5760"/>
        </w:tabs>
        <w:ind w:left="5760" w:hanging="360"/>
      </w:pPr>
    </w:lvl>
    <w:lvl w:ilvl="8" w:tplc="47F045DE">
      <w:start w:val="1"/>
      <w:numFmt w:val="decimal"/>
      <w:lvlText w:val="%9."/>
      <w:lvlJc w:val="left"/>
      <w:pPr>
        <w:tabs>
          <w:tab w:val="num" w:pos="6480"/>
        </w:tabs>
        <w:ind w:left="6480" w:hanging="360"/>
      </w:pPr>
    </w:lvl>
  </w:abstractNum>
  <w:abstractNum w:abstractNumId="15" w15:restartNumberingAfterBreak="0">
    <w:nsid w:val="5BCA1BA9"/>
    <w:multiLevelType w:val="hybridMultilevel"/>
    <w:tmpl w:val="D7B0F87A"/>
    <w:lvl w:ilvl="0" w:tplc="26005410">
      <w:start w:val="1"/>
      <w:numFmt w:val="decimal"/>
      <w:lvlText w:val="%1)"/>
      <w:lvlJc w:val="left"/>
      <w:pPr>
        <w:ind w:left="990" w:hanging="360"/>
      </w:pPr>
      <w:rPr>
        <w:rFonts w:hint="default"/>
      </w:rPr>
    </w:lvl>
    <w:lvl w:ilvl="1" w:tplc="5D3896F8" w:tentative="1">
      <w:start w:val="1"/>
      <w:numFmt w:val="bullet"/>
      <w:lvlText w:val="o"/>
      <w:lvlJc w:val="left"/>
      <w:pPr>
        <w:ind w:left="1710" w:hanging="360"/>
      </w:pPr>
      <w:rPr>
        <w:rFonts w:ascii="Courier New" w:hAnsi="Courier New" w:cs="Courier New" w:hint="default"/>
      </w:rPr>
    </w:lvl>
    <w:lvl w:ilvl="2" w:tplc="39C21980" w:tentative="1">
      <w:start w:val="1"/>
      <w:numFmt w:val="bullet"/>
      <w:lvlText w:val=""/>
      <w:lvlJc w:val="left"/>
      <w:pPr>
        <w:ind w:left="2430" w:hanging="360"/>
      </w:pPr>
      <w:rPr>
        <w:rFonts w:ascii="Wingdings" w:hAnsi="Wingdings" w:hint="default"/>
      </w:rPr>
    </w:lvl>
    <w:lvl w:ilvl="3" w:tplc="AEE2A6CA" w:tentative="1">
      <w:start w:val="1"/>
      <w:numFmt w:val="bullet"/>
      <w:lvlText w:val=""/>
      <w:lvlJc w:val="left"/>
      <w:pPr>
        <w:ind w:left="3150" w:hanging="360"/>
      </w:pPr>
      <w:rPr>
        <w:rFonts w:ascii="Symbol" w:hAnsi="Symbol" w:hint="default"/>
      </w:rPr>
    </w:lvl>
    <w:lvl w:ilvl="4" w:tplc="325A150E" w:tentative="1">
      <w:start w:val="1"/>
      <w:numFmt w:val="bullet"/>
      <w:lvlText w:val="o"/>
      <w:lvlJc w:val="left"/>
      <w:pPr>
        <w:ind w:left="3870" w:hanging="360"/>
      </w:pPr>
      <w:rPr>
        <w:rFonts w:ascii="Courier New" w:hAnsi="Courier New" w:cs="Courier New" w:hint="default"/>
      </w:rPr>
    </w:lvl>
    <w:lvl w:ilvl="5" w:tplc="FE8A9574" w:tentative="1">
      <w:start w:val="1"/>
      <w:numFmt w:val="bullet"/>
      <w:lvlText w:val=""/>
      <w:lvlJc w:val="left"/>
      <w:pPr>
        <w:ind w:left="4590" w:hanging="360"/>
      </w:pPr>
      <w:rPr>
        <w:rFonts w:ascii="Wingdings" w:hAnsi="Wingdings" w:hint="default"/>
      </w:rPr>
    </w:lvl>
    <w:lvl w:ilvl="6" w:tplc="13308A60" w:tentative="1">
      <w:start w:val="1"/>
      <w:numFmt w:val="bullet"/>
      <w:lvlText w:val=""/>
      <w:lvlJc w:val="left"/>
      <w:pPr>
        <w:ind w:left="5310" w:hanging="360"/>
      </w:pPr>
      <w:rPr>
        <w:rFonts w:ascii="Symbol" w:hAnsi="Symbol" w:hint="default"/>
      </w:rPr>
    </w:lvl>
    <w:lvl w:ilvl="7" w:tplc="11E0FED2" w:tentative="1">
      <w:start w:val="1"/>
      <w:numFmt w:val="bullet"/>
      <w:lvlText w:val="o"/>
      <w:lvlJc w:val="left"/>
      <w:pPr>
        <w:ind w:left="6030" w:hanging="360"/>
      </w:pPr>
      <w:rPr>
        <w:rFonts w:ascii="Courier New" w:hAnsi="Courier New" w:cs="Courier New" w:hint="default"/>
      </w:rPr>
    </w:lvl>
    <w:lvl w:ilvl="8" w:tplc="4B660FB0" w:tentative="1">
      <w:start w:val="1"/>
      <w:numFmt w:val="bullet"/>
      <w:lvlText w:val=""/>
      <w:lvlJc w:val="left"/>
      <w:pPr>
        <w:ind w:left="6750" w:hanging="360"/>
      </w:pPr>
      <w:rPr>
        <w:rFonts w:ascii="Wingdings" w:hAnsi="Wingdings" w:hint="default"/>
      </w:rPr>
    </w:lvl>
  </w:abstractNum>
  <w:abstractNum w:abstractNumId="16" w15:restartNumberingAfterBreak="0">
    <w:nsid w:val="5C491818"/>
    <w:multiLevelType w:val="hybridMultilevel"/>
    <w:tmpl w:val="1B40E4D0"/>
    <w:lvl w:ilvl="0" w:tplc="9C281D3E">
      <w:start w:val="1"/>
      <w:numFmt w:val="lowerRoman"/>
      <w:pStyle w:val="1-Bulletsmallletters"/>
      <w:lvlText w:val="%1."/>
      <w:lvlJc w:val="right"/>
      <w:pPr>
        <w:ind w:left="720" w:hanging="360"/>
      </w:pPr>
      <w:rPr>
        <w:rFonts w:ascii="Gill Sans" w:hAnsi="Gill Sans" w:hint="default"/>
        <w:b w:val="0"/>
        <w:i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F12CC9"/>
    <w:multiLevelType w:val="hybridMultilevel"/>
    <w:tmpl w:val="0D0005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5"/>
  </w:num>
  <w:num w:numId="5">
    <w:abstractNumId w:val="5"/>
  </w:num>
  <w:num w:numId="6">
    <w:abstractNumId w:val="5"/>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5"/>
  </w:num>
  <w:num w:numId="9">
    <w:abstractNumId w:val="4"/>
  </w:num>
  <w:num w:numId="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1"/>
  </w:num>
  <w:num w:numId="1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0"/>
  </w:num>
  <w:num w:numId="21">
    <w:abstractNumId w:val="1"/>
  </w:num>
  <w:num w:numId="22">
    <w:abstractNumId w:val="16"/>
  </w:num>
  <w:num w:numId="23">
    <w:abstractNumId w:val="16"/>
    <w:lvlOverride w:ilvl="0">
      <w:startOverride w:val="1"/>
    </w:lvlOverride>
  </w:num>
  <w:num w:numId="24">
    <w:abstractNumId w:val="7"/>
  </w:num>
  <w:num w:numId="25">
    <w:abstractNumId w:val="17"/>
  </w:num>
  <w:num w:numId="26">
    <w:abstractNumId w:val="8"/>
  </w:num>
  <w:num w:numId="27">
    <w:abstractNumId w:val="12"/>
  </w:num>
  <w:num w:numId="28">
    <w:abstractNumId w:val="14"/>
  </w:num>
  <w:num w:numId="29">
    <w:abstractNumId w:val="3"/>
  </w:num>
  <w:num w:numId="30">
    <w:abstractNumId w:val="0"/>
  </w:num>
  <w:num w:numId="31">
    <w:abstractNumId w:val="6"/>
  </w:num>
  <w:num w:numId="32">
    <w:abstractNumId w:val="13"/>
  </w:num>
  <w:num w:numId="3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0B71"/>
    <w:rsid w:val="0000251A"/>
    <w:rsid w:val="00003694"/>
    <w:rsid w:val="00004791"/>
    <w:rsid w:val="00006303"/>
    <w:rsid w:val="00010362"/>
    <w:rsid w:val="00012A19"/>
    <w:rsid w:val="000175EB"/>
    <w:rsid w:val="00020A8E"/>
    <w:rsid w:val="00032E38"/>
    <w:rsid w:val="0003351F"/>
    <w:rsid w:val="00033D90"/>
    <w:rsid w:val="00040051"/>
    <w:rsid w:val="00042540"/>
    <w:rsid w:val="00043BDB"/>
    <w:rsid w:val="00043CB0"/>
    <w:rsid w:val="00044B23"/>
    <w:rsid w:val="000468C9"/>
    <w:rsid w:val="00047DCE"/>
    <w:rsid w:val="00050C55"/>
    <w:rsid w:val="0005410A"/>
    <w:rsid w:val="0005483B"/>
    <w:rsid w:val="00060FC7"/>
    <w:rsid w:val="00066513"/>
    <w:rsid w:val="00071F4B"/>
    <w:rsid w:val="00072AB0"/>
    <w:rsid w:val="00073975"/>
    <w:rsid w:val="00076836"/>
    <w:rsid w:val="00077F7E"/>
    <w:rsid w:val="0008473B"/>
    <w:rsid w:val="00087CF3"/>
    <w:rsid w:val="000921EF"/>
    <w:rsid w:val="000A3A86"/>
    <w:rsid w:val="000A52E9"/>
    <w:rsid w:val="000A6BD1"/>
    <w:rsid w:val="000B065A"/>
    <w:rsid w:val="000B176A"/>
    <w:rsid w:val="000B1E3C"/>
    <w:rsid w:val="000B232C"/>
    <w:rsid w:val="000B4CD0"/>
    <w:rsid w:val="000B5CD6"/>
    <w:rsid w:val="000B5E1A"/>
    <w:rsid w:val="000B700C"/>
    <w:rsid w:val="000C5EE0"/>
    <w:rsid w:val="000D0E02"/>
    <w:rsid w:val="000D3DEC"/>
    <w:rsid w:val="000D3E5C"/>
    <w:rsid w:val="000D55DC"/>
    <w:rsid w:val="000E0B71"/>
    <w:rsid w:val="000E154F"/>
    <w:rsid w:val="000E66FA"/>
    <w:rsid w:val="000E7AB3"/>
    <w:rsid w:val="000F1E8F"/>
    <w:rsid w:val="000F522F"/>
    <w:rsid w:val="00100466"/>
    <w:rsid w:val="00100C1D"/>
    <w:rsid w:val="00113DBA"/>
    <w:rsid w:val="001170AC"/>
    <w:rsid w:val="001230A7"/>
    <w:rsid w:val="00130F41"/>
    <w:rsid w:val="00134B7C"/>
    <w:rsid w:val="001365B4"/>
    <w:rsid w:val="00136992"/>
    <w:rsid w:val="001430F2"/>
    <w:rsid w:val="00144202"/>
    <w:rsid w:val="00147CA0"/>
    <w:rsid w:val="001536BB"/>
    <w:rsid w:val="00154203"/>
    <w:rsid w:val="001603F3"/>
    <w:rsid w:val="00162BA9"/>
    <w:rsid w:val="00170FE6"/>
    <w:rsid w:val="001734C4"/>
    <w:rsid w:val="00176017"/>
    <w:rsid w:val="00176A27"/>
    <w:rsid w:val="00177EE2"/>
    <w:rsid w:val="001809AC"/>
    <w:rsid w:val="00181FC6"/>
    <w:rsid w:val="00184272"/>
    <w:rsid w:val="0019157C"/>
    <w:rsid w:val="00197026"/>
    <w:rsid w:val="001A16D1"/>
    <w:rsid w:val="001A5884"/>
    <w:rsid w:val="001A70B5"/>
    <w:rsid w:val="001A7DFD"/>
    <w:rsid w:val="001B0571"/>
    <w:rsid w:val="001B16AD"/>
    <w:rsid w:val="001B367C"/>
    <w:rsid w:val="001B4369"/>
    <w:rsid w:val="001B4A47"/>
    <w:rsid w:val="001B6FCC"/>
    <w:rsid w:val="001C24FB"/>
    <w:rsid w:val="001C48D1"/>
    <w:rsid w:val="001C5949"/>
    <w:rsid w:val="001C5E95"/>
    <w:rsid w:val="001D1F45"/>
    <w:rsid w:val="001D457C"/>
    <w:rsid w:val="001D57D9"/>
    <w:rsid w:val="001D71DA"/>
    <w:rsid w:val="001E30F8"/>
    <w:rsid w:val="001E5182"/>
    <w:rsid w:val="001E6218"/>
    <w:rsid w:val="001E761C"/>
    <w:rsid w:val="001F2028"/>
    <w:rsid w:val="001F6983"/>
    <w:rsid w:val="00204B52"/>
    <w:rsid w:val="00204E75"/>
    <w:rsid w:val="00210A96"/>
    <w:rsid w:val="00215907"/>
    <w:rsid w:val="002201F7"/>
    <w:rsid w:val="00225543"/>
    <w:rsid w:val="002313C3"/>
    <w:rsid w:val="00232C35"/>
    <w:rsid w:val="00233057"/>
    <w:rsid w:val="00240CED"/>
    <w:rsid w:val="00242320"/>
    <w:rsid w:val="002427CF"/>
    <w:rsid w:val="00243367"/>
    <w:rsid w:val="00244B4C"/>
    <w:rsid w:val="00246358"/>
    <w:rsid w:val="0024740D"/>
    <w:rsid w:val="00250A43"/>
    <w:rsid w:val="00251288"/>
    <w:rsid w:val="00252011"/>
    <w:rsid w:val="00254F96"/>
    <w:rsid w:val="00260F4A"/>
    <w:rsid w:val="00263962"/>
    <w:rsid w:val="00264974"/>
    <w:rsid w:val="00264EED"/>
    <w:rsid w:val="00266A58"/>
    <w:rsid w:val="00272B0D"/>
    <w:rsid w:val="00273074"/>
    <w:rsid w:val="00275811"/>
    <w:rsid w:val="002772BF"/>
    <w:rsid w:val="002810BE"/>
    <w:rsid w:val="002914C2"/>
    <w:rsid w:val="0029341B"/>
    <w:rsid w:val="00295916"/>
    <w:rsid w:val="002A060A"/>
    <w:rsid w:val="002A393B"/>
    <w:rsid w:val="002A726F"/>
    <w:rsid w:val="002B3DEC"/>
    <w:rsid w:val="002C0210"/>
    <w:rsid w:val="002C1072"/>
    <w:rsid w:val="002C4148"/>
    <w:rsid w:val="002D296E"/>
    <w:rsid w:val="002D3961"/>
    <w:rsid w:val="002D4437"/>
    <w:rsid w:val="002E030E"/>
    <w:rsid w:val="002E066E"/>
    <w:rsid w:val="002E1048"/>
    <w:rsid w:val="002E7DC8"/>
    <w:rsid w:val="002F299B"/>
    <w:rsid w:val="002F4630"/>
    <w:rsid w:val="002F5699"/>
    <w:rsid w:val="002F5CA3"/>
    <w:rsid w:val="0030132C"/>
    <w:rsid w:val="0030737D"/>
    <w:rsid w:val="00311A91"/>
    <w:rsid w:val="003222CA"/>
    <w:rsid w:val="00326991"/>
    <w:rsid w:val="0033403B"/>
    <w:rsid w:val="00337013"/>
    <w:rsid w:val="003371C5"/>
    <w:rsid w:val="003443C5"/>
    <w:rsid w:val="003445D6"/>
    <w:rsid w:val="003458C1"/>
    <w:rsid w:val="00353140"/>
    <w:rsid w:val="00355B82"/>
    <w:rsid w:val="003570D9"/>
    <w:rsid w:val="00361582"/>
    <w:rsid w:val="003737A9"/>
    <w:rsid w:val="00375447"/>
    <w:rsid w:val="0037563C"/>
    <w:rsid w:val="00386CEF"/>
    <w:rsid w:val="0038706D"/>
    <w:rsid w:val="00387AC0"/>
    <w:rsid w:val="0039165C"/>
    <w:rsid w:val="003A285B"/>
    <w:rsid w:val="003A357D"/>
    <w:rsid w:val="003A3FAE"/>
    <w:rsid w:val="003B3A72"/>
    <w:rsid w:val="003B3E7C"/>
    <w:rsid w:val="003B7C2B"/>
    <w:rsid w:val="003B7E29"/>
    <w:rsid w:val="003C0AC7"/>
    <w:rsid w:val="003C3DA4"/>
    <w:rsid w:val="003C42C1"/>
    <w:rsid w:val="003C559B"/>
    <w:rsid w:val="003C6EC4"/>
    <w:rsid w:val="003E4F5E"/>
    <w:rsid w:val="003E613D"/>
    <w:rsid w:val="003F2EB6"/>
    <w:rsid w:val="003F728F"/>
    <w:rsid w:val="00403B55"/>
    <w:rsid w:val="0040498E"/>
    <w:rsid w:val="00405008"/>
    <w:rsid w:val="00411D97"/>
    <w:rsid w:val="00413C67"/>
    <w:rsid w:val="00414E21"/>
    <w:rsid w:val="00416EB2"/>
    <w:rsid w:val="00416EE7"/>
    <w:rsid w:val="004233F0"/>
    <w:rsid w:val="00423676"/>
    <w:rsid w:val="00423FA0"/>
    <w:rsid w:val="00426623"/>
    <w:rsid w:val="00426D19"/>
    <w:rsid w:val="00427C1F"/>
    <w:rsid w:val="00433749"/>
    <w:rsid w:val="004340EC"/>
    <w:rsid w:val="004434E6"/>
    <w:rsid w:val="004445D6"/>
    <w:rsid w:val="00451CF7"/>
    <w:rsid w:val="00453584"/>
    <w:rsid w:val="004535AA"/>
    <w:rsid w:val="0045433B"/>
    <w:rsid w:val="00454D64"/>
    <w:rsid w:val="00456ED5"/>
    <w:rsid w:val="0046196E"/>
    <w:rsid w:val="00461EFD"/>
    <w:rsid w:val="00462BDF"/>
    <w:rsid w:val="00462CBE"/>
    <w:rsid w:val="00462F3A"/>
    <w:rsid w:val="0047218F"/>
    <w:rsid w:val="004741F2"/>
    <w:rsid w:val="00475B3B"/>
    <w:rsid w:val="004767D5"/>
    <w:rsid w:val="00476B83"/>
    <w:rsid w:val="00491628"/>
    <w:rsid w:val="00497AB0"/>
    <w:rsid w:val="004A008E"/>
    <w:rsid w:val="004A0741"/>
    <w:rsid w:val="004A2807"/>
    <w:rsid w:val="004A4F36"/>
    <w:rsid w:val="004A58B1"/>
    <w:rsid w:val="004A7A80"/>
    <w:rsid w:val="004B0D09"/>
    <w:rsid w:val="004B21E7"/>
    <w:rsid w:val="004B6AF5"/>
    <w:rsid w:val="004C6ED8"/>
    <w:rsid w:val="004C6EFE"/>
    <w:rsid w:val="004D0584"/>
    <w:rsid w:val="004D090A"/>
    <w:rsid w:val="004E0875"/>
    <w:rsid w:val="004E3A1A"/>
    <w:rsid w:val="004E579B"/>
    <w:rsid w:val="004E68FF"/>
    <w:rsid w:val="00502CE8"/>
    <w:rsid w:val="00506CF2"/>
    <w:rsid w:val="00507C7C"/>
    <w:rsid w:val="005117D9"/>
    <w:rsid w:val="0051729C"/>
    <w:rsid w:val="00517472"/>
    <w:rsid w:val="0053107D"/>
    <w:rsid w:val="00532178"/>
    <w:rsid w:val="00533EAF"/>
    <w:rsid w:val="005347CB"/>
    <w:rsid w:val="00535160"/>
    <w:rsid w:val="00540846"/>
    <w:rsid w:val="005409B2"/>
    <w:rsid w:val="00540D42"/>
    <w:rsid w:val="00546330"/>
    <w:rsid w:val="005473A0"/>
    <w:rsid w:val="00547A95"/>
    <w:rsid w:val="00566F9E"/>
    <w:rsid w:val="00567264"/>
    <w:rsid w:val="00567AB0"/>
    <w:rsid w:val="005734DC"/>
    <w:rsid w:val="00581563"/>
    <w:rsid w:val="0058386A"/>
    <w:rsid w:val="005843C2"/>
    <w:rsid w:val="00587326"/>
    <w:rsid w:val="00593C49"/>
    <w:rsid w:val="005A0AD8"/>
    <w:rsid w:val="005A6565"/>
    <w:rsid w:val="005B28C2"/>
    <w:rsid w:val="005B4686"/>
    <w:rsid w:val="005C31C5"/>
    <w:rsid w:val="005C697F"/>
    <w:rsid w:val="005D13C2"/>
    <w:rsid w:val="005D7904"/>
    <w:rsid w:val="005E00E5"/>
    <w:rsid w:val="005E29CD"/>
    <w:rsid w:val="005E4160"/>
    <w:rsid w:val="005F0270"/>
    <w:rsid w:val="005F296B"/>
    <w:rsid w:val="00603960"/>
    <w:rsid w:val="00604A4A"/>
    <w:rsid w:val="00606801"/>
    <w:rsid w:val="006078AD"/>
    <w:rsid w:val="00610B83"/>
    <w:rsid w:val="00610EFF"/>
    <w:rsid w:val="006144B2"/>
    <w:rsid w:val="00614815"/>
    <w:rsid w:val="006151CB"/>
    <w:rsid w:val="00615E16"/>
    <w:rsid w:val="006175E5"/>
    <w:rsid w:val="006176EC"/>
    <w:rsid w:val="006200B8"/>
    <w:rsid w:val="006215A3"/>
    <w:rsid w:val="006246DC"/>
    <w:rsid w:val="00627A65"/>
    <w:rsid w:val="00633D10"/>
    <w:rsid w:val="006401DD"/>
    <w:rsid w:val="00641878"/>
    <w:rsid w:val="006422B9"/>
    <w:rsid w:val="0064377D"/>
    <w:rsid w:val="00645451"/>
    <w:rsid w:val="00645DAC"/>
    <w:rsid w:val="006470CE"/>
    <w:rsid w:val="00657206"/>
    <w:rsid w:val="00662191"/>
    <w:rsid w:val="00667BFA"/>
    <w:rsid w:val="00670B35"/>
    <w:rsid w:val="006738E5"/>
    <w:rsid w:val="006759DB"/>
    <w:rsid w:val="0068000C"/>
    <w:rsid w:val="0068258C"/>
    <w:rsid w:val="00683619"/>
    <w:rsid w:val="006836AF"/>
    <w:rsid w:val="006836B9"/>
    <w:rsid w:val="00694178"/>
    <w:rsid w:val="0069461B"/>
    <w:rsid w:val="00696EF9"/>
    <w:rsid w:val="00696F1E"/>
    <w:rsid w:val="006A54B5"/>
    <w:rsid w:val="006A6ACF"/>
    <w:rsid w:val="006B0FF2"/>
    <w:rsid w:val="006B2B01"/>
    <w:rsid w:val="006B57E5"/>
    <w:rsid w:val="006B6F2C"/>
    <w:rsid w:val="006B74B3"/>
    <w:rsid w:val="006B7A10"/>
    <w:rsid w:val="006C12E9"/>
    <w:rsid w:val="006C1438"/>
    <w:rsid w:val="006C238F"/>
    <w:rsid w:val="006C2CB6"/>
    <w:rsid w:val="006C2D99"/>
    <w:rsid w:val="006C3DF6"/>
    <w:rsid w:val="006C68C8"/>
    <w:rsid w:val="006C79E9"/>
    <w:rsid w:val="006D0993"/>
    <w:rsid w:val="006D3512"/>
    <w:rsid w:val="006D4522"/>
    <w:rsid w:val="006D74F3"/>
    <w:rsid w:val="006E4EC3"/>
    <w:rsid w:val="006F2F57"/>
    <w:rsid w:val="006F5C42"/>
    <w:rsid w:val="006F7EFD"/>
    <w:rsid w:val="00703958"/>
    <w:rsid w:val="00705C85"/>
    <w:rsid w:val="00712310"/>
    <w:rsid w:val="007132FD"/>
    <w:rsid w:val="00713B7C"/>
    <w:rsid w:val="0071438E"/>
    <w:rsid w:val="00724513"/>
    <w:rsid w:val="0072490C"/>
    <w:rsid w:val="00725410"/>
    <w:rsid w:val="00730213"/>
    <w:rsid w:val="0073078C"/>
    <w:rsid w:val="00732218"/>
    <w:rsid w:val="007325E1"/>
    <w:rsid w:val="00732771"/>
    <w:rsid w:val="00733EB0"/>
    <w:rsid w:val="007344EF"/>
    <w:rsid w:val="00736DA6"/>
    <w:rsid w:val="0074771D"/>
    <w:rsid w:val="00751A0F"/>
    <w:rsid w:val="00755963"/>
    <w:rsid w:val="00755FDB"/>
    <w:rsid w:val="007562A9"/>
    <w:rsid w:val="00757A15"/>
    <w:rsid w:val="007602C8"/>
    <w:rsid w:val="00761819"/>
    <w:rsid w:val="00766DB2"/>
    <w:rsid w:val="00770E0F"/>
    <w:rsid w:val="00771098"/>
    <w:rsid w:val="00780641"/>
    <w:rsid w:val="00781036"/>
    <w:rsid w:val="007865E1"/>
    <w:rsid w:val="00791334"/>
    <w:rsid w:val="007938C6"/>
    <w:rsid w:val="00793A5B"/>
    <w:rsid w:val="007947E4"/>
    <w:rsid w:val="007A61A0"/>
    <w:rsid w:val="007A6D1C"/>
    <w:rsid w:val="007A6F34"/>
    <w:rsid w:val="007A7EBF"/>
    <w:rsid w:val="007B3EAD"/>
    <w:rsid w:val="007B635B"/>
    <w:rsid w:val="007C16D0"/>
    <w:rsid w:val="007C49BF"/>
    <w:rsid w:val="007C6D1B"/>
    <w:rsid w:val="007C7FB5"/>
    <w:rsid w:val="007D2369"/>
    <w:rsid w:val="007D7571"/>
    <w:rsid w:val="007D7787"/>
    <w:rsid w:val="00803ED8"/>
    <w:rsid w:val="00811901"/>
    <w:rsid w:val="00811B3C"/>
    <w:rsid w:val="00813F96"/>
    <w:rsid w:val="00820BC7"/>
    <w:rsid w:val="008217CF"/>
    <w:rsid w:val="00822FCC"/>
    <w:rsid w:val="00831EA6"/>
    <w:rsid w:val="00837793"/>
    <w:rsid w:val="00840A70"/>
    <w:rsid w:val="0084177F"/>
    <w:rsid w:val="008417F1"/>
    <w:rsid w:val="00850F10"/>
    <w:rsid w:val="008556E3"/>
    <w:rsid w:val="00855767"/>
    <w:rsid w:val="0086018B"/>
    <w:rsid w:val="00860239"/>
    <w:rsid w:val="00861DE6"/>
    <w:rsid w:val="00866759"/>
    <w:rsid w:val="008669DB"/>
    <w:rsid w:val="008677DC"/>
    <w:rsid w:val="00867954"/>
    <w:rsid w:val="0087407C"/>
    <w:rsid w:val="008746D9"/>
    <w:rsid w:val="00876EF5"/>
    <w:rsid w:val="00880C84"/>
    <w:rsid w:val="00887BFC"/>
    <w:rsid w:val="00887C93"/>
    <w:rsid w:val="00887D04"/>
    <w:rsid w:val="0089298A"/>
    <w:rsid w:val="00892D7A"/>
    <w:rsid w:val="00893242"/>
    <w:rsid w:val="008A16B7"/>
    <w:rsid w:val="008A3C04"/>
    <w:rsid w:val="008B467D"/>
    <w:rsid w:val="008B7135"/>
    <w:rsid w:val="008C5513"/>
    <w:rsid w:val="008D004F"/>
    <w:rsid w:val="008D50A6"/>
    <w:rsid w:val="008D5315"/>
    <w:rsid w:val="008D588B"/>
    <w:rsid w:val="008D70A1"/>
    <w:rsid w:val="008E3817"/>
    <w:rsid w:val="008E4BF6"/>
    <w:rsid w:val="008E57CB"/>
    <w:rsid w:val="008F11E3"/>
    <w:rsid w:val="008F31FC"/>
    <w:rsid w:val="008F6D90"/>
    <w:rsid w:val="00910F06"/>
    <w:rsid w:val="009125D0"/>
    <w:rsid w:val="00915658"/>
    <w:rsid w:val="00931B22"/>
    <w:rsid w:val="00932593"/>
    <w:rsid w:val="009331B0"/>
    <w:rsid w:val="00934881"/>
    <w:rsid w:val="00935199"/>
    <w:rsid w:val="00940735"/>
    <w:rsid w:val="009461DA"/>
    <w:rsid w:val="00946669"/>
    <w:rsid w:val="0095019F"/>
    <w:rsid w:val="009525A0"/>
    <w:rsid w:val="00961AB1"/>
    <w:rsid w:val="00963D8C"/>
    <w:rsid w:val="00967A0E"/>
    <w:rsid w:val="00972366"/>
    <w:rsid w:val="00976200"/>
    <w:rsid w:val="00984183"/>
    <w:rsid w:val="00984424"/>
    <w:rsid w:val="00984FA0"/>
    <w:rsid w:val="00987275"/>
    <w:rsid w:val="00990A50"/>
    <w:rsid w:val="00992A54"/>
    <w:rsid w:val="00997B37"/>
    <w:rsid w:val="009A1795"/>
    <w:rsid w:val="009A1B11"/>
    <w:rsid w:val="009A2674"/>
    <w:rsid w:val="009A4269"/>
    <w:rsid w:val="009A586F"/>
    <w:rsid w:val="009B110A"/>
    <w:rsid w:val="009B4EDF"/>
    <w:rsid w:val="009B604D"/>
    <w:rsid w:val="009B6714"/>
    <w:rsid w:val="009B6799"/>
    <w:rsid w:val="009C44EC"/>
    <w:rsid w:val="009D6776"/>
    <w:rsid w:val="009D6FF5"/>
    <w:rsid w:val="009E2F6B"/>
    <w:rsid w:val="009E4F8E"/>
    <w:rsid w:val="009E5545"/>
    <w:rsid w:val="009F0EB5"/>
    <w:rsid w:val="009F3FAE"/>
    <w:rsid w:val="00A03265"/>
    <w:rsid w:val="00A106BB"/>
    <w:rsid w:val="00A11052"/>
    <w:rsid w:val="00A13E84"/>
    <w:rsid w:val="00A236DA"/>
    <w:rsid w:val="00A339D0"/>
    <w:rsid w:val="00A345A1"/>
    <w:rsid w:val="00A37AF9"/>
    <w:rsid w:val="00A41DC3"/>
    <w:rsid w:val="00A42744"/>
    <w:rsid w:val="00A4290D"/>
    <w:rsid w:val="00A50E1D"/>
    <w:rsid w:val="00A55E9C"/>
    <w:rsid w:val="00A57310"/>
    <w:rsid w:val="00A57A55"/>
    <w:rsid w:val="00A62453"/>
    <w:rsid w:val="00A65D47"/>
    <w:rsid w:val="00A70161"/>
    <w:rsid w:val="00A70B4D"/>
    <w:rsid w:val="00A72AC6"/>
    <w:rsid w:val="00A77BD7"/>
    <w:rsid w:val="00A81221"/>
    <w:rsid w:val="00A82F3E"/>
    <w:rsid w:val="00A84CC7"/>
    <w:rsid w:val="00A8686B"/>
    <w:rsid w:val="00A91643"/>
    <w:rsid w:val="00A9210B"/>
    <w:rsid w:val="00A93185"/>
    <w:rsid w:val="00A954AD"/>
    <w:rsid w:val="00AA1D36"/>
    <w:rsid w:val="00AA54AF"/>
    <w:rsid w:val="00AA610F"/>
    <w:rsid w:val="00AA737B"/>
    <w:rsid w:val="00AB6CA3"/>
    <w:rsid w:val="00AC0B4B"/>
    <w:rsid w:val="00AC2517"/>
    <w:rsid w:val="00AC3773"/>
    <w:rsid w:val="00AC460C"/>
    <w:rsid w:val="00AC4FAF"/>
    <w:rsid w:val="00AC4FE3"/>
    <w:rsid w:val="00AD15C5"/>
    <w:rsid w:val="00AD55EC"/>
    <w:rsid w:val="00AE15AC"/>
    <w:rsid w:val="00AE1AEF"/>
    <w:rsid w:val="00AE1AF2"/>
    <w:rsid w:val="00AF5303"/>
    <w:rsid w:val="00AF575D"/>
    <w:rsid w:val="00AF62F5"/>
    <w:rsid w:val="00B0048E"/>
    <w:rsid w:val="00B125FF"/>
    <w:rsid w:val="00B12D0E"/>
    <w:rsid w:val="00B13ADC"/>
    <w:rsid w:val="00B22506"/>
    <w:rsid w:val="00B233FE"/>
    <w:rsid w:val="00B24F27"/>
    <w:rsid w:val="00B26596"/>
    <w:rsid w:val="00B34421"/>
    <w:rsid w:val="00B34D3D"/>
    <w:rsid w:val="00B4017F"/>
    <w:rsid w:val="00B40284"/>
    <w:rsid w:val="00B43516"/>
    <w:rsid w:val="00B44723"/>
    <w:rsid w:val="00B47C26"/>
    <w:rsid w:val="00B518BC"/>
    <w:rsid w:val="00B5274B"/>
    <w:rsid w:val="00B60F7A"/>
    <w:rsid w:val="00B66772"/>
    <w:rsid w:val="00B66D48"/>
    <w:rsid w:val="00B77471"/>
    <w:rsid w:val="00B92232"/>
    <w:rsid w:val="00B95B55"/>
    <w:rsid w:val="00BA0576"/>
    <w:rsid w:val="00BB69FE"/>
    <w:rsid w:val="00BB7E3F"/>
    <w:rsid w:val="00BC2D19"/>
    <w:rsid w:val="00BC4AE2"/>
    <w:rsid w:val="00BD0DBC"/>
    <w:rsid w:val="00BD0EDC"/>
    <w:rsid w:val="00BD22E5"/>
    <w:rsid w:val="00BD52C9"/>
    <w:rsid w:val="00BE0035"/>
    <w:rsid w:val="00BE29B7"/>
    <w:rsid w:val="00BE3A2A"/>
    <w:rsid w:val="00BE7675"/>
    <w:rsid w:val="00BF2A41"/>
    <w:rsid w:val="00BF7970"/>
    <w:rsid w:val="00C069F8"/>
    <w:rsid w:val="00C07F0E"/>
    <w:rsid w:val="00C14E5D"/>
    <w:rsid w:val="00C16D6D"/>
    <w:rsid w:val="00C17D43"/>
    <w:rsid w:val="00C202A9"/>
    <w:rsid w:val="00C20A2F"/>
    <w:rsid w:val="00C30D70"/>
    <w:rsid w:val="00C36D4F"/>
    <w:rsid w:val="00C46EA8"/>
    <w:rsid w:val="00C47D4B"/>
    <w:rsid w:val="00C540EB"/>
    <w:rsid w:val="00C633A3"/>
    <w:rsid w:val="00C64B0E"/>
    <w:rsid w:val="00C64B99"/>
    <w:rsid w:val="00C71ACB"/>
    <w:rsid w:val="00C747DA"/>
    <w:rsid w:val="00C801C8"/>
    <w:rsid w:val="00C80E74"/>
    <w:rsid w:val="00C85938"/>
    <w:rsid w:val="00C86117"/>
    <w:rsid w:val="00C9069E"/>
    <w:rsid w:val="00C91FC5"/>
    <w:rsid w:val="00C93594"/>
    <w:rsid w:val="00CA0131"/>
    <w:rsid w:val="00CA0AE5"/>
    <w:rsid w:val="00CA1314"/>
    <w:rsid w:val="00CA52F5"/>
    <w:rsid w:val="00CA6944"/>
    <w:rsid w:val="00CA6EA5"/>
    <w:rsid w:val="00CB0287"/>
    <w:rsid w:val="00CB1CB1"/>
    <w:rsid w:val="00CB51FD"/>
    <w:rsid w:val="00CC2528"/>
    <w:rsid w:val="00CD55AC"/>
    <w:rsid w:val="00CE4EFC"/>
    <w:rsid w:val="00CE77F1"/>
    <w:rsid w:val="00CF3AC5"/>
    <w:rsid w:val="00CF5B9B"/>
    <w:rsid w:val="00CF6120"/>
    <w:rsid w:val="00D06C6C"/>
    <w:rsid w:val="00D12748"/>
    <w:rsid w:val="00D13F75"/>
    <w:rsid w:val="00D1561F"/>
    <w:rsid w:val="00D17E46"/>
    <w:rsid w:val="00D225AD"/>
    <w:rsid w:val="00D2274C"/>
    <w:rsid w:val="00D23ADB"/>
    <w:rsid w:val="00D24438"/>
    <w:rsid w:val="00D26F8A"/>
    <w:rsid w:val="00D323EA"/>
    <w:rsid w:val="00D332A5"/>
    <w:rsid w:val="00D33DB9"/>
    <w:rsid w:val="00D456C6"/>
    <w:rsid w:val="00D5373E"/>
    <w:rsid w:val="00D5489D"/>
    <w:rsid w:val="00D55E93"/>
    <w:rsid w:val="00D57BC2"/>
    <w:rsid w:val="00D6083E"/>
    <w:rsid w:val="00D638CC"/>
    <w:rsid w:val="00D65351"/>
    <w:rsid w:val="00D666D0"/>
    <w:rsid w:val="00D74BBE"/>
    <w:rsid w:val="00D82EB2"/>
    <w:rsid w:val="00D9069B"/>
    <w:rsid w:val="00D91864"/>
    <w:rsid w:val="00D928C5"/>
    <w:rsid w:val="00DA7177"/>
    <w:rsid w:val="00DB0EF4"/>
    <w:rsid w:val="00DB3FAE"/>
    <w:rsid w:val="00DC0733"/>
    <w:rsid w:val="00DC14FF"/>
    <w:rsid w:val="00DC45E6"/>
    <w:rsid w:val="00DD4C7B"/>
    <w:rsid w:val="00DD76E3"/>
    <w:rsid w:val="00DE0253"/>
    <w:rsid w:val="00DE0265"/>
    <w:rsid w:val="00DE20F1"/>
    <w:rsid w:val="00DE3F1C"/>
    <w:rsid w:val="00DE47EB"/>
    <w:rsid w:val="00DE726B"/>
    <w:rsid w:val="00DF0105"/>
    <w:rsid w:val="00DF1637"/>
    <w:rsid w:val="00DF4EDD"/>
    <w:rsid w:val="00E0218E"/>
    <w:rsid w:val="00E0268A"/>
    <w:rsid w:val="00E0275A"/>
    <w:rsid w:val="00E05427"/>
    <w:rsid w:val="00E06426"/>
    <w:rsid w:val="00E06A3C"/>
    <w:rsid w:val="00E102E3"/>
    <w:rsid w:val="00E147C4"/>
    <w:rsid w:val="00E14B91"/>
    <w:rsid w:val="00E1577C"/>
    <w:rsid w:val="00E17A85"/>
    <w:rsid w:val="00E17D86"/>
    <w:rsid w:val="00E240A3"/>
    <w:rsid w:val="00E303C2"/>
    <w:rsid w:val="00E32EFE"/>
    <w:rsid w:val="00E3426F"/>
    <w:rsid w:val="00E367BD"/>
    <w:rsid w:val="00E426D5"/>
    <w:rsid w:val="00E446AE"/>
    <w:rsid w:val="00E51517"/>
    <w:rsid w:val="00E51B15"/>
    <w:rsid w:val="00E5244D"/>
    <w:rsid w:val="00E52CD0"/>
    <w:rsid w:val="00E54DCA"/>
    <w:rsid w:val="00E54F9A"/>
    <w:rsid w:val="00E56537"/>
    <w:rsid w:val="00E56F57"/>
    <w:rsid w:val="00E573F2"/>
    <w:rsid w:val="00E577CB"/>
    <w:rsid w:val="00E63080"/>
    <w:rsid w:val="00E719A7"/>
    <w:rsid w:val="00E72A8A"/>
    <w:rsid w:val="00E73662"/>
    <w:rsid w:val="00E80275"/>
    <w:rsid w:val="00E8126E"/>
    <w:rsid w:val="00E814B6"/>
    <w:rsid w:val="00E82016"/>
    <w:rsid w:val="00E84C62"/>
    <w:rsid w:val="00E85361"/>
    <w:rsid w:val="00E861C8"/>
    <w:rsid w:val="00E86F5D"/>
    <w:rsid w:val="00E923D2"/>
    <w:rsid w:val="00E9667E"/>
    <w:rsid w:val="00EA7BDB"/>
    <w:rsid w:val="00EA7CB4"/>
    <w:rsid w:val="00EB4D48"/>
    <w:rsid w:val="00EB7AEC"/>
    <w:rsid w:val="00EC1D7F"/>
    <w:rsid w:val="00EC3140"/>
    <w:rsid w:val="00EC6670"/>
    <w:rsid w:val="00EC6A7F"/>
    <w:rsid w:val="00EC79C7"/>
    <w:rsid w:val="00ED0E7B"/>
    <w:rsid w:val="00ED328D"/>
    <w:rsid w:val="00ED78A9"/>
    <w:rsid w:val="00ED7A43"/>
    <w:rsid w:val="00EE1289"/>
    <w:rsid w:val="00EE3CF5"/>
    <w:rsid w:val="00EE66D3"/>
    <w:rsid w:val="00EE79F5"/>
    <w:rsid w:val="00EF091C"/>
    <w:rsid w:val="00EF0C3F"/>
    <w:rsid w:val="00EF3BA6"/>
    <w:rsid w:val="00EF6A43"/>
    <w:rsid w:val="00EF7759"/>
    <w:rsid w:val="00F032B6"/>
    <w:rsid w:val="00F07FB5"/>
    <w:rsid w:val="00F11798"/>
    <w:rsid w:val="00F13FB7"/>
    <w:rsid w:val="00F30100"/>
    <w:rsid w:val="00F30812"/>
    <w:rsid w:val="00F32BE5"/>
    <w:rsid w:val="00F3486D"/>
    <w:rsid w:val="00F3661B"/>
    <w:rsid w:val="00F371CB"/>
    <w:rsid w:val="00F43768"/>
    <w:rsid w:val="00F511C7"/>
    <w:rsid w:val="00F55083"/>
    <w:rsid w:val="00F61317"/>
    <w:rsid w:val="00F62316"/>
    <w:rsid w:val="00F641E0"/>
    <w:rsid w:val="00F67A8B"/>
    <w:rsid w:val="00F73266"/>
    <w:rsid w:val="00F74A0A"/>
    <w:rsid w:val="00F74BCF"/>
    <w:rsid w:val="00F74C21"/>
    <w:rsid w:val="00F8157E"/>
    <w:rsid w:val="00F830BF"/>
    <w:rsid w:val="00F8467A"/>
    <w:rsid w:val="00F84B5B"/>
    <w:rsid w:val="00F9334C"/>
    <w:rsid w:val="00F95B69"/>
    <w:rsid w:val="00F96C11"/>
    <w:rsid w:val="00F97CF8"/>
    <w:rsid w:val="00FA07CD"/>
    <w:rsid w:val="00FA0ABC"/>
    <w:rsid w:val="00FA3998"/>
    <w:rsid w:val="00FA596B"/>
    <w:rsid w:val="00FA7BE5"/>
    <w:rsid w:val="00FA7C30"/>
    <w:rsid w:val="00FB0639"/>
    <w:rsid w:val="00FB4BC7"/>
    <w:rsid w:val="00FB549E"/>
    <w:rsid w:val="00FC03A9"/>
    <w:rsid w:val="00FC3253"/>
    <w:rsid w:val="00FE01CF"/>
    <w:rsid w:val="00FF1A1F"/>
    <w:rsid w:val="00FF2D02"/>
    <w:rsid w:val="00FF35C5"/>
    <w:rsid w:val="00FF4396"/>
    <w:rsid w:val="00FF50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F2FBEE"/>
  <w15:docId w15:val="{81E298F3-C6A9-466A-BA09-A86AA0B6A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iPriority="0"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0B71"/>
    <w:pPr>
      <w:spacing w:line="276" w:lineRule="auto"/>
      <w:jc w:val="both"/>
    </w:pPr>
    <w:rPr>
      <w:rFonts w:eastAsia="Times New Roman"/>
      <w:sz w:val="24"/>
      <w:szCs w:val="24"/>
    </w:rPr>
  </w:style>
  <w:style w:type="paragraph" w:styleId="Heading1">
    <w:name w:val="heading 1"/>
    <w:basedOn w:val="Normal"/>
    <w:link w:val="Heading1Char"/>
    <w:uiPriority w:val="9"/>
    <w:qFormat/>
    <w:rsid w:val="00462CBE"/>
    <w:pPr>
      <w:keepNext/>
      <w:snapToGrid w:val="0"/>
      <w:jc w:val="left"/>
      <w:outlineLvl w:val="0"/>
    </w:pPr>
    <w:rPr>
      <w:b/>
      <w:caps/>
      <w:color w:val="0000FF"/>
      <w:sz w:val="28"/>
      <w:szCs w:val="20"/>
    </w:rPr>
  </w:style>
  <w:style w:type="paragraph" w:styleId="Heading2">
    <w:name w:val="heading 2"/>
    <w:basedOn w:val="Normal"/>
    <w:next w:val="Normal"/>
    <w:link w:val="Heading2Char"/>
    <w:uiPriority w:val="9"/>
    <w:unhideWhenUsed/>
    <w:qFormat/>
    <w:rsid w:val="00F96C11"/>
    <w:pPr>
      <w:keepNext/>
      <w:jc w:val="left"/>
      <w:outlineLvl w:val="1"/>
    </w:pPr>
    <w:rPr>
      <w:b/>
      <w:color w:val="000099"/>
      <w:sz w:val="26"/>
      <w:szCs w:val="20"/>
    </w:rPr>
  </w:style>
  <w:style w:type="paragraph" w:styleId="Heading3">
    <w:name w:val="heading 3"/>
    <w:basedOn w:val="Heading2"/>
    <w:next w:val="Normal"/>
    <w:link w:val="Heading3Char"/>
    <w:unhideWhenUsed/>
    <w:rsid w:val="005843C2"/>
    <w:pPr>
      <w:shd w:val="clear" w:color="auto" w:fill="FFFFFF"/>
      <w:tabs>
        <w:tab w:val="left" w:pos="432"/>
      </w:tabs>
      <w:snapToGrid w:val="0"/>
      <w:spacing w:after="240"/>
      <w:outlineLvl w:val="2"/>
    </w:pPr>
    <w:rPr>
      <w:i/>
      <w:color w:val="002060"/>
      <w:sz w:val="24"/>
      <w:u w:color="808080"/>
    </w:rPr>
  </w:style>
  <w:style w:type="paragraph" w:styleId="Heading4">
    <w:name w:val="heading 4"/>
    <w:aliases w:val="Level 2 - a,Sub-Minor"/>
    <w:basedOn w:val="Heading3"/>
    <w:next w:val="Normal"/>
    <w:link w:val="Heading4Char"/>
    <w:unhideWhenUsed/>
    <w:rsid w:val="00F511C7"/>
    <w:pPr>
      <w:numPr>
        <w:ilvl w:val="3"/>
        <w:numId w:val="2"/>
      </w:numPr>
      <w:tabs>
        <w:tab w:val="clear" w:pos="432"/>
        <w:tab w:val="left" w:pos="576"/>
      </w:tabs>
      <w:spacing w:before="200" w:after="80"/>
      <w:outlineLvl w:val="3"/>
    </w:pPr>
    <w:rPr>
      <w:rFonts w:ascii="Candara" w:hAnsi="Candara"/>
      <w:b w:val="0"/>
      <w:caps/>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462CBE"/>
    <w:rPr>
      <w:rFonts w:eastAsia="Times New Roman"/>
      <w:b/>
      <w:caps/>
      <w:color w:val="0000FF"/>
      <w:sz w:val="28"/>
    </w:rPr>
  </w:style>
  <w:style w:type="character" w:customStyle="1" w:styleId="Heading2Char">
    <w:name w:val="Heading 2 Char"/>
    <w:link w:val="Heading2"/>
    <w:uiPriority w:val="9"/>
    <w:rsid w:val="00F96C11"/>
    <w:rPr>
      <w:rFonts w:ascii="Calibri" w:eastAsia="Times New Roman" w:hAnsi="Calibri"/>
      <w:b/>
      <w:color w:val="000099"/>
      <w:sz w:val="26"/>
    </w:rPr>
  </w:style>
  <w:style w:type="character" w:customStyle="1" w:styleId="Heading3Char">
    <w:name w:val="Heading 3 Char"/>
    <w:link w:val="Heading3"/>
    <w:rsid w:val="005843C2"/>
    <w:rPr>
      <w:rFonts w:eastAsia="Times New Roman"/>
      <w:b/>
      <w:i/>
      <w:color w:val="002060"/>
      <w:sz w:val="24"/>
      <w:u w:color="808080"/>
      <w:shd w:val="clear" w:color="auto" w:fill="FFFFFF"/>
    </w:rPr>
  </w:style>
  <w:style w:type="character" w:customStyle="1" w:styleId="Heading4Char">
    <w:name w:val="Heading 4 Char"/>
    <w:aliases w:val="Level 2 - a Char,Sub-Minor Char"/>
    <w:link w:val="Heading4"/>
    <w:semiHidden/>
    <w:rsid w:val="00F511C7"/>
    <w:rPr>
      <w:rFonts w:ascii="Candara" w:eastAsia="Times New Roman" w:hAnsi="Candara" w:cs="Times New Roman"/>
      <w:i/>
      <w:caps/>
      <w:color w:val="002060"/>
      <w:sz w:val="26"/>
      <w:szCs w:val="20"/>
      <w:u w:color="808080"/>
      <w:shd w:val="clear" w:color="auto" w:fill="FFFFFF"/>
    </w:rPr>
  </w:style>
  <w:style w:type="paragraph" w:styleId="CommentText">
    <w:name w:val="annotation text"/>
    <w:basedOn w:val="Normal"/>
    <w:link w:val="CommentTextChar1"/>
    <w:uiPriority w:val="99"/>
    <w:semiHidden/>
    <w:unhideWhenUsed/>
    <w:rsid w:val="00F511C7"/>
    <w:pPr>
      <w:spacing w:line="240" w:lineRule="auto"/>
      <w:jc w:val="left"/>
    </w:pPr>
    <w:rPr>
      <w:rFonts w:ascii="Times New Roman" w:hAnsi="Times New Roman"/>
      <w:sz w:val="20"/>
      <w:szCs w:val="20"/>
    </w:rPr>
  </w:style>
  <w:style w:type="character" w:customStyle="1" w:styleId="CommentTextChar">
    <w:name w:val="Comment Text Char"/>
    <w:uiPriority w:val="99"/>
    <w:semiHidden/>
    <w:rsid w:val="00F511C7"/>
    <w:rPr>
      <w:rFonts w:ascii="Calibri" w:eastAsia="Times New Roman" w:hAnsi="Calibri" w:cs="Times New Roman"/>
      <w:sz w:val="20"/>
      <w:szCs w:val="20"/>
    </w:rPr>
  </w:style>
  <w:style w:type="paragraph" w:styleId="ListParagraph">
    <w:name w:val="List Paragraph"/>
    <w:basedOn w:val="Normal"/>
    <w:uiPriority w:val="34"/>
    <w:qFormat/>
    <w:rsid w:val="00F511C7"/>
    <w:pPr>
      <w:widowControl w:val="0"/>
      <w:overflowPunct w:val="0"/>
      <w:adjustRightInd w:val="0"/>
      <w:spacing w:line="240" w:lineRule="auto"/>
      <w:ind w:left="720"/>
      <w:jc w:val="left"/>
    </w:pPr>
    <w:rPr>
      <w:rFonts w:ascii="Arial Narrow" w:hAnsi="Arial Narrow"/>
      <w:kern w:val="28"/>
    </w:rPr>
  </w:style>
  <w:style w:type="character" w:styleId="CommentReference">
    <w:name w:val="annotation reference"/>
    <w:uiPriority w:val="99"/>
    <w:semiHidden/>
    <w:unhideWhenUsed/>
    <w:rsid w:val="00F511C7"/>
    <w:rPr>
      <w:sz w:val="16"/>
    </w:rPr>
  </w:style>
  <w:style w:type="character" w:customStyle="1" w:styleId="CommentTextChar1">
    <w:name w:val="Comment Text Char1"/>
    <w:link w:val="CommentText"/>
    <w:uiPriority w:val="99"/>
    <w:semiHidden/>
    <w:locked/>
    <w:rsid w:val="00F511C7"/>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F511C7"/>
    <w:pPr>
      <w:spacing w:line="240" w:lineRule="auto"/>
    </w:pPr>
    <w:rPr>
      <w:rFonts w:ascii="Tahoma" w:hAnsi="Tahoma"/>
      <w:sz w:val="16"/>
      <w:szCs w:val="16"/>
    </w:rPr>
  </w:style>
  <w:style w:type="character" w:customStyle="1" w:styleId="BalloonTextChar">
    <w:name w:val="Balloon Text Char"/>
    <w:link w:val="BalloonText"/>
    <w:uiPriority w:val="99"/>
    <w:semiHidden/>
    <w:rsid w:val="00F511C7"/>
    <w:rPr>
      <w:rFonts w:ascii="Tahoma" w:eastAsia="Times New Roman" w:hAnsi="Tahoma" w:cs="Tahoma"/>
      <w:sz w:val="16"/>
      <w:szCs w:val="16"/>
    </w:rPr>
  </w:style>
  <w:style w:type="paragraph" w:customStyle="1" w:styleId="1-DocText">
    <w:name w:val="1-DocText"/>
    <w:link w:val="1-DocTextChar"/>
    <w:rsid w:val="00EE1289"/>
    <w:pPr>
      <w:spacing w:before="100" w:after="100"/>
    </w:pPr>
    <w:rPr>
      <w:rFonts w:ascii="Gill Sans MT" w:eastAsia="Times New Roman" w:hAnsi="Gill Sans MT"/>
      <w:sz w:val="22"/>
    </w:rPr>
  </w:style>
  <w:style w:type="paragraph" w:customStyle="1" w:styleId="1-Bullet">
    <w:name w:val="1-Bullet"/>
    <w:rsid w:val="00EE1289"/>
    <w:pPr>
      <w:widowControl w:val="0"/>
      <w:numPr>
        <w:numId w:val="3"/>
      </w:numPr>
      <w:tabs>
        <w:tab w:val="left" w:pos="0"/>
        <w:tab w:val="left" w:pos="432"/>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s>
      <w:spacing w:before="80" w:after="80"/>
    </w:pPr>
    <w:rPr>
      <w:rFonts w:ascii="Gill Sans" w:eastAsia="Times New Roman" w:hAnsi="Gill Sans"/>
      <w:snapToGrid w:val="0"/>
      <w:sz w:val="22"/>
    </w:rPr>
  </w:style>
  <w:style w:type="character" w:styleId="FootnoteReference">
    <w:name w:val="footnote reference"/>
    <w:uiPriority w:val="99"/>
    <w:semiHidden/>
    <w:rsid w:val="00EE1289"/>
    <w:rPr>
      <w:rFonts w:ascii="Gill Sans MT" w:hAnsi="Gill Sans MT"/>
      <w:sz w:val="18"/>
      <w:szCs w:val="18"/>
      <w:vertAlign w:val="superscript"/>
    </w:rPr>
  </w:style>
  <w:style w:type="paragraph" w:styleId="FootnoteText">
    <w:name w:val="footnote text"/>
    <w:basedOn w:val="Normal"/>
    <w:link w:val="FootnoteTextChar"/>
    <w:uiPriority w:val="99"/>
    <w:semiHidden/>
    <w:rsid w:val="00EE1289"/>
    <w:pPr>
      <w:keepLines/>
      <w:spacing w:line="200" w:lineRule="atLeast"/>
      <w:ind w:left="432"/>
    </w:pPr>
    <w:rPr>
      <w:rFonts w:ascii="Gill Sans" w:hAnsi="Gill Sans"/>
      <w:sz w:val="18"/>
      <w:szCs w:val="20"/>
      <w:lang w:val="en-GB"/>
    </w:rPr>
  </w:style>
  <w:style w:type="character" w:customStyle="1" w:styleId="FootnoteTextChar">
    <w:name w:val="Footnote Text Char"/>
    <w:link w:val="FootnoteText"/>
    <w:uiPriority w:val="99"/>
    <w:semiHidden/>
    <w:rsid w:val="00EE1289"/>
    <w:rPr>
      <w:rFonts w:ascii="Gill Sans" w:eastAsia="Times New Roman" w:hAnsi="Gill Sans"/>
      <w:sz w:val="18"/>
      <w:lang w:val="en-GB"/>
    </w:rPr>
  </w:style>
  <w:style w:type="paragraph" w:styleId="Caption">
    <w:name w:val="caption"/>
    <w:basedOn w:val="Normal"/>
    <w:next w:val="Normal"/>
    <w:autoRedefine/>
    <w:qFormat/>
    <w:rsid w:val="005843C2"/>
    <w:pPr>
      <w:keepNext/>
      <w:keepLines/>
      <w:spacing w:after="240"/>
      <w:ind w:left="1166" w:hanging="1166"/>
    </w:pPr>
    <w:rPr>
      <w:rFonts w:cs="Calibri"/>
      <w:b/>
      <w:color w:val="000066"/>
      <w:lang w:val="en-GB" w:eastAsia="en-GB"/>
    </w:rPr>
  </w:style>
  <w:style w:type="character" w:customStyle="1" w:styleId="1-DocTextChar">
    <w:name w:val="1-DocText Char"/>
    <w:link w:val="1-DocText"/>
    <w:rsid w:val="00EE1289"/>
    <w:rPr>
      <w:rFonts w:ascii="Gill Sans MT" w:eastAsia="Times New Roman" w:hAnsi="Gill Sans MT"/>
      <w:sz w:val="22"/>
      <w:lang w:bidi="ar-SA"/>
    </w:rPr>
  </w:style>
  <w:style w:type="paragraph" w:styleId="Header">
    <w:name w:val="header"/>
    <w:basedOn w:val="Normal"/>
    <w:link w:val="HeaderChar"/>
    <w:uiPriority w:val="99"/>
    <w:unhideWhenUsed/>
    <w:rsid w:val="00FE01CF"/>
    <w:pPr>
      <w:tabs>
        <w:tab w:val="center" w:pos="4680"/>
        <w:tab w:val="right" w:pos="9360"/>
      </w:tabs>
    </w:pPr>
  </w:style>
  <w:style w:type="character" w:customStyle="1" w:styleId="HeaderChar">
    <w:name w:val="Header Char"/>
    <w:link w:val="Header"/>
    <w:uiPriority w:val="99"/>
    <w:rsid w:val="00FE01CF"/>
    <w:rPr>
      <w:rFonts w:eastAsia="Times New Roman"/>
      <w:sz w:val="24"/>
      <w:szCs w:val="24"/>
    </w:rPr>
  </w:style>
  <w:style w:type="paragraph" w:styleId="Footer">
    <w:name w:val="footer"/>
    <w:basedOn w:val="Normal"/>
    <w:link w:val="FooterChar"/>
    <w:uiPriority w:val="99"/>
    <w:unhideWhenUsed/>
    <w:rsid w:val="00FE01CF"/>
    <w:pPr>
      <w:tabs>
        <w:tab w:val="center" w:pos="4680"/>
        <w:tab w:val="right" w:pos="9360"/>
      </w:tabs>
    </w:pPr>
  </w:style>
  <w:style w:type="character" w:customStyle="1" w:styleId="FooterChar">
    <w:name w:val="Footer Char"/>
    <w:link w:val="Footer"/>
    <w:uiPriority w:val="99"/>
    <w:rsid w:val="00FE01CF"/>
    <w:rPr>
      <w:rFonts w:eastAsia="Times New Roman"/>
      <w:sz w:val="24"/>
      <w:szCs w:val="24"/>
    </w:rPr>
  </w:style>
  <w:style w:type="paragraph" w:customStyle="1" w:styleId="1-DocTextBold">
    <w:name w:val="1-DocText Bold"/>
    <w:basedOn w:val="1-DocText"/>
    <w:rsid w:val="007938C6"/>
    <w:pPr>
      <w:spacing w:before="120" w:after="120"/>
    </w:pPr>
    <w:rPr>
      <w:b/>
      <w:lang w:val="en-GB"/>
    </w:rPr>
  </w:style>
  <w:style w:type="table" w:styleId="TableGrid">
    <w:name w:val="Table Grid"/>
    <w:basedOn w:val="TableNormal"/>
    <w:uiPriority w:val="59"/>
    <w:rsid w:val="00B24F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rsid w:val="00AA1D36"/>
    <w:pPr>
      <w:spacing w:before="120" w:after="120"/>
      <w:jc w:val="left"/>
    </w:pPr>
    <w:rPr>
      <w:b/>
      <w:bCs/>
      <w:caps/>
      <w:sz w:val="20"/>
      <w:szCs w:val="20"/>
    </w:rPr>
  </w:style>
  <w:style w:type="paragraph" w:styleId="TOC2">
    <w:name w:val="toc 2"/>
    <w:basedOn w:val="Normal"/>
    <w:next w:val="Normal"/>
    <w:autoRedefine/>
    <w:uiPriority w:val="39"/>
    <w:unhideWhenUsed/>
    <w:rsid w:val="00AA1D36"/>
    <w:pPr>
      <w:ind w:left="240"/>
      <w:jc w:val="left"/>
    </w:pPr>
    <w:rPr>
      <w:smallCaps/>
      <w:sz w:val="20"/>
      <w:szCs w:val="20"/>
    </w:rPr>
  </w:style>
  <w:style w:type="paragraph" w:styleId="TOC3">
    <w:name w:val="toc 3"/>
    <w:basedOn w:val="Normal"/>
    <w:next w:val="Normal"/>
    <w:autoRedefine/>
    <w:uiPriority w:val="39"/>
    <w:unhideWhenUsed/>
    <w:rsid w:val="00AA1D36"/>
    <w:pPr>
      <w:ind w:left="480"/>
      <w:jc w:val="left"/>
    </w:pPr>
    <w:rPr>
      <w:i/>
      <w:iCs/>
      <w:sz w:val="20"/>
      <w:szCs w:val="20"/>
    </w:rPr>
  </w:style>
  <w:style w:type="character" w:styleId="Hyperlink">
    <w:name w:val="Hyperlink"/>
    <w:uiPriority w:val="99"/>
    <w:unhideWhenUsed/>
    <w:rsid w:val="00AA1D36"/>
    <w:rPr>
      <w:color w:val="0000FF"/>
      <w:u w:val="single"/>
    </w:rPr>
  </w:style>
  <w:style w:type="paragraph" w:styleId="TOC4">
    <w:name w:val="toc 4"/>
    <w:basedOn w:val="Normal"/>
    <w:next w:val="Normal"/>
    <w:autoRedefine/>
    <w:uiPriority w:val="39"/>
    <w:unhideWhenUsed/>
    <w:rsid w:val="0045433B"/>
    <w:pPr>
      <w:ind w:left="720"/>
      <w:jc w:val="left"/>
    </w:pPr>
    <w:rPr>
      <w:sz w:val="18"/>
      <w:szCs w:val="18"/>
    </w:rPr>
  </w:style>
  <w:style w:type="paragraph" w:styleId="TOC5">
    <w:name w:val="toc 5"/>
    <w:basedOn w:val="Normal"/>
    <w:next w:val="Normal"/>
    <w:autoRedefine/>
    <w:uiPriority w:val="39"/>
    <w:unhideWhenUsed/>
    <w:rsid w:val="0045433B"/>
    <w:pPr>
      <w:ind w:left="960"/>
      <w:jc w:val="left"/>
    </w:pPr>
    <w:rPr>
      <w:sz w:val="18"/>
      <w:szCs w:val="18"/>
    </w:rPr>
  </w:style>
  <w:style w:type="paragraph" w:styleId="TOC6">
    <w:name w:val="toc 6"/>
    <w:basedOn w:val="Normal"/>
    <w:next w:val="Normal"/>
    <w:autoRedefine/>
    <w:uiPriority w:val="39"/>
    <w:unhideWhenUsed/>
    <w:rsid w:val="0045433B"/>
    <w:pPr>
      <w:ind w:left="1200"/>
      <w:jc w:val="left"/>
    </w:pPr>
    <w:rPr>
      <w:sz w:val="18"/>
      <w:szCs w:val="18"/>
    </w:rPr>
  </w:style>
  <w:style w:type="paragraph" w:styleId="TOC7">
    <w:name w:val="toc 7"/>
    <w:basedOn w:val="Normal"/>
    <w:next w:val="Normal"/>
    <w:autoRedefine/>
    <w:uiPriority w:val="39"/>
    <w:unhideWhenUsed/>
    <w:rsid w:val="0045433B"/>
    <w:pPr>
      <w:ind w:left="1440"/>
      <w:jc w:val="left"/>
    </w:pPr>
    <w:rPr>
      <w:sz w:val="18"/>
      <w:szCs w:val="18"/>
    </w:rPr>
  </w:style>
  <w:style w:type="paragraph" w:styleId="TOC8">
    <w:name w:val="toc 8"/>
    <w:basedOn w:val="Normal"/>
    <w:next w:val="Normal"/>
    <w:autoRedefine/>
    <w:uiPriority w:val="39"/>
    <w:unhideWhenUsed/>
    <w:rsid w:val="0045433B"/>
    <w:pPr>
      <w:ind w:left="1680"/>
      <w:jc w:val="left"/>
    </w:pPr>
    <w:rPr>
      <w:sz w:val="18"/>
      <w:szCs w:val="18"/>
    </w:rPr>
  </w:style>
  <w:style w:type="paragraph" w:styleId="TOC9">
    <w:name w:val="toc 9"/>
    <w:basedOn w:val="Normal"/>
    <w:next w:val="Normal"/>
    <w:autoRedefine/>
    <w:uiPriority w:val="39"/>
    <w:unhideWhenUsed/>
    <w:rsid w:val="0045433B"/>
    <w:pPr>
      <w:ind w:left="1920"/>
      <w:jc w:val="left"/>
    </w:pPr>
    <w:rPr>
      <w:sz w:val="18"/>
      <w:szCs w:val="18"/>
    </w:rPr>
  </w:style>
  <w:style w:type="paragraph" w:styleId="CommentSubject">
    <w:name w:val="annotation subject"/>
    <w:basedOn w:val="CommentText"/>
    <w:next w:val="CommentText"/>
    <w:link w:val="CommentSubjectChar"/>
    <w:uiPriority w:val="99"/>
    <w:semiHidden/>
    <w:unhideWhenUsed/>
    <w:rsid w:val="00E85361"/>
    <w:pPr>
      <w:spacing w:line="276" w:lineRule="auto"/>
      <w:jc w:val="both"/>
    </w:pPr>
    <w:rPr>
      <w:b/>
      <w:bCs/>
    </w:rPr>
  </w:style>
  <w:style w:type="character" w:customStyle="1" w:styleId="CommentSubjectChar">
    <w:name w:val="Comment Subject Char"/>
    <w:link w:val="CommentSubject"/>
    <w:uiPriority w:val="99"/>
    <w:semiHidden/>
    <w:rsid w:val="00E85361"/>
    <w:rPr>
      <w:rFonts w:ascii="Times New Roman" w:eastAsia="Times New Roman" w:hAnsi="Times New Roman" w:cs="Times New Roman"/>
      <w:b/>
      <w:bCs/>
      <w:sz w:val="20"/>
      <w:szCs w:val="20"/>
      <w:lang w:val="en-US" w:eastAsia="en-US"/>
    </w:rPr>
  </w:style>
  <w:style w:type="paragraph" w:styleId="NoSpacing">
    <w:name w:val="No Spacing"/>
    <w:uiPriority w:val="1"/>
    <w:rsid w:val="0053107D"/>
    <w:pPr>
      <w:jc w:val="both"/>
    </w:pPr>
    <w:rPr>
      <w:rFonts w:eastAsia="Times New Roman"/>
      <w:sz w:val="24"/>
      <w:szCs w:val="24"/>
    </w:rPr>
  </w:style>
  <w:style w:type="paragraph" w:customStyle="1" w:styleId="FigureTitle">
    <w:name w:val="Figure Title"/>
    <w:basedOn w:val="Normal"/>
    <w:rsid w:val="00811B3C"/>
    <w:pPr>
      <w:spacing w:before="120" w:after="120" w:line="240" w:lineRule="auto"/>
      <w:jc w:val="center"/>
    </w:pPr>
    <w:rPr>
      <w:rFonts w:ascii="Gill Sans MT" w:hAnsi="Gill Sans MT"/>
      <w:b/>
      <w:bCs/>
      <w:caps/>
      <w:noProof/>
      <w:color w:val="0F243E"/>
      <w:sz w:val="20"/>
      <w:szCs w:val="20"/>
    </w:rPr>
  </w:style>
  <w:style w:type="paragraph" w:customStyle="1" w:styleId="Footnotes">
    <w:name w:val="Footnotes"/>
    <w:link w:val="FootnotesChar"/>
    <w:qFormat/>
    <w:rsid w:val="00BB69FE"/>
    <w:rPr>
      <w:rFonts w:ascii="Gill Sans MT" w:eastAsia="Times New Roman" w:hAnsi="Gill Sans MT"/>
      <w:sz w:val="18"/>
    </w:rPr>
  </w:style>
  <w:style w:type="character" w:customStyle="1" w:styleId="FootnotesChar">
    <w:name w:val="Footnotes Char"/>
    <w:link w:val="Footnotes"/>
    <w:rsid w:val="00BB69FE"/>
    <w:rPr>
      <w:rFonts w:ascii="Gill Sans MT" w:eastAsia="Times New Roman" w:hAnsi="Gill Sans MT"/>
      <w:sz w:val="18"/>
      <w:lang w:bidi="ar-SA"/>
    </w:rPr>
  </w:style>
  <w:style w:type="paragraph" w:customStyle="1" w:styleId="TableTitle">
    <w:name w:val="Table Title"/>
    <w:rsid w:val="00AA737B"/>
    <w:pPr>
      <w:spacing w:before="120" w:after="120"/>
      <w:jc w:val="center"/>
    </w:pPr>
    <w:rPr>
      <w:rFonts w:ascii="Gill Sans MT" w:eastAsia="Times New Roman" w:hAnsi="Gill Sans MT"/>
      <w:b/>
      <w:caps/>
      <w:noProof/>
      <w:color w:val="0F243E"/>
    </w:rPr>
  </w:style>
  <w:style w:type="paragraph" w:customStyle="1" w:styleId="TableSubtitles">
    <w:name w:val="Table Subtitles"/>
    <w:rsid w:val="00F9334C"/>
    <w:pPr>
      <w:keepNext/>
      <w:keepLines/>
      <w:spacing w:before="80" w:after="40"/>
      <w:jc w:val="center"/>
    </w:pPr>
    <w:rPr>
      <w:rFonts w:ascii="Gill Sans MT" w:eastAsia="Times New Roman" w:hAnsi="Gill Sans MT"/>
      <w:b/>
      <w:noProof/>
    </w:rPr>
  </w:style>
  <w:style w:type="paragraph" w:customStyle="1" w:styleId="TableBody">
    <w:name w:val="Table Body"/>
    <w:rsid w:val="00F9334C"/>
    <w:pPr>
      <w:spacing w:before="60" w:after="60"/>
    </w:pPr>
    <w:rPr>
      <w:rFonts w:ascii="Gill Sans MT" w:eastAsia="Times New Roman" w:hAnsi="Gill Sans MT"/>
      <w:noProof/>
    </w:rPr>
  </w:style>
  <w:style w:type="paragraph" w:customStyle="1" w:styleId="TableNumbers">
    <w:name w:val="Table Numbers"/>
    <w:basedOn w:val="TableBody"/>
    <w:rsid w:val="00F9334C"/>
    <w:pPr>
      <w:ind w:right="144"/>
      <w:jc w:val="right"/>
    </w:pPr>
    <w:rPr>
      <w:color w:val="333333"/>
    </w:rPr>
  </w:style>
  <w:style w:type="table" w:styleId="TableList3">
    <w:name w:val="Table List 3"/>
    <w:basedOn w:val="TableNormal"/>
    <w:rsid w:val="00F9334C"/>
    <w:rPr>
      <w:rFonts w:ascii="Gill Sans" w:eastAsia="Times New Roman" w:hAnsi="Gill Sans"/>
    </w:rPr>
    <w:tblPr>
      <w:jc w:val="center"/>
      <w:tblBorders>
        <w:top w:val="single" w:sz="8" w:space="0" w:color="7AC142"/>
        <w:bottom w:val="single" w:sz="8" w:space="0" w:color="7AC142"/>
        <w:insideH w:val="single" w:sz="2" w:space="0" w:color="7AC142"/>
        <w:insideV w:val="single" w:sz="2" w:space="0" w:color="7AC142"/>
      </w:tblBorders>
      <w:tblCellMar>
        <w:left w:w="43" w:type="dxa"/>
        <w:right w:w="43" w:type="dxa"/>
      </w:tblCellMar>
    </w:tblPr>
    <w:trPr>
      <w:jc w:val="center"/>
    </w:trPr>
    <w:tcPr>
      <w:shd w:val="clear" w:color="auto" w:fill="auto"/>
    </w:tcPr>
    <w:tblStylePr w:type="firstRow">
      <w:pPr>
        <w:jc w:val="center"/>
      </w:pPr>
      <w:rPr>
        <w:rFonts w:ascii="Calibri" w:hAnsi="Calibri"/>
        <w:b/>
        <w:bCs/>
        <w:color w:val="auto"/>
        <w:sz w:val="20"/>
      </w:rPr>
      <w:tblPr/>
      <w:tcPr>
        <w:tcBorders>
          <w:top w:val="single" w:sz="8" w:space="0" w:color="7AC142"/>
          <w:bottom w:val="nil"/>
        </w:tcBorders>
        <w:shd w:val="clear" w:color="auto" w:fill="auto"/>
      </w:tcPr>
    </w:tblStylePr>
    <w:tblStylePr w:type="lastRow">
      <w:tblPr/>
      <w:tcPr>
        <w:tcBorders>
          <w:top w:val="nil"/>
          <w:bottom w:val="single" w:sz="8" w:space="0" w:color="7AC142"/>
        </w:tcBorders>
        <w:shd w:val="clear" w:color="auto" w:fill="auto"/>
      </w:tcPr>
    </w:tblStylePr>
    <w:tblStylePr w:type="swCell">
      <w:rPr>
        <w:i/>
        <w:iCs/>
        <w:color w:val="000080"/>
      </w:rPr>
      <w:tblPr/>
      <w:tcPr>
        <w:tcBorders>
          <w:tl2br w:val="none" w:sz="0" w:space="0" w:color="auto"/>
          <w:tr2bl w:val="none" w:sz="0" w:space="0" w:color="auto"/>
        </w:tcBorders>
      </w:tcPr>
    </w:tblStylePr>
  </w:style>
  <w:style w:type="paragraph" w:customStyle="1" w:styleId="FootnoteBase">
    <w:name w:val="Footnote Base"/>
    <w:basedOn w:val="Normal"/>
    <w:rsid w:val="00A106BB"/>
    <w:pPr>
      <w:keepLines/>
      <w:spacing w:line="200" w:lineRule="atLeast"/>
      <w:ind w:left="720"/>
      <w:jc w:val="left"/>
    </w:pPr>
    <w:rPr>
      <w:rFonts w:ascii="Gill Sans" w:hAnsi="Gill Sans"/>
      <w:spacing w:val="-5"/>
      <w:sz w:val="14"/>
      <w:szCs w:val="20"/>
    </w:rPr>
  </w:style>
  <w:style w:type="paragraph" w:customStyle="1" w:styleId="1-Bulletsmallletters">
    <w:name w:val="1-Bullet small letters"/>
    <w:link w:val="1-BulletsmalllettersChar"/>
    <w:rsid w:val="00A106BB"/>
    <w:pPr>
      <w:numPr>
        <w:numId w:val="22"/>
      </w:numPr>
      <w:spacing w:before="120" w:after="120"/>
    </w:pPr>
    <w:rPr>
      <w:rFonts w:ascii="Gill Sans MT" w:eastAsia="Times New Roman" w:hAnsi="Gill Sans MT"/>
      <w:sz w:val="22"/>
      <w:szCs w:val="22"/>
    </w:rPr>
  </w:style>
  <w:style w:type="character" w:customStyle="1" w:styleId="1-BulletsmalllettersChar">
    <w:name w:val="1-Bullet small letters Char"/>
    <w:link w:val="1-Bulletsmallletters"/>
    <w:rsid w:val="00A106BB"/>
    <w:rPr>
      <w:rFonts w:ascii="Gill Sans MT" w:eastAsia="Times New Roman" w:hAnsi="Gill Sans MT"/>
      <w:sz w:val="22"/>
      <w:szCs w:val="22"/>
      <w:lang w:bidi="ar-SA"/>
    </w:rPr>
  </w:style>
  <w:style w:type="paragraph" w:customStyle="1" w:styleId="Default">
    <w:name w:val="Default"/>
    <w:rsid w:val="00A57310"/>
    <w:pPr>
      <w:autoSpaceDE w:val="0"/>
      <w:autoSpaceDN w:val="0"/>
      <w:adjustRightInd w:val="0"/>
    </w:pPr>
    <w:rPr>
      <w:rFonts w:cs="Calibri"/>
      <w:color w:val="000000"/>
      <w:sz w:val="24"/>
      <w:szCs w:val="24"/>
    </w:rPr>
  </w:style>
  <w:style w:type="paragraph" w:customStyle="1" w:styleId="Caption1">
    <w:name w:val="Caption 1"/>
    <w:basedOn w:val="TableTitle"/>
    <w:qFormat/>
    <w:rsid w:val="004D090A"/>
    <w:pPr>
      <w:spacing w:before="0" w:after="240" w:line="276" w:lineRule="auto"/>
      <w:jc w:val="left"/>
    </w:pPr>
    <w:rPr>
      <w:rFonts w:ascii="Calibri" w:hAnsi="Calibri"/>
      <w:caps w:val="0"/>
      <w:color w:val="000066"/>
      <w:sz w:val="24"/>
      <w:szCs w:val="24"/>
    </w:rPr>
  </w:style>
  <w:style w:type="paragraph" w:styleId="TableofFigures">
    <w:name w:val="table of figures"/>
    <w:basedOn w:val="Normal"/>
    <w:next w:val="Normal"/>
    <w:uiPriority w:val="99"/>
    <w:unhideWhenUsed/>
    <w:rsid w:val="00DF4EDD"/>
    <w:pPr>
      <w:ind w:left="480" w:hanging="480"/>
      <w:jc w:val="left"/>
    </w:pPr>
    <w:rPr>
      <w:smallCap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32445">
      <w:bodyDiv w:val="1"/>
      <w:marLeft w:val="0"/>
      <w:marRight w:val="0"/>
      <w:marTop w:val="0"/>
      <w:marBottom w:val="0"/>
      <w:divBdr>
        <w:top w:val="none" w:sz="0" w:space="0" w:color="auto"/>
        <w:left w:val="none" w:sz="0" w:space="0" w:color="auto"/>
        <w:bottom w:val="none" w:sz="0" w:space="0" w:color="auto"/>
        <w:right w:val="none" w:sz="0" w:space="0" w:color="auto"/>
      </w:divBdr>
    </w:div>
    <w:div w:id="35812173">
      <w:bodyDiv w:val="1"/>
      <w:marLeft w:val="0"/>
      <w:marRight w:val="0"/>
      <w:marTop w:val="0"/>
      <w:marBottom w:val="0"/>
      <w:divBdr>
        <w:top w:val="none" w:sz="0" w:space="0" w:color="auto"/>
        <w:left w:val="none" w:sz="0" w:space="0" w:color="auto"/>
        <w:bottom w:val="none" w:sz="0" w:space="0" w:color="auto"/>
        <w:right w:val="none" w:sz="0" w:space="0" w:color="auto"/>
      </w:divBdr>
    </w:div>
    <w:div w:id="43456065">
      <w:bodyDiv w:val="1"/>
      <w:marLeft w:val="0"/>
      <w:marRight w:val="0"/>
      <w:marTop w:val="0"/>
      <w:marBottom w:val="0"/>
      <w:divBdr>
        <w:top w:val="none" w:sz="0" w:space="0" w:color="auto"/>
        <w:left w:val="none" w:sz="0" w:space="0" w:color="auto"/>
        <w:bottom w:val="none" w:sz="0" w:space="0" w:color="auto"/>
        <w:right w:val="none" w:sz="0" w:space="0" w:color="auto"/>
      </w:divBdr>
    </w:div>
    <w:div w:id="68306290">
      <w:bodyDiv w:val="1"/>
      <w:marLeft w:val="0"/>
      <w:marRight w:val="0"/>
      <w:marTop w:val="0"/>
      <w:marBottom w:val="0"/>
      <w:divBdr>
        <w:top w:val="none" w:sz="0" w:space="0" w:color="auto"/>
        <w:left w:val="none" w:sz="0" w:space="0" w:color="auto"/>
        <w:bottom w:val="none" w:sz="0" w:space="0" w:color="auto"/>
        <w:right w:val="none" w:sz="0" w:space="0" w:color="auto"/>
      </w:divBdr>
    </w:div>
    <w:div w:id="81683822">
      <w:bodyDiv w:val="1"/>
      <w:marLeft w:val="0"/>
      <w:marRight w:val="0"/>
      <w:marTop w:val="0"/>
      <w:marBottom w:val="0"/>
      <w:divBdr>
        <w:top w:val="none" w:sz="0" w:space="0" w:color="auto"/>
        <w:left w:val="none" w:sz="0" w:space="0" w:color="auto"/>
        <w:bottom w:val="none" w:sz="0" w:space="0" w:color="auto"/>
        <w:right w:val="none" w:sz="0" w:space="0" w:color="auto"/>
      </w:divBdr>
    </w:div>
    <w:div w:id="93600581">
      <w:bodyDiv w:val="1"/>
      <w:marLeft w:val="0"/>
      <w:marRight w:val="0"/>
      <w:marTop w:val="0"/>
      <w:marBottom w:val="0"/>
      <w:divBdr>
        <w:top w:val="none" w:sz="0" w:space="0" w:color="auto"/>
        <w:left w:val="none" w:sz="0" w:space="0" w:color="auto"/>
        <w:bottom w:val="none" w:sz="0" w:space="0" w:color="auto"/>
        <w:right w:val="none" w:sz="0" w:space="0" w:color="auto"/>
      </w:divBdr>
    </w:div>
    <w:div w:id="133722293">
      <w:bodyDiv w:val="1"/>
      <w:marLeft w:val="0"/>
      <w:marRight w:val="0"/>
      <w:marTop w:val="0"/>
      <w:marBottom w:val="0"/>
      <w:divBdr>
        <w:top w:val="none" w:sz="0" w:space="0" w:color="auto"/>
        <w:left w:val="none" w:sz="0" w:space="0" w:color="auto"/>
        <w:bottom w:val="none" w:sz="0" w:space="0" w:color="auto"/>
        <w:right w:val="none" w:sz="0" w:space="0" w:color="auto"/>
      </w:divBdr>
    </w:div>
    <w:div w:id="153305849">
      <w:bodyDiv w:val="1"/>
      <w:marLeft w:val="0"/>
      <w:marRight w:val="0"/>
      <w:marTop w:val="0"/>
      <w:marBottom w:val="0"/>
      <w:divBdr>
        <w:top w:val="none" w:sz="0" w:space="0" w:color="auto"/>
        <w:left w:val="none" w:sz="0" w:space="0" w:color="auto"/>
        <w:bottom w:val="none" w:sz="0" w:space="0" w:color="auto"/>
        <w:right w:val="none" w:sz="0" w:space="0" w:color="auto"/>
      </w:divBdr>
    </w:div>
    <w:div w:id="236984634">
      <w:bodyDiv w:val="1"/>
      <w:marLeft w:val="0"/>
      <w:marRight w:val="0"/>
      <w:marTop w:val="0"/>
      <w:marBottom w:val="0"/>
      <w:divBdr>
        <w:top w:val="none" w:sz="0" w:space="0" w:color="auto"/>
        <w:left w:val="none" w:sz="0" w:space="0" w:color="auto"/>
        <w:bottom w:val="none" w:sz="0" w:space="0" w:color="auto"/>
        <w:right w:val="none" w:sz="0" w:space="0" w:color="auto"/>
      </w:divBdr>
    </w:div>
    <w:div w:id="316611796">
      <w:bodyDiv w:val="1"/>
      <w:marLeft w:val="0"/>
      <w:marRight w:val="0"/>
      <w:marTop w:val="0"/>
      <w:marBottom w:val="0"/>
      <w:divBdr>
        <w:top w:val="none" w:sz="0" w:space="0" w:color="auto"/>
        <w:left w:val="none" w:sz="0" w:space="0" w:color="auto"/>
        <w:bottom w:val="none" w:sz="0" w:space="0" w:color="auto"/>
        <w:right w:val="none" w:sz="0" w:space="0" w:color="auto"/>
      </w:divBdr>
    </w:div>
    <w:div w:id="397898608">
      <w:bodyDiv w:val="1"/>
      <w:marLeft w:val="0"/>
      <w:marRight w:val="0"/>
      <w:marTop w:val="0"/>
      <w:marBottom w:val="0"/>
      <w:divBdr>
        <w:top w:val="none" w:sz="0" w:space="0" w:color="auto"/>
        <w:left w:val="none" w:sz="0" w:space="0" w:color="auto"/>
        <w:bottom w:val="none" w:sz="0" w:space="0" w:color="auto"/>
        <w:right w:val="none" w:sz="0" w:space="0" w:color="auto"/>
      </w:divBdr>
    </w:div>
    <w:div w:id="437725872">
      <w:bodyDiv w:val="1"/>
      <w:marLeft w:val="0"/>
      <w:marRight w:val="0"/>
      <w:marTop w:val="0"/>
      <w:marBottom w:val="0"/>
      <w:divBdr>
        <w:top w:val="none" w:sz="0" w:space="0" w:color="auto"/>
        <w:left w:val="none" w:sz="0" w:space="0" w:color="auto"/>
        <w:bottom w:val="none" w:sz="0" w:space="0" w:color="auto"/>
        <w:right w:val="none" w:sz="0" w:space="0" w:color="auto"/>
      </w:divBdr>
    </w:div>
    <w:div w:id="448400637">
      <w:bodyDiv w:val="1"/>
      <w:marLeft w:val="0"/>
      <w:marRight w:val="0"/>
      <w:marTop w:val="0"/>
      <w:marBottom w:val="0"/>
      <w:divBdr>
        <w:top w:val="none" w:sz="0" w:space="0" w:color="auto"/>
        <w:left w:val="none" w:sz="0" w:space="0" w:color="auto"/>
        <w:bottom w:val="none" w:sz="0" w:space="0" w:color="auto"/>
        <w:right w:val="none" w:sz="0" w:space="0" w:color="auto"/>
      </w:divBdr>
    </w:div>
    <w:div w:id="488012706">
      <w:bodyDiv w:val="1"/>
      <w:marLeft w:val="0"/>
      <w:marRight w:val="0"/>
      <w:marTop w:val="0"/>
      <w:marBottom w:val="0"/>
      <w:divBdr>
        <w:top w:val="none" w:sz="0" w:space="0" w:color="auto"/>
        <w:left w:val="none" w:sz="0" w:space="0" w:color="auto"/>
        <w:bottom w:val="none" w:sz="0" w:space="0" w:color="auto"/>
        <w:right w:val="none" w:sz="0" w:space="0" w:color="auto"/>
      </w:divBdr>
    </w:div>
    <w:div w:id="515656208">
      <w:bodyDiv w:val="1"/>
      <w:marLeft w:val="0"/>
      <w:marRight w:val="0"/>
      <w:marTop w:val="0"/>
      <w:marBottom w:val="0"/>
      <w:divBdr>
        <w:top w:val="none" w:sz="0" w:space="0" w:color="auto"/>
        <w:left w:val="none" w:sz="0" w:space="0" w:color="auto"/>
        <w:bottom w:val="none" w:sz="0" w:space="0" w:color="auto"/>
        <w:right w:val="none" w:sz="0" w:space="0" w:color="auto"/>
      </w:divBdr>
    </w:div>
    <w:div w:id="602998542">
      <w:bodyDiv w:val="1"/>
      <w:marLeft w:val="0"/>
      <w:marRight w:val="0"/>
      <w:marTop w:val="0"/>
      <w:marBottom w:val="0"/>
      <w:divBdr>
        <w:top w:val="none" w:sz="0" w:space="0" w:color="auto"/>
        <w:left w:val="none" w:sz="0" w:space="0" w:color="auto"/>
        <w:bottom w:val="none" w:sz="0" w:space="0" w:color="auto"/>
        <w:right w:val="none" w:sz="0" w:space="0" w:color="auto"/>
      </w:divBdr>
    </w:div>
    <w:div w:id="653723431">
      <w:bodyDiv w:val="1"/>
      <w:marLeft w:val="0"/>
      <w:marRight w:val="0"/>
      <w:marTop w:val="0"/>
      <w:marBottom w:val="0"/>
      <w:divBdr>
        <w:top w:val="none" w:sz="0" w:space="0" w:color="auto"/>
        <w:left w:val="none" w:sz="0" w:space="0" w:color="auto"/>
        <w:bottom w:val="none" w:sz="0" w:space="0" w:color="auto"/>
        <w:right w:val="none" w:sz="0" w:space="0" w:color="auto"/>
      </w:divBdr>
    </w:div>
    <w:div w:id="656230850">
      <w:bodyDiv w:val="1"/>
      <w:marLeft w:val="0"/>
      <w:marRight w:val="0"/>
      <w:marTop w:val="0"/>
      <w:marBottom w:val="0"/>
      <w:divBdr>
        <w:top w:val="none" w:sz="0" w:space="0" w:color="auto"/>
        <w:left w:val="none" w:sz="0" w:space="0" w:color="auto"/>
        <w:bottom w:val="none" w:sz="0" w:space="0" w:color="auto"/>
        <w:right w:val="none" w:sz="0" w:space="0" w:color="auto"/>
      </w:divBdr>
    </w:div>
    <w:div w:id="706297034">
      <w:bodyDiv w:val="1"/>
      <w:marLeft w:val="0"/>
      <w:marRight w:val="0"/>
      <w:marTop w:val="0"/>
      <w:marBottom w:val="0"/>
      <w:divBdr>
        <w:top w:val="none" w:sz="0" w:space="0" w:color="auto"/>
        <w:left w:val="none" w:sz="0" w:space="0" w:color="auto"/>
        <w:bottom w:val="none" w:sz="0" w:space="0" w:color="auto"/>
        <w:right w:val="none" w:sz="0" w:space="0" w:color="auto"/>
      </w:divBdr>
    </w:div>
    <w:div w:id="722368855">
      <w:bodyDiv w:val="1"/>
      <w:marLeft w:val="0"/>
      <w:marRight w:val="0"/>
      <w:marTop w:val="0"/>
      <w:marBottom w:val="0"/>
      <w:divBdr>
        <w:top w:val="none" w:sz="0" w:space="0" w:color="auto"/>
        <w:left w:val="none" w:sz="0" w:space="0" w:color="auto"/>
        <w:bottom w:val="none" w:sz="0" w:space="0" w:color="auto"/>
        <w:right w:val="none" w:sz="0" w:space="0" w:color="auto"/>
      </w:divBdr>
    </w:div>
    <w:div w:id="755635736">
      <w:bodyDiv w:val="1"/>
      <w:marLeft w:val="0"/>
      <w:marRight w:val="0"/>
      <w:marTop w:val="0"/>
      <w:marBottom w:val="0"/>
      <w:divBdr>
        <w:top w:val="none" w:sz="0" w:space="0" w:color="auto"/>
        <w:left w:val="none" w:sz="0" w:space="0" w:color="auto"/>
        <w:bottom w:val="none" w:sz="0" w:space="0" w:color="auto"/>
        <w:right w:val="none" w:sz="0" w:space="0" w:color="auto"/>
      </w:divBdr>
    </w:div>
    <w:div w:id="771435776">
      <w:bodyDiv w:val="1"/>
      <w:marLeft w:val="0"/>
      <w:marRight w:val="0"/>
      <w:marTop w:val="0"/>
      <w:marBottom w:val="0"/>
      <w:divBdr>
        <w:top w:val="none" w:sz="0" w:space="0" w:color="auto"/>
        <w:left w:val="none" w:sz="0" w:space="0" w:color="auto"/>
        <w:bottom w:val="none" w:sz="0" w:space="0" w:color="auto"/>
        <w:right w:val="none" w:sz="0" w:space="0" w:color="auto"/>
      </w:divBdr>
    </w:div>
    <w:div w:id="809133938">
      <w:bodyDiv w:val="1"/>
      <w:marLeft w:val="0"/>
      <w:marRight w:val="0"/>
      <w:marTop w:val="0"/>
      <w:marBottom w:val="0"/>
      <w:divBdr>
        <w:top w:val="none" w:sz="0" w:space="0" w:color="auto"/>
        <w:left w:val="none" w:sz="0" w:space="0" w:color="auto"/>
        <w:bottom w:val="none" w:sz="0" w:space="0" w:color="auto"/>
        <w:right w:val="none" w:sz="0" w:space="0" w:color="auto"/>
      </w:divBdr>
    </w:div>
    <w:div w:id="904947545">
      <w:bodyDiv w:val="1"/>
      <w:marLeft w:val="0"/>
      <w:marRight w:val="0"/>
      <w:marTop w:val="0"/>
      <w:marBottom w:val="0"/>
      <w:divBdr>
        <w:top w:val="none" w:sz="0" w:space="0" w:color="auto"/>
        <w:left w:val="none" w:sz="0" w:space="0" w:color="auto"/>
        <w:bottom w:val="none" w:sz="0" w:space="0" w:color="auto"/>
        <w:right w:val="none" w:sz="0" w:space="0" w:color="auto"/>
      </w:divBdr>
    </w:div>
    <w:div w:id="914779938">
      <w:bodyDiv w:val="1"/>
      <w:marLeft w:val="0"/>
      <w:marRight w:val="0"/>
      <w:marTop w:val="0"/>
      <w:marBottom w:val="0"/>
      <w:divBdr>
        <w:top w:val="none" w:sz="0" w:space="0" w:color="auto"/>
        <w:left w:val="none" w:sz="0" w:space="0" w:color="auto"/>
        <w:bottom w:val="none" w:sz="0" w:space="0" w:color="auto"/>
        <w:right w:val="none" w:sz="0" w:space="0" w:color="auto"/>
      </w:divBdr>
    </w:div>
    <w:div w:id="932931098">
      <w:bodyDiv w:val="1"/>
      <w:marLeft w:val="0"/>
      <w:marRight w:val="0"/>
      <w:marTop w:val="0"/>
      <w:marBottom w:val="0"/>
      <w:divBdr>
        <w:top w:val="none" w:sz="0" w:space="0" w:color="auto"/>
        <w:left w:val="none" w:sz="0" w:space="0" w:color="auto"/>
        <w:bottom w:val="none" w:sz="0" w:space="0" w:color="auto"/>
        <w:right w:val="none" w:sz="0" w:space="0" w:color="auto"/>
      </w:divBdr>
    </w:div>
    <w:div w:id="941425075">
      <w:bodyDiv w:val="1"/>
      <w:marLeft w:val="0"/>
      <w:marRight w:val="0"/>
      <w:marTop w:val="0"/>
      <w:marBottom w:val="0"/>
      <w:divBdr>
        <w:top w:val="none" w:sz="0" w:space="0" w:color="auto"/>
        <w:left w:val="none" w:sz="0" w:space="0" w:color="auto"/>
        <w:bottom w:val="none" w:sz="0" w:space="0" w:color="auto"/>
        <w:right w:val="none" w:sz="0" w:space="0" w:color="auto"/>
      </w:divBdr>
    </w:div>
    <w:div w:id="1021669527">
      <w:bodyDiv w:val="1"/>
      <w:marLeft w:val="0"/>
      <w:marRight w:val="0"/>
      <w:marTop w:val="0"/>
      <w:marBottom w:val="0"/>
      <w:divBdr>
        <w:top w:val="none" w:sz="0" w:space="0" w:color="auto"/>
        <w:left w:val="none" w:sz="0" w:space="0" w:color="auto"/>
        <w:bottom w:val="none" w:sz="0" w:space="0" w:color="auto"/>
        <w:right w:val="none" w:sz="0" w:space="0" w:color="auto"/>
      </w:divBdr>
    </w:div>
    <w:div w:id="1065840868">
      <w:bodyDiv w:val="1"/>
      <w:marLeft w:val="0"/>
      <w:marRight w:val="0"/>
      <w:marTop w:val="0"/>
      <w:marBottom w:val="0"/>
      <w:divBdr>
        <w:top w:val="none" w:sz="0" w:space="0" w:color="auto"/>
        <w:left w:val="none" w:sz="0" w:space="0" w:color="auto"/>
        <w:bottom w:val="none" w:sz="0" w:space="0" w:color="auto"/>
        <w:right w:val="none" w:sz="0" w:space="0" w:color="auto"/>
      </w:divBdr>
    </w:div>
    <w:div w:id="1148747255">
      <w:bodyDiv w:val="1"/>
      <w:marLeft w:val="0"/>
      <w:marRight w:val="0"/>
      <w:marTop w:val="0"/>
      <w:marBottom w:val="0"/>
      <w:divBdr>
        <w:top w:val="none" w:sz="0" w:space="0" w:color="auto"/>
        <w:left w:val="none" w:sz="0" w:space="0" w:color="auto"/>
        <w:bottom w:val="none" w:sz="0" w:space="0" w:color="auto"/>
        <w:right w:val="none" w:sz="0" w:space="0" w:color="auto"/>
      </w:divBdr>
    </w:div>
    <w:div w:id="1167551437">
      <w:bodyDiv w:val="1"/>
      <w:marLeft w:val="0"/>
      <w:marRight w:val="0"/>
      <w:marTop w:val="0"/>
      <w:marBottom w:val="0"/>
      <w:divBdr>
        <w:top w:val="none" w:sz="0" w:space="0" w:color="auto"/>
        <w:left w:val="none" w:sz="0" w:space="0" w:color="auto"/>
        <w:bottom w:val="none" w:sz="0" w:space="0" w:color="auto"/>
        <w:right w:val="none" w:sz="0" w:space="0" w:color="auto"/>
      </w:divBdr>
    </w:div>
    <w:div w:id="1195197030">
      <w:bodyDiv w:val="1"/>
      <w:marLeft w:val="0"/>
      <w:marRight w:val="0"/>
      <w:marTop w:val="0"/>
      <w:marBottom w:val="0"/>
      <w:divBdr>
        <w:top w:val="none" w:sz="0" w:space="0" w:color="auto"/>
        <w:left w:val="none" w:sz="0" w:space="0" w:color="auto"/>
        <w:bottom w:val="none" w:sz="0" w:space="0" w:color="auto"/>
        <w:right w:val="none" w:sz="0" w:space="0" w:color="auto"/>
      </w:divBdr>
    </w:div>
    <w:div w:id="1291668586">
      <w:bodyDiv w:val="1"/>
      <w:marLeft w:val="0"/>
      <w:marRight w:val="0"/>
      <w:marTop w:val="0"/>
      <w:marBottom w:val="0"/>
      <w:divBdr>
        <w:top w:val="none" w:sz="0" w:space="0" w:color="auto"/>
        <w:left w:val="none" w:sz="0" w:space="0" w:color="auto"/>
        <w:bottom w:val="none" w:sz="0" w:space="0" w:color="auto"/>
        <w:right w:val="none" w:sz="0" w:space="0" w:color="auto"/>
      </w:divBdr>
    </w:div>
    <w:div w:id="1296183113">
      <w:bodyDiv w:val="1"/>
      <w:marLeft w:val="0"/>
      <w:marRight w:val="0"/>
      <w:marTop w:val="0"/>
      <w:marBottom w:val="0"/>
      <w:divBdr>
        <w:top w:val="none" w:sz="0" w:space="0" w:color="auto"/>
        <w:left w:val="none" w:sz="0" w:space="0" w:color="auto"/>
        <w:bottom w:val="none" w:sz="0" w:space="0" w:color="auto"/>
        <w:right w:val="none" w:sz="0" w:space="0" w:color="auto"/>
      </w:divBdr>
    </w:div>
    <w:div w:id="1326086698">
      <w:bodyDiv w:val="1"/>
      <w:marLeft w:val="0"/>
      <w:marRight w:val="0"/>
      <w:marTop w:val="0"/>
      <w:marBottom w:val="0"/>
      <w:divBdr>
        <w:top w:val="none" w:sz="0" w:space="0" w:color="auto"/>
        <w:left w:val="none" w:sz="0" w:space="0" w:color="auto"/>
        <w:bottom w:val="none" w:sz="0" w:space="0" w:color="auto"/>
        <w:right w:val="none" w:sz="0" w:space="0" w:color="auto"/>
      </w:divBdr>
    </w:div>
    <w:div w:id="1380861007">
      <w:bodyDiv w:val="1"/>
      <w:marLeft w:val="0"/>
      <w:marRight w:val="0"/>
      <w:marTop w:val="0"/>
      <w:marBottom w:val="0"/>
      <w:divBdr>
        <w:top w:val="none" w:sz="0" w:space="0" w:color="auto"/>
        <w:left w:val="none" w:sz="0" w:space="0" w:color="auto"/>
        <w:bottom w:val="none" w:sz="0" w:space="0" w:color="auto"/>
        <w:right w:val="none" w:sz="0" w:space="0" w:color="auto"/>
      </w:divBdr>
    </w:div>
    <w:div w:id="1395276893">
      <w:bodyDiv w:val="1"/>
      <w:marLeft w:val="0"/>
      <w:marRight w:val="0"/>
      <w:marTop w:val="0"/>
      <w:marBottom w:val="0"/>
      <w:divBdr>
        <w:top w:val="none" w:sz="0" w:space="0" w:color="auto"/>
        <w:left w:val="none" w:sz="0" w:space="0" w:color="auto"/>
        <w:bottom w:val="none" w:sz="0" w:space="0" w:color="auto"/>
        <w:right w:val="none" w:sz="0" w:space="0" w:color="auto"/>
      </w:divBdr>
    </w:div>
    <w:div w:id="1402867607">
      <w:bodyDiv w:val="1"/>
      <w:marLeft w:val="0"/>
      <w:marRight w:val="0"/>
      <w:marTop w:val="0"/>
      <w:marBottom w:val="0"/>
      <w:divBdr>
        <w:top w:val="none" w:sz="0" w:space="0" w:color="auto"/>
        <w:left w:val="none" w:sz="0" w:space="0" w:color="auto"/>
        <w:bottom w:val="none" w:sz="0" w:space="0" w:color="auto"/>
        <w:right w:val="none" w:sz="0" w:space="0" w:color="auto"/>
      </w:divBdr>
    </w:div>
    <w:div w:id="1406298927">
      <w:bodyDiv w:val="1"/>
      <w:marLeft w:val="0"/>
      <w:marRight w:val="0"/>
      <w:marTop w:val="0"/>
      <w:marBottom w:val="0"/>
      <w:divBdr>
        <w:top w:val="none" w:sz="0" w:space="0" w:color="auto"/>
        <w:left w:val="none" w:sz="0" w:space="0" w:color="auto"/>
        <w:bottom w:val="none" w:sz="0" w:space="0" w:color="auto"/>
        <w:right w:val="none" w:sz="0" w:space="0" w:color="auto"/>
      </w:divBdr>
    </w:div>
    <w:div w:id="1428497145">
      <w:bodyDiv w:val="1"/>
      <w:marLeft w:val="0"/>
      <w:marRight w:val="0"/>
      <w:marTop w:val="0"/>
      <w:marBottom w:val="0"/>
      <w:divBdr>
        <w:top w:val="none" w:sz="0" w:space="0" w:color="auto"/>
        <w:left w:val="none" w:sz="0" w:space="0" w:color="auto"/>
        <w:bottom w:val="none" w:sz="0" w:space="0" w:color="auto"/>
        <w:right w:val="none" w:sz="0" w:space="0" w:color="auto"/>
      </w:divBdr>
    </w:div>
    <w:div w:id="1508403397">
      <w:bodyDiv w:val="1"/>
      <w:marLeft w:val="0"/>
      <w:marRight w:val="0"/>
      <w:marTop w:val="0"/>
      <w:marBottom w:val="0"/>
      <w:divBdr>
        <w:top w:val="none" w:sz="0" w:space="0" w:color="auto"/>
        <w:left w:val="none" w:sz="0" w:space="0" w:color="auto"/>
        <w:bottom w:val="none" w:sz="0" w:space="0" w:color="auto"/>
        <w:right w:val="none" w:sz="0" w:space="0" w:color="auto"/>
      </w:divBdr>
    </w:div>
    <w:div w:id="1546411125">
      <w:bodyDiv w:val="1"/>
      <w:marLeft w:val="0"/>
      <w:marRight w:val="0"/>
      <w:marTop w:val="0"/>
      <w:marBottom w:val="0"/>
      <w:divBdr>
        <w:top w:val="none" w:sz="0" w:space="0" w:color="auto"/>
        <w:left w:val="none" w:sz="0" w:space="0" w:color="auto"/>
        <w:bottom w:val="none" w:sz="0" w:space="0" w:color="auto"/>
        <w:right w:val="none" w:sz="0" w:space="0" w:color="auto"/>
      </w:divBdr>
    </w:div>
    <w:div w:id="1547135212">
      <w:bodyDiv w:val="1"/>
      <w:marLeft w:val="0"/>
      <w:marRight w:val="0"/>
      <w:marTop w:val="0"/>
      <w:marBottom w:val="0"/>
      <w:divBdr>
        <w:top w:val="none" w:sz="0" w:space="0" w:color="auto"/>
        <w:left w:val="none" w:sz="0" w:space="0" w:color="auto"/>
        <w:bottom w:val="none" w:sz="0" w:space="0" w:color="auto"/>
        <w:right w:val="none" w:sz="0" w:space="0" w:color="auto"/>
      </w:divBdr>
    </w:div>
    <w:div w:id="1572738344">
      <w:bodyDiv w:val="1"/>
      <w:marLeft w:val="0"/>
      <w:marRight w:val="0"/>
      <w:marTop w:val="0"/>
      <w:marBottom w:val="0"/>
      <w:divBdr>
        <w:top w:val="none" w:sz="0" w:space="0" w:color="auto"/>
        <w:left w:val="none" w:sz="0" w:space="0" w:color="auto"/>
        <w:bottom w:val="none" w:sz="0" w:space="0" w:color="auto"/>
        <w:right w:val="none" w:sz="0" w:space="0" w:color="auto"/>
      </w:divBdr>
    </w:div>
    <w:div w:id="1599210867">
      <w:bodyDiv w:val="1"/>
      <w:marLeft w:val="0"/>
      <w:marRight w:val="0"/>
      <w:marTop w:val="0"/>
      <w:marBottom w:val="0"/>
      <w:divBdr>
        <w:top w:val="none" w:sz="0" w:space="0" w:color="auto"/>
        <w:left w:val="none" w:sz="0" w:space="0" w:color="auto"/>
        <w:bottom w:val="none" w:sz="0" w:space="0" w:color="auto"/>
        <w:right w:val="none" w:sz="0" w:space="0" w:color="auto"/>
      </w:divBdr>
    </w:div>
    <w:div w:id="1650788898">
      <w:bodyDiv w:val="1"/>
      <w:marLeft w:val="0"/>
      <w:marRight w:val="0"/>
      <w:marTop w:val="0"/>
      <w:marBottom w:val="0"/>
      <w:divBdr>
        <w:top w:val="none" w:sz="0" w:space="0" w:color="auto"/>
        <w:left w:val="none" w:sz="0" w:space="0" w:color="auto"/>
        <w:bottom w:val="none" w:sz="0" w:space="0" w:color="auto"/>
        <w:right w:val="none" w:sz="0" w:space="0" w:color="auto"/>
      </w:divBdr>
    </w:div>
    <w:div w:id="1667317425">
      <w:bodyDiv w:val="1"/>
      <w:marLeft w:val="0"/>
      <w:marRight w:val="0"/>
      <w:marTop w:val="0"/>
      <w:marBottom w:val="0"/>
      <w:divBdr>
        <w:top w:val="none" w:sz="0" w:space="0" w:color="auto"/>
        <w:left w:val="none" w:sz="0" w:space="0" w:color="auto"/>
        <w:bottom w:val="none" w:sz="0" w:space="0" w:color="auto"/>
        <w:right w:val="none" w:sz="0" w:space="0" w:color="auto"/>
      </w:divBdr>
    </w:div>
    <w:div w:id="1694112228">
      <w:bodyDiv w:val="1"/>
      <w:marLeft w:val="0"/>
      <w:marRight w:val="0"/>
      <w:marTop w:val="0"/>
      <w:marBottom w:val="0"/>
      <w:divBdr>
        <w:top w:val="none" w:sz="0" w:space="0" w:color="auto"/>
        <w:left w:val="none" w:sz="0" w:space="0" w:color="auto"/>
        <w:bottom w:val="none" w:sz="0" w:space="0" w:color="auto"/>
        <w:right w:val="none" w:sz="0" w:space="0" w:color="auto"/>
      </w:divBdr>
    </w:div>
    <w:div w:id="1804498918">
      <w:bodyDiv w:val="1"/>
      <w:marLeft w:val="0"/>
      <w:marRight w:val="0"/>
      <w:marTop w:val="0"/>
      <w:marBottom w:val="0"/>
      <w:divBdr>
        <w:top w:val="none" w:sz="0" w:space="0" w:color="auto"/>
        <w:left w:val="none" w:sz="0" w:space="0" w:color="auto"/>
        <w:bottom w:val="none" w:sz="0" w:space="0" w:color="auto"/>
        <w:right w:val="none" w:sz="0" w:space="0" w:color="auto"/>
      </w:divBdr>
    </w:div>
    <w:div w:id="1829130825">
      <w:bodyDiv w:val="1"/>
      <w:marLeft w:val="0"/>
      <w:marRight w:val="0"/>
      <w:marTop w:val="0"/>
      <w:marBottom w:val="0"/>
      <w:divBdr>
        <w:top w:val="none" w:sz="0" w:space="0" w:color="auto"/>
        <w:left w:val="none" w:sz="0" w:space="0" w:color="auto"/>
        <w:bottom w:val="none" w:sz="0" w:space="0" w:color="auto"/>
        <w:right w:val="none" w:sz="0" w:space="0" w:color="auto"/>
      </w:divBdr>
    </w:div>
    <w:div w:id="1861629439">
      <w:bodyDiv w:val="1"/>
      <w:marLeft w:val="0"/>
      <w:marRight w:val="0"/>
      <w:marTop w:val="0"/>
      <w:marBottom w:val="0"/>
      <w:divBdr>
        <w:top w:val="none" w:sz="0" w:space="0" w:color="auto"/>
        <w:left w:val="none" w:sz="0" w:space="0" w:color="auto"/>
        <w:bottom w:val="none" w:sz="0" w:space="0" w:color="auto"/>
        <w:right w:val="none" w:sz="0" w:space="0" w:color="auto"/>
      </w:divBdr>
    </w:div>
    <w:div w:id="1881749300">
      <w:bodyDiv w:val="1"/>
      <w:marLeft w:val="0"/>
      <w:marRight w:val="0"/>
      <w:marTop w:val="0"/>
      <w:marBottom w:val="0"/>
      <w:divBdr>
        <w:top w:val="none" w:sz="0" w:space="0" w:color="auto"/>
        <w:left w:val="none" w:sz="0" w:space="0" w:color="auto"/>
        <w:bottom w:val="none" w:sz="0" w:space="0" w:color="auto"/>
        <w:right w:val="none" w:sz="0" w:space="0" w:color="auto"/>
      </w:divBdr>
    </w:div>
    <w:div w:id="1890651048">
      <w:bodyDiv w:val="1"/>
      <w:marLeft w:val="0"/>
      <w:marRight w:val="0"/>
      <w:marTop w:val="0"/>
      <w:marBottom w:val="0"/>
      <w:divBdr>
        <w:top w:val="none" w:sz="0" w:space="0" w:color="auto"/>
        <w:left w:val="none" w:sz="0" w:space="0" w:color="auto"/>
        <w:bottom w:val="none" w:sz="0" w:space="0" w:color="auto"/>
        <w:right w:val="none" w:sz="0" w:space="0" w:color="auto"/>
      </w:divBdr>
    </w:div>
    <w:div w:id="1956206658">
      <w:bodyDiv w:val="1"/>
      <w:marLeft w:val="0"/>
      <w:marRight w:val="0"/>
      <w:marTop w:val="0"/>
      <w:marBottom w:val="0"/>
      <w:divBdr>
        <w:top w:val="none" w:sz="0" w:space="0" w:color="auto"/>
        <w:left w:val="none" w:sz="0" w:space="0" w:color="auto"/>
        <w:bottom w:val="none" w:sz="0" w:space="0" w:color="auto"/>
        <w:right w:val="none" w:sz="0" w:space="0" w:color="auto"/>
      </w:divBdr>
    </w:div>
    <w:div w:id="1962956939">
      <w:bodyDiv w:val="1"/>
      <w:marLeft w:val="0"/>
      <w:marRight w:val="0"/>
      <w:marTop w:val="0"/>
      <w:marBottom w:val="0"/>
      <w:divBdr>
        <w:top w:val="none" w:sz="0" w:space="0" w:color="auto"/>
        <w:left w:val="none" w:sz="0" w:space="0" w:color="auto"/>
        <w:bottom w:val="none" w:sz="0" w:space="0" w:color="auto"/>
        <w:right w:val="none" w:sz="0" w:space="0" w:color="auto"/>
      </w:divBdr>
    </w:div>
    <w:div w:id="1968705214">
      <w:bodyDiv w:val="1"/>
      <w:marLeft w:val="0"/>
      <w:marRight w:val="0"/>
      <w:marTop w:val="0"/>
      <w:marBottom w:val="0"/>
      <w:divBdr>
        <w:top w:val="none" w:sz="0" w:space="0" w:color="auto"/>
        <w:left w:val="none" w:sz="0" w:space="0" w:color="auto"/>
        <w:bottom w:val="none" w:sz="0" w:space="0" w:color="auto"/>
        <w:right w:val="none" w:sz="0" w:space="0" w:color="auto"/>
      </w:divBdr>
    </w:div>
    <w:div w:id="1970166327">
      <w:bodyDiv w:val="1"/>
      <w:marLeft w:val="0"/>
      <w:marRight w:val="0"/>
      <w:marTop w:val="0"/>
      <w:marBottom w:val="0"/>
      <w:divBdr>
        <w:top w:val="none" w:sz="0" w:space="0" w:color="auto"/>
        <w:left w:val="none" w:sz="0" w:space="0" w:color="auto"/>
        <w:bottom w:val="none" w:sz="0" w:space="0" w:color="auto"/>
        <w:right w:val="none" w:sz="0" w:space="0" w:color="auto"/>
      </w:divBdr>
    </w:div>
    <w:div w:id="2021352849">
      <w:bodyDiv w:val="1"/>
      <w:marLeft w:val="0"/>
      <w:marRight w:val="0"/>
      <w:marTop w:val="0"/>
      <w:marBottom w:val="0"/>
      <w:divBdr>
        <w:top w:val="none" w:sz="0" w:space="0" w:color="auto"/>
        <w:left w:val="none" w:sz="0" w:space="0" w:color="auto"/>
        <w:bottom w:val="none" w:sz="0" w:space="0" w:color="auto"/>
        <w:right w:val="none" w:sz="0" w:space="0" w:color="auto"/>
      </w:divBdr>
    </w:div>
    <w:div w:id="2081707860">
      <w:bodyDiv w:val="1"/>
      <w:marLeft w:val="0"/>
      <w:marRight w:val="0"/>
      <w:marTop w:val="0"/>
      <w:marBottom w:val="0"/>
      <w:divBdr>
        <w:top w:val="none" w:sz="0" w:space="0" w:color="auto"/>
        <w:left w:val="none" w:sz="0" w:space="0" w:color="auto"/>
        <w:bottom w:val="none" w:sz="0" w:space="0" w:color="auto"/>
        <w:right w:val="none" w:sz="0" w:space="0" w:color="auto"/>
      </w:divBdr>
    </w:div>
    <w:div w:id="2116509961">
      <w:bodyDiv w:val="1"/>
      <w:marLeft w:val="0"/>
      <w:marRight w:val="0"/>
      <w:marTop w:val="0"/>
      <w:marBottom w:val="0"/>
      <w:divBdr>
        <w:top w:val="none" w:sz="0" w:space="0" w:color="auto"/>
        <w:left w:val="none" w:sz="0" w:space="0" w:color="auto"/>
        <w:bottom w:val="none" w:sz="0" w:space="0" w:color="auto"/>
        <w:right w:val="none" w:sz="0" w:space="0" w:color="auto"/>
      </w:divBdr>
    </w:div>
    <w:div w:id="2123257103">
      <w:bodyDiv w:val="1"/>
      <w:marLeft w:val="0"/>
      <w:marRight w:val="0"/>
      <w:marTop w:val="0"/>
      <w:marBottom w:val="0"/>
      <w:divBdr>
        <w:top w:val="none" w:sz="0" w:space="0" w:color="auto"/>
        <w:left w:val="none" w:sz="0" w:space="0" w:color="auto"/>
        <w:bottom w:val="none" w:sz="0" w:space="0" w:color="auto"/>
        <w:right w:val="none" w:sz="0" w:space="0" w:color="auto"/>
      </w:divBdr>
    </w:div>
    <w:div w:id="2147040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3.xml"/><Relationship Id="rId18" Type="http://schemas.openxmlformats.org/officeDocument/2006/relationships/chart" Target="charts/chart8.xml"/><Relationship Id="rId26" Type="http://schemas.openxmlformats.org/officeDocument/2006/relationships/image" Target="media/image5.png"/><Relationship Id="rId3" Type="http://schemas.openxmlformats.org/officeDocument/2006/relationships/styles" Target="styles.xml"/><Relationship Id="rId21" Type="http://schemas.openxmlformats.org/officeDocument/2006/relationships/chart" Target="charts/chart11.xml"/><Relationship Id="rId7" Type="http://schemas.openxmlformats.org/officeDocument/2006/relationships/endnotes" Target="endnotes.xml"/><Relationship Id="rId12" Type="http://schemas.openxmlformats.org/officeDocument/2006/relationships/chart" Target="charts/chart2.xml"/><Relationship Id="rId17" Type="http://schemas.openxmlformats.org/officeDocument/2006/relationships/chart" Target="charts/chart7.xml"/><Relationship Id="rId25"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chart" Target="charts/chart6.xml"/><Relationship Id="rId20" Type="http://schemas.openxmlformats.org/officeDocument/2006/relationships/chart" Target="charts/chart10.xml"/><Relationship Id="rId29" Type="http://schemas.openxmlformats.org/officeDocument/2006/relationships/chart" Target="charts/chart1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1.xml"/><Relationship Id="rId24" Type="http://schemas.openxmlformats.org/officeDocument/2006/relationships/image" Target="media/image3.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5.xml"/><Relationship Id="rId23" Type="http://schemas.openxmlformats.org/officeDocument/2006/relationships/image" Target="media/image2.png"/><Relationship Id="rId28" Type="http://schemas.openxmlformats.org/officeDocument/2006/relationships/image" Target="media/image7.png"/><Relationship Id="rId10" Type="http://schemas.openxmlformats.org/officeDocument/2006/relationships/footer" Target="footer1.xml"/><Relationship Id="rId19" Type="http://schemas.openxmlformats.org/officeDocument/2006/relationships/chart" Target="charts/chart9.xm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hart" Target="charts/chart4.xml"/><Relationship Id="rId22" Type="http://schemas.openxmlformats.org/officeDocument/2006/relationships/chart" Target="charts/chart12.xml"/><Relationship Id="rId27" Type="http://schemas.openxmlformats.org/officeDocument/2006/relationships/image" Target="media/image6.png"/><Relationship Id="rId30" Type="http://schemas.openxmlformats.org/officeDocument/2006/relationships/chart" Target="charts/chart14.xml"/></Relationships>
</file>

<file path=word/charts/_rels/chart1.xml.rels><?xml version="1.0" encoding="UTF-8" standalone="yes"?>
<Relationships xmlns="http://schemas.openxmlformats.org/package/2006/relationships"><Relationship Id="rId2" Type="http://schemas.openxmlformats.org/officeDocument/2006/relationships/oleObject" Target="file:///C:\Users\Prof%20Kessy\Desktop\MAIN%20INDICATORS%20PER%20FOR%20REPORT%20%20WRITTNING-%20FINAL%20for%20prof_working%20doc(1).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C:\Users\Prof%20Kessy\Desktop\MAIN%20INDICATORS%20PER%20FOR%20REPORT%20%20WRITTNING-%20FINAL%20for%20prof_working%20doc(1).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oleObject" Target="file:///C:\Users\Prof%20Kessy\Desktop\PROJECTS\PROJECTS_ON%20GOING\PROJECTS_SHORT%20TERM\HEALTH%20SECTOR%20PER%202015-16\MAIN%20INDICATORS%20PER%20FOR%20REPORT%20%20WRITTNING-%20FINAL%20for%20prof_working%20doc_with%20FK%20calculations.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oleObject" Target="file:///C:\Users\Prof%20Kessy\Desktop\PROJECTS\PROJECTS_ON%20GOING\PROJECTS_SHORT%20TERM\HEALTH%20SECTOR%20PER%202015-16\MAIN%20INDICATORS%20PER%20FOR%20REPORT%20%20WRITTNING-%20FINAL%20for%20prof_working%20doc_with%20FK%20calculations.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oleObject" Target="file:///C:\Users\Prof%20Kessy\Desktop\PROJECTS\PROJECTS_ON%20GOING\PROJECTS_SHORT%20TERM\HEALTH%20SECTOR%20PER%202015-16\MAIN%20INDICATORS%20PER%20FOR%20REPORT%20%20WRITTNING-%20FINAL%20for%20prof_working%20doc_with%20FK%20calculations.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oleObject" Target="file:///C:\Users\Prof%20Kessy\Desktop\PROJECTS\PROJECTS_ON%20GOING\PROJECTS_SHORT%20TERM\HEALTH%20SECTOR%20PER%202015-16\MAIN%20INDICATORS%20PER%20FOR%20REPORT%20%20WRITTNING-%20FINAL%20for%20prof_working%20doc_with%20FK%20calculations.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C:\Users\Prof%20Kessy\Desktop\MAIN%20INDICATORS%20PER%20FOR%20REPORT%20%20WRITTNING-%20FINAL%20for%20prof_working%20doc(1).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file:///C:\Users\Prof%20Kessy\Desktop\MAIN%20INDICATORS%20PER%20FOR%20REPORT%20%20WRITTNING-%20FINAL%20for%20prof_working%20doc(1).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oleObject" Target="file:///C:\Users\Prof%20Kessy\Desktop\MAIN%20INDICATORS%20PER%20FOR%20REPORT%20%20WRITTNING-%20FINAL%20for%20prof_working%20doc(1).xlsx" TargetMode="External"/><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1.xml"/><Relationship Id="rId1" Type="http://schemas.microsoft.com/office/2011/relationships/chartStyle" Target="style1.xml"/></Relationships>
</file>

<file path=word/charts/_rels/chart11.xml.rels><?xml version="1.0" encoding="UTF-8" standalone="yes"?>
<Relationships xmlns="http://schemas.openxmlformats.org/package/2006/relationships"><Relationship Id="rId3" Type="http://schemas.openxmlformats.org/officeDocument/2006/relationships/package" Target="../embeddings/Microsoft_Excel_Worksheet2.xlsx"/><Relationship Id="rId2" Type="http://schemas.microsoft.com/office/2011/relationships/chartColorStyle" Target="colors2.xml"/><Relationship Id="rId1" Type="http://schemas.microsoft.com/office/2011/relationships/chartStyle" Target="style2.xml"/></Relationships>
</file>

<file path=word/charts/_rels/chart12.xml.rels><?xml version="1.0" encoding="UTF-8" standalone="yes"?>
<Relationships xmlns="http://schemas.openxmlformats.org/package/2006/relationships"><Relationship Id="rId3" Type="http://schemas.openxmlformats.org/officeDocument/2006/relationships/package" Target="../embeddings/Microsoft_Excel_Worksheet3.xlsx"/><Relationship Id="rId2" Type="http://schemas.microsoft.com/office/2011/relationships/chartColorStyle" Target="colors3.xml"/><Relationship Id="rId1" Type="http://schemas.microsoft.com/office/2011/relationships/chartStyle" Target="style3.xml"/></Relationships>
</file>

<file path=word/charts/_rels/chart13.xml.rels><?xml version="1.0" encoding="UTF-8" standalone="yes"?>
<Relationships xmlns="http://schemas.openxmlformats.org/package/2006/relationships"><Relationship Id="rId3" Type="http://schemas.openxmlformats.org/officeDocument/2006/relationships/package" Target="../embeddings/Microsoft_Excel_Worksheet4.xlsx"/><Relationship Id="rId2" Type="http://schemas.microsoft.com/office/2011/relationships/chartColorStyle" Target="colors4.xml"/><Relationship Id="rId1" Type="http://schemas.microsoft.com/office/2011/relationships/chartStyle" Target="style4.xml"/></Relationships>
</file>

<file path=word/charts/_rels/chart14.xml.rels><?xml version="1.0" encoding="UTF-8" standalone="yes"?>
<Relationships xmlns="http://schemas.openxmlformats.org/package/2006/relationships"><Relationship Id="rId2" Type="http://schemas.openxmlformats.org/officeDocument/2006/relationships/oleObject" Target="file:///C:\Users\Prof%20Kessy\Desktop\MAIN%20INDICATORS%20PER%20FOR%20REPORT%20%20WRITTNING-%20FINAL%20for%20prof_working%20doc(1).xlsx" TargetMode="External"/><Relationship Id="rId1" Type="http://schemas.openxmlformats.org/officeDocument/2006/relationships/themeOverride" Target="../theme/themeOverride10.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Budget, TZS Billions </a:t>
            </a:r>
          </a:p>
        </c:rich>
      </c:tx>
      <c:layout>
        <c:manualLayout>
          <c:xMode val="edge"/>
          <c:yMode val="edge"/>
          <c:x val="0.38727077865266873"/>
          <c:y val="2.7777777777777811E-2"/>
        </c:manualLayout>
      </c:layout>
      <c:overlay val="0"/>
      <c:spPr>
        <a:noFill/>
        <a:ln>
          <a:noFill/>
        </a:ln>
        <a:effectLst/>
      </c:spPr>
    </c:title>
    <c:autoTitleDeleted val="0"/>
    <c:plotArea>
      <c:layout/>
      <c:lineChart>
        <c:grouping val="standard"/>
        <c:varyColors val="0"/>
        <c:ser>
          <c:idx val="0"/>
          <c:order val="0"/>
          <c:tx>
            <c:strRef>
              <c:f>'absolute terms spending '!$A$2</c:f>
              <c:strCache>
                <c:ptCount val="1"/>
                <c:pt idx="0">
                  <c:v>Health Budget (Nominal)</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'absolute terms spending '!$B$1:$F$1</c:f>
              <c:strCache>
                <c:ptCount val="5"/>
                <c:pt idx="0">
                  <c:v>2012/13</c:v>
                </c:pt>
                <c:pt idx="1">
                  <c:v>2013/14</c:v>
                </c:pt>
                <c:pt idx="2">
                  <c:v>2014/15</c:v>
                </c:pt>
                <c:pt idx="3">
                  <c:v>2015/16</c:v>
                </c:pt>
                <c:pt idx="4">
                  <c:v>2016/17</c:v>
                </c:pt>
              </c:strCache>
            </c:strRef>
          </c:cat>
          <c:val>
            <c:numRef>
              <c:f>'absolute terms spending '!$B$2:$F$2</c:f>
              <c:numCache>
                <c:formatCode>#,##0</c:formatCode>
                <c:ptCount val="5"/>
                <c:pt idx="0">
                  <c:v>1270.308100081</c:v>
                </c:pt>
                <c:pt idx="1">
                  <c:v>1513.5813176579293</c:v>
                </c:pt>
                <c:pt idx="2">
                  <c:v>1447.5981157014801</c:v>
                </c:pt>
                <c:pt idx="3">
                  <c:v>1821.0552701932406</c:v>
                </c:pt>
                <c:pt idx="4">
                  <c:v>2464.5913379413028</c:v>
                </c:pt>
              </c:numCache>
            </c:numRef>
          </c:val>
          <c:smooth val="0"/>
        </c:ser>
        <c:ser>
          <c:idx val="1"/>
          <c:order val="1"/>
          <c:tx>
            <c:strRef>
              <c:f>'absolute terms spending '!$A$3</c:f>
              <c:strCache>
                <c:ptCount val="1"/>
                <c:pt idx="0">
                  <c:v>Health Budget (Real)</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'absolute terms spending '!$B$1:$F$1</c:f>
              <c:strCache>
                <c:ptCount val="5"/>
                <c:pt idx="0">
                  <c:v>2012/13</c:v>
                </c:pt>
                <c:pt idx="1">
                  <c:v>2013/14</c:v>
                </c:pt>
                <c:pt idx="2">
                  <c:v>2014/15</c:v>
                </c:pt>
                <c:pt idx="3">
                  <c:v>2015/16</c:v>
                </c:pt>
                <c:pt idx="4">
                  <c:v>2016/17</c:v>
                </c:pt>
              </c:strCache>
            </c:strRef>
          </c:cat>
          <c:val>
            <c:numRef>
              <c:f>'absolute terms spending '!$B$3:$F$3</c:f>
              <c:numCache>
                <c:formatCode>_(* #,##0_);_(* \(#,##0\);_(* "-"??_);_(@_)</c:formatCode>
                <c:ptCount val="5"/>
                <c:pt idx="0">
                  <c:v>714.69290008588348</c:v>
                </c:pt>
                <c:pt idx="1">
                  <c:v>808.76701102851371</c:v>
                </c:pt>
                <c:pt idx="2">
                  <c:v>736.27160576330357</c:v>
                </c:pt>
                <c:pt idx="3">
                  <c:v>875.58479938393577</c:v>
                </c:pt>
                <c:pt idx="4" formatCode="_(* #,##0_);_(* \(#,##0\);_(* &quot;-&quot;_);_(@_)">
                  <c:v>1196.1899825877899</c:v>
                </c:pt>
              </c:numCache>
            </c:numRef>
          </c:val>
          <c:smooth val="0"/>
        </c:ser>
        <c:dLbls>
          <c:showLegendKey val="0"/>
          <c:showVal val="0"/>
          <c:showCatName val="0"/>
          <c:showSerName val="0"/>
          <c:showPercent val="0"/>
          <c:showBubbleSize val="0"/>
        </c:dLbls>
        <c:marker val="1"/>
        <c:smooth val="0"/>
        <c:axId val="704536160"/>
        <c:axId val="704538120"/>
      </c:lineChart>
      <c:catAx>
        <c:axId val="70453616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04538120"/>
        <c:crosses val="autoZero"/>
        <c:auto val="1"/>
        <c:lblAlgn val="ctr"/>
        <c:lblOffset val="100"/>
        <c:noMultiLvlLbl val="0"/>
      </c:catAx>
      <c:valAx>
        <c:axId val="70453812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0453616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Spending, TZS billions</a:t>
            </a:r>
            <a:r>
              <a:rPr lang="en-US" baseline="0"/>
              <a:t> </a:t>
            </a:r>
            <a:endParaRPr lang="en-US"/>
          </a:p>
        </c:rich>
      </c:tx>
      <c:overlay val="0"/>
      <c:spPr>
        <a:noFill/>
        <a:ln>
          <a:noFill/>
        </a:ln>
        <a:effectLst/>
      </c:spPr>
    </c:title>
    <c:autoTitleDeleted val="0"/>
    <c:plotArea>
      <c:layout/>
      <c:lineChart>
        <c:grouping val="standard"/>
        <c:varyColors val="0"/>
        <c:ser>
          <c:idx val="0"/>
          <c:order val="0"/>
          <c:tx>
            <c:strRef>
              <c:f>'absolute terms spending '!$I$2</c:f>
              <c:strCache>
                <c:ptCount val="1"/>
                <c:pt idx="0">
                  <c:v>Health Spending (Nominal)</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'absolute terms spending '!$J$1:$M$1</c:f>
              <c:strCache>
                <c:ptCount val="4"/>
                <c:pt idx="0">
                  <c:v>2012/13</c:v>
                </c:pt>
                <c:pt idx="1">
                  <c:v>2013/14</c:v>
                </c:pt>
                <c:pt idx="2">
                  <c:v>2014/15</c:v>
                </c:pt>
                <c:pt idx="3">
                  <c:v>2015/16</c:v>
                </c:pt>
              </c:strCache>
            </c:strRef>
          </c:cat>
          <c:val>
            <c:numRef>
              <c:f>'absolute terms spending '!$J$2:$M$2</c:f>
              <c:numCache>
                <c:formatCode>#,##0</c:formatCode>
                <c:ptCount val="4"/>
                <c:pt idx="0">
                  <c:v>1055.1293299049998</c:v>
                </c:pt>
                <c:pt idx="1">
                  <c:v>1306.465389405241</c:v>
                </c:pt>
                <c:pt idx="2" formatCode="_(* #,##0_);_(* \(#,##0\);_(* &quot;-&quot;??_);_(@_)">
                  <c:v>1192.2916329177799</c:v>
                </c:pt>
                <c:pt idx="3" formatCode="_(* #,##0_);_(* \(#,##0\);_(* &quot;-&quot;_);_(@_)">
                  <c:v>1445.7626489521992</c:v>
                </c:pt>
              </c:numCache>
            </c:numRef>
          </c:val>
          <c:smooth val="0"/>
        </c:ser>
        <c:ser>
          <c:idx val="1"/>
          <c:order val="1"/>
          <c:tx>
            <c:strRef>
              <c:f>'absolute terms spending '!$I$3</c:f>
              <c:strCache>
                <c:ptCount val="1"/>
                <c:pt idx="0">
                  <c:v>Health Spending (Real)</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'absolute terms spending '!$J$1:$M$1</c:f>
              <c:strCache>
                <c:ptCount val="4"/>
                <c:pt idx="0">
                  <c:v>2012/13</c:v>
                </c:pt>
                <c:pt idx="1">
                  <c:v>2013/14</c:v>
                </c:pt>
                <c:pt idx="2">
                  <c:v>2014/15</c:v>
                </c:pt>
                <c:pt idx="3">
                  <c:v>2015/16</c:v>
                </c:pt>
              </c:strCache>
            </c:strRef>
          </c:cat>
          <c:val>
            <c:numRef>
              <c:f>'absolute terms spending '!$J$3:$M$3</c:f>
              <c:numCache>
                <c:formatCode>_(* #,##0_);_(* \(#,##0\);_(* "-"??_);_(@_)</c:formatCode>
                <c:ptCount val="4"/>
                <c:pt idx="0">
                  <c:v>593.63034897391879</c:v>
                </c:pt>
                <c:pt idx="1">
                  <c:v>698.09669006517004</c:v>
                </c:pt>
                <c:pt idx="2">
                  <c:v>606.41863621184302</c:v>
                </c:pt>
                <c:pt idx="3">
                  <c:v>695.13969161697662</c:v>
                </c:pt>
              </c:numCache>
            </c:numRef>
          </c:val>
          <c:smooth val="0"/>
        </c:ser>
        <c:dLbls>
          <c:showLegendKey val="0"/>
          <c:showVal val="0"/>
          <c:showCatName val="0"/>
          <c:showSerName val="0"/>
          <c:showPercent val="0"/>
          <c:showBubbleSize val="0"/>
        </c:dLbls>
        <c:marker val="1"/>
        <c:smooth val="0"/>
        <c:axId val="704536944"/>
        <c:axId val="704538512"/>
      </c:lineChart>
      <c:catAx>
        <c:axId val="7045369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04538512"/>
        <c:crosses val="autoZero"/>
        <c:auto val="1"/>
        <c:lblAlgn val="ctr"/>
        <c:lblOffset val="100"/>
        <c:noMultiLvlLbl val="0"/>
      </c:catAx>
      <c:valAx>
        <c:axId val="70453851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045369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en-US" b="1"/>
              <a:t>as % of Government Budget </a:t>
            </a:r>
          </a:p>
        </c:rich>
      </c:tx>
      <c:layout>
        <c:manualLayout>
          <c:xMode val="edge"/>
          <c:yMode val="edge"/>
          <c:x val="0.3226477066447852"/>
          <c:y val="2.3557126030624265E-2"/>
        </c:manualLayout>
      </c:layout>
      <c:overlay val="0"/>
      <c:spPr>
        <a:noFill/>
        <a:ln>
          <a:noFill/>
        </a:ln>
        <a:effectLst/>
      </c:spPr>
    </c:title>
    <c:autoTitleDeleted val="0"/>
    <c:plotArea>
      <c:layout/>
      <c:lineChart>
        <c:grouping val="standard"/>
        <c:varyColors val="0"/>
        <c:ser>
          <c:idx val="0"/>
          <c:order val="0"/>
          <c:tx>
            <c:strRef>
              <c:f>'spending cfs GRAPH '!$A$3</c:f>
              <c:strCache>
                <c:ptCount val="1"/>
                <c:pt idx="0">
                  <c:v>Share of Health Budget   Incl. CFS</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'spending cfs GRAPH '!$B$1:$F$2</c:f>
              <c:strCache>
                <c:ptCount val="5"/>
                <c:pt idx="0">
                  <c:v>2012/13</c:v>
                </c:pt>
                <c:pt idx="1">
                  <c:v>2013/14</c:v>
                </c:pt>
                <c:pt idx="2">
                  <c:v>2014/15</c:v>
                </c:pt>
                <c:pt idx="3">
                  <c:v>2015/16</c:v>
                </c:pt>
                <c:pt idx="4">
                  <c:v>2016/17</c:v>
                </c:pt>
              </c:strCache>
            </c:strRef>
          </c:cat>
          <c:val>
            <c:numRef>
              <c:f>'spending cfs GRAPH '!$B$3:$F$3</c:f>
              <c:numCache>
                <c:formatCode>0.0%</c:formatCode>
                <c:ptCount val="5"/>
                <c:pt idx="0">
                  <c:v>9.4000000000000028E-2</c:v>
                </c:pt>
                <c:pt idx="1">
                  <c:v>9.1000000000000025E-2</c:v>
                </c:pt>
                <c:pt idx="2">
                  <c:v>8.4000000000000047E-2</c:v>
                </c:pt>
                <c:pt idx="3">
                  <c:v>8.1000000000000003E-2</c:v>
                </c:pt>
                <c:pt idx="4">
                  <c:v>8.3000000000000046E-2</c:v>
                </c:pt>
              </c:numCache>
            </c:numRef>
          </c:val>
          <c:smooth val="0"/>
        </c:ser>
        <c:ser>
          <c:idx val="1"/>
          <c:order val="1"/>
          <c:tx>
            <c:strRef>
              <c:f>'spending cfs GRAPH '!$A$4</c:f>
              <c:strCache>
                <c:ptCount val="1"/>
                <c:pt idx="0">
                  <c:v>Share of Health Budget   Excl. CFS</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'spending cfs GRAPH '!$B$1:$F$2</c:f>
              <c:strCache>
                <c:ptCount val="5"/>
                <c:pt idx="0">
                  <c:v>2012/13</c:v>
                </c:pt>
                <c:pt idx="1">
                  <c:v>2013/14</c:v>
                </c:pt>
                <c:pt idx="2">
                  <c:v>2014/15</c:v>
                </c:pt>
                <c:pt idx="3">
                  <c:v>2015/16</c:v>
                </c:pt>
                <c:pt idx="4">
                  <c:v>2016/17</c:v>
                </c:pt>
              </c:strCache>
            </c:strRef>
          </c:cat>
          <c:val>
            <c:numRef>
              <c:f>'spending cfs GRAPH '!$B$4:$F$4</c:f>
              <c:numCache>
                <c:formatCode>0.0%</c:formatCode>
                <c:ptCount val="5"/>
                <c:pt idx="0">
                  <c:v>9.3000000000000069E-2</c:v>
                </c:pt>
                <c:pt idx="1">
                  <c:v>9.3466000284968265E-2</c:v>
                </c:pt>
                <c:pt idx="2">
                  <c:v>8.4000000000000047E-2</c:v>
                </c:pt>
                <c:pt idx="3">
                  <c:v>0.10070522068249679</c:v>
                </c:pt>
                <c:pt idx="4">
                  <c:v>9.3550545875564203E-2</c:v>
                </c:pt>
              </c:numCache>
            </c:numRef>
          </c:val>
          <c:smooth val="0"/>
        </c:ser>
        <c:dLbls>
          <c:showLegendKey val="0"/>
          <c:showVal val="0"/>
          <c:showCatName val="0"/>
          <c:showSerName val="0"/>
          <c:showPercent val="0"/>
          <c:showBubbleSize val="0"/>
        </c:dLbls>
        <c:marker val="1"/>
        <c:smooth val="0"/>
        <c:axId val="755282000"/>
        <c:axId val="755282392"/>
      </c:lineChart>
      <c:catAx>
        <c:axId val="75528200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755282392"/>
        <c:crosses val="autoZero"/>
        <c:auto val="1"/>
        <c:lblAlgn val="ctr"/>
        <c:lblOffset val="100"/>
        <c:noMultiLvlLbl val="0"/>
      </c:catAx>
      <c:valAx>
        <c:axId val="755282392"/>
        <c:scaling>
          <c:orientation val="minMax"/>
          <c:min val="5.0000000000000024E-2"/>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755282000"/>
        <c:crosses val="autoZero"/>
        <c:crossBetween val="between"/>
      </c:valAx>
      <c:spPr>
        <a:noFill/>
        <a:ln>
          <a:noFill/>
        </a:ln>
        <a:effectLst/>
      </c:spPr>
    </c:plotArea>
    <c:legend>
      <c:legendPos val="b"/>
      <c:layout>
        <c:manualLayout>
          <c:xMode val="edge"/>
          <c:yMode val="edge"/>
          <c:x val="5.2899483088993303E-2"/>
          <c:y val="0.89925216945054975"/>
          <c:w val="0.82488821852371375"/>
          <c:h val="0.10074783054944987"/>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en-US" b="1"/>
              <a:t>as % of Government Spending </a:t>
            </a:r>
          </a:p>
        </c:rich>
      </c:tx>
      <c:overlay val="0"/>
      <c:spPr>
        <a:noFill/>
        <a:ln>
          <a:noFill/>
        </a:ln>
        <a:effectLst/>
      </c:spPr>
    </c:title>
    <c:autoTitleDeleted val="0"/>
    <c:plotArea>
      <c:layout/>
      <c:lineChart>
        <c:grouping val="standard"/>
        <c:varyColors val="0"/>
        <c:ser>
          <c:idx val="0"/>
          <c:order val="0"/>
          <c:tx>
            <c:strRef>
              <c:f>'spending cfs GRAPH '!$I$3</c:f>
              <c:strCache>
                <c:ptCount val="1"/>
                <c:pt idx="0">
                  <c:v>Share of Health Spending  Incl. CFS</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'spending cfs GRAPH '!$J$2:$M$2</c:f>
              <c:strCache>
                <c:ptCount val="4"/>
                <c:pt idx="0">
                  <c:v>2012/13</c:v>
                </c:pt>
                <c:pt idx="1">
                  <c:v>2013/14</c:v>
                </c:pt>
                <c:pt idx="2">
                  <c:v>2014/15</c:v>
                </c:pt>
                <c:pt idx="3">
                  <c:v>2015/16</c:v>
                </c:pt>
              </c:strCache>
            </c:strRef>
          </c:cat>
          <c:val>
            <c:numRef>
              <c:f>'spending cfs GRAPH '!$J$3:$M$3</c:f>
              <c:numCache>
                <c:formatCode>0.0%</c:formatCode>
                <c:ptCount val="4"/>
                <c:pt idx="0">
                  <c:v>8.7244032570282862E-2</c:v>
                </c:pt>
                <c:pt idx="1">
                  <c:v>9.3598414509409603E-2</c:v>
                </c:pt>
                <c:pt idx="2">
                  <c:v>8.1643120094070723E-2</c:v>
                </c:pt>
                <c:pt idx="3">
                  <c:v>8.0364794271939946E-2</c:v>
                </c:pt>
              </c:numCache>
            </c:numRef>
          </c:val>
          <c:smooth val="0"/>
        </c:ser>
        <c:ser>
          <c:idx val="1"/>
          <c:order val="1"/>
          <c:tx>
            <c:strRef>
              <c:f>'spending cfs GRAPH '!$I$4</c:f>
              <c:strCache>
                <c:ptCount val="1"/>
                <c:pt idx="0">
                  <c:v>Share of Health Spending  Excl. CFS</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'spending cfs GRAPH '!$J$2:$M$2</c:f>
              <c:strCache>
                <c:ptCount val="4"/>
                <c:pt idx="0">
                  <c:v>2012/13</c:v>
                </c:pt>
                <c:pt idx="1">
                  <c:v>2013/14</c:v>
                </c:pt>
                <c:pt idx="2">
                  <c:v>2014/15</c:v>
                </c:pt>
                <c:pt idx="3">
                  <c:v>2015/16</c:v>
                </c:pt>
              </c:strCache>
            </c:strRef>
          </c:cat>
          <c:val>
            <c:numRef>
              <c:f>'spending cfs GRAPH '!$J$4:$M$4</c:f>
              <c:numCache>
                <c:formatCode>0.0%</c:formatCode>
                <c:ptCount val="4"/>
                <c:pt idx="0">
                  <c:v>9.2398415062463504E-2</c:v>
                </c:pt>
                <c:pt idx="1">
                  <c:v>9.8515214769452103E-2</c:v>
                </c:pt>
                <c:pt idx="2">
                  <c:v>8.6291045961757476E-2</c:v>
                </c:pt>
                <c:pt idx="3">
                  <c:v>7.331586540481845E-2</c:v>
                </c:pt>
              </c:numCache>
            </c:numRef>
          </c:val>
          <c:smooth val="0"/>
        </c:ser>
        <c:dLbls>
          <c:showLegendKey val="0"/>
          <c:showVal val="0"/>
          <c:showCatName val="0"/>
          <c:showSerName val="0"/>
          <c:showPercent val="0"/>
          <c:showBubbleSize val="0"/>
        </c:dLbls>
        <c:marker val="1"/>
        <c:smooth val="0"/>
        <c:axId val="755283176"/>
        <c:axId val="755283568"/>
      </c:lineChart>
      <c:catAx>
        <c:axId val="7552831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755283568"/>
        <c:crosses val="autoZero"/>
        <c:auto val="1"/>
        <c:lblAlgn val="ctr"/>
        <c:lblOffset val="100"/>
        <c:noMultiLvlLbl val="0"/>
      </c:catAx>
      <c:valAx>
        <c:axId val="755283568"/>
        <c:scaling>
          <c:orientation val="minMax"/>
          <c:min val="5.0000000000000024E-2"/>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755283176"/>
        <c:crosses val="autoZero"/>
        <c:crossBetween val="between"/>
        <c:majorUnit val="1.0000000000000005E-2"/>
      </c:valAx>
      <c:spPr>
        <a:noFill/>
        <a:ln>
          <a:noFill/>
        </a:ln>
        <a:effectLst/>
      </c:spPr>
    </c:plotArea>
    <c:legend>
      <c:legendPos val="b"/>
      <c:layout>
        <c:manualLayout>
          <c:xMode val="edge"/>
          <c:yMode val="edge"/>
          <c:x val="1.2752049834627601E-2"/>
          <c:y val="0.81272803862480225"/>
          <c:w val="0.97798789879650661"/>
          <c:h val="0.16258060335050703"/>
        </c:manualLayout>
      </c:layout>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en-US" b="1"/>
              <a:t>Public Per Capital Budget</a:t>
            </a:r>
            <a:r>
              <a:rPr lang="en-US" b="1" baseline="0"/>
              <a:t> allocation </a:t>
            </a:r>
            <a:endParaRPr lang="en-US" b="1"/>
          </a:p>
        </c:rich>
      </c:tx>
      <c:overlay val="0"/>
      <c:spPr>
        <a:noFill/>
        <a:ln>
          <a:noFill/>
        </a:ln>
        <a:effectLst/>
      </c:spPr>
    </c:title>
    <c:autoTitleDeleted val="0"/>
    <c:plotArea>
      <c:layout/>
      <c:lineChart>
        <c:grouping val="standard"/>
        <c:varyColors val="0"/>
        <c:ser>
          <c:idx val="0"/>
          <c:order val="0"/>
          <c:tx>
            <c:strRef>
              <c:f>'per capita'!$A$2</c:f>
              <c:strCache>
                <c:ptCount val="1"/>
                <c:pt idx="0">
                  <c:v>Per Capita Health Budget (TZS)</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'per capita'!$B$1:$F$1</c:f>
              <c:strCache>
                <c:ptCount val="5"/>
                <c:pt idx="0">
                  <c:v>2012/13</c:v>
                </c:pt>
                <c:pt idx="1">
                  <c:v>2013/14</c:v>
                </c:pt>
                <c:pt idx="2">
                  <c:v>2014/15</c:v>
                </c:pt>
                <c:pt idx="3">
                  <c:v>2015/16</c:v>
                </c:pt>
                <c:pt idx="4">
                  <c:v>2016/17</c:v>
                </c:pt>
              </c:strCache>
            </c:strRef>
          </c:cat>
          <c:val>
            <c:numRef>
              <c:f>'per capita'!$B$2:$F$2</c:f>
              <c:numCache>
                <c:formatCode>#,##0</c:formatCode>
                <c:ptCount val="5"/>
                <c:pt idx="0" formatCode="_(* #,##0_);_(* \(#,##0\);_(* &quot;-&quot;_);_(@_)">
                  <c:v>28845</c:v>
                </c:pt>
                <c:pt idx="1">
                  <c:v>33445.456768195821</c:v>
                </c:pt>
                <c:pt idx="2">
                  <c:v>31124.026737884204</c:v>
                </c:pt>
                <c:pt idx="3">
                  <c:v>38091.687116954672</c:v>
                </c:pt>
                <c:pt idx="4" formatCode="_(* #,##0_);_(* \(#,##0\);_(* &quot;-&quot;_);_(@_)">
                  <c:v>50147.966603892768</c:v>
                </c:pt>
              </c:numCache>
            </c:numRef>
          </c:val>
          <c:smooth val="0"/>
        </c:ser>
        <c:ser>
          <c:idx val="1"/>
          <c:order val="1"/>
          <c:tx>
            <c:strRef>
              <c:f>'per capita'!$A$3</c:f>
              <c:strCache>
                <c:ptCount val="1"/>
                <c:pt idx="0">
                  <c:v>Real Per Capita Health Budget (TZS)</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'per capita'!$B$1:$F$1</c:f>
              <c:strCache>
                <c:ptCount val="5"/>
                <c:pt idx="0">
                  <c:v>2012/13</c:v>
                </c:pt>
                <c:pt idx="1">
                  <c:v>2013/14</c:v>
                </c:pt>
                <c:pt idx="2">
                  <c:v>2014/15</c:v>
                </c:pt>
                <c:pt idx="3">
                  <c:v>2015/16</c:v>
                </c:pt>
                <c:pt idx="4">
                  <c:v>2016/17</c:v>
                </c:pt>
              </c:strCache>
            </c:strRef>
          </c:cat>
          <c:val>
            <c:numRef>
              <c:f>'per capita'!$B$3:$F$3</c:f>
              <c:numCache>
                <c:formatCode>#,##0</c:formatCode>
                <c:ptCount val="5"/>
                <c:pt idx="0" formatCode="_(* #,##0_);_(* \(#,##0\);_(* &quot;-&quot;_);_(@_)">
                  <c:v>16228</c:v>
                </c:pt>
                <c:pt idx="1">
                  <c:v>17871.244701112475</c:v>
                </c:pt>
                <c:pt idx="2">
                  <c:v>15830.178898110436</c:v>
                </c:pt>
                <c:pt idx="3">
                  <c:v>18314.931330423173</c:v>
                </c:pt>
                <c:pt idx="4" formatCode="_(* #,##0_);_(* \(#,##0\);_(* &quot;-&quot;_);_(@_)">
                  <c:v>24339.32732589688</c:v>
                </c:pt>
              </c:numCache>
            </c:numRef>
          </c:val>
          <c:smooth val="0"/>
        </c:ser>
        <c:dLbls>
          <c:showLegendKey val="0"/>
          <c:showVal val="0"/>
          <c:showCatName val="0"/>
          <c:showSerName val="0"/>
          <c:showPercent val="0"/>
          <c:showBubbleSize val="0"/>
        </c:dLbls>
        <c:marker val="1"/>
        <c:smooth val="0"/>
        <c:axId val="755284352"/>
        <c:axId val="755284744"/>
      </c:lineChart>
      <c:catAx>
        <c:axId val="7552843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755284744"/>
        <c:crosses val="autoZero"/>
        <c:auto val="1"/>
        <c:lblAlgn val="ctr"/>
        <c:lblOffset val="100"/>
        <c:noMultiLvlLbl val="0"/>
      </c:catAx>
      <c:valAx>
        <c:axId val="755284744"/>
        <c:scaling>
          <c:orientation val="minMax"/>
        </c:scaling>
        <c:delete val="0"/>
        <c:axPos val="l"/>
        <c:majorGridlines>
          <c:spPr>
            <a:ln w="9525" cap="flat" cmpd="sng" algn="ctr">
              <a:solidFill>
                <a:schemeClr val="tx1">
                  <a:lumMod val="15000"/>
                  <a:lumOff val="85000"/>
                </a:schemeClr>
              </a:solidFill>
              <a:round/>
            </a:ln>
            <a:effectLst/>
          </c:spPr>
        </c:majorGridlines>
        <c:numFmt formatCode="_(* #,##0_);_(* \(#,##0\);_(* &quot;-&quot;_);_(@_)" sourceLinked="1"/>
        <c:majorTickMark val="none"/>
        <c:minorTickMark val="none"/>
        <c:tickLblPos val="nextTo"/>
        <c:spPr>
          <a:noFill/>
          <a:ln>
            <a:noFill/>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7552843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en-US" b="1"/>
              <a:t>Public</a:t>
            </a:r>
            <a:r>
              <a:rPr lang="en-US" b="1" baseline="0"/>
              <a:t> Per Capital Health Spending </a:t>
            </a:r>
            <a:endParaRPr lang="en-US" b="1"/>
          </a:p>
        </c:rich>
      </c:tx>
      <c:layout>
        <c:manualLayout>
          <c:xMode val="edge"/>
          <c:yMode val="edge"/>
          <c:x val="0.2594374453193351"/>
          <c:y val="1.8518518518518528E-2"/>
        </c:manualLayout>
      </c:layout>
      <c:overlay val="0"/>
      <c:spPr>
        <a:noFill/>
        <a:ln>
          <a:noFill/>
        </a:ln>
        <a:effectLst/>
      </c:spPr>
    </c:title>
    <c:autoTitleDeleted val="0"/>
    <c:plotArea>
      <c:layout/>
      <c:lineChart>
        <c:grouping val="standard"/>
        <c:varyColors val="0"/>
        <c:ser>
          <c:idx val="0"/>
          <c:order val="0"/>
          <c:tx>
            <c:strRef>
              <c:f>'per capita'!$I$2</c:f>
              <c:strCache>
                <c:ptCount val="1"/>
                <c:pt idx="0">
                  <c:v>Per Capita Health Spending (TZS)</c:v>
                </c:pt>
              </c:strCache>
            </c:strRef>
          </c:tx>
          <c:spPr>
            <a:ln w="28575" cap="rnd">
              <a:solidFill>
                <a:schemeClr val="accent1"/>
              </a:solidFill>
              <a:round/>
            </a:ln>
            <a:effectLst/>
          </c:spPr>
          <c:marker>
            <c:symbol val="circle"/>
            <c:size val="5"/>
            <c:spPr>
              <a:solidFill>
                <a:schemeClr val="accent1"/>
              </a:solidFill>
              <a:ln w="9525">
                <a:solidFill>
                  <a:schemeClr val="accent1"/>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'per capita'!$J$1:$M$1</c:f>
              <c:strCache>
                <c:ptCount val="4"/>
                <c:pt idx="0">
                  <c:v>2012/13</c:v>
                </c:pt>
                <c:pt idx="1">
                  <c:v>2013/14</c:v>
                </c:pt>
                <c:pt idx="2">
                  <c:v>2014/15</c:v>
                </c:pt>
                <c:pt idx="3">
                  <c:v>2015/16</c:v>
                </c:pt>
              </c:strCache>
            </c:strRef>
          </c:cat>
          <c:val>
            <c:numRef>
              <c:f>'per capita'!$J$2:$M$2</c:f>
              <c:numCache>
                <c:formatCode>#,##0</c:formatCode>
                <c:ptCount val="4"/>
                <c:pt idx="0">
                  <c:v>23958.767098474709</c:v>
                </c:pt>
                <c:pt idx="1">
                  <c:v>28868.836573716344</c:v>
                </c:pt>
                <c:pt idx="2">
                  <c:v>25634.819678047344</c:v>
                </c:pt>
                <c:pt idx="3">
                  <c:v>30241.552450751708</c:v>
                </c:pt>
              </c:numCache>
            </c:numRef>
          </c:val>
          <c:smooth val="0"/>
        </c:ser>
        <c:ser>
          <c:idx val="1"/>
          <c:order val="1"/>
          <c:tx>
            <c:strRef>
              <c:f>'per capita'!$I$3</c:f>
              <c:strCache>
                <c:ptCount val="1"/>
                <c:pt idx="0">
                  <c:v>Real Per Capita Health Spending (TZS)</c:v>
                </c:pt>
              </c:strCache>
            </c:strRef>
          </c:tx>
          <c:spPr>
            <a:ln w="28575" cap="rnd">
              <a:solidFill>
                <a:schemeClr val="accent2"/>
              </a:solidFill>
              <a:round/>
            </a:ln>
            <a:effectLst/>
          </c:spPr>
          <c:marker>
            <c:symbol val="circle"/>
            <c:size val="5"/>
            <c:spPr>
              <a:solidFill>
                <a:schemeClr val="accent2"/>
              </a:solidFill>
              <a:ln w="9525">
                <a:solidFill>
                  <a:schemeClr val="accent2"/>
                </a:solidFill>
              </a:ln>
              <a:effectLst/>
            </c:spPr>
          </c:marker>
          <c:dLbls>
            <c:spPr>
              <a:noFill/>
              <a:ln>
                <a:noFill/>
              </a:ln>
              <a:effectLst/>
            </c:spPr>
            <c:txPr>
              <a:bodyPr rot="0" spcFirstLastPara="1" vertOverflow="ellipsis" vert="horz" wrap="square" lIns="38100" tIns="19050" rIns="38100" bIns="19050" anchor="ctr" anchorCtr="1">
                <a:spAutoFit/>
              </a:bodyPr>
              <a:lstStyle/>
              <a:p>
                <a:pPr>
                  <a:defRPr sz="1200" b="1"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'per capita'!$J$1:$M$1</c:f>
              <c:strCache>
                <c:ptCount val="4"/>
                <c:pt idx="0">
                  <c:v>2012/13</c:v>
                </c:pt>
                <c:pt idx="1">
                  <c:v>2013/14</c:v>
                </c:pt>
                <c:pt idx="2">
                  <c:v>2014/15</c:v>
                </c:pt>
                <c:pt idx="3">
                  <c:v>2015/16</c:v>
                </c:pt>
              </c:strCache>
            </c:strRef>
          </c:cat>
          <c:val>
            <c:numRef>
              <c:f>'per capita'!$J$3:$M$3</c:f>
              <c:numCache>
                <c:formatCode>#,##0</c:formatCode>
                <c:ptCount val="4"/>
                <c:pt idx="0">
                  <c:v>13479.53361786743</c:v>
                </c:pt>
                <c:pt idx="1">
                  <c:v>15425.773557857779</c:v>
                </c:pt>
                <c:pt idx="2">
                  <c:v>13038.280198826169</c:v>
                </c:pt>
                <c:pt idx="3">
                  <c:v>14540.494222803249</c:v>
                </c:pt>
              </c:numCache>
            </c:numRef>
          </c:val>
          <c:smooth val="0"/>
        </c:ser>
        <c:dLbls>
          <c:showLegendKey val="0"/>
          <c:showVal val="0"/>
          <c:showCatName val="0"/>
          <c:showSerName val="0"/>
          <c:showPercent val="0"/>
          <c:showBubbleSize val="0"/>
        </c:dLbls>
        <c:marker val="1"/>
        <c:smooth val="0"/>
        <c:axId val="755285528"/>
        <c:axId val="755285920"/>
      </c:lineChart>
      <c:catAx>
        <c:axId val="7552855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755285920"/>
        <c:crosses val="autoZero"/>
        <c:auto val="1"/>
        <c:lblAlgn val="ctr"/>
        <c:lblOffset val="100"/>
        <c:noMultiLvlLbl val="0"/>
      </c:catAx>
      <c:valAx>
        <c:axId val="75528592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1200" b="1" i="0" u="none" strike="noStrike" kern="1200" baseline="0">
                <a:solidFill>
                  <a:schemeClr val="tx1">
                    <a:lumMod val="65000"/>
                    <a:lumOff val="35000"/>
                  </a:schemeClr>
                </a:solidFill>
                <a:latin typeface="+mn-lt"/>
                <a:ea typeface="+mn-ea"/>
                <a:cs typeface="+mn-cs"/>
              </a:defRPr>
            </a:pPr>
            <a:endParaRPr lang="en-US"/>
          </a:p>
        </c:txPr>
        <c:crossAx val="755285528"/>
        <c:crosses val="autoZero"/>
        <c:crossBetween val="between"/>
        <c:majorUnit val="10000"/>
      </c:valAx>
      <c:spPr>
        <a:noFill/>
        <a:ln>
          <a:noFill/>
        </a:ln>
        <a:effectLst/>
      </c:spPr>
    </c:plotArea>
    <c:legend>
      <c:legendPos val="b"/>
      <c:overlay val="0"/>
      <c:spPr>
        <a:noFill/>
        <a:ln>
          <a:noFill/>
        </a:ln>
        <a:effectLst/>
      </c:spPr>
      <c:txPr>
        <a:bodyPr rot="0" spcFirstLastPara="1" vertOverflow="ellipsis" vert="horz" wrap="square" anchor="ctr" anchorCtr="1"/>
        <a:lstStyle/>
        <a:p>
          <a:pPr>
            <a:defRPr sz="12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'foreign vs Gov'!$B$5</c:f>
              <c:strCache>
                <c:ptCount val="1"/>
                <c:pt idx="0">
                  <c:v>Government </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'foreign vs Gov'!$C$3:$L$4</c:f>
              <c:multiLvlStrCache>
                <c:ptCount val="10"/>
                <c:lvl>
                  <c:pt idx="0">
                    <c:v>2012/13</c:v>
                  </c:pt>
                  <c:pt idx="1">
                    <c:v>2013/14</c:v>
                  </c:pt>
                  <c:pt idx="2">
                    <c:v>2014/15</c:v>
                  </c:pt>
                  <c:pt idx="3">
                    <c:v>2015/16</c:v>
                  </c:pt>
                  <c:pt idx="4">
                    <c:v>2016/17</c:v>
                  </c:pt>
                  <c:pt idx="6">
                    <c:v>2012/13</c:v>
                  </c:pt>
                  <c:pt idx="7">
                    <c:v>2013/14</c:v>
                  </c:pt>
                  <c:pt idx="8">
                    <c:v>2014/15</c:v>
                  </c:pt>
                  <c:pt idx="9">
                    <c:v>2015/16</c:v>
                  </c:pt>
                </c:lvl>
                <c:lvl>
                  <c:pt idx="0">
                    <c:v>Approved budget</c:v>
                  </c:pt>
                  <c:pt idx="6">
                    <c:v>Actual expenditure</c:v>
                  </c:pt>
                </c:lvl>
              </c:multiLvlStrCache>
            </c:multiLvlStrRef>
          </c:cat>
          <c:val>
            <c:numRef>
              <c:f>'foreign vs Gov'!$C$5:$L$5</c:f>
              <c:numCache>
                <c:formatCode>0%</c:formatCode>
                <c:ptCount val="10"/>
                <c:pt idx="0">
                  <c:v>0.69607975771989383</c:v>
                </c:pt>
                <c:pt idx="1">
                  <c:v>0.61895252345154561</c:v>
                </c:pt>
                <c:pt idx="2">
                  <c:v>0.77548437525531644</c:v>
                </c:pt>
                <c:pt idx="3">
                  <c:v>0.73287958031731815</c:v>
                </c:pt>
                <c:pt idx="4">
                  <c:v>0.76254748413303775</c:v>
                </c:pt>
                <c:pt idx="6">
                  <c:v>0.72526901303075375</c:v>
                </c:pt>
                <c:pt idx="7">
                  <c:v>0.62092003721068356</c:v>
                </c:pt>
                <c:pt idx="8">
                  <c:v>0.83919303561270664</c:v>
                </c:pt>
                <c:pt idx="9">
                  <c:v>0.88799430923879963</c:v>
                </c:pt>
              </c:numCache>
            </c:numRef>
          </c:val>
        </c:ser>
        <c:ser>
          <c:idx val="1"/>
          <c:order val="1"/>
          <c:tx>
            <c:strRef>
              <c:f>'foreign vs Gov'!$B$6</c:f>
              <c:strCache>
                <c:ptCount val="1"/>
                <c:pt idx="0">
                  <c:v>Foreign </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'foreign vs Gov'!$C$3:$L$4</c:f>
              <c:multiLvlStrCache>
                <c:ptCount val="10"/>
                <c:lvl>
                  <c:pt idx="0">
                    <c:v>2012/13</c:v>
                  </c:pt>
                  <c:pt idx="1">
                    <c:v>2013/14</c:v>
                  </c:pt>
                  <c:pt idx="2">
                    <c:v>2014/15</c:v>
                  </c:pt>
                  <c:pt idx="3">
                    <c:v>2015/16</c:v>
                  </c:pt>
                  <c:pt idx="4">
                    <c:v>2016/17</c:v>
                  </c:pt>
                  <c:pt idx="6">
                    <c:v>2012/13</c:v>
                  </c:pt>
                  <c:pt idx="7">
                    <c:v>2013/14</c:v>
                  </c:pt>
                  <c:pt idx="8">
                    <c:v>2014/15</c:v>
                  </c:pt>
                  <c:pt idx="9">
                    <c:v>2015/16</c:v>
                  </c:pt>
                </c:lvl>
                <c:lvl>
                  <c:pt idx="0">
                    <c:v>Approved budget</c:v>
                  </c:pt>
                  <c:pt idx="6">
                    <c:v>Actual expenditure</c:v>
                  </c:pt>
                </c:lvl>
              </c:multiLvlStrCache>
            </c:multiLvlStrRef>
          </c:cat>
          <c:val>
            <c:numRef>
              <c:f>'foreign vs Gov'!$C$6:$L$6</c:f>
              <c:numCache>
                <c:formatCode>0%</c:formatCode>
                <c:ptCount val="10"/>
                <c:pt idx="0">
                  <c:v>0.30392024228010733</c:v>
                </c:pt>
                <c:pt idx="1">
                  <c:v>0.38104747654845511</c:v>
                </c:pt>
                <c:pt idx="2">
                  <c:v>0.22451562474468362</c:v>
                </c:pt>
                <c:pt idx="3">
                  <c:v>0.26712041968268213</c:v>
                </c:pt>
                <c:pt idx="4">
                  <c:v>0.23745251586696242</c:v>
                </c:pt>
                <c:pt idx="6">
                  <c:v>0.27473098696924653</c:v>
                </c:pt>
                <c:pt idx="7">
                  <c:v>0.37907996278931827</c:v>
                </c:pt>
                <c:pt idx="8">
                  <c:v>0.16080696438729394</c:v>
                </c:pt>
                <c:pt idx="9">
                  <c:v>0.11200569076120059</c:v>
                </c:pt>
              </c:numCache>
            </c:numRef>
          </c:val>
        </c:ser>
        <c:dLbls>
          <c:showLegendKey val="0"/>
          <c:showVal val="0"/>
          <c:showCatName val="0"/>
          <c:showSerName val="0"/>
          <c:showPercent val="0"/>
          <c:showBubbleSize val="0"/>
        </c:dLbls>
        <c:gapWidth val="150"/>
        <c:overlap val="100"/>
        <c:axId val="755286704"/>
        <c:axId val="755287096"/>
      </c:barChart>
      <c:catAx>
        <c:axId val="7552867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55287096"/>
        <c:crosses val="autoZero"/>
        <c:auto val="1"/>
        <c:lblAlgn val="ctr"/>
        <c:lblOffset val="100"/>
        <c:noMultiLvlLbl val="0"/>
      </c:catAx>
      <c:valAx>
        <c:axId val="75528709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552867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stacked"/>
        <c:varyColors val="0"/>
        <c:ser>
          <c:idx val="0"/>
          <c:order val="0"/>
          <c:tx>
            <c:strRef>
              <c:f>'dev vs rec'!$A$11</c:f>
              <c:strCache>
                <c:ptCount val="1"/>
                <c:pt idx="0">
                  <c:v>Recurrent</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'dev vs rec'!$B$9:$K$10</c:f>
              <c:multiLvlStrCache>
                <c:ptCount val="10"/>
                <c:lvl>
                  <c:pt idx="0">
                    <c:v>2012/13</c:v>
                  </c:pt>
                  <c:pt idx="1">
                    <c:v>2013/14</c:v>
                  </c:pt>
                  <c:pt idx="2">
                    <c:v>2014/15</c:v>
                  </c:pt>
                  <c:pt idx="3">
                    <c:v>2015/16</c:v>
                  </c:pt>
                  <c:pt idx="4">
                    <c:v>2016/17</c:v>
                  </c:pt>
                  <c:pt idx="6">
                    <c:v>2012/13</c:v>
                  </c:pt>
                  <c:pt idx="7">
                    <c:v>2013/14</c:v>
                  </c:pt>
                  <c:pt idx="8">
                    <c:v>2014/15</c:v>
                  </c:pt>
                  <c:pt idx="9">
                    <c:v>2015/16</c:v>
                  </c:pt>
                </c:lvl>
                <c:lvl>
                  <c:pt idx="0">
                    <c:v>Approved budget</c:v>
                  </c:pt>
                  <c:pt idx="6">
                    <c:v>Actual Spending </c:v>
                  </c:pt>
                </c:lvl>
              </c:multiLvlStrCache>
            </c:multiLvlStrRef>
          </c:cat>
          <c:val>
            <c:numRef>
              <c:f>'dev vs rec'!$B$11:$K$11</c:f>
              <c:numCache>
                <c:formatCode>0%</c:formatCode>
                <c:ptCount val="10"/>
                <c:pt idx="0">
                  <c:v>0.63024143078592565</c:v>
                </c:pt>
                <c:pt idx="1">
                  <c:v>0.58666857819391638</c:v>
                </c:pt>
                <c:pt idx="2">
                  <c:v>0.7006950478323567</c:v>
                </c:pt>
                <c:pt idx="3">
                  <c:v>0.67506536384937499</c:v>
                </c:pt>
                <c:pt idx="4">
                  <c:v>0.61541607130550169</c:v>
                </c:pt>
                <c:pt idx="6">
                  <c:v>0.69265284075251887</c:v>
                </c:pt>
                <c:pt idx="7">
                  <c:v>0.61336509427839436</c:v>
                </c:pt>
                <c:pt idx="8">
                  <c:v>0.81490851045523482</c:v>
                </c:pt>
                <c:pt idx="9">
                  <c:v>0.87342467930355094</c:v>
                </c:pt>
              </c:numCache>
            </c:numRef>
          </c:val>
        </c:ser>
        <c:ser>
          <c:idx val="1"/>
          <c:order val="1"/>
          <c:tx>
            <c:strRef>
              <c:f>'dev vs rec'!$A$12</c:f>
              <c:strCache>
                <c:ptCount val="1"/>
                <c:pt idx="0">
                  <c:v>Dev - GOT</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'dev vs rec'!$B$9:$K$10</c:f>
              <c:multiLvlStrCache>
                <c:ptCount val="10"/>
                <c:lvl>
                  <c:pt idx="0">
                    <c:v>2012/13</c:v>
                  </c:pt>
                  <c:pt idx="1">
                    <c:v>2013/14</c:v>
                  </c:pt>
                  <c:pt idx="2">
                    <c:v>2014/15</c:v>
                  </c:pt>
                  <c:pt idx="3">
                    <c:v>2015/16</c:v>
                  </c:pt>
                  <c:pt idx="4">
                    <c:v>2016/17</c:v>
                  </c:pt>
                  <c:pt idx="6">
                    <c:v>2012/13</c:v>
                  </c:pt>
                  <c:pt idx="7">
                    <c:v>2013/14</c:v>
                  </c:pt>
                  <c:pt idx="8">
                    <c:v>2014/15</c:v>
                  </c:pt>
                  <c:pt idx="9">
                    <c:v>2015/16</c:v>
                  </c:pt>
                </c:lvl>
                <c:lvl>
                  <c:pt idx="0">
                    <c:v>Approved budget</c:v>
                  </c:pt>
                  <c:pt idx="6">
                    <c:v>Actual Spending </c:v>
                  </c:pt>
                </c:lvl>
              </c:multiLvlStrCache>
            </c:multiLvlStrRef>
          </c:cat>
          <c:val>
            <c:numRef>
              <c:f>'dev vs rec'!$B$12:$K$12</c:f>
              <c:numCache>
                <c:formatCode>0%</c:formatCode>
                <c:ptCount val="10"/>
                <c:pt idx="0">
                  <c:v>6.5838326933967503E-2</c:v>
                </c:pt>
                <c:pt idx="1">
                  <c:v>3.2283945257628809E-2</c:v>
                </c:pt>
                <c:pt idx="2">
                  <c:v>7.4789327422959892E-2</c:v>
                </c:pt>
                <c:pt idx="3">
                  <c:v>5.7814216467943602E-2</c:v>
                </c:pt>
                <c:pt idx="4">
                  <c:v>0.14713141282753617</c:v>
                </c:pt>
                <c:pt idx="6">
                  <c:v>3.2616172278234892E-2</c:v>
                </c:pt>
                <c:pt idx="7">
                  <c:v>7.5549429322883024E-3</c:v>
                </c:pt>
                <c:pt idx="8">
                  <c:v>2.4284525157471318E-2</c:v>
                </c:pt>
                <c:pt idx="9">
                  <c:v>1.4569629935248884E-2</c:v>
                </c:pt>
              </c:numCache>
            </c:numRef>
          </c:val>
        </c:ser>
        <c:ser>
          <c:idx val="2"/>
          <c:order val="2"/>
          <c:tx>
            <c:strRef>
              <c:f>'dev vs rec'!$A$13</c:f>
              <c:strCache>
                <c:ptCount val="1"/>
                <c:pt idx="0">
                  <c:v>Devt - HBF</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'dev vs rec'!$B$9:$K$10</c:f>
              <c:multiLvlStrCache>
                <c:ptCount val="10"/>
                <c:lvl>
                  <c:pt idx="0">
                    <c:v>2012/13</c:v>
                  </c:pt>
                  <c:pt idx="1">
                    <c:v>2013/14</c:v>
                  </c:pt>
                  <c:pt idx="2">
                    <c:v>2014/15</c:v>
                  </c:pt>
                  <c:pt idx="3">
                    <c:v>2015/16</c:v>
                  </c:pt>
                  <c:pt idx="4">
                    <c:v>2016/17</c:v>
                  </c:pt>
                  <c:pt idx="6">
                    <c:v>2012/13</c:v>
                  </c:pt>
                  <c:pt idx="7">
                    <c:v>2013/14</c:v>
                  </c:pt>
                  <c:pt idx="8">
                    <c:v>2014/15</c:v>
                  </c:pt>
                  <c:pt idx="9">
                    <c:v>2015/16</c:v>
                  </c:pt>
                </c:lvl>
                <c:lvl>
                  <c:pt idx="0">
                    <c:v>Approved budget</c:v>
                  </c:pt>
                  <c:pt idx="6">
                    <c:v>Actual Spending </c:v>
                  </c:pt>
                </c:lvl>
              </c:multiLvlStrCache>
            </c:multiLvlStrRef>
          </c:cat>
          <c:val>
            <c:numRef>
              <c:f>'dev vs rec'!$B$13:$K$13</c:f>
              <c:numCache>
                <c:formatCode>0%</c:formatCode>
                <c:ptCount val="10"/>
                <c:pt idx="0">
                  <c:v>0.12550916824023539</c:v>
                </c:pt>
                <c:pt idx="1">
                  <c:v>9.1181195956446845E-2</c:v>
                </c:pt>
                <c:pt idx="2">
                  <c:v>6.726827927461311E-2</c:v>
                </c:pt>
                <c:pt idx="3">
                  <c:v>3.4264139648795586E-2</c:v>
                </c:pt>
                <c:pt idx="4">
                  <c:v>4.8057236167191493E-2</c:v>
                </c:pt>
                <c:pt idx="6">
                  <c:v>0.1353066364991049</c:v>
                </c:pt>
                <c:pt idx="7">
                  <c:v>0.10448572711905796</c:v>
                </c:pt>
                <c:pt idx="8">
                  <c:v>7.0215551449387556E-2</c:v>
                </c:pt>
                <c:pt idx="9">
                  <c:v>5.2364391610486609E-2</c:v>
                </c:pt>
              </c:numCache>
            </c:numRef>
          </c:val>
        </c:ser>
        <c:ser>
          <c:idx val="3"/>
          <c:order val="3"/>
          <c:tx>
            <c:strRef>
              <c:f>'dev vs rec'!$A$14</c:f>
              <c:strCache>
                <c:ptCount val="1"/>
                <c:pt idx="0">
                  <c:v>Devt - Non-basket</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multiLvlStrRef>
              <c:f>'dev vs rec'!$B$9:$K$10</c:f>
              <c:multiLvlStrCache>
                <c:ptCount val="10"/>
                <c:lvl>
                  <c:pt idx="0">
                    <c:v>2012/13</c:v>
                  </c:pt>
                  <c:pt idx="1">
                    <c:v>2013/14</c:v>
                  </c:pt>
                  <c:pt idx="2">
                    <c:v>2014/15</c:v>
                  </c:pt>
                  <c:pt idx="3">
                    <c:v>2015/16</c:v>
                  </c:pt>
                  <c:pt idx="4">
                    <c:v>2016/17</c:v>
                  </c:pt>
                  <c:pt idx="6">
                    <c:v>2012/13</c:v>
                  </c:pt>
                  <c:pt idx="7">
                    <c:v>2013/14</c:v>
                  </c:pt>
                  <c:pt idx="8">
                    <c:v>2014/15</c:v>
                  </c:pt>
                  <c:pt idx="9">
                    <c:v>2015/16</c:v>
                  </c:pt>
                </c:lvl>
                <c:lvl>
                  <c:pt idx="0">
                    <c:v>Approved budget</c:v>
                  </c:pt>
                  <c:pt idx="6">
                    <c:v>Actual Spending </c:v>
                  </c:pt>
                </c:lvl>
              </c:multiLvlStrCache>
            </c:multiLvlStrRef>
          </c:cat>
          <c:val>
            <c:numRef>
              <c:f>'dev vs rec'!$B$14:$K$14</c:f>
              <c:numCache>
                <c:formatCode>0%</c:formatCode>
                <c:ptCount val="10"/>
                <c:pt idx="0">
                  <c:v>0.17841107403987175</c:v>
                </c:pt>
                <c:pt idx="1">
                  <c:v>0.28986628059200836</c:v>
                </c:pt>
                <c:pt idx="2">
                  <c:v>0.15724734547007072</c:v>
                </c:pt>
                <c:pt idx="3">
                  <c:v>0.23285628003388631</c:v>
                </c:pt>
                <c:pt idx="4">
                  <c:v>0.18939527969977088</c:v>
                </c:pt>
                <c:pt idx="6">
                  <c:v>0.13942435047014129</c:v>
                </c:pt>
                <c:pt idx="7">
                  <c:v>0.27459423567025981</c:v>
                </c:pt>
                <c:pt idx="8">
                  <c:v>9.0591412937906318E-2</c:v>
                </c:pt>
                <c:pt idx="9">
                  <c:v>5.9641299150713915E-2</c:v>
                </c:pt>
              </c:numCache>
            </c:numRef>
          </c:val>
        </c:ser>
        <c:dLbls>
          <c:showLegendKey val="0"/>
          <c:showVal val="0"/>
          <c:showCatName val="0"/>
          <c:showSerName val="0"/>
          <c:showPercent val="0"/>
          <c:showBubbleSize val="0"/>
        </c:dLbls>
        <c:gapWidth val="150"/>
        <c:overlap val="100"/>
        <c:axId val="755287880"/>
        <c:axId val="755288272"/>
      </c:barChart>
      <c:catAx>
        <c:axId val="7552878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55288272"/>
        <c:crosses val="autoZero"/>
        <c:auto val="1"/>
        <c:lblAlgn val="ctr"/>
        <c:lblOffset val="100"/>
        <c:noMultiLvlLbl val="0"/>
      </c:catAx>
      <c:valAx>
        <c:axId val="75528827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552878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'OVERALL BE'!$A$1:$A$5</c:f>
              <c:strCache>
                <c:ptCount val="5"/>
                <c:pt idx="0">
                  <c:v>2011/12</c:v>
                </c:pt>
                <c:pt idx="1">
                  <c:v>2012/13</c:v>
                </c:pt>
                <c:pt idx="2">
                  <c:v>2013/14</c:v>
                </c:pt>
                <c:pt idx="3">
                  <c:v>2014/15</c:v>
                </c:pt>
                <c:pt idx="4">
                  <c:v>2015/16</c:v>
                </c:pt>
              </c:strCache>
            </c:strRef>
          </c:cat>
          <c:val>
            <c:numRef>
              <c:f>'OVERALL BE'!$B$1:$B$5</c:f>
              <c:numCache>
                <c:formatCode>0%</c:formatCode>
                <c:ptCount val="5"/>
                <c:pt idx="0">
                  <c:v>0.86931348221670801</c:v>
                </c:pt>
                <c:pt idx="1">
                  <c:v>0.83060899150192069</c:v>
                </c:pt>
                <c:pt idx="2">
                  <c:v>0.87112604435685559</c:v>
                </c:pt>
                <c:pt idx="3">
                  <c:v>0.74617681656983736</c:v>
                </c:pt>
                <c:pt idx="4">
                  <c:v>0.69725455520889534</c:v>
                </c:pt>
              </c:numCache>
            </c:numRef>
          </c:val>
        </c:ser>
        <c:dLbls>
          <c:showLegendKey val="0"/>
          <c:showVal val="0"/>
          <c:showCatName val="0"/>
          <c:showSerName val="0"/>
          <c:showPercent val="0"/>
          <c:showBubbleSize val="0"/>
        </c:dLbls>
        <c:gapWidth val="219"/>
        <c:overlap val="-27"/>
        <c:axId val="755289056"/>
        <c:axId val="573104344"/>
      </c:barChart>
      <c:catAx>
        <c:axId val="75528905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3104344"/>
        <c:crosses val="autoZero"/>
        <c:auto val="1"/>
        <c:lblAlgn val="ctr"/>
        <c:lblOffset val="100"/>
        <c:noMultiLvlLbl val="0"/>
      </c:catAx>
      <c:valAx>
        <c:axId val="57310434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75528905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'EXECUTION BY SOURCE '!$D$32</c:f>
              <c:strCache>
                <c:ptCount val="1"/>
                <c:pt idx="0">
                  <c:v>2012/13</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'EXECUTION BY SOURCE '!$C$33:$C$34</c:f>
              <c:strCache>
                <c:ptCount val="2"/>
                <c:pt idx="0">
                  <c:v>Recurrent</c:v>
                </c:pt>
                <c:pt idx="1">
                  <c:v>Dev-GOT</c:v>
                </c:pt>
              </c:strCache>
            </c:strRef>
          </c:cat>
          <c:val>
            <c:numRef>
              <c:f>'EXECUTION BY SOURCE '!$D$33:$D$34</c:f>
              <c:numCache>
                <c:formatCode>0%</c:formatCode>
                <c:ptCount val="2"/>
                <c:pt idx="0">
                  <c:v>0.91281538845865595</c:v>
                </c:pt>
                <c:pt idx="1">
                  <c:v>0.41148325358851678</c:v>
                </c:pt>
              </c:numCache>
            </c:numRef>
          </c:val>
        </c:ser>
        <c:ser>
          <c:idx val="1"/>
          <c:order val="1"/>
          <c:tx>
            <c:strRef>
              <c:f>'EXECUTION BY SOURCE '!$E$32</c:f>
              <c:strCache>
                <c:ptCount val="1"/>
                <c:pt idx="0">
                  <c:v>2013/14</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'EXECUTION BY SOURCE '!$C$33:$C$34</c:f>
              <c:strCache>
                <c:ptCount val="2"/>
                <c:pt idx="0">
                  <c:v>Recurrent</c:v>
                </c:pt>
                <c:pt idx="1">
                  <c:v>Dev-GOT</c:v>
                </c:pt>
              </c:strCache>
            </c:strRef>
          </c:cat>
          <c:val>
            <c:numRef>
              <c:f>'EXECUTION BY SOURCE '!$E$33:$E$34</c:f>
              <c:numCache>
                <c:formatCode>0%</c:formatCode>
                <c:ptCount val="2"/>
                <c:pt idx="0">
                  <c:v>0.91073887104176221</c:v>
                </c:pt>
                <c:pt idx="1">
                  <c:v>0.20459290187891443</c:v>
                </c:pt>
              </c:numCache>
            </c:numRef>
          </c:val>
        </c:ser>
        <c:ser>
          <c:idx val="2"/>
          <c:order val="2"/>
          <c:tx>
            <c:strRef>
              <c:f>'EXECUTION BY SOURCE '!$F$32</c:f>
              <c:strCache>
                <c:ptCount val="1"/>
                <c:pt idx="0">
                  <c:v>2014/15</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'EXECUTION BY SOURCE '!$C$33:$C$34</c:f>
              <c:strCache>
                <c:ptCount val="2"/>
                <c:pt idx="0">
                  <c:v>Recurrent</c:v>
                </c:pt>
                <c:pt idx="1">
                  <c:v>Dev-GOT</c:v>
                </c:pt>
              </c:strCache>
            </c:strRef>
          </c:cat>
          <c:val>
            <c:numRef>
              <c:f>'EXECUTION BY SOURCE '!$F$33:$F$34</c:f>
              <c:numCache>
                <c:formatCode>0%</c:formatCode>
                <c:ptCount val="2"/>
                <c:pt idx="0">
                  <c:v>0.83468882602545968</c:v>
                </c:pt>
                <c:pt idx="1">
                  <c:v>0.23280861640430822</c:v>
                </c:pt>
              </c:numCache>
            </c:numRef>
          </c:val>
        </c:ser>
        <c:ser>
          <c:idx val="3"/>
          <c:order val="3"/>
          <c:tx>
            <c:strRef>
              <c:f>'EXECUTION BY SOURCE '!$G$32</c:f>
              <c:strCache>
                <c:ptCount val="1"/>
                <c:pt idx="0">
                  <c:v>2015/16</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'EXECUTION BY SOURCE '!$C$33:$C$34</c:f>
              <c:strCache>
                <c:ptCount val="2"/>
                <c:pt idx="0">
                  <c:v>Recurrent</c:v>
                </c:pt>
                <c:pt idx="1">
                  <c:v>Dev-GOT</c:v>
                </c:pt>
              </c:strCache>
            </c:strRef>
          </c:cat>
          <c:val>
            <c:numRef>
              <c:f>'EXECUTION BY SOURCE '!$G$33:$G$34</c:f>
              <c:numCache>
                <c:formatCode>0%</c:formatCode>
                <c:ptCount val="2"/>
                <c:pt idx="0">
                  <c:v>0.91629680998613039</c:v>
                </c:pt>
                <c:pt idx="1">
                  <c:v>0.17813765182186234</c:v>
                </c:pt>
              </c:numCache>
            </c:numRef>
          </c:val>
        </c:ser>
        <c:dLbls>
          <c:showLegendKey val="0"/>
          <c:showVal val="0"/>
          <c:showCatName val="0"/>
          <c:showSerName val="0"/>
          <c:showPercent val="0"/>
          <c:showBubbleSize val="0"/>
        </c:dLbls>
        <c:gapWidth val="219"/>
        <c:overlap val="-27"/>
        <c:axId val="573105128"/>
        <c:axId val="573105520"/>
      </c:barChart>
      <c:catAx>
        <c:axId val="5731051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3105520"/>
        <c:crosses val="autoZero"/>
        <c:auto val="1"/>
        <c:lblAlgn val="ctr"/>
        <c:lblOffset val="100"/>
        <c:noMultiLvlLbl val="0"/>
      </c:catAx>
      <c:valAx>
        <c:axId val="57310552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310512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'EXECUTION BY SOURCE '!$I$19</c:f>
              <c:strCache>
                <c:ptCount val="1"/>
                <c:pt idx="0">
                  <c:v>2012/13</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'EXECUTION BY SOURCE '!$J$18:$K$18</c:f>
              <c:strCache>
                <c:ptCount val="2"/>
                <c:pt idx="0">
                  <c:v>Basket </c:v>
                </c:pt>
                <c:pt idx="1">
                  <c:v>Non-basket</c:v>
                </c:pt>
              </c:strCache>
            </c:strRef>
          </c:cat>
          <c:val>
            <c:numRef>
              <c:f>'EXECUTION BY SOURCE '!$J$19:$K$19</c:f>
              <c:numCache>
                <c:formatCode>0%</c:formatCode>
                <c:ptCount val="2"/>
                <c:pt idx="0">
                  <c:v>0.89585947302383939</c:v>
                </c:pt>
                <c:pt idx="1">
                  <c:v>0.64916151809355693</c:v>
                </c:pt>
              </c:numCache>
            </c:numRef>
          </c:val>
        </c:ser>
        <c:ser>
          <c:idx val="1"/>
          <c:order val="1"/>
          <c:tx>
            <c:strRef>
              <c:f>'EXECUTION BY SOURCE '!$I$20</c:f>
              <c:strCache>
                <c:ptCount val="1"/>
                <c:pt idx="0">
                  <c:v>2013/14</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'EXECUTION BY SOURCE '!$J$18:$K$18</c:f>
              <c:strCache>
                <c:ptCount val="2"/>
                <c:pt idx="0">
                  <c:v>Basket </c:v>
                </c:pt>
                <c:pt idx="1">
                  <c:v>Non-basket</c:v>
                </c:pt>
              </c:strCache>
            </c:strRef>
          </c:cat>
          <c:val>
            <c:numRef>
              <c:f>'EXECUTION BY SOURCE '!$J$20:$K$20</c:f>
              <c:numCache>
                <c:formatCode>0%</c:formatCode>
                <c:ptCount val="2"/>
                <c:pt idx="0">
                  <c:v>0.99778597785977852</c:v>
                </c:pt>
                <c:pt idx="1">
                  <c:v>0.82516833062456463</c:v>
                </c:pt>
              </c:numCache>
            </c:numRef>
          </c:val>
        </c:ser>
        <c:ser>
          <c:idx val="2"/>
          <c:order val="2"/>
          <c:tx>
            <c:strRef>
              <c:f>'EXECUTION BY SOURCE '!$I$21</c:f>
              <c:strCache>
                <c:ptCount val="1"/>
                <c:pt idx="0">
                  <c:v>2014/15</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'EXECUTION BY SOURCE '!$J$18:$K$18</c:f>
              <c:strCache>
                <c:ptCount val="2"/>
                <c:pt idx="0">
                  <c:v>Basket </c:v>
                </c:pt>
                <c:pt idx="1">
                  <c:v>Non-basket</c:v>
                </c:pt>
              </c:strCache>
            </c:strRef>
          </c:cat>
          <c:val>
            <c:numRef>
              <c:f>'EXECUTION BY SOURCE '!$J$21:$K$21</c:f>
              <c:numCache>
                <c:formatCode>0%</c:formatCode>
                <c:ptCount val="2"/>
                <c:pt idx="0">
                  <c:v>0.74953959484346233</c:v>
                </c:pt>
                <c:pt idx="1">
                  <c:v>0.41354864119732176</c:v>
                </c:pt>
              </c:numCache>
            </c:numRef>
          </c:val>
        </c:ser>
        <c:ser>
          <c:idx val="3"/>
          <c:order val="3"/>
          <c:tx>
            <c:strRef>
              <c:f>'EXECUTION BY SOURCE '!$I$22</c:f>
              <c:strCache>
                <c:ptCount val="1"/>
                <c:pt idx="0">
                  <c:v>2015/16</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'EXECUTION BY SOURCE '!$J$18:$K$18</c:f>
              <c:strCache>
                <c:ptCount val="2"/>
                <c:pt idx="0">
                  <c:v>Basket </c:v>
                </c:pt>
                <c:pt idx="1">
                  <c:v>Non-basket</c:v>
                </c:pt>
              </c:strCache>
            </c:strRef>
          </c:cat>
          <c:val>
            <c:numRef>
              <c:f>'EXECUTION BY SOURCE '!$J$22:$K$22</c:f>
              <c:numCache>
                <c:formatCode>0%</c:formatCode>
                <c:ptCount val="2"/>
                <c:pt idx="0">
                  <c:v>1.0819672131147542</c:v>
                </c:pt>
                <c:pt idx="1">
                  <c:v>0.18134298351427425</c:v>
                </c:pt>
              </c:numCache>
            </c:numRef>
          </c:val>
        </c:ser>
        <c:dLbls>
          <c:showLegendKey val="0"/>
          <c:showVal val="0"/>
          <c:showCatName val="0"/>
          <c:showSerName val="0"/>
          <c:showPercent val="0"/>
          <c:showBubbleSize val="0"/>
        </c:dLbls>
        <c:gapWidth val="219"/>
        <c:overlap val="-27"/>
        <c:axId val="573106304"/>
        <c:axId val="573106696"/>
      </c:barChart>
      <c:catAx>
        <c:axId val="5731063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3106696"/>
        <c:crosses val="autoZero"/>
        <c:auto val="1"/>
        <c:lblAlgn val="ctr"/>
        <c:lblOffset val="100"/>
        <c:noMultiLvlLbl val="0"/>
      </c:catAx>
      <c:valAx>
        <c:axId val="57310669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31063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tx>
            <c:strRef>
              <c:f>'MOH BUDEGTE EXECCUTION '!$B$27</c:f>
              <c:strCache>
                <c:ptCount val="1"/>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'MOH BUDEGTE EXECCUTION '!$A$28:$A$43</c:f>
              <c:strCache>
                <c:ptCount val="16"/>
                <c:pt idx="0">
                  <c:v>Administration and Personnel</c:v>
                </c:pt>
                <c:pt idx="1">
                  <c:v>Finances and Accounts</c:v>
                </c:pt>
                <c:pt idx="2">
                  <c:v>Policy and Planning</c:v>
                </c:pt>
                <c:pt idx="3">
                  <c:v>Internal Audit</c:v>
                </c:pt>
                <c:pt idx="4">
                  <c:v>Information, Education and Communication</c:v>
                </c:pt>
                <c:pt idx="5">
                  <c:v>Procurement and Mangement</c:v>
                </c:pt>
                <c:pt idx="6">
                  <c:v>Legal Services Unit</c:v>
                </c:pt>
                <c:pt idx="7">
                  <c:v>Information, Communication and Technology</c:v>
                </c:pt>
                <c:pt idx="8">
                  <c:v>Curatives Services</c:v>
                </c:pt>
                <c:pt idx="9">
                  <c:v>Chief Medical Officer</c:v>
                </c:pt>
                <c:pt idx="10">
                  <c:v>Nursing and Midwifery Services</c:v>
                </c:pt>
                <c:pt idx="11">
                  <c:v>Pharmaceutical Services </c:v>
                </c:pt>
                <c:pt idx="12">
                  <c:v>Preventives Services</c:v>
                </c:pt>
                <c:pt idx="13">
                  <c:v>Health Quality Assurances</c:v>
                </c:pt>
                <c:pt idx="14">
                  <c:v>Social Welfare</c:v>
                </c:pt>
                <c:pt idx="15">
                  <c:v>Human Resources Development</c:v>
                </c:pt>
              </c:strCache>
            </c:strRef>
          </c:cat>
          <c:val>
            <c:numRef>
              <c:f>'MOH BUDEGTE EXECCUTION '!$B$28:$B$43</c:f>
              <c:numCache>
                <c:formatCode>0%</c:formatCode>
                <c:ptCount val="16"/>
                <c:pt idx="0">
                  <c:v>0.93545584991854402</c:v>
                </c:pt>
                <c:pt idx="1">
                  <c:v>0.87355776487596226</c:v>
                </c:pt>
                <c:pt idx="2">
                  <c:v>0.45716932703592528</c:v>
                </c:pt>
                <c:pt idx="3">
                  <c:v>0.5506839825921378</c:v>
                </c:pt>
                <c:pt idx="4">
                  <c:v>0.60166675692986227</c:v>
                </c:pt>
                <c:pt idx="5">
                  <c:v>0.40939872675109573</c:v>
                </c:pt>
                <c:pt idx="6">
                  <c:v>0.53953819295330208</c:v>
                </c:pt>
                <c:pt idx="7">
                  <c:v>0.31434224659066301</c:v>
                </c:pt>
                <c:pt idx="8">
                  <c:v>0.75357011433526111</c:v>
                </c:pt>
                <c:pt idx="9">
                  <c:v>0.8363005587616944</c:v>
                </c:pt>
                <c:pt idx="10">
                  <c:v>0.45239583222595325</c:v>
                </c:pt>
                <c:pt idx="11">
                  <c:v>0.82167865264991824</c:v>
                </c:pt>
                <c:pt idx="12">
                  <c:v>0.60094250719744857</c:v>
                </c:pt>
                <c:pt idx="13">
                  <c:v>0.79632488419022351</c:v>
                </c:pt>
                <c:pt idx="14">
                  <c:v>0.6669327817778864</c:v>
                </c:pt>
                <c:pt idx="15">
                  <c:v>0.8036231762404793</c:v>
                </c:pt>
              </c:numCache>
            </c:numRef>
          </c:val>
        </c:ser>
        <c:dLbls>
          <c:showLegendKey val="0"/>
          <c:showVal val="0"/>
          <c:showCatName val="0"/>
          <c:showSerName val="0"/>
          <c:showPercent val="0"/>
          <c:showBubbleSize val="0"/>
        </c:dLbls>
        <c:gapWidth val="219"/>
        <c:overlap val="-27"/>
        <c:axId val="573107480"/>
        <c:axId val="573107872"/>
      </c:barChart>
      <c:catAx>
        <c:axId val="5731074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3107872"/>
        <c:crosses val="autoZero"/>
        <c:auto val="1"/>
        <c:lblAlgn val="ctr"/>
        <c:lblOffset val="100"/>
        <c:noMultiLvlLbl val="0"/>
      </c:catAx>
      <c:valAx>
        <c:axId val="57310787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3107480"/>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'lga by source '!$A$4</c:f>
              <c:strCache>
                <c:ptCount val="1"/>
                <c:pt idx="0">
                  <c:v>Source </c:v>
                </c:pt>
              </c:strCache>
            </c:strRef>
          </c:tx>
          <c:spPr>
            <a:solidFill>
              <a:schemeClr val="accent1"/>
            </a:solidFill>
            <a:ln>
              <a:noFill/>
            </a:ln>
            <a:effectLst/>
          </c:spPr>
          <c:invertIfNegative val="0"/>
          <c:cat>
            <c:strRef>
              <c:f>'lga by source '!$B$3:$K$3</c:f>
              <c:strCache>
                <c:ptCount val="10"/>
                <c:pt idx="0">
                  <c:v>2012/13</c:v>
                </c:pt>
                <c:pt idx="1">
                  <c:v>2013/14</c:v>
                </c:pt>
                <c:pt idx="2">
                  <c:v>2014/15</c:v>
                </c:pt>
                <c:pt idx="3">
                  <c:v>2015/16</c:v>
                </c:pt>
                <c:pt idx="4">
                  <c:v>2016/17</c:v>
                </c:pt>
                <c:pt idx="6">
                  <c:v>2012/13</c:v>
                </c:pt>
                <c:pt idx="7">
                  <c:v>2013/14</c:v>
                </c:pt>
                <c:pt idx="8">
                  <c:v>2014/15</c:v>
                </c:pt>
                <c:pt idx="9">
                  <c:v>2015/16</c:v>
                </c:pt>
              </c:strCache>
            </c:strRef>
          </c:cat>
          <c:val>
            <c:numRef>
              <c:f>'lga by source '!$B$4:$K$4</c:f>
              <c:numCache>
                <c:formatCode>_(* #,##0.00_);_(* \(#,##0.00\);_(* "-"??_);_(@_)</c:formatCode>
                <c:ptCount val="10"/>
                <c:pt idx="0">
                  <c:v>0</c:v>
                </c:pt>
                <c:pt idx="1">
                  <c:v>0</c:v>
                </c:pt>
                <c:pt idx="2">
                  <c:v>0</c:v>
                </c:pt>
                <c:pt idx="3">
                  <c:v>0</c:v>
                </c:pt>
                <c:pt idx="4">
                  <c:v>0</c:v>
                </c:pt>
                <c:pt idx="6">
                  <c:v>0</c:v>
                </c:pt>
                <c:pt idx="7">
                  <c:v>0</c:v>
                </c:pt>
                <c:pt idx="8">
                  <c:v>0</c:v>
                </c:pt>
                <c:pt idx="9">
                  <c:v>0</c:v>
                </c:pt>
              </c:numCache>
            </c:numRef>
          </c:val>
        </c:ser>
        <c:ser>
          <c:idx val="1"/>
          <c:order val="1"/>
          <c:tx>
            <c:strRef>
              <c:f>'lga by source '!$A$5</c:f>
              <c:strCache>
                <c:ptCount val="1"/>
                <c:pt idx="0">
                  <c:v>Government</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'lga by source '!$B$3:$K$3</c:f>
              <c:strCache>
                <c:ptCount val="10"/>
                <c:pt idx="0">
                  <c:v>2012/13</c:v>
                </c:pt>
                <c:pt idx="1">
                  <c:v>2013/14</c:v>
                </c:pt>
                <c:pt idx="2">
                  <c:v>2014/15</c:v>
                </c:pt>
                <c:pt idx="3">
                  <c:v>2015/16</c:v>
                </c:pt>
                <c:pt idx="4">
                  <c:v>2016/17</c:v>
                </c:pt>
                <c:pt idx="6">
                  <c:v>2012/13</c:v>
                </c:pt>
                <c:pt idx="7">
                  <c:v>2013/14</c:v>
                </c:pt>
                <c:pt idx="8">
                  <c:v>2014/15</c:v>
                </c:pt>
                <c:pt idx="9">
                  <c:v>2015/16</c:v>
                </c:pt>
              </c:strCache>
            </c:strRef>
          </c:cat>
          <c:val>
            <c:numRef>
              <c:f>'lga by source '!$B$5:$K$5</c:f>
              <c:numCache>
                <c:formatCode>0%</c:formatCode>
                <c:ptCount val="10"/>
                <c:pt idx="0">
                  <c:v>0.65534422989691632</c:v>
                </c:pt>
                <c:pt idx="1">
                  <c:v>0.74160726781547515</c:v>
                </c:pt>
                <c:pt idx="2">
                  <c:v>0.73923550394537452</c:v>
                </c:pt>
                <c:pt idx="3">
                  <c:v>0.75209490127949064</c:v>
                </c:pt>
                <c:pt idx="4">
                  <c:v>0.61613348033627402</c:v>
                </c:pt>
                <c:pt idx="6">
                  <c:v>0.70149749899781921</c:v>
                </c:pt>
                <c:pt idx="7">
                  <c:v>0.71989294354278555</c:v>
                </c:pt>
                <c:pt idx="8">
                  <c:v>0.72186653937703993</c:v>
                </c:pt>
                <c:pt idx="9">
                  <c:v>0.7441358201258842</c:v>
                </c:pt>
              </c:numCache>
            </c:numRef>
          </c:val>
        </c:ser>
        <c:ser>
          <c:idx val="2"/>
          <c:order val="2"/>
          <c:tx>
            <c:strRef>
              <c:f>'lga by source '!$A$6</c:f>
              <c:strCache>
                <c:ptCount val="1"/>
                <c:pt idx="0">
                  <c:v>Health Sector Basket Fund-HSBF</c:v>
                </c:pt>
              </c:strCache>
            </c:strRef>
          </c:tx>
          <c:spPr>
            <a:solidFill>
              <a:schemeClr val="accent3"/>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'lga by source '!$B$3:$K$3</c:f>
              <c:strCache>
                <c:ptCount val="10"/>
                <c:pt idx="0">
                  <c:v>2012/13</c:v>
                </c:pt>
                <c:pt idx="1">
                  <c:v>2013/14</c:v>
                </c:pt>
                <c:pt idx="2">
                  <c:v>2014/15</c:v>
                </c:pt>
                <c:pt idx="3">
                  <c:v>2015/16</c:v>
                </c:pt>
                <c:pt idx="4">
                  <c:v>2016/17</c:v>
                </c:pt>
                <c:pt idx="6">
                  <c:v>2012/13</c:v>
                </c:pt>
                <c:pt idx="7">
                  <c:v>2013/14</c:v>
                </c:pt>
                <c:pt idx="8">
                  <c:v>2014/15</c:v>
                </c:pt>
                <c:pt idx="9">
                  <c:v>2015/16</c:v>
                </c:pt>
              </c:strCache>
            </c:strRef>
          </c:cat>
          <c:val>
            <c:numRef>
              <c:f>'lga by source '!$B$6:$K$6</c:f>
              <c:numCache>
                <c:formatCode>0%</c:formatCode>
                <c:ptCount val="10"/>
                <c:pt idx="0">
                  <c:v>0.16989452885398049</c:v>
                </c:pt>
                <c:pt idx="1">
                  <c:v>0.14956099045939486</c:v>
                </c:pt>
                <c:pt idx="2">
                  <c:v>0.13672624331563846</c:v>
                </c:pt>
                <c:pt idx="3">
                  <c:v>9.3034602632282595E-2</c:v>
                </c:pt>
                <c:pt idx="4">
                  <c:v>8.4339293292908027E-2</c:v>
                </c:pt>
                <c:pt idx="6">
                  <c:v>0.20126680559690779</c:v>
                </c:pt>
                <c:pt idx="7">
                  <c:v>0.20551206867976118</c:v>
                </c:pt>
                <c:pt idx="8">
                  <c:v>0.14836043025992898</c:v>
                </c:pt>
                <c:pt idx="9">
                  <c:v>0.13669408477332495</c:v>
                </c:pt>
              </c:numCache>
            </c:numRef>
          </c:val>
        </c:ser>
        <c:ser>
          <c:idx val="3"/>
          <c:order val="3"/>
          <c:tx>
            <c:strRef>
              <c:f>'lga by source '!$A$7</c:f>
              <c:strCache>
                <c:ptCount val="1"/>
                <c:pt idx="0">
                  <c:v>Own Source</c:v>
                </c:pt>
              </c:strCache>
            </c:strRef>
          </c:tx>
          <c:spPr>
            <a:solidFill>
              <a:schemeClr val="accent4"/>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'lga by source '!$B$3:$K$3</c:f>
              <c:strCache>
                <c:ptCount val="10"/>
                <c:pt idx="0">
                  <c:v>2012/13</c:v>
                </c:pt>
                <c:pt idx="1">
                  <c:v>2013/14</c:v>
                </c:pt>
                <c:pt idx="2">
                  <c:v>2014/15</c:v>
                </c:pt>
                <c:pt idx="3">
                  <c:v>2015/16</c:v>
                </c:pt>
                <c:pt idx="4">
                  <c:v>2016/17</c:v>
                </c:pt>
                <c:pt idx="6">
                  <c:v>2012/13</c:v>
                </c:pt>
                <c:pt idx="7">
                  <c:v>2013/14</c:v>
                </c:pt>
                <c:pt idx="8">
                  <c:v>2014/15</c:v>
                </c:pt>
                <c:pt idx="9">
                  <c:v>2015/16</c:v>
                </c:pt>
              </c:strCache>
            </c:strRef>
          </c:cat>
          <c:val>
            <c:numRef>
              <c:f>'lga by source '!$B$7:$K$7</c:f>
              <c:numCache>
                <c:formatCode>0%</c:formatCode>
                <c:ptCount val="10"/>
                <c:pt idx="0">
                  <c:v>4.1876689825199979E-2</c:v>
                </c:pt>
                <c:pt idx="1">
                  <c:v>3.7248079772986387E-2</c:v>
                </c:pt>
                <c:pt idx="2">
                  <c:v>5.3394979198242709E-2</c:v>
                </c:pt>
                <c:pt idx="3">
                  <c:v>7.2572715900212151E-2</c:v>
                </c:pt>
                <c:pt idx="4">
                  <c:v>2.1381152482654823E-2</c:v>
                </c:pt>
                <c:pt idx="6">
                  <c:v>3.9095076344873428E-2</c:v>
                </c:pt>
                <c:pt idx="7">
                  <c:v>2.6547657401051486E-2</c:v>
                </c:pt>
                <c:pt idx="8">
                  <c:v>2.9260152379719798E-2</c:v>
                </c:pt>
                <c:pt idx="9">
                  <c:v>2.6348124482077219E-2</c:v>
                </c:pt>
              </c:numCache>
            </c:numRef>
          </c:val>
        </c:ser>
        <c:ser>
          <c:idx val="4"/>
          <c:order val="4"/>
          <c:tx>
            <c:strRef>
              <c:f>'lga by source '!$A$8</c:f>
              <c:strCache>
                <c:ptCount val="1"/>
                <c:pt idx="0">
                  <c:v>Community Contribution/user fee</c:v>
                </c:pt>
              </c:strCache>
            </c:strRef>
          </c:tx>
          <c:spPr>
            <a:solidFill>
              <a:schemeClr val="accent5"/>
            </a:solidFill>
            <a:ln>
              <a:noFill/>
            </a:ln>
            <a:effectLst/>
          </c:spPr>
          <c:invertIfNegative val="0"/>
          <c:cat>
            <c:strRef>
              <c:f>'lga by source '!$B$3:$K$3</c:f>
              <c:strCache>
                <c:ptCount val="10"/>
                <c:pt idx="0">
                  <c:v>2012/13</c:v>
                </c:pt>
                <c:pt idx="1">
                  <c:v>2013/14</c:v>
                </c:pt>
                <c:pt idx="2">
                  <c:v>2014/15</c:v>
                </c:pt>
                <c:pt idx="3">
                  <c:v>2015/16</c:v>
                </c:pt>
                <c:pt idx="4">
                  <c:v>2016/17</c:v>
                </c:pt>
                <c:pt idx="6">
                  <c:v>2012/13</c:v>
                </c:pt>
                <c:pt idx="7">
                  <c:v>2013/14</c:v>
                </c:pt>
                <c:pt idx="8">
                  <c:v>2014/15</c:v>
                </c:pt>
                <c:pt idx="9">
                  <c:v>2015/16</c:v>
                </c:pt>
              </c:strCache>
            </c:strRef>
          </c:cat>
          <c:val>
            <c:numRef>
              <c:f>'lga by source '!$B$8:$K$8</c:f>
              <c:numCache>
                <c:formatCode>0%</c:formatCode>
                <c:ptCount val="10"/>
                <c:pt idx="0">
                  <c:v>7.9093867601690818E-4</c:v>
                </c:pt>
                <c:pt idx="1">
                  <c:v>3.5055379531552338E-4</c:v>
                </c:pt>
                <c:pt idx="2">
                  <c:v>9.5136673795743909E-5</c:v>
                </c:pt>
                <c:pt idx="3">
                  <c:v>2.7516367356968498E-4</c:v>
                </c:pt>
                <c:pt idx="4">
                  <c:v>2.6813080784025705E-2</c:v>
                </c:pt>
                <c:pt idx="6">
                  <c:v>4.0230138804373038E-4</c:v>
                </c:pt>
                <c:pt idx="7">
                  <c:v>3.3401596430050301E-4</c:v>
                </c:pt>
                <c:pt idx="8">
                  <c:v>0</c:v>
                </c:pt>
                <c:pt idx="9">
                  <c:v>0</c:v>
                </c:pt>
              </c:numCache>
            </c:numRef>
          </c:val>
        </c:ser>
        <c:ser>
          <c:idx val="5"/>
          <c:order val="5"/>
          <c:tx>
            <c:strRef>
              <c:f>'lga by source '!$A$9</c:f>
              <c:strCache>
                <c:ptCount val="1"/>
                <c:pt idx="0">
                  <c:v>Community Health Fund</c:v>
                </c:pt>
              </c:strCache>
            </c:strRef>
          </c:tx>
          <c:spPr>
            <a:solidFill>
              <a:schemeClr val="accent6"/>
            </a:solidFill>
            <a:ln>
              <a:noFill/>
            </a:ln>
            <a:effectLst/>
          </c:spPr>
          <c:invertIfNegative val="0"/>
          <c:cat>
            <c:strRef>
              <c:f>'lga by source '!$B$3:$K$3</c:f>
              <c:strCache>
                <c:ptCount val="10"/>
                <c:pt idx="0">
                  <c:v>2012/13</c:v>
                </c:pt>
                <c:pt idx="1">
                  <c:v>2013/14</c:v>
                </c:pt>
                <c:pt idx="2">
                  <c:v>2014/15</c:v>
                </c:pt>
                <c:pt idx="3">
                  <c:v>2015/16</c:v>
                </c:pt>
                <c:pt idx="4">
                  <c:v>2016/17</c:v>
                </c:pt>
                <c:pt idx="6">
                  <c:v>2012/13</c:v>
                </c:pt>
                <c:pt idx="7">
                  <c:v>2013/14</c:v>
                </c:pt>
                <c:pt idx="8">
                  <c:v>2014/15</c:v>
                </c:pt>
                <c:pt idx="9">
                  <c:v>2015/16</c:v>
                </c:pt>
              </c:strCache>
            </c:strRef>
          </c:cat>
          <c:val>
            <c:numRef>
              <c:f>'lga by source '!$B$9:$K$9</c:f>
              <c:numCache>
                <c:formatCode>0%</c:formatCode>
                <c:ptCount val="10"/>
                <c:pt idx="0">
                  <c:v>3.4449944541030592E-2</c:v>
                </c:pt>
                <c:pt idx="1">
                  <c:v>1.3008288941114953E-2</c:v>
                </c:pt>
                <c:pt idx="2">
                  <c:v>1.6186403408393772E-2</c:v>
                </c:pt>
                <c:pt idx="3">
                  <c:v>2.4854253351199177E-2</c:v>
                </c:pt>
                <c:pt idx="6">
                  <c:v>1.0413768254391564E-2</c:v>
                </c:pt>
                <c:pt idx="7">
                  <c:v>5.5991766783319288E-3</c:v>
                </c:pt>
                <c:pt idx="8">
                  <c:v>3.4186966284668859E-3</c:v>
                </c:pt>
                <c:pt idx="9">
                  <c:v>3.2955980709163885E-3</c:v>
                </c:pt>
              </c:numCache>
            </c:numRef>
          </c:val>
        </c:ser>
        <c:ser>
          <c:idx val="6"/>
          <c:order val="6"/>
          <c:tx>
            <c:strRef>
              <c:f>'lga by source '!$A$10</c:f>
              <c:strCache>
                <c:ptCount val="1"/>
                <c:pt idx="0">
                  <c:v>NHIF </c:v>
                </c:pt>
              </c:strCache>
            </c:strRef>
          </c:tx>
          <c:spPr>
            <a:solidFill>
              <a:schemeClr val="accent1">
                <a:lumMod val="60000"/>
              </a:schemeClr>
            </a:solidFill>
            <a:ln>
              <a:noFill/>
            </a:ln>
            <a:effectLst/>
          </c:spPr>
          <c:invertIfNegative val="0"/>
          <c:cat>
            <c:strRef>
              <c:f>'lga by source '!$B$3:$K$3</c:f>
              <c:strCache>
                <c:ptCount val="10"/>
                <c:pt idx="0">
                  <c:v>2012/13</c:v>
                </c:pt>
                <c:pt idx="1">
                  <c:v>2013/14</c:v>
                </c:pt>
                <c:pt idx="2">
                  <c:v>2014/15</c:v>
                </c:pt>
                <c:pt idx="3">
                  <c:v>2015/16</c:v>
                </c:pt>
                <c:pt idx="4">
                  <c:v>2016/17</c:v>
                </c:pt>
                <c:pt idx="6">
                  <c:v>2012/13</c:v>
                </c:pt>
                <c:pt idx="7">
                  <c:v>2013/14</c:v>
                </c:pt>
                <c:pt idx="8">
                  <c:v>2014/15</c:v>
                </c:pt>
                <c:pt idx="9">
                  <c:v>2015/16</c:v>
                </c:pt>
              </c:strCache>
            </c:strRef>
          </c:cat>
          <c:val>
            <c:numRef>
              <c:f>'lga by source '!$B$10:$K$10</c:f>
              <c:numCache>
                <c:formatCode>0%</c:formatCode>
                <c:ptCount val="10"/>
                <c:pt idx="0">
                  <c:v>0</c:v>
                </c:pt>
                <c:pt idx="1">
                  <c:v>0</c:v>
                </c:pt>
                <c:pt idx="2">
                  <c:v>0</c:v>
                </c:pt>
                <c:pt idx="3">
                  <c:v>0</c:v>
                </c:pt>
                <c:pt idx="4">
                  <c:v>1.5898583503493813E-2</c:v>
                </c:pt>
                <c:pt idx="6">
                  <c:v>0</c:v>
                </c:pt>
                <c:pt idx="7">
                  <c:v>0</c:v>
                </c:pt>
                <c:pt idx="8">
                  <c:v>0</c:v>
                </c:pt>
                <c:pt idx="9">
                  <c:v>0</c:v>
                </c:pt>
              </c:numCache>
            </c:numRef>
          </c:val>
        </c:ser>
        <c:ser>
          <c:idx val="7"/>
          <c:order val="7"/>
          <c:tx>
            <c:strRef>
              <c:f>'lga by source '!$A$11</c:f>
              <c:strCache>
                <c:ptCount val="1"/>
                <c:pt idx="0">
                  <c:v>Others donors </c:v>
                </c:pt>
              </c:strCache>
            </c:strRef>
          </c:tx>
          <c:spPr>
            <a:solidFill>
              <a:schemeClr val="accent2">
                <a:lumMod val="60000"/>
              </a:schemeClr>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'lga by source '!$B$3:$K$3</c:f>
              <c:strCache>
                <c:ptCount val="10"/>
                <c:pt idx="0">
                  <c:v>2012/13</c:v>
                </c:pt>
                <c:pt idx="1">
                  <c:v>2013/14</c:v>
                </c:pt>
                <c:pt idx="2">
                  <c:v>2014/15</c:v>
                </c:pt>
                <c:pt idx="3">
                  <c:v>2015/16</c:v>
                </c:pt>
                <c:pt idx="4">
                  <c:v>2016/17</c:v>
                </c:pt>
                <c:pt idx="6">
                  <c:v>2012/13</c:v>
                </c:pt>
                <c:pt idx="7">
                  <c:v>2013/14</c:v>
                </c:pt>
                <c:pt idx="8">
                  <c:v>2014/15</c:v>
                </c:pt>
                <c:pt idx="9">
                  <c:v>2015/16</c:v>
                </c:pt>
              </c:strCache>
            </c:strRef>
          </c:cat>
          <c:val>
            <c:numRef>
              <c:f>'lga by source '!$B$11:$K$11</c:f>
              <c:numCache>
                <c:formatCode>0%</c:formatCode>
                <c:ptCount val="10"/>
                <c:pt idx="0">
                  <c:v>9.7643668206855938E-2</c:v>
                </c:pt>
                <c:pt idx="1">
                  <c:v>5.8224819215712861E-2</c:v>
                </c:pt>
                <c:pt idx="2">
                  <c:v>5.4361733458554815E-2</c:v>
                </c:pt>
                <c:pt idx="3">
                  <c:v>5.7168363163245722E-2</c:v>
                </c:pt>
                <c:pt idx="4">
                  <c:v>0.21688446070876416</c:v>
                </c:pt>
                <c:pt idx="6">
                  <c:v>4.7324549417964282E-2</c:v>
                </c:pt>
                <c:pt idx="7">
                  <c:v>4.211413773376909E-2</c:v>
                </c:pt>
                <c:pt idx="8">
                  <c:v>9.7094181354844683E-2</c:v>
                </c:pt>
                <c:pt idx="9">
                  <c:v>8.9526372547797314E-2</c:v>
                </c:pt>
              </c:numCache>
            </c:numRef>
          </c:val>
        </c:ser>
        <c:dLbls>
          <c:showLegendKey val="0"/>
          <c:showVal val="0"/>
          <c:showCatName val="0"/>
          <c:showSerName val="0"/>
          <c:showPercent val="0"/>
          <c:showBubbleSize val="0"/>
        </c:dLbls>
        <c:gapWidth val="150"/>
        <c:overlap val="100"/>
        <c:axId val="573109048"/>
        <c:axId val="573109440"/>
      </c:barChart>
      <c:catAx>
        <c:axId val="5731090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3109440"/>
        <c:crosses val="autoZero"/>
        <c:auto val="1"/>
        <c:lblAlgn val="ctr"/>
        <c:lblOffset val="100"/>
        <c:noMultiLvlLbl val="0"/>
      </c:catAx>
      <c:valAx>
        <c:axId val="57310944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573109048"/>
        <c:crosses val="autoZero"/>
        <c:crossBetween val="between"/>
        <c:majorUnit val="0.1"/>
        <c:minorUnit val="1.0000000000000002E-2"/>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tx>
            <c:strRef>
              <c:f>'PE OC DEV LGA '!$D$25</c:f>
              <c:strCache>
                <c:ptCount val="1"/>
                <c:pt idx="0">
                  <c:v>DEV</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'PE OC DEV LGA '!$C$26:$C$29</c:f>
              <c:strCache>
                <c:ptCount val="4"/>
                <c:pt idx="0">
                  <c:v>2012/13</c:v>
                </c:pt>
                <c:pt idx="1">
                  <c:v>2013/14</c:v>
                </c:pt>
                <c:pt idx="2">
                  <c:v>2014/15</c:v>
                </c:pt>
                <c:pt idx="3">
                  <c:v>2015/16</c:v>
                </c:pt>
              </c:strCache>
            </c:strRef>
          </c:cat>
          <c:val>
            <c:numRef>
              <c:f>'PE OC DEV LGA '!$D$26:$D$29</c:f>
              <c:numCache>
                <c:formatCode>0%</c:formatCode>
                <c:ptCount val="4"/>
                <c:pt idx="0">
                  <c:v>9.1593909661056266E-2</c:v>
                </c:pt>
                <c:pt idx="1">
                  <c:v>9.3389795904729192E-2</c:v>
                </c:pt>
                <c:pt idx="2">
                  <c:v>0.11845773765995345</c:v>
                </c:pt>
                <c:pt idx="3">
                  <c:v>0.10856543725870103</c:v>
                </c:pt>
              </c:numCache>
            </c:numRef>
          </c:val>
        </c:ser>
        <c:ser>
          <c:idx val="1"/>
          <c:order val="1"/>
          <c:tx>
            <c:strRef>
              <c:f>'PE OC DEV LGA '!$E$25</c:f>
              <c:strCache>
                <c:ptCount val="1"/>
                <c:pt idx="0">
                  <c:v>OC</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'PE OC DEV LGA '!$C$26:$C$29</c:f>
              <c:strCache>
                <c:ptCount val="4"/>
                <c:pt idx="0">
                  <c:v>2012/13</c:v>
                </c:pt>
                <c:pt idx="1">
                  <c:v>2013/14</c:v>
                </c:pt>
                <c:pt idx="2">
                  <c:v>2014/15</c:v>
                </c:pt>
                <c:pt idx="3">
                  <c:v>2015/16</c:v>
                </c:pt>
              </c:strCache>
            </c:strRef>
          </c:cat>
          <c:val>
            <c:numRef>
              <c:f>'PE OC DEV LGA '!$E$26:$E$29</c:f>
              <c:numCache>
                <c:formatCode>0%</c:formatCode>
                <c:ptCount val="4"/>
                <c:pt idx="0">
                  <c:v>0.35817834257353726</c:v>
                </c:pt>
                <c:pt idx="1">
                  <c:v>0.31697174545891582</c:v>
                </c:pt>
                <c:pt idx="2">
                  <c:v>0.22681243518226557</c:v>
                </c:pt>
                <c:pt idx="3">
                  <c:v>0.20893991882995216</c:v>
                </c:pt>
              </c:numCache>
            </c:numRef>
          </c:val>
        </c:ser>
        <c:ser>
          <c:idx val="2"/>
          <c:order val="2"/>
          <c:tx>
            <c:strRef>
              <c:f>'PE OC DEV LGA '!$F$25</c:f>
              <c:strCache>
                <c:ptCount val="1"/>
                <c:pt idx="0">
                  <c:v>PE</c:v>
                </c:pt>
              </c:strCache>
            </c:strRef>
          </c:tx>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'PE OC DEV LGA '!$C$26:$C$29</c:f>
              <c:strCache>
                <c:ptCount val="4"/>
                <c:pt idx="0">
                  <c:v>2012/13</c:v>
                </c:pt>
                <c:pt idx="1">
                  <c:v>2013/14</c:v>
                </c:pt>
                <c:pt idx="2">
                  <c:v>2014/15</c:v>
                </c:pt>
                <c:pt idx="3">
                  <c:v>2015/16</c:v>
                </c:pt>
              </c:strCache>
            </c:strRef>
          </c:cat>
          <c:val>
            <c:numRef>
              <c:f>'PE OC DEV LGA '!$F$26:$F$29</c:f>
              <c:numCache>
                <c:formatCode>0%</c:formatCode>
                <c:ptCount val="4"/>
                <c:pt idx="0">
                  <c:v>0.55022774776540651</c:v>
                </c:pt>
                <c:pt idx="1">
                  <c:v>0.58963845863635511</c:v>
                </c:pt>
                <c:pt idx="2">
                  <c:v>0.65472982715778183</c:v>
                </c:pt>
                <c:pt idx="3">
                  <c:v>0.68249464391134707</c:v>
                </c:pt>
              </c:numCache>
            </c:numRef>
          </c:val>
        </c:ser>
        <c:dLbls>
          <c:showLegendKey val="0"/>
          <c:showVal val="1"/>
          <c:showCatName val="0"/>
          <c:showSerName val="0"/>
          <c:showPercent val="0"/>
          <c:showBubbleSize val="0"/>
        </c:dLbls>
        <c:gapWidth val="75"/>
        <c:shape val="box"/>
        <c:axId val="573110224"/>
        <c:axId val="573110616"/>
        <c:axId val="0"/>
      </c:bar3DChart>
      <c:catAx>
        <c:axId val="573110224"/>
        <c:scaling>
          <c:orientation val="minMax"/>
        </c:scaling>
        <c:delete val="0"/>
        <c:axPos val="b"/>
        <c:numFmt formatCode="General" sourceLinked="0"/>
        <c:majorTickMark val="none"/>
        <c:minorTickMark val="none"/>
        <c:tickLblPos val="nextTo"/>
        <c:crossAx val="573110616"/>
        <c:crosses val="autoZero"/>
        <c:auto val="1"/>
        <c:lblAlgn val="ctr"/>
        <c:lblOffset val="100"/>
        <c:noMultiLvlLbl val="0"/>
      </c:catAx>
      <c:valAx>
        <c:axId val="573110616"/>
        <c:scaling>
          <c:orientation val="minMax"/>
        </c:scaling>
        <c:delete val="0"/>
        <c:axPos val="l"/>
        <c:numFmt formatCode="0%" sourceLinked="1"/>
        <c:majorTickMark val="none"/>
        <c:minorTickMark val="none"/>
        <c:tickLblPos val="nextTo"/>
        <c:crossAx val="573110224"/>
        <c:crosses val="autoZero"/>
        <c:crossBetween val="between"/>
      </c:valAx>
    </c:plotArea>
    <c:legend>
      <c:legendPos val="b"/>
      <c:overlay val="0"/>
    </c:legend>
    <c:plotVisOnly val="1"/>
    <c:dispBlanksAs val="gap"/>
    <c:showDLblsOverMax val="0"/>
  </c:chart>
  <c:externalData r:id="rId2">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296446B-8557-48C6-B2CC-22CA474BAA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286</TotalTime>
  <Pages>46</Pages>
  <Words>10847</Words>
  <Characters>61828</Characters>
  <Application>Microsoft Office Word</Application>
  <DocSecurity>0</DocSecurity>
  <Lines>515</Lines>
  <Paragraphs>145</Paragraphs>
  <ScaleCrop>false</ScaleCrop>
  <HeadingPairs>
    <vt:vector size="2" baseType="variant">
      <vt:variant>
        <vt:lpstr>Title</vt:lpstr>
      </vt:variant>
      <vt:variant>
        <vt:i4>1</vt:i4>
      </vt:variant>
    </vt:vector>
  </HeadingPairs>
  <TitlesOfParts>
    <vt:vector size="1" baseType="lpstr">
      <vt:lpstr/>
    </vt:vector>
  </TitlesOfParts>
  <Company>VTL</Company>
  <LinksUpToDate>false</LinksUpToDate>
  <CharactersWithSpaces>72530</CharactersWithSpaces>
  <SharedDoc>false</SharedDoc>
  <HLinks>
    <vt:vector size="384" baseType="variant">
      <vt:variant>
        <vt:i4>1835062</vt:i4>
      </vt:variant>
      <vt:variant>
        <vt:i4>386</vt:i4>
      </vt:variant>
      <vt:variant>
        <vt:i4>0</vt:i4>
      </vt:variant>
      <vt:variant>
        <vt:i4>5</vt:i4>
      </vt:variant>
      <vt:variant>
        <vt:lpwstr/>
      </vt:variant>
      <vt:variant>
        <vt:lpwstr>_Toc488422857</vt:lpwstr>
      </vt:variant>
      <vt:variant>
        <vt:i4>1835062</vt:i4>
      </vt:variant>
      <vt:variant>
        <vt:i4>380</vt:i4>
      </vt:variant>
      <vt:variant>
        <vt:i4>0</vt:i4>
      </vt:variant>
      <vt:variant>
        <vt:i4>5</vt:i4>
      </vt:variant>
      <vt:variant>
        <vt:lpwstr/>
      </vt:variant>
      <vt:variant>
        <vt:lpwstr>_Toc488422856</vt:lpwstr>
      </vt:variant>
      <vt:variant>
        <vt:i4>1835062</vt:i4>
      </vt:variant>
      <vt:variant>
        <vt:i4>374</vt:i4>
      </vt:variant>
      <vt:variant>
        <vt:i4>0</vt:i4>
      </vt:variant>
      <vt:variant>
        <vt:i4>5</vt:i4>
      </vt:variant>
      <vt:variant>
        <vt:lpwstr/>
      </vt:variant>
      <vt:variant>
        <vt:lpwstr>_Toc488422855</vt:lpwstr>
      </vt:variant>
      <vt:variant>
        <vt:i4>1835062</vt:i4>
      </vt:variant>
      <vt:variant>
        <vt:i4>368</vt:i4>
      </vt:variant>
      <vt:variant>
        <vt:i4>0</vt:i4>
      </vt:variant>
      <vt:variant>
        <vt:i4>5</vt:i4>
      </vt:variant>
      <vt:variant>
        <vt:lpwstr/>
      </vt:variant>
      <vt:variant>
        <vt:lpwstr>_Toc488422854</vt:lpwstr>
      </vt:variant>
      <vt:variant>
        <vt:i4>1835062</vt:i4>
      </vt:variant>
      <vt:variant>
        <vt:i4>362</vt:i4>
      </vt:variant>
      <vt:variant>
        <vt:i4>0</vt:i4>
      </vt:variant>
      <vt:variant>
        <vt:i4>5</vt:i4>
      </vt:variant>
      <vt:variant>
        <vt:lpwstr/>
      </vt:variant>
      <vt:variant>
        <vt:lpwstr>_Toc488422853</vt:lpwstr>
      </vt:variant>
      <vt:variant>
        <vt:i4>1835062</vt:i4>
      </vt:variant>
      <vt:variant>
        <vt:i4>356</vt:i4>
      </vt:variant>
      <vt:variant>
        <vt:i4>0</vt:i4>
      </vt:variant>
      <vt:variant>
        <vt:i4>5</vt:i4>
      </vt:variant>
      <vt:variant>
        <vt:lpwstr/>
      </vt:variant>
      <vt:variant>
        <vt:lpwstr>_Toc488422852</vt:lpwstr>
      </vt:variant>
      <vt:variant>
        <vt:i4>1835062</vt:i4>
      </vt:variant>
      <vt:variant>
        <vt:i4>350</vt:i4>
      </vt:variant>
      <vt:variant>
        <vt:i4>0</vt:i4>
      </vt:variant>
      <vt:variant>
        <vt:i4>5</vt:i4>
      </vt:variant>
      <vt:variant>
        <vt:lpwstr/>
      </vt:variant>
      <vt:variant>
        <vt:lpwstr>_Toc488422851</vt:lpwstr>
      </vt:variant>
      <vt:variant>
        <vt:i4>1835062</vt:i4>
      </vt:variant>
      <vt:variant>
        <vt:i4>344</vt:i4>
      </vt:variant>
      <vt:variant>
        <vt:i4>0</vt:i4>
      </vt:variant>
      <vt:variant>
        <vt:i4>5</vt:i4>
      </vt:variant>
      <vt:variant>
        <vt:lpwstr/>
      </vt:variant>
      <vt:variant>
        <vt:lpwstr>_Toc488422850</vt:lpwstr>
      </vt:variant>
      <vt:variant>
        <vt:i4>1900598</vt:i4>
      </vt:variant>
      <vt:variant>
        <vt:i4>338</vt:i4>
      </vt:variant>
      <vt:variant>
        <vt:i4>0</vt:i4>
      </vt:variant>
      <vt:variant>
        <vt:i4>5</vt:i4>
      </vt:variant>
      <vt:variant>
        <vt:lpwstr/>
      </vt:variant>
      <vt:variant>
        <vt:lpwstr>_Toc488422849</vt:lpwstr>
      </vt:variant>
      <vt:variant>
        <vt:i4>1900598</vt:i4>
      </vt:variant>
      <vt:variant>
        <vt:i4>332</vt:i4>
      </vt:variant>
      <vt:variant>
        <vt:i4>0</vt:i4>
      </vt:variant>
      <vt:variant>
        <vt:i4>5</vt:i4>
      </vt:variant>
      <vt:variant>
        <vt:lpwstr/>
      </vt:variant>
      <vt:variant>
        <vt:lpwstr>_Toc488422848</vt:lpwstr>
      </vt:variant>
      <vt:variant>
        <vt:i4>1900598</vt:i4>
      </vt:variant>
      <vt:variant>
        <vt:i4>326</vt:i4>
      </vt:variant>
      <vt:variant>
        <vt:i4>0</vt:i4>
      </vt:variant>
      <vt:variant>
        <vt:i4>5</vt:i4>
      </vt:variant>
      <vt:variant>
        <vt:lpwstr/>
      </vt:variant>
      <vt:variant>
        <vt:lpwstr>_Toc488422847</vt:lpwstr>
      </vt:variant>
      <vt:variant>
        <vt:i4>1900598</vt:i4>
      </vt:variant>
      <vt:variant>
        <vt:i4>320</vt:i4>
      </vt:variant>
      <vt:variant>
        <vt:i4>0</vt:i4>
      </vt:variant>
      <vt:variant>
        <vt:i4>5</vt:i4>
      </vt:variant>
      <vt:variant>
        <vt:lpwstr/>
      </vt:variant>
      <vt:variant>
        <vt:lpwstr>_Toc488422846</vt:lpwstr>
      </vt:variant>
      <vt:variant>
        <vt:i4>1900598</vt:i4>
      </vt:variant>
      <vt:variant>
        <vt:i4>314</vt:i4>
      </vt:variant>
      <vt:variant>
        <vt:i4>0</vt:i4>
      </vt:variant>
      <vt:variant>
        <vt:i4>5</vt:i4>
      </vt:variant>
      <vt:variant>
        <vt:lpwstr/>
      </vt:variant>
      <vt:variant>
        <vt:lpwstr>_Toc488422845</vt:lpwstr>
      </vt:variant>
      <vt:variant>
        <vt:i4>1900598</vt:i4>
      </vt:variant>
      <vt:variant>
        <vt:i4>308</vt:i4>
      </vt:variant>
      <vt:variant>
        <vt:i4>0</vt:i4>
      </vt:variant>
      <vt:variant>
        <vt:i4>5</vt:i4>
      </vt:variant>
      <vt:variant>
        <vt:lpwstr/>
      </vt:variant>
      <vt:variant>
        <vt:lpwstr>_Toc488422844</vt:lpwstr>
      </vt:variant>
      <vt:variant>
        <vt:i4>1900598</vt:i4>
      </vt:variant>
      <vt:variant>
        <vt:i4>302</vt:i4>
      </vt:variant>
      <vt:variant>
        <vt:i4>0</vt:i4>
      </vt:variant>
      <vt:variant>
        <vt:i4>5</vt:i4>
      </vt:variant>
      <vt:variant>
        <vt:lpwstr/>
      </vt:variant>
      <vt:variant>
        <vt:lpwstr>_Toc488422843</vt:lpwstr>
      </vt:variant>
      <vt:variant>
        <vt:i4>1900598</vt:i4>
      </vt:variant>
      <vt:variant>
        <vt:i4>296</vt:i4>
      </vt:variant>
      <vt:variant>
        <vt:i4>0</vt:i4>
      </vt:variant>
      <vt:variant>
        <vt:i4>5</vt:i4>
      </vt:variant>
      <vt:variant>
        <vt:lpwstr/>
      </vt:variant>
      <vt:variant>
        <vt:lpwstr>_Toc488422842</vt:lpwstr>
      </vt:variant>
      <vt:variant>
        <vt:i4>1900598</vt:i4>
      </vt:variant>
      <vt:variant>
        <vt:i4>290</vt:i4>
      </vt:variant>
      <vt:variant>
        <vt:i4>0</vt:i4>
      </vt:variant>
      <vt:variant>
        <vt:i4>5</vt:i4>
      </vt:variant>
      <vt:variant>
        <vt:lpwstr/>
      </vt:variant>
      <vt:variant>
        <vt:lpwstr>_Toc488422841</vt:lpwstr>
      </vt:variant>
      <vt:variant>
        <vt:i4>1900598</vt:i4>
      </vt:variant>
      <vt:variant>
        <vt:i4>284</vt:i4>
      </vt:variant>
      <vt:variant>
        <vt:i4>0</vt:i4>
      </vt:variant>
      <vt:variant>
        <vt:i4>5</vt:i4>
      </vt:variant>
      <vt:variant>
        <vt:lpwstr/>
      </vt:variant>
      <vt:variant>
        <vt:lpwstr>_Toc488422840</vt:lpwstr>
      </vt:variant>
      <vt:variant>
        <vt:i4>1703990</vt:i4>
      </vt:variant>
      <vt:variant>
        <vt:i4>278</vt:i4>
      </vt:variant>
      <vt:variant>
        <vt:i4>0</vt:i4>
      </vt:variant>
      <vt:variant>
        <vt:i4>5</vt:i4>
      </vt:variant>
      <vt:variant>
        <vt:lpwstr/>
      </vt:variant>
      <vt:variant>
        <vt:lpwstr>_Toc488422839</vt:lpwstr>
      </vt:variant>
      <vt:variant>
        <vt:i4>1703990</vt:i4>
      </vt:variant>
      <vt:variant>
        <vt:i4>272</vt:i4>
      </vt:variant>
      <vt:variant>
        <vt:i4>0</vt:i4>
      </vt:variant>
      <vt:variant>
        <vt:i4>5</vt:i4>
      </vt:variant>
      <vt:variant>
        <vt:lpwstr/>
      </vt:variant>
      <vt:variant>
        <vt:lpwstr>_Toc488422838</vt:lpwstr>
      </vt:variant>
      <vt:variant>
        <vt:i4>1703990</vt:i4>
      </vt:variant>
      <vt:variant>
        <vt:i4>263</vt:i4>
      </vt:variant>
      <vt:variant>
        <vt:i4>0</vt:i4>
      </vt:variant>
      <vt:variant>
        <vt:i4>5</vt:i4>
      </vt:variant>
      <vt:variant>
        <vt:lpwstr/>
      </vt:variant>
      <vt:variant>
        <vt:lpwstr>_Toc488422837</vt:lpwstr>
      </vt:variant>
      <vt:variant>
        <vt:i4>1703990</vt:i4>
      </vt:variant>
      <vt:variant>
        <vt:i4>257</vt:i4>
      </vt:variant>
      <vt:variant>
        <vt:i4>0</vt:i4>
      </vt:variant>
      <vt:variant>
        <vt:i4>5</vt:i4>
      </vt:variant>
      <vt:variant>
        <vt:lpwstr/>
      </vt:variant>
      <vt:variant>
        <vt:lpwstr>_Toc488422836</vt:lpwstr>
      </vt:variant>
      <vt:variant>
        <vt:i4>1703990</vt:i4>
      </vt:variant>
      <vt:variant>
        <vt:i4>251</vt:i4>
      </vt:variant>
      <vt:variant>
        <vt:i4>0</vt:i4>
      </vt:variant>
      <vt:variant>
        <vt:i4>5</vt:i4>
      </vt:variant>
      <vt:variant>
        <vt:lpwstr/>
      </vt:variant>
      <vt:variant>
        <vt:lpwstr>_Toc488422835</vt:lpwstr>
      </vt:variant>
      <vt:variant>
        <vt:i4>1703990</vt:i4>
      </vt:variant>
      <vt:variant>
        <vt:i4>245</vt:i4>
      </vt:variant>
      <vt:variant>
        <vt:i4>0</vt:i4>
      </vt:variant>
      <vt:variant>
        <vt:i4>5</vt:i4>
      </vt:variant>
      <vt:variant>
        <vt:lpwstr/>
      </vt:variant>
      <vt:variant>
        <vt:lpwstr>_Toc488422834</vt:lpwstr>
      </vt:variant>
      <vt:variant>
        <vt:i4>1703990</vt:i4>
      </vt:variant>
      <vt:variant>
        <vt:i4>239</vt:i4>
      </vt:variant>
      <vt:variant>
        <vt:i4>0</vt:i4>
      </vt:variant>
      <vt:variant>
        <vt:i4>5</vt:i4>
      </vt:variant>
      <vt:variant>
        <vt:lpwstr/>
      </vt:variant>
      <vt:variant>
        <vt:lpwstr>_Toc488422833</vt:lpwstr>
      </vt:variant>
      <vt:variant>
        <vt:i4>1703990</vt:i4>
      </vt:variant>
      <vt:variant>
        <vt:i4>233</vt:i4>
      </vt:variant>
      <vt:variant>
        <vt:i4>0</vt:i4>
      </vt:variant>
      <vt:variant>
        <vt:i4>5</vt:i4>
      </vt:variant>
      <vt:variant>
        <vt:lpwstr/>
      </vt:variant>
      <vt:variant>
        <vt:lpwstr>_Toc488422832</vt:lpwstr>
      </vt:variant>
      <vt:variant>
        <vt:i4>1703990</vt:i4>
      </vt:variant>
      <vt:variant>
        <vt:i4>227</vt:i4>
      </vt:variant>
      <vt:variant>
        <vt:i4>0</vt:i4>
      </vt:variant>
      <vt:variant>
        <vt:i4>5</vt:i4>
      </vt:variant>
      <vt:variant>
        <vt:lpwstr/>
      </vt:variant>
      <vt:variant>
        <vt:lpwstr>_Toc488422831</vt:lpwstr>
      </vt:variant>
      <vt:variant>
        <vt:i4>1703990</vt:i4>
      </vt:variant>
      <vt:variant>
        <vt:i4>218</vt:i4>
      </vt:variant>
      <vt:variant>
        <vt:i4>0</vt:i4>
      </vt:variant>
      <vt:variant>
        <vt:i4>5</vt:i4>
      </vt:variant>
      <vt:variant>
        <vt:lpwstr/>
      </vt:variant>
      <vt:variant>
        <vt:lpwstr>_Toc488422830</vt:lpwstr>
      </vt:variant>
      <vt:variant>
        <vt:i4>1769526</vt:i4>
      </vt:variant>
      <vt:variant>
        <vt:i4>212</vt:i4>
      </vt:variant>
      <vt:variant>
        <vt:i4>0</vt:i4>
      </vt:variant>
      <vt:variant>
        <vt:i4>5</vt:i4>
      </vt:variant>
      <vt:variant>
        <vt:lpwstr/>
      </vt:variant>
      <vt:variant>
        <vt:lpwstr>_Toc488422829</vt:lpwstr>
      </vt:variant>
      <vt:variant>
        <vt:i4>1769526</vt:i4>
      </vt:variant>
      <vt:variant>
        <vt:i4>206</vt:i4>
      </vt:variant>
      <vt:variant>
        <vt:i4>0</vt:i4>
      </vt:variant>
      <vt:variant>
        <vt:i4>5</vt:i4>
      </vt:variant>
      <vt:variant>
        <vt:lpwstr/>
      </vt:variant>
      <vt:variant>
        <vt:lpwstr>_Toc488422828</vt:lpwstr>
      </vt:variant>
      <vt:variant>
        <vt:i4>1769526</vt:i4>
      </vt:variant>
      <vt:variant>
        <vt:i4>200</vt:i4>
      </vt:variant>
      <vt:variant>
        <vt:i4>0</vt:i4>
      </vt:variant>
      <vt:variant>
        <vt:i4>5</vt:i4>
      </vt:variant>
      <vt:variant>
        <vt:lpwstr/>
      </vt:variant>
      <vt:variant>
        <vt:lpwstr>_Toc488422827</vt:lpwstr>
      </vt:variant>
      <vt:variant>
        <vt:i4>1769526</vt:i4>
      </vt:variant>
      <vt:variant>
        <vt:i4>194</vt:i4>
      </vt:variant>
      <vt:variant>
        <vt:i4>0</vt:i4>
      </vt:variant>
      <vt:variant>
        <vt:i4>5</vt:i4>
      </vt:variant>
      <vt:variant>
        <vt:lpwstr/>
      </vt:variant>
      <vt:variant>
        <vt:lpwstr>_Toc488422826</vt:lpwstr>
      </vt:variant>
      <vt:variant>
        <vt:i4>1769526</vt:i4>
      </vt:variant>
      <vt:variant>
        <vt:i4>188</vt:i4>
      </vt:variant>
      <vt:variant>
        <vt:i4>0</vt:i4>
      </vt:variant>
      <vt:variant>
        <vt:i4>5</vt:i4>
      </vt:variant>
      <vt:variant>
        <vt:lpwstr/>
      </vt:variant>
      <vt:variant>
        <vt:lpwstr>_Toc488422825</vt:lpwstr>
      </vt:variant>
      <vt:variant>
        <vt:i4>1769526</vt:i4>
      </vt:variant>
      <vt:variant>
        <vt:i4>182</vt:i4>
      </vt:variant>
      <vt:variant>
        <vt:i4>0</vt:i4>
      </vt:variant>
      <vt:variant>
        <vt:i4>5</vt:i4>
      </vt:variant>
      <vt:variant>
        <vt:lpwstr/>
      </vt:variant>
      <vt:variant>
        <vt:lpwstr>_Toc488422824</vt:lpwstr>
      </vt:variant>
      <vt:variant>
        <vt:i4>1769526</vt:i4>
      </vt:variant>
      <vt:variant>
        <vt:i4>176</vt:i4>
      </vt:variant>
      <vt:variant>
        <vt:i4>0</vt:i4>
      </vt:variant>
      <vt:variant>
        <vt:i4>5</vt:i4>
      </vt:variant>
      <vt:variant>
        <vt:lpwstr/>
      </vt:variant>
      <vt:variant>
        <vt:lpwstr>_Toc488422823</vt:lpwstr>
      </vt:variant>
      <vt:variant>
        <vt:i4>1769526</vt:i4>
      </vt:variant>
      <vt:variant>
        <vt:i4>170</vt:i4>
      </vt:variant>
      <vt:variant>
        <vt:i4>0</vt:i4>
      </vt:variant>
      <vt:variant>
        <vt:i4>5</vt:i4>
      </vt:variant>
      <vt:variant>
        <vt:lpwstr/>
      </vt:variant>
      <vt:variant>
        <vt:lpwstr>_Toc488422822</vt:lpwstr>
      </vt:variant>
      <vt:variant>
        <vt:i4>1769526</vt:i4>
      </vt:variant>
      <vt:variant>
        <vt:i4>164</vt:i4>
      </vt:variant>
      <vt:variant>
        <vt:i4>0</vt:i4>
      </vt:variant>
      <vt:variant>
        <vt:i4>5</vt:i4>
      </vt:variant>
      <vt:variant>
        <vt:lpwstr/>
      </vt:variant>
      <vt:variant>
        <vt:lpwstr>_Toc488422821</vt:lpwstr>
      </vt:variant>
      <vt:variant>
        <vt:i4>1769526</vt:i4>
      </vt:variant>
      <vt:variant>
        <vt:i4>158</vt:i4>
      </vt:variant>
      <vt:variant>
        <vt:i4>0</vt:i4>
      </vt:variant>
      <vt:variant>
        <vt:i4>5</vt:i4>
      </vt:variant>
      <vt:variant>
        <vt:lpwstr/>
      </vt:variant>
      <vt:variant>
        <vt:lpwstr>_Toc488422820</vt:lpwstr>
      </vt:variant>
      <vt:variant>
        <vt:i4>1572918</vt:i4>
      </vt:variant>
      <vt:variant>
        <vt:i4>152</vt:i4>
      </vt:variant>
      <vt:variant>
        <vt:i4>0</vt:i4>
      </vt:variant>
      <vt:variant>
        <vt:i4>5</vt:i4>
      </vt:variant>
      <vt:variant>
        <vt:lpwstr/>
      </vt:variant>
      <vt:variant>
        <vt:lpwstr>_Toc488422819</vt:lpwstr>
      </vt:variant>
      <vt:variant>
        <vt:i4>1572918</vt:i4>
      </vt:variant>
      <vt:variant>
        <vt:i4>146</vt:i4>
      </vt:variant>
      <vt:variant>
        <vt:i4>0</vt:i4>
      </vt:variant>
      <vt:variant>
        <vt:i4>5</vt:i4>
      </vt:variant>
      <vt:variant>
        <vt:lpwstr/>
      </vt:variant>
      <vt:variant>
        <vt:lpwstr>_Toc488422818</vt:lpwstr>
      </vt:variant>
      <vt:variant>
        <vt:i4>1572918</vt:i4>
      </vt:variant>
      <vt:variant>
        <vt:i4>140</vt:i4>
      </vt:variant>
      <vt:variant>
        <vt:i4>0</vt:i4>
      </vt:variant>
      <vt:variant>
        <vt:i4>5</vt:i4>
      </vt:variant>
      <vt:variant>
        <vt:lpwstr/>
      </vt:variant>
      <vt:variant>
        <vt:lpwstr>_Toc488422817</vt:lpwstr>
      </vt:variant>
      <vt:variant>
        <vt:i4>1572918</vt:i4>
      </vt:variant>
      <vt:variant>
        <vt:i4>134</vt:i4>
      </vt:variant>
      <vt:variant>
        <vt:i4>0</vt:i4>
      </vt:variant>
      <vt:variant>
        <vt:i4>5</vt:i4>
      </vt:variant>
      <vt:variant>
        <vt:lpwstr/>
      </vt:variant>
      <vt:variant>
        <vt:lpwstr>_Toc488422816</vt:lpwstr>
      </vt:variant>
      <vt:variant>
        <vt:i4>1572918</vt:i4>
      </vt:variant>
      <vt:variant>
        <vt:i4>128</vt:i4>
      </vt:variant>
      <vt:variant>
        <vt:i4>0</vt:i4>
      </vt:variant>
      <vt:variant>
        <vt:i4>5</vt:i4>
      </vt:variant>
      <vt:variant>
        <vt:lpwstr/>
      </vt:variant>
      <vt:variant>
        <vt:lpwstr>_Toc488422815</vt:lpwstr>
      </vt:variant>
      <vt:variant>
        <vt:i4>1572918</vt:i4>
      </vt:variant>
      <vt:variant>
        <vt:i4>122</vt:i4>
      </vt:variant>
      <vt:variant>
        <vt:i4>0</vt:i4>
      </vt:variant>
      <vt:variant>
        <vt:i4>5</vt:i4>
      </vt:variant>
      <vt:variant>
        <vt:lpwstr/>
      </vt:variant>
      <vt:variant>
        <vt:lpwstr>_Toc488422814</vt:lpwstr>
      </vt:variant>
      <vt:variant>
        <vt:i4>1572918</vt:i4>
      </vt:variant>
      <vt:variant>
        <vt:i4>116</vt:i4>
      </vt:variant>
      <vt:variant>
        <vt:i4>0</vt:i4>
      </vt:variant>
      <vt:variant>
        <vt:i4>5</vt:i4>
      </vt:variant>
      <vt:variant>
        <vt:lpwstr/>
      </vt:variant>
      <vt:variant>
        <vt:lpwstr>_Toc488422813</vt:lpwstr>
      </vt:variant>
      <vt:variant>
        <vt:i4>1572918</vt:i4>
      </vt:variant>
      <vt:variant>
        <vt:i4>110</vt:i4>
      </vt:variant>
      <vt:variant>
        <vt:i4>0</vt:i4>
      </vt:variant>
      <vt:variant>
        <vt:i4>5</vt:i4>
      </vt:variant>
      <vt:variant>
        <vt:lpwstr/>
      </vt:variant>
      <vt:variant>
        <vt:lpwstr>_Toc488422812</vt:lpwstr>
      </vt:variant>
      <vt:variant>
        <vt:i4>1572918</vt:i4>
      </vt:variant>
      <vt:variant>
        <vt:i4>104</vt:i4>
      </vt:variant>
      <vt:variant>
        <vt:i4>0</vt:i4>
      </vt:variant>
      <vt:variant>
        <vt:i4>5</vt:i4>
      </vt:variant>
      <vt:variant>
        <vt:lpwstr/>
      </vt:variant>
      <vt:variant>
        <vt:lpwstr>_Toc488422811</vt:lpwstr>
      </vt:variant>
      <vt:variant>
        <vt:i4>1572918</vt:i4>
      </vt:variant>
      <vt:variant>
        <vt:i4>98</vt:i4>
      </vt:variant>
      <vt:variant>
        <vt:i4>0</vt:i4>
      </vt:variant>
      <vt:variant>
        <vt:i4>5</vt:i4>
      </vt:variant>
      <vt:variant>
        <vt:lpwstr/>
      </vt:variant>
      <vt:variant>
        <vt:lpwstr>_Toc488422810</vt:lpwstr>
      </vt:variant>
      <vt:variant>
        <vt:i4>1638454</vt:i4>
      </vt:variant>
      <vt:variant>
        <vt:i4>92</vt:i4>
      </vt:variant>
      <vt:variant>
        <vt:i4>0</vt:i4>
      </vt:variant>
      <vt:variant>
        <vt:i4>5</vt:i4>
      </vt:variant>
      <vt:variant>
        <vt:lpwstr/>
      </vt:variant>
      <vt:variant>
        <vt:lpwstr>_Toc488422809</vt:lpwstr>
      </vt:variant>
      <vt:variant>
        <vt:i4>1638454</vt:i4>
      </vt:variant>
      <vt:variant>
        <vt:i4>86</vt:i4>
      </vt:variant>
      <vt:variant>
        <vt:i4>0</vt:i4>
      </vt:variant>
      <vt:variant>
        <vt:i4>5</vt:i4>
      </vt:variant>
      <vt:variant>
        <vt:lpwstr/>
      </vt:variant>
      <vt:variant>
        <vt:lpwstr>_Toc488422808</vt:lpwstr>
      </vt:variant>
      <vt:variant>
        <vt:i4>1638454</vt:i4>
      </vt:variant>
      <vt:variant>
        <vt:i4>80</vt:i4>
      </vt:variant>
      <vt:variant>
        <vt:i4>0</vt:i4>
      </vt:variant>
      <vt:variant>
        <vt:i4>5</vt:i4>
      </vt:variant>
      <vt:variant>
        <vt:lpwstr/>
      </vt:variant>
      <vt:variant>
        <vt:lpwstr>_Toc488422807</vt:lpwstr>
      </vt:variant>
      <vt:variant>
        <vt:i4>1638454</vt:i4>
      </vt:variant>
      <vt:variant>
        <vt:i4>74</vt:i4>
      </vt:variant>
      <vt:variant>
        <vt:i4>0</vt:i4>
      </vt:variant>
      <vt:variant>
        <vt:i4>5</vt:i4>
      </vt:variant>
      <vt:variant>
        <vt:lpwstr/>
      </vt:variant>
      <vt:variant>
        <vt:lpwstr>_Toc488422806</vt:lpwstr>
      </vt:variant>
      <vt:variant>
        <vt:i4>1638454</vt:i4>
      </vt:variant>
      <vt:variant>
        <vt:i4>68</vt:i4>
      </vt:variant>
      <vt:variant>
        <vt:i4>0</vt:i4>
      </vt:variant>
      <vt:variant>
        <vt:i4>5</vt:i4>
      </vt:variant>
      <vt:variant>
        <vt:lpwstr/>
      </vt:variant>
      <vt:variant>
        <vt:lpwstr>_Toc488422805</vt:lpwstr>
      </vt:variant>
      <vt:variant>
        <vt:i4>1638454</vt:i4>
      </vt:variant>
      <vt:variant>
        <vt:i4>62</vt:i4>
      </vt:variant>
      <vt:variant>
        <vt:i4>0</vt:i4>
      </vt:variant>
      <vt:variant>
        <vt:i4>5</vt:i4>
      </vt:variant>
      <vt:variant>
        <vt:lpwstr/>
      </vt:variant>
      <vt:variant>
        <vt:lpwstr>_Toc488422804</vt:lpwstr>
      </vt:variant>
      <vt:variant>
        <vt:i4>1638454</vt:i4>
      </vt:variant>
      <vt:variant>
        <vt:i4>56</vt:i4>
      </vt:variant>
      <vt:variant>
        <vt:i4>0</vt:i4>
      </vt:variant>
      <vt:variant>
        <vt:i4>5</vt:i4>
      </vt:variant>
      <vt:variant>
        <vt:lpwstr/>
      </vt:variant>
      <vt:variant>
        <vt:lpwstr>_Toc488422803</vt:lpwstr>
      </vt:variant>
      <vt:variant>
        <vt:i4>1638454</vt:i4>
      </vt:variant>
      <vt:variant>
        <vt:i4>50</vt:i4>
      </vt:variant>
      <vt:variant>
        <vt:i4>0</vt:i4>
      </vt:variant>
      <vt:variant>
        <vt:i4>5</vt:i4>
      </vt:variant>
      <vt:variant>
        <vt:lpwstr/>
      </vt:variant>
      <vt:variant>
        <vt:lpwstr>_Toc488422802</vt:lpwstr>
      </vt:variant>
      <vt:variant>
        <vt:i4>1638454</vt:i4>
      </vt:variant>
      <vt:variant>
        <vt:i4>44</vt:i4>
      </vt:variant>
      <vt:variant>
        <vt:i4>0</vt:i4>
      </vt:variant>
      <vt:variant>
        <vt:i4>5</vt:i4>
      </vt:variant>
      <vt:variant>
        <vt:lpwstr/>
      </vt:variant>
      <vt:variant>
        <vt:lpwstr>_Toc488422801</vt:lpwstr>
      </vt:variant>
      <vt:variant>
        <vt:i4>1638454</vt:i4>
      </vt:variant>
      <vt:variant>
        <vt:i4>38</vt:i4>
      </vt:variant>
      <vt:variant>
        <vt:i4>0</vt:i4>
      </vt:variant>
      <vt:variant>
        <vt:i4>5</vt:i4>
      </vt:variant>
      <vt:variant>
        <vt:lpwstr/>
      </vt:variant>
      <vt:variant>
        <vt:lpwstr>_Toc488422800</vt:lpwstr>
      </vt:variant>
      <vt:variant>
        <vt:i4>1048633</vt:i4>
      </vt:variant>
      <vt:variant>
        <vt:i4>32</vt:i4>
      </vt:variant>
      <vt:variant>
        <vt:i4>0</vt:i4>
      </vt:variant>
      <vt:variant>
        <vt:i4>5</vt:i4>
      </vt:variant>
      <vt:variant>
        <vt:lpwstr/>
      </vt:variant>
      <vt:variant>
        <vt:lpwstr>_Toc488422799</vt:lpwstr>
      </vt:variant>
      <vt:variant>
        <vt:i4>1048633</vt:i4>
      </vt:variant>
      <vt:variant>
        <vt:i4>26</vt:i4>
      </vt:variant>
      <vt:variant>
        <vt:i4>0</vt:i4>
      </vt:variant>
      <vt:variant>
        <vt:i4>5</vt:i4>
      </vt:variant>
      <vt:variant>
        <vt:lpwstr/>
      </vt:variant>
      <vt:variant>
        <vt:lpwstr>_Toc488422798</vt:lpwstr>
      </vt:variant>
      <vt:variant>
        <vt:i4>1048633</vt:i4>
      </vt:variant>
      <vt:variant>
        <vt:i4>20</vt:i4>
      </vt:variant>
      <vt:variant>
        <vt:i4>0</vt:i4>
      </vt:variant>
      <vt:variant>
        <vt:i4>5</vt:i4>
      </vt:variant>
      <vt:variant>
        <vt:lpwstr/>
      </vt:variant>
      <vt:variant>
        <vt:lpwstr>_Toc488422797</vt:lpwstr>
      </vt:variant>
      <vt:variant>
        <vt:i4>1048633</vt:i4>
      </vt:variant>
      <vt:variant>
        <vt:i4>14</vt:i4>
      </vt:variant>
      <vt:variant>
        <vt:i4>0</vt:i4>
      </vt:variant>
      <vt:variant>
        <vt:i4>5</vt:i4>
      </vt:variant>
      <vt:variant>
        <vt:lpwstr/>
      </vt:variant>
      <vt:variant>
        <vt:lpwstr>_Toc488422796</vt:lpwstr>
      </vt:variant>
      <vt:variant>
        <vt:i4>1048633</vt:i4>
      </vt:variant>
      <vt:variant>
        <vt:i4>8</vt:i4>
      </vt:variant>
      <vt:variant>
        <vt:i4>0</vt:i4>
      </vt:variant>
      <vt:variant>
        <vt:i4>5</vt:i4>
      </vt:variant>
      <vt:variant>
        <vt:lpwstr/>
      </vt:variant>
      <vt:variant>
        <vt:lpwstr>_Toc488422795</vt:lpwstr>
      </vt:variant>
      <vt:variant>
        <vt:i4>1048633</vt:i4>
      </vt:variant>
      <vt:variant>
        <vt:i4>2</vt:i4>
      </vt:variant>
      <vt:variant>
        <vt:i4>0</vt:i4>
      </vt:variant>
      <vt:variant>
        <vt:i4>5</vt:i4>
      </vt:variant>
      <vt:variant>
        <vt:lpwstr/>
      </vt:variant>
      <vt:variant>
        <vt:lpwstr>_Toc488422794</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Regina Ndaki</dc:creator>
  <cp:lastModifiedBy>HP Admin</cp:lastModifiedBy>
  <cp:revision>4</cp:revision>
  <cp:lastPrinted>2017-07-21T09:45:00Z</cp:lastPrinted>
  <dcterms:created xsi:type="dcterms:W3CDTF">2017-10-11T09:11:00Z</dcterms:created>
  <dcterms:modified xsi:type="dcterms:W3CDTF">2017-10-12T09:04:00Z</dcterms:modified>
</cp:coreProperties>
</file>