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CEE" w:rsidRPr="000668EE" w:rsidRDefault="00557CEE" w:rsidP="00557CEE">
      <w:pPr>
        <w:pStyle w:val="Titre1"/>
        <w:numPr>
          <w:ilvl w:val="0"/>
          <w:numId w:val="0"/>
        </w:numPr>
        <w:spacing w:before="240" w:after="240" w:line="276" w:lineRule="auto"/>
        <w:ind w:left="432" w:hanging="432"/>
        <w:jc w:val="both"/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</w:pPr>
      <w:bookmarkStart w:id="0" w:name="_Toc501114396"/>
      <w:bookmarkStart w:id="1" w:name="_GoBack"/>
      <w:bookmarkEnd w:id="1"/>
      <w:r w:rsidRPr="000668EE"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  <w:t xml:space="preserve">PRIORITÉS </w:t>
      </w:r>
      <w:bookmarkEnd w:id="0"/>
    </w:p>
    <w:p w:rsidR="00557CEE" w:rsidRPr="000668EE" w:rsidRDefault="00557CEE" w:rsidP="00557CEE">
      <w:pPr>
        <w:pStyle w:val="Titre1"/>
        <w:numPr>
          <w:ilvl w:val="0"/>
          <w:numId w:val="4"/>
        </w:numPr>
        <w:spacing w:before="0" w:after="240" w:line="276" w:lineRule="auto"/>
        <w:jc w:val="both"/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</w:pPr>
      <w:bookmarkStart w:id="2" w:name="_Toc501114397"/>
      <w:r w:rsidRPr="000668EE"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  <w:t>Santé de la mère et du nouveau-né</w:t>
      </w:r>
      <w:bookmarkEnd w:id="2"/>
    </w:p>
    <w:p w:rsidR="00557CEE" w:rsidRPr="00D72175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D72175">
        <w:rPr>
          <w:rFonts w:ascii="Arial" w:hAnsi="Arial" w:cs="Arial"/>
          <w:sz w:val="24"/>
          <w:szCs w:val="24"/>
        </w:rPr>
        <w:t>Renforcement des compétences des prestataires en SONU y compris en AMS/ABR et SAA</w:t>
      </w:r>
    </w:p>
    <w:p w:rsidR="00557CEE" w:rsidRPr="00D72175" w:rsidRDefault="00557CEE" w:rsidP="00557CEE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72175">
        <w:rPr>
          <w:rFonts w:ascii="Arial" w:hAnsi="Arial" w:cs="Arial"/>
          <w:sz w:val="24"/>
          <w:szCs w:val="24"/>
        </w:rPr>
        <w:t>Renforcement de compétence des prestataires de soins sur l’</w:t>
      </w:r>
      <w:proofErr w:type="spellStart"/>
      <w:r w:rsidRPr="00D72175">
        <w:rPr>
          <w:rFonts w:ascii="Arial" w:hAnsi="Arial" w:cs="Arial"/>
          <w:sz w:val="24"/>
          <w:szCs w:val="24"/>
        </w:rPr>
        <w:t>eTME</w:t>
      </w:r>
      <w:proofErr w:type="spellEnd"/>
    </w:p>
    <w:p w:rsidR="00557CEE" w:rsidRPr="00736C28" w:rsidRDefault="00557CEE" w:rsidP="00557CEE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72175">
        <w:rPr>
          <w:rFonts w:ascii="Arial" w:hAnsi="Arial" w:cs="Arial"/>
          <w:sz w:val="24"/>
          <w:szCs w:val="24"/>
        </w:rPr>
        <w:t>Renforcement des interventions communautaires pour les aspects d’IEC/CCC concernant les avantages de la CPN, du dépistage VIH, de l’observance du traitement ARV et concernant la recherche des PDV</w:t>
      </w:r>
    </w:p>
    <w:p w:rsidR="00736C28" w:rsidRPr="00557CEE" w:rsidRDefault="00736C28" w:rsidP="00557CEE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planification familiale</w:t>
      </w:r>
    </w:p>
    <w:p w:rsidR="00557CEE" w:rsidRPr="000668EE" w:rsidRDefault="00557CEE" w:rsidP="00557CEE">
      <w:pPr>
        <w:pStyle w:val="Titre1"/>
        <w:numPr>
          <w:ilvl w:val="0"/>
          <w:numId w:val="4"/>
        </w:numPr>
        <w:spacing w:before="0" w:after="240" w:line="276" w:lineRule="auto"/>
        <w:jc w:val="both"/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</w:pPr>
      <w:bookmarkStart w:id="3" w:name="_Toc501114398"/>
      <w:r w:rsidRPr="000668EE"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  <w:t>Santé de l’enfant et du nouveau-né</w:t>
      </w:r>
      <w:bookmarkEnd w:id="3"/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L’extension de la mise en œuvre de la PCIME/REC dans la région sanitaire du Centre-nord,</w:t>
      </w:r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Le renforcement des compétences des agents de santé des CHR et des CMA pour la mise en œuvre des TETU et des SENN/SMK,</w:t>
      </w:r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Le renforcement des compétences des acteurs (AS, ASBC) pour la mise en œuvre du paquet complet de PCIME communautaire et des soins du nouveau-né à domicile.</w:t>
      </w:r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Le renforcement de l’équipement et des consommables pour la mise en œuvre des stratégies de survie de l’enfant (TETU, PCIME communautaire, soins du nouveau-né à domicile).</w:t>
      </w:r>
    </w:p>
    <w:p w:rsidR="00557CEE" w:rsidRPr="00A42D53" w:rsidRDefault="00557CEE" w:rsidP="00557CEE">
      <w:pPr>
        <w:pStyle w:val="Paragraphedeliste"/>
        <w:ind w:left="720"/>
        <w:jc w:val="both"/>
        <w:rPr>
          <w:rFonts w:ascii="Arial" w:hAnsi="Arial" w:cs="Arial"/>
        </w:rPr>
      </w:pPr>
    </w:p>
    <w:p w:rsidR="00557CEE" w:rsidRPr="000668EE" w:rsidRDefault="00557CEE" w:rsidP="00557CEE">
      <w:pPr>
        <w:pStyle w:val="Titre1"/>
        <w:numPr>
          <w:ilvl w:val="0"/>
          <w:numId w:val="4"/>
        </w:numPr>
        <w:spacing w:before="0" w:after="240" w:line="276" w:lineRule="auto"/>
        <w:jc w:val="both"/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</w:pPr>
      <w:bookmarkStart w:id="4" w:name="_Toc501114399"/>
      <w:r w:rsidRPr="000668EE">
        <w:rPr>
          <w:rFonts w:ascii="Arial" w:eastAsia="Calibri" w:hAnsi="Arial" w:cs="Arial"/>
          <w:bCs w:val="0"/>
          <w:color w:val="auto"/>
          <w:sz w:val="28"/>
          <w:szCs w:val="24"/>
          <w:u w:val="none"/>
        </w:rPr>
        <w:t>Santé des adolescents et jeunes</w:t>
      </w:r>
      <w:bookmarkEnd w:id="4"/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Le renforcement de compétences des acteurs santé sur la santé des adolescents et jeunes (production des supports, formation SSSR et programme d’orientation, supervision)</w:t>
      </w:r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Dynamisation des centres jeunes (financements, diffusion guide de gestion)</w:t>
      </w:r>
    </w:p>
    <w:p w:rsidR="00557CEE" w:rsidRPr="006E29A6" w:rsidRDefault="00557CEE" w:rsidP="00557CEE">
      <w:pPr>
        <w:pStyle w:val="Paragraphedeliste"/>
        <w:numPr>
          <w:ilvl w:val="0"/>
          <w:numId w:val="2"/>
        </w:numPr>
        <w:spacing w:after="160"/>
        <w:contextualSpacing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La mise en œuvre des directives de santé scolaire et universitaire</w:t>
      </w:r>
    </w:p>
    <w:p w:rsidR="00557CEE" w:rsidRDefault="00557CEE" w:rsidP="00557CEE">
      <w:pPr>
        <w:pStyle w:val="Paragraphedeliste"/>
        <w:numPr>
          <w:ilvl w:val="0"/>
          <w:numId w:val="2"/>
        </w:numPr>
        <w:spacing w:after="240"/>
        <w:ind w:left="1077" w:hanging="357"/>
        <w:jc w:val="both"/>
        <w:rPr>
          <w:rFonts w:ascii="Arial" w:hAnsi="Arial" w:cs="Arial"/>
          <w:sz w:val="24"/>
          <w:szCs w:val="24"/>
        </w:rPr>
      </w:pPr>
      <w:r w:rsidRPr="006E29A6">
        <w:rPr>
          <w:rFonts w:ascii="Arial" w:hAnsi="Arial" w:cs="Arial"/>
          <w:sz w:val="24"/>
          <w:szCs w:val="24"/>
        </w:rPr>
        <w:t>Le renforcement de compétences des acteurs de l’éducation sur la SRAJ</w:t>
      </w:r>
    </w:p>
    <w:p w:rsidR="00736C28" w:rsidRPr="006E29A6" w:rsidRDefault="00736C28" w:rsidP="00736C28">
      <w:pPr>
        <w:pStyle w:val="Paragraphedeliste"/>
        <w:spacing w:after="240"/>
        <w:ind w:left="1077"/>
        <w:jc w:val="both"/>
        <w:rPr>
          <w:rFonts w:ascii="Arial" w:hAnsi="Arial" w:cs="Arial"/>
          <w:sz w:val="24"/>
          <w:szCs w:val="24"/>
        </w:rPr>
      </w:pPr>
    </w:p>
    <w:p w:rsidR="003776E5" w:rsidRDefault="001B14CF"/>
    <w:sectPr w:rsidR="003776E5" w:rsidSect="006C01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C1595"/>
    <w:multiLevelType w:val="hybridMultilevel"/>
    <w:tmpl w:val="1A2C8B5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242680"/>
    <w:multiLevelType w:val="multilevel"/>
    <w:tmpl w:val="C60E9F26"/>
    <w:lvl w:ilvl="0">
      <w:start w:val="1"/>
      <w:numFmt w:val="decimal"/>
      <w:pStyle w:val="Titre1"/>
      <w:lvlText w:val="%1"/>
      <w:lvlJc w:val="left"/>
      <w:pPr>
        <w:ind w:left="432" w:hanging="432"/>
      </w:pPr>
      <w:rPr>
        <w:rFonts w:ascii="Arial" w:hAnsi="Arial" w:cs="Arial" w:hint="default"/>
        <w:b/>
        <w:sz w:val="28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  <w:color w:val="auto"/>
        <w:sz w:val="24"/>
        <w:szCs w:val="24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>
    <w:nsid w:val="37E9300A"/>
    <w:multiLevelType w:val="multilevel"/>
    <w:tmpl w:val="FC644A6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66477C90"/>
    <w:multiLevelType w:val="hybridMultilevel"/>
    <w:tmpl w:val="D2C42E98"/>
    <w:lvl w:ilvl="0" w:tplc="B0925AF6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CEE"/>
    <w:rsid w:val="000B37F3"/>
    <w:rsid w:val="001B14CF"/>
    <w:rsid w:val="002D2A64"/>
    <w:rsid w:val="00557CEE"/>
    <w:rsid w:val="006C016C"/>
    <w:rsid w:val="00736C28"/>
    <w:rsid w:val="007F320B"/>
    <w:rsid w:val="00800DDB"/>
    <w:rsid w:val="00B64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16C"/>
  </w:style>
  <w:style w:type="paragraph" w:styleId="Titre1">
    <w:name w:val="heading 1"/>
    <w:basedOn w:val="Normal"/>
    <w:next w:val="Normal"/>
    <w:link w:val="Titre1Car"/>
    <w:uiPriority w:val="9"/>
    <w:qFormat/>
    <w:rsid w:val="00557CEE"/>
    <w:pPr>
      <w:keepNext/>
      <w:keepLines/>
      <w:numPr>
        <w:numId w:val="1"/>
      </w:numPr>
      <w:spacing w:before="480" w:after="0" w:line="360" w:lineRule="auto"/>
      <w:jc w:val="center"/>
      <w:outlineLvl w:val="0"/>
    </w:pPr>
    <w:rPr>
      <w:rFonts w:ascii="Calibri" w:eastAsia="Times New Roman" w:hAnsi="Calibri" w:cs="Times New Roman"/>
      <w:b/>
      <w:bCs/>
      <w:color w:val="000090"/>
      <w:sz w:val="48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qFormat/>
    <w:rsid w:val="00557CEE"/>
    <w:pPr>
      <w:keepNext/>
      <w:keepLines/>
      <w:numPr>
        <w:ilvl w:val="1"/>
        <w:numId w:val="1"/>
      </w:numPr>
      <w:spacing w:after="0" w:line="360" w:lineRule="auto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557CEE"/>
    <w:pPr>
      <w:keepNext/>
      <w:keepLines/>
      <w:numPr>
        <w:ilvl w:val="2"/>
        <w:numId w:val="1"/>
      </w:numPr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Titre4">
    <w:name w:val="heading 4"/>
    <w:basedOn w:val="Normal"/>
    <w:next w:val="Normal"/>
    <w:link w:val="Titre4Car"/>
    <w:uiPriority w:val="9"/>
    <w:qFormat/>
    <w:rsid w:val="00557CEE"/>
    <w:pPr>
      <w:keepNext/>
      <w:keepLines/>
      <w:numPr>
        <w:ilvl w:val="3"/>
        <w:numId w:val="1"/>
      </w:numPr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qFormat/>
    <w:rsid w:val="00557CEE"/>
    <w:pPr>
      <w:keepNext/>
      <w:keepLines/>
      <w:numPr>
        <w:ilvl w:val="5"/>
        <w:numId w:val="1"/>
      </w:numPr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qFormat/>
    <w:rsid w:val="00557CEE"/>
    <w:pPr>
      <w:keepNext/>
      <w:keepLines/>
      <w:numPr>
        <w:ilvl w:val="6"/>
        <w:numId w:val="1"/>
      </w:numPr>
      <w:spacing w:before="200" w:after="0" w:line="276" w:lineRule="auto"/>
      <w:outlineLvl w:val="6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qFormat/>
    <w:rsid w:val="00557CEE"/>
    <w:pPr>
      <w:keepNext/>
      <w:keepLines/>
      <w:numPr>
        <w:ilvl w:val="7"/>
        <w:numId w:val="1"/>
      </w:numPr>
      <w:spacing w:before="200" w:after="0" w:line="276" w:lineRule="auto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qFormat/>
    <w:rsid w:val="00557CEE"/>
    <w:pPr>
      <w:keepNext/>
      <w:keepLines/>
      <w:numPr>
        <w:ilvl w:val="8"/>
        <w:numId w:val="1"/>
      </w:numPr>
      <w:spacing w:before="200" w:after="0" w:line="276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57CEE"/>
    <w:rPr>
      <w:rFonts w:ascii="Calibri" w:eastAsia="Times New Roman" w:hAnsi="Calibri" w:cs="Times New Roman"/>
      <w:b/>
      <w:bCs/>
      <w:color w:val="000090"/>
      <w:sz w:val="4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557CEE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57CEE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557CEE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rsid w:val="00557CEE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rsid w:val="00557CE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rsid w:val="00557CE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sid w:val="00557CE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Paragraphedeliste">
    <w:name w:val="List Paragraph"/>
    <w:aliases w:val="Liste couleur - Accent 111,List Paragraph,Bullets,List Paragraph nowy,Numbered List Paragraph,List Paragraph (numbered (a)),Bioforce zListePuce,Glossaire,liste de tableaux,Titre1,References,ReferencesCxSpLast,Paragraphe de liste11"/>
    <w:basedOn w:val="Normal"/>
    <w:link w:val="ParagraphedelisteCar"/>
    <w:uiPriority w:val="34"/>
    <w:qFormat/>
    <w:rsid w:val="00557CEE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ParagraphedelisteCar">
    <w:name w:val="Paragraphe de liste Car"/>
    <w:aliases w:val="Liste couleur - Accent 111 Car,List Paragraph Car,Bullets Car,List Paragraph nowy Car,Numbered List Paragraph Car,List Paragraph (numbered (a)) Car,Bioforce zListePuce Car,Glossaire Car,liste de tableaux Car,Titre1 Car"/>
    <w:link w:val="Paragraphedeliste"/>
    <w:uiPriority w:val="34"/>
    <w:qFormat/>
    <w:rsid w:val="00557CEE"/>
    <w:rPr>
      <w:rFonts w:ascii="Calibri" w:eastAsia="Calibri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16C"/>
  </w:style>
  <w:style w:type="paragraph" w:styleId="Titre1">
    <w:name w:val="heading 1"/>
    <w:basedOn w:val="Normal"/>
    <w:next w:val="Normal"/>
    <w:link w:val="Titre1Car"/>
    <w:uiPriority w:val="9"/>
    <w:qFormat/>
    <w:rsid w:val="00557CEE"/>
    <w:pPr>
      <w:keepNext/>
      <w:keepLines/>
      <w:numPr>
        <w:numId w:val="1"/>
      </w:numPr>
      <w:spacing w:before="480" w:after="0" w:line="360" w:lineRule="auto"/>
      <w:jc w:val="center"/>
      <w:outlineLvl w:val="0"/>
    </w:pPr>
    <w:rPr>
      <w:rFonts w:ascii="Calibri" w:eastAsia="Times New Roman" w:hAnsi="Calibri" w:cs="Times New Roman"/>
      <w:b/>
      <w:bCs/>
      <w:color w:val="000090"/>
      <w:sz w:val="48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qFormat/>
    <w:rsid w:val="00557CEE"/>
    <w:pPr>
      <w:keepNext/>
      <w:keepLines/>
      <w:numPr>
        <w:ilvl w:val="1"/>
        <w:numId w:val="1"/>
      </w:numPr>
      <w:spacing w:after="0" w:line="360" w:lineRule="auto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557CEE"/>
    <w:pPr>
      <w:keepNext/>
      <w:keepLines/>
      <w:numPr>
        <w:ilvl w:val="2"/>
        <w:numId w:val="1"/>
      </w:numPr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Titre4">
    <w:name w:val="heading 4"/>
    <w:basedOn w:val="Normal"/>
    <w:next w:val="Normal"/>
    <w:link w:val="Titre4Car"/>
    <w:uiPriority w:val="9"/>
    <w:qFormat/>
    <w:rsid w:val="00557CEE"/>
    <w:pPr>
      <w:keepNext/>
      <w:keepLines/>
      <w:numPr>
        <w:ilvl w:val="3"/>
        <w:numId w:val="1"/>
      </w:numPr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qFormat/>
    <w:rsid w:val="00557CEE"/>
    <w:pPr>
      <w:keepNext/>
      <w:keepLines/>
      <w:numPr>
        <w:ilvl w:val="5"/>
        <w:numId w:val="1"/>
      </w:numPr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qFormat/>
    <w:rsid w:val="00557CEE"/>
    <w:pPr>
      <w:keepNext/>
      <w:keepLines/>
      <w:numPr>
        <w:ilvl w:val="6"/>
        <w:numId w:val="1"/>
      </w:numPr>
      <w:spacing w:before="200" w:after="0" w:line="276" w:lineRule="auto"/>
      <w:outlineLvl w:val="6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qFormat/>
    <w:rsid w:val="00557CEE"/>
    <w:pPr>
      <w:keepNext/>
      <w:keepLines/>
      <w:numPr>
        <w:ilvl w:val="7"/>
        <w:numId w:val="1"/>
      </w:numPr>
      <w:spacing w:before="200" w:after="0" w:line="276" w:lineRule="auto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qFormat/>
    <w:rsid w:val="00557CEE"/>
    <w:pPr>
      <w:keepNext/>
      <w:keepLines/>
      <w:numPr>
        <w:ilvl w:val="8"/>
        <w:numId w:val="1"/>
      </w:numPr>
      <w:spacing w:before="200" w:after="0" w:line="276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57CEE"/>
    <w:rPr>
      <w:rFonts w:ascii="Calibri" w:eastAsia="Times New Roman" w:hAnsi="Calibri" w:cs="Times New Roman"/>
      <w:b/>
      <w:bCs/>
      <w:color w:val="000090"/>
      <w:sz w:val="4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557CEE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57CEE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557CEE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rsid w:val="00557CEE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rsid w:val="00557CE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rsid w:val="00557CE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sid w:val="00557CE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Paragraphedeliste">
    <w:name w:val="List Paragraph"/>
    <w:aliases w:val="Liste couleur - Accent 111,List Paragraph,Bullets,List Paragraph nowy,Numbered List Paragraph,List Paragraph (numbered (a)),Bioforce zListePuce,Glossaire,liste de tableaux,Titre1,References,ReferencesCxSpLast,Paragraphe de liste11"/>
    <w:basedOn w:val="Normal"/>
    <w:link w:val="ParagraphedelisteCar"/>
    <w:uiPriority w:val="34"/>
    <w:qFormat/>
    <w:rsid w:val="00557CEE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ParagraphedelisteCar">
    <w:name w:val="Paragraphe de liste Car"/>
    <w:aliases w:val="Liste couleur - Accent 111 Car,List Paragraph Car,Bullets Car,List Paragraph nowy Car,Numbered List Paragraph Car,List Paragraph (numbered (a)) Car,Bioforce zListePuce Car,Glossaire Car,liste de tableaux Car,Titre1 Car"/>
    <w:link w:val="Paragraphedeliste"/>
    <w:uiPriority w:val="34"/>
    <w:qFormat/>
    <w:rsid w:val="00557CEE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Bigeard, Mr Alexis - bf</cp:lastModifiedBy>
  <cp:revision>2</cp:revision>
  <dcterms:created xsi:type="dcterms:W3CDTF">2018-08-07T12:20:00Z</dcterms:created>
  <dcterms:modified xsi:type="dcterms:W3CDTF">2018-08-07T12:20:00Z</dcterms:modified>
</cp:coreProperties>
</file>