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A9E" w:rsidRDefault="008F3A9E" w:rsidP="008F3A9E">
      <w:pPr>
        <w:pStyle w:val="Titre1"/>
        <w:rPr>
          <w:rFonts w:eastAsia="Times New Roman"/>
          <w:lang w:eastAsia="fr-FR"/>
        </w:rPr>
      </w:pPr>
      <w:bookmarkStart w:id="0" w:name="_Toc496429523"/>
      <w:bookmarkStart w:id="1" w:name="_GoBack"/>
      <w:bookmarkEnd w:id="1"/>
      <w:r>
        <w:rPr>
          <w:rFonts w:eastAsia="Times New Roman"/>
          <w:lang w:eastAsia="fr-FR"/>
        </w:rPr>
        <w:t>Revue des dépenses de santé</w:t>
      </w:r>
      <w:bookmarkEnd w:id="0"/>
    </w:p>
    <w:p w:rsidR="008F3A9E" w:rsidRDefault="008F3A9E" w:rsidP="008F3A9E">
      <w:pPr>
        <w:pStyle w:val="Titre2"/>
        <w:rPr>
          <w:rFonts w:asciiTheme="majorBidi" w:eastAsia="Times New Roman" w:hAnsiTheme="majorBidi"/>
          <w:lang w:eastAsia="fr-FR"/>
        </w:rPr>
      </w:pPr>
      <w:bookmarkStart w:id="2" w:name="_Toc496429524"/>
      <w:r>
        <w:rPr>
          <w:rFonts w:asciiTheme="majorBidi" w:eastAsia="Times New Roman" w:hAnsiTheme="majorBidi"/>
          <w:lang w:eastAsia="fr-FR"/>
        </w:rPr>
        <w:t>Les dépenses totales de santé</w:t>
      </w:r>
      <w:bookmarkEnd w:id="2"/>
      <w:r>
        <w:rPr>
          <w:rFonts w:asciiTheme="majorBidi" w:eastAsia="Times New Roman" w:hAnsiTheme="majorBidi"/>
          <w:lang w:eastAsia="fr-FR"/>
        </w:rPr>
        <w:t xml:space="preserve"> </w:t>
      </w:r>
    </w:p>
    <w:p w:rsidR="008F3A9E" w:rsidRDefault="008F3A9E" w:rsidP="008F3A9E">
      <w:pPr>
        <w:rPr>
          <w:b/>
        </w:rPr>
      </w:pPr>
    </w:p>
    <w:p w:rsidR="008F3A9E" w:rsidRDefault="008F3A9E" w:rsidP="008F3A9E">
      <w:pPr>
        <w:pStyle w:val="Titre3"/>
      </w:pPr>
      <w:bookmarkStart w:id="3" w:name="_Toc496429525"/>
      <w:r>
        <w:t>Dépenses totales en volume, par habitant, et rapportées au PIB</w:t>
      </w:r>
      <w:bookmarkEnd w:id="3"/>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sz w:val="24"/>
          <w:szCs w:val="24"/>
          <w:lang w:eastAsia="fr-FR"/>
        </w:rPr>
        <w:t xml:space="preserve">Les dépenses totales de santé ont évolué de 53,5 milliards en 2012 (MRO courante) à 83,1 milliards en 2015 soit une variation annuelle moyenne de 16%. Les DTS per capita en $ (Monnaie courante) ont logiquement enregistré une évolution positive durant cette période (+12% en moyenne annuelle). Elles ont évolué de 54 $ en 2012 à 74$ en 2014 pour baisser à 69 $ en 2015. Quant à la part des DTS dans le PIB, elle a évolué de 3% en 2012 à 5% en 2015. </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i/>
          <w:iCs/>
          <w:sz w:val="24"/>
          <w:szCs w:val="24"/>
          <w:lang w:eastAsia="fr-FR"/>
        </w:rPr>
      </w:pPr>
      <w:r>
        <w:rPr>
          <w:rFonts w:asciiTheme="majorBidi" w:eastAsiaTheme="minorEastAsia" w:hAnsiTheme="majorBidi" w:cstheme="majorBidi"/>
          <w:i/>
          <w:iCs/>
          <w:sz w:val="24"/>
          <w:szCs w:val="24"/>
          <w:lang w:eastAsia="fr-FR"/>
        </w:rPr>
        <w:t>Evolution de principaux indicateurs de la DTS</w:t>
      </w:r>
    </w:p>
    <w:tbl>
      <w:tblPr>
        <w:tblStyle w:val="TableauGrille1Clair1"/>
        <w:tblW w:w="9067" w:type="dxa"/>
        <w:tblLook w:val="04A0" w:firstRow="1" w:lastRow="0" w:firstColumn="1" w:lastColumn="0" w:noHBand="0" w:noVBand="1"/>
      </w:tblPr>
      <w:tblGrid>
        <w:gridCol w:w="2263"/>
        <w:gridCol w:w="1701"/>
        <w:gridCol w:w="1701"/>
        <w:gridCol w:w="1701"/>
        <w:gridCol w:w="1701"/>
      </w:tblGrid>
      <w:tr w:rsidR="008F3A9E" w:rsidTr="000E25ED">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999999" w:themeColor="text1" w:themeTint="66"/>
              <w:left w:val="single" w:sz="4" w:space="0" w:color="999999" w:themeColor="text1" w:themeTint="66"/>
              <w:right w:val="single" w:sz="4" w:space="0" w:color="999999" w:themeColor="text1" w:themeTint="66"/>
            </w:tcBorders>
            <w:noWrap/>
            <w:vAlign w:val="center"/>
            <w:hideMark/>
          </w:tcPr>
          <w:p w:rsidR="008F3A9E" w:rsidRDefault="008F3A9E" w:rsidP="000E25ED"/>
        </w:tc>
        <w:tc>
          <w:tcPr>
            <w:tcW w:w="1701" w:type="dxa"/>
            <w:tcBorders>
              <w:top w:val="single" w:sz="4" w:space="0" w:color="999999" w:themeColor="text1" w:themeTint="66"/>
              <w:left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aps/>
                <w:sz w:val="22"/>
                <w:szCs w:val="22"/>
              </w:rPr>
            </w:pPr>
            <w:r>
              <w:rPr>
                <w:rFonts w:ascii="Arial" w:eastAsia="Times New Roman" w:hAnsi="Arial" w:cs="Arial"/>
                <w:caps/>
              </w:rPr>
              <w:t>2012</w:t>
            </w:r>
          </w:p>
        </w:tc>
        <w:tc>
          <w:tcPr>
            <w:tcW w:w="1701" w:type="dxa"/>
            <w:tcBorders>
              <w:top w:val="single" w:sz="4" w:space="0" w:color="999999" w:themeColor="text1" w:themeTint="66"/>
              <w:left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aps/>
                <w:sz w:val="22"/>
                <w:szCs w:val="22"/>
              </w:rPr>
            </w:pPr>
            <w:r>
              <w:rPr>
                <w:rFonts w:ascii="Arial" w:eastAsia="Times New Roman" w:hAnsi="Arial" w:cs="Arial"/>
                <w:caps/>
              </w:rPr>
              <w:t>2013</w:t>
            </w:r>
          </w:p>
        </w:tc>
        <w:tc>
          <w:tcPr>
            <w:tcW w:w="1701" w:type="dxa"/>
            <w:tcBorders>
              <w:top w:val="single" w:sz="4" w:space="0" w:color="999999" w:themeColor="text1" w:themeTint="66"/>
              <w:left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aps/>
                <w:sz w:val="22"/>
                <w:szCs w:val="22"/>
              </w:rPr>
            </w:pPr>
            <w:r>
              <w:rPr>
                <w:rFonts w:ascii="Arial" w:eastAsia="Times New Roman" w:hAnsi="Arial" w:cs="Arial"/>
                <w:caps/>
              </w:rPr>
              <w:t>2014</w:t>
            </w:r>
          </w:p>
        </w:tc>
        <w:tc>
          <w:tcPr>
            <w:tcW w:w="1701" w:type="dxa"/>
            <w:tcBorders>
              <w:top w:val="single" w:sz="4" w:space="0" w:color="999999" w:themeColor="text1" w:themeTint="66"/>
              <w:left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caps/>
                <w:sz w:val="22"/>
                <w:szCs w:val="22"/>
              </w:rPr>
            </w:pPr>
            <w:r>
              <w:rPr>
                <w:rFonts w:ascii="Arial" w:eastAsia="Times New Roman" w:hAnsi="Arial" w:cs="Arial"/>
                <w:caps/>
              </w:rPr>
              <w:t>2015</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rPr>
                <w:rFonts w:ascii="Arial" w:eastAsia="Times New Roman" w:hAnsi="Arial" w:cs="Arial"/>
                <w:caps/>
                <w:sz w:val="18"/>
                <w:szCs w:val="18"/>
              </w:rPr>
            </w:pPr>
            <w:r>
              <w:rPr>
                <w:rFonts w:ascii="Arial" w:eastAsia="Times New Roman" w:hAnsi="Arial" w:cs="Arial"/>
                <w:caps/>
                <w:sz w:val="18"/>
                <w:szCs w:val="18"/>
              </w:rPr>
              <w:t>Dépenses Totales de santé (MRO)</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53 522 818 620</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64 010 815 724</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80 820 616 642</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83 185 520 684</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rPr>
                <w:rFonts w:ascii="Arial" w:eastAsia="Times New Roman" w:hAnsi="Arial" w:cs="Arial"/>
                <w:caps/>
                <w:sz w:val="18"/>
                <w:szCs w:val="18"/>
              </w:rPr>
            </w:pPr>
            <w:r>
              <w:rPr>
                <w:rFonts w:ascii="Arial" w:eastAsia="Times New Roman" w:hAnsi="Arial" w:cs="Arial"/>
                <w:caps/>
                <w:sz w:val="18"/>
                <w:szCs w:val="18"/>
              </w:rPr>
              <w:t>DTS per capita MRO</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15 843</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18 096</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22 221</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22 361</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vAlign w:val="center"/>
            <w:hideMark/>
          </w:tcPr>
          <w:p w:rsidR="008F3A9E" w:rsidRDefault="008F3A9E" w:rsidP="000E25ED">
            <w:pPr>
              <w:rPr>
                <w:rFonts w:ascii="Arial" w:eastAsia="Times New Roman" w:hAnsi="Arial" w:cs="Arial"/>
                <w:caps/>
                <w:sz w:val="18"/>
                <w:szCs w:val="18"/>
              </w:rPr>
            </w:pPr>
            <w:r>
              <w:rPr>
                <w:rFonts w:ascii="Arial" w:eastAsia="Times New Roman" w:hAnsi="Arial" w:cs="Arial"/>
                <w:caps/>
                <w:sz w:val="18"/>
                <w:szCs w:val="18"/>
              </w:rPr>
              <w:t>DTS per capita $</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54</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60</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74</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69</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rPr>
                <w:rFonts w:ascii="Arial" w:eastAsia="Times New Roman" w:hAnsi="Arial" w:cs="Arial"/>
                <w:caps/>
                <w:sz w:val="18"/>
                <w:szCs w:val="18"/>
              </w:rPr>
            </w:pPr>
            <w:r>
              <w:rPr>
                <w:rFonts w:ascii="Arial" w:eastAsia="Times New Roman" w:hAnsi="Arial" w:cs="Arial"/>
                <w:caps/>
                <w:sz w:val="18"/>
                <w:szCs w:val="18"/>
              </w:rPr>
              <w:t>DTS/PIB</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3%</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4%</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5%</w:t>
            </w:r>
          </w:p>
        </w:tc>
        <w:tc>
          <w:tcPr>
            <w:tcW w:w="170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5%</w:t>
            </w:r>
          </w:p>
        </w:tc>
      </w:tr>
    </w:tbl>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sz w:val="24"/>
          <w:szCs w:val="24"/>
          <w:lang w:eastAsia="fr-FR"/>
        </w:rPr>
        <w:t>Selon ces données, il apparait que la DTS par habitant en Mauritanie est inférieure de 2,5 fois à celle du Maroc et 4 fois à celle de la Tunisie. Elle se situe en dessous du celle de la Côte d’Ivoire mais représente une fois et demie celle du Sénégal (cf. graphique ci-dessous).</w:t>
      </w:r>
    </w:p>
    <w:p w:rsidR="008F3A9E" w:rsidRDefault="008F3A9E" w:rsidP="008F3A9E">
      <w:pPr>
        <w:rPr>
          <w:rFonts w:asciiTheme="majorBidi" w:eastAsiaTheme="minorEastAsia" w:hAnsiTheme="majorBidi" w:cstheme="majorBidi"/>
          <w:sz w:val="24"/>
          <w:szCs w:val="24"/>
          <w:lang w:eastAsia="fr-FR"/>
        </w:rPr>
      </w:pPr>
      <w:r>
        <w:rPr>
          <w:rFonts w:asciiTheme="majorBidi" w:eastAsiaTheme="minorEastAsia" w:hAnsiTheme="majorBidi" w:cstheme="majorBidi"/>
          <w:i/>
          <w:iCs/>
          <w:sz w:val="20"/>
          <w:szCs w:val="20"/>
          <w:lang w:eastAsia="fr-FR"/>
        </w:rPr>
        <w:t>DTS per capita de certains pays de la sous-région comparés à la Mauritanie en 2014</w:t>
      </w:r>
      <w:r>
        <w:rPr>
          <w:rStyle w:val="Appelnotedebasdep"/>
          <w:rFonts w:asciiTheme="majorBidi" w:eastAsiaTheme="minorEastAsia" w:hAnsiTheme="majorBidi"/>
          <w:i/>
          <w:iCs/>
          <w:sz w:val="20"/>
          <w:szCs w:val="20"/>
          <w:lang w:eastAsia="fr-FR"/>
        </w:rPr>
        <w:footnoteReference w:id="1"/>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i/>
          <w:iCs/>
          <w:sz w:val="24"/>
          <w:szCs w:val="24"/>
          <w:lang w:eastAsia="fr-FR"/>
        </w:rPr>
      </w:pPr>
      <w:r>
        <w:rPr>
          <w:rFonts w:asciiTheme="majorBidi" w:eastAsiaTheme="minorEastAsia" w:hAnsiTheme="majorBidi" w:cstheme="majorBidi"/>
          <w:i/>
          <w:noProof/>
          <w:sz w:val="24"/>
          <w:szCs w:val="24"/>
          <w:lang w:eastAsia="fr-FR"/>
        </w:rPr>
        <w:lastRenderedPageBreak/>
        <w:drawing>
          <wp:inline distT="0" distB="0" distL="0" distR="0" wp14:anchorId="06E51F00" wp14:editId="1EE2F188">
            <wp:extent cx="3297169" cy="1982481"/>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21203" cy="1996932"/>
                    </a:xfrm>
                    <a:prstGeom prst="rect">
                      <a:avLst/>
                    </a:prstGeom>
                    <a:noFill/>
                    <a:ln>
                      <a:noFill/>
                    </a:ln>
                  </pic:spPr>
                </pic:pic>
              </a:graphicData>
            </a:graphic>
          </wp:inline>
        </w:drawing>
      </w:r>
    </w:p>
    <w:p w:rsidR="008F3A9E" w:rsidRDefault="008F3A9E" w:rsidP="008F3A9E">
      <w:pPr>
        <w:pStyle w:val="Titre3"/>
      </w:pPr>
      <w:bookmarkStart w:id="4" w:name="_Toc496429526"/>
      <w:r>
        <w:t>Investissements et dépenses courantes</w:t>
      </w:r>
      <w:bookmarkEnd w:id="4"/>
      <w:r>
        <w:t xml:space="preserve"> </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sz w:val="24"/>
          <w:szCs w:val="24"/>
          <w:lang w:eastAsia="fr-FR"/>
        </w:rPr>
        <w:t>L’analyse des DTS en comparant l’évolution de deux comptes (Dépenses courantes et investissement) montre qu’un effort substantiel a été déployé par l’administration publique et les PTF pour améliorer les infrastructures sanitaires. Les dépenses en investissements sont passées de 1,6 milliard MRO en 2012 à 10,3 milliards en 2015 (+85% par an en moyenne).</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i/>
          <w:iCs/>
          <w:sz w:val="24"/>
          <w:szCs w:val="24"/>
          <w:lang w:eastAsia="fr-FR"/>
        </w:rPr>
      </w:pPr>
      <w:r>
        <w:rPr>
          <w:rFonts w:asciiTheme="majorBidi" w:eastAsiaTheme="minorEastAsia" w:hAnsiTheme="majorBidi" w:cstheme="majorBidi"/>
          <w:i/>
          <w:iCs/>
          <w:sz w:val="24"/>
          <w:szCs w:val="24"/>
          <w:lang w:eastAsia="fr-FR"/>
        </w:rPr>
        <w:t>Evolution de DCS et DI</w:t>
      </w:r>
    </w:p>
    <w:tbl>
      <w:tblPr>
        <w:tblStyle w:val="TableauGrille1Clair-Accentuation21"/>
        <w:tblW w:w="9068" w:type="dxa"/>
        <w:tblLook w:val="04A0" w:firstRow="1" w:lastRow="0" w:firstColumn="1" w:lastColumn="0" w:noHBand="0" w:noVBand="1"/>
      </w:tblPr>
      <w:tblGrid>
        <w:gridCol w:w="3256"/>
        <w:gridCol w:w="1418"/>
        <w:gridCol w:w="1417"/>
        <w:gridCol w:w="1559"/>
        <w:gridCol w:w="1418"/>
      </w:tblGrid>
      <w:tr w:rsidR="008F3A9E" w:rsidTr="000E25ED">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E5B8B7"/>
              <w:left w:val="single" w:sz="4" w:space="0" w:color="E5B8B7"/>
              <w:right w:val="single" w:sz="4" w:space="0" w:color="E5B8B7"/>
            </w:tcBorders>
            <w:noWrap/>
            <w:hideMark/>
          </w:tcPr>
          <w:p w:rsidR="008F3A9E" w:rsidRDefault="008F3A9E" w:rsidP="000E25ED"/>
        </w:tc>
        <w:tc>
          <w:tcPr>
            <w:tcW w:w="1418"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2012</w:t>
            </w:r>
          </w:p>
        </w:tc>
        <w:tc>
          <w:tcPr>
            <w:tcW w:w="1417"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2013</w:t>
            </w:r>
          </w:p>
        </w:tc>
        <w:tc>
          <w:tcPr>
            <w:tcW w:w="1559"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2014</w:t>
            </w:r>
          </w:p>
        </w:tc>
        <w:tc>
          <w:tcPr>
            <w:tcW w:w="1418"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2015</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rPr>
                <w:rFonts w:ascii="Arial" w:eastAsia="Times New Roman" w:hAnsi="Arial" w:cs="Arial"/>
                <w:i/>
                <w:iCs/>
                <w:sz w:val="26"/>
              </w:rPr>
            </w:pPr>
            <w:r>
              <w:rPr>
                <w:rFonts w:ascii="Arial" w:eastAsia="Times New Roman" w:hAnsi="Arial" w:cs="Arial"/>
                <w:i/>
                <w:iCs/>
                <w:sz w:val="26"/>
              </w:rPr>
              <w:t xml:space="preserve">Dépenses Courantes </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51 888 991 939</w:t>
            </w:r>
          </w:p>
        </w:tc>
        <w:tc>
          <w:tcPr>
            <w:tcW w:w="1417"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61 526 246 165</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68 339 497 074</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72 798 414 879</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rPr>
                <w:rFonts w:ascii="Arial" w:eastAsia="Times New Roman" w:hAnsi="Arial" w:cs="Arial"/>
                <w:i/>
                <w:iCs/>
                <w:sz w:val="26"/>
              </w:rPr>
            </w:pPr>
            <w:r>
              <w:rPr>
                <w:rFonts w:ascii="Arial" w:eastAsia="Times New Roman" w:hAnsi="Arial" w:cs="Arial"/>
                <w:i/>
                <w:iCs/>
                <w:sz w:val="26"/>
              </w:rPr>
              <w:t>Dépenses en investissements</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1 633 826 680</w:t>
            </w:r>
          </w:p>
        </w:tc>
        <w:tc>
          <w:tcPr>
            <w:tcW w:w="1417"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2 484 569 559</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12 481 119 568</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10 387 105 805</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3256"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rPr>
                <w:rFonts w:ascii="Arial" w:eastAsia="Times New Roman" w:hAnsi="Arial" w:cs="Arial"/>
                <w:i/>
                <w:iCs/>
                <w:sz w:val="26"/>
              </w:rPr>
            </w:pPr>
            <w:r>
              <w:rPr>
                <w:rFonts w:ascii="Arial" w:eastAsia="Times New Roman" w:hAnsi="Arial" w:cs="Arial"/>
                <w:i/>
                <w:iCs/>
                <w:sz w:val="26"/>
              </w:rPr>
              <w:t>Total</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53 522 818 620</w:t>
            </w:r>
          </w:p>
        </w:tc>
        <w:tc>
          <w:tcPr>
            <w:tcW w:w="1417"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64 010 815 724</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80 820 616 642</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83 185 520 684</w:t>
            </w:r>
          </w:p>
        </w:tc>
      </w:tr>
    </w:tbl>
    <w:p w:rsidR="008F3A9E" w:rsidRDefault="008F3A9E" w:rsidP="008F3A9E">
      <w:pPr>
        <w:rPr>
          <w:lang w:eastAsia="fr-FR"/>
        </w:rPr>
      </w:pP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i/>
          <w:iCs/>
          <w:sz w:val="24"/>
          <w:szCs w:val="24"/>
          <w:lang w:eastAsia="fr-FR"/>
        </w:rPr>
        <w:t>Evolution de DCS et DI</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noProof/>
          <w:sz w:val="24"/>
          <w:szCs w:val="24"/>
          <w:lang w:eastAsia="fr-FR"/>
        </w:rPr>
        <w:drawing>
          <wp:inline distT="0" distB="0" distL="0" distR="0" wp14:anchorId="411996A0" wp14:editId="0DB451F8">
            <wp:extent cx="4279900" cy="2297430"/>
            <wp:effectExtent l="0" t="0" r="6350" b="762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79900" cy="2297430"/>
                    </a:xfrm>
                    <a:prstGeom prst="rect">
                      <a:avLst/>
                    </a:prstGeom>
                    <a:noFill/>
                    <a:ln>
                      <a:noFill/>
                    </a:ln>
                  </pic:spPr>
                </pic:pic>
              </a:graphicData>
            </a:graphic>
          </wp:inline>
        </w:drawing>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i/>
          <w:iCs/>
          <w:sz w:val="24"/>
          <w:szCs w:val="24"/>
          <w:lang w:eastAsia="fr-FR"/>
        </w:rPr>
      </w:pPr>
      <w:r>
        <w:rPr>
          <w:rFonts w:asciiTheme="majorBidi" w:eastAsiaTheme="minorEastAsia" w:hAnsiTheme="majorBidi" w:cstheme="majorBidi"/>
          <w:i/>
          <w:iCs/>
          <w:sz w:val="24"/>
          <w:szCs w:val="24"/>
          <w:lang w:eastAsia="fr-FR"/>
        </w:rPr>
        <w:t xml:space="preserve">Evolution de DI par rubriques </w:t>
      </w:r>
    </w:p>
    <w:tbl>
      <w:tblPr>
        <w:tblStyle w:val="TableauGrille1Clair-Accentuation21"/>
        <w:tblW w:w="9067" w:type="dxa"/>
        <w:tblLook w:val="04A0" w:firstRow="1" w:lastRow="0" w:firstColumn="1" w:lastColumn="0" w:noHBand="0" w:noVBand="1"/>
      </w:tblPr>
      <w:tblGrid>
        <w:gridCol w:w="2689"/>
        <w:gridCol w:w="1701"/>
        <w:gridCol w:w="1559"/>
        <w:gridCol w:w="1559"/>
        <w:gridCol w:w="1559"/>
      </w:tblGrid>
      <w:tr w:rsidR="008F3A9E" w:rsidTr="000E25ED">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E5B8B7"/>
              <w:left w:val="single" w:sz="4" w:space="0" w:color="E5B8B7"/>
              <w:right w:val="single" w:sz="4" w:space="0" w:color="E5B8B7"/>
            </w:tcBorders>
            <w:noWrap/>
            <w:vAlign w:val="center"/>
            <w:hideMark/>
          </w:tcPr>
          <w:p w:rsidR="008F3A9E" w:rsidRDefault="008F3A9E" w:rsidP="000E25ED"/>
        </w:tc>
        <w:tc>
          <w:tcPr>
            <w:tcW w:w="1701" w:type="dxa"/>
            <w:tcBorders>
              <w:top w:val="single" w:sz="4" w:space="0" w:color="E5B8B7"/>
              <w:left w:val="single" w:sz="4" w:space="0" w:color="E5B8B7"/>
              <w:right w:val="single" w:sz="4" w:space="0" w:color="E5B8B7"/>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2012</w:t>
            </w:r>
          </w:p>
        </w:tc>
        <w:tc>
          <w:tcPr>
            <w:tcW w:w="1559" w:type="dxa"/>
            <w:tcBorders>
              <w:top w:val="single" w:sz="4" w:space="0" w:color="E5B8B7"/>
              <w:left w:val="single" w:sz="4" w:space="0" w:color="E5B8B7"/>
              <w:right w:val="single" w:sz="4" w:space="0" w:color="E5B8B7"/>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2013</w:t>
            </w:r>
          </w:p>
        </w:tc>
        <w:tc>
          <w:tcPr>
            <w:tcW w:w="1559" w:type="dxa"/>
            <w:tcBorders>
              <w:top w:val="single" w:sz="4" w:space="0" w:color="E5B8B7"/>
              <w:left w:val="single" w:sz="4" w:space="0" w:color="E5B8B7"/>
              <w:right w:val="single" w:sz="4" w:space="0" w:color="E5B8B7"/>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2014</w:t>
            </w:r>
          </w:p>
        </w:tc>
        <w:tc>
          <w:tcPr>
            <w:tcW w:w="1559" w:type="dxa"/>
            <w:tcBorders>
              <w:top w:val="single" w:sz="4" w:space="0" w:color="E5B8B7"/>
              <w:left w:val="single" w:sz="4" w:space="0" w:color="E5B8B7"/>
              <w:right w:val="single" w:sz="4" w:space="0" w:color="E5B8B7"/>
            </w:tcBorders>
            <w:noWrap/>
            <w:vAlign w:val="center"/>
            <w:hideMark/>
          </w:tcPr>
          <w:p w:rsidR="008F3A9E" w:rsidRDefault="008F3A9E" w:rsidP="000E25ED">
            <w:pPr>
              <w:jc w:val="center"/>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26"/>
              </w:rPr>
            </w:pPr>
            <w:r>
              <w:rPr>
                <w:rFonts w:ascii="Arial" w:eastAsia="Times New Roman" w:hAnsi="Arial" w:cs="Arial"/>
                <w:i/>
                <w:iCs/>
                <w:sz w:val="26"/>
              </w:rPr>
              <w:t>2015</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right"/>
              <w:rPr>
                <w:rFonts w:ascii="Arial" w:eastAsia="Times New Roman" w:hAnsi="Arial" w:cs="Arial"/>
                <w:i/>
                <w:iCs/>
                <w:sz w:val="16"/>
                <w:szCs w:val="16"/>
              </w:rPr>
            </w:pPr>
            <w:r>
              <w:rPr>
                <w:rFonts w:ascii="Arial" w:eastAsia="Times New Roman" w:hAnsi="Arial" w:cs="Arial"/>
                <w:i/>
                <w:iCs/>
                <w:sz w:val="16"/>
                <w:szCs w:val="16"/>
              </w:rPr>
              <w:lastRenderedPageBreak/>
              <w:t>Génie civil</w:t>
            </w:r>
          </w:p>
        </w:tc>
        <w:tc>
          <w:tcPr>
            <w:tcW w:w="1701"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620 273 010</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1 245 360 574</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6 494 316 101</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4 362 838 018</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right"/>
              <w:rPr>
                <w:rFonts w:ascii="Arial" w:eastAsia="Times New Roman" w:hAnsi="Arial" w:cs="Arial"/>
                <w:i/>
                <w:iCs/>
                <w:sz w:val="16"/>
                <w:szCs w:val="16"/>
              </w:rPr>
            </w:pPr>
            <w:r>
              <w:rPr>
                <w:rFonts w:ascii="Arial" w:eastAsia="Times New Roman" w:hAnsi="Arial" w:cs="Arial"/>
                <w:i/>
                <w:iCs/>
                <w:sz w:val="16"/>
                <w:szCs w:val="16"/>
              </w:rPr>
              <w:t>Autres ouvrages</w:t>
            </w:r>
          </w:p>
        </w:tc>
        <w:tc>
          <w:tcPr>
            <w:tcW w:w="1701"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402 047 227</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655 034 772</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672 723 339</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860 948 945</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right"/>
              <w:rPr>
                <w:rFonts w:ascii="Arial" w:eastAsia="Times New Roman" w:hAnsi="Arial" w:cs="Arial"/>
                <w:i/>
                <w:iCs/>
                <w:sz w:val="16"/>
                <w:szCs w:val="16"/>
              </w:rPr>
            </w:pPr>
            <w:r>
              <w:rPr>
                <w:rFonts w:ascii="Arial" w:eastAsia="Times New Roman" w:hAnsi="Arial" w:cs="Arial"/>
                <w:i/>
                <w:iCs/>
                <w:sz w:val="16"/>
                <w:szCs w:val="16"/>
              </w:rPr>
              <w:t>Equipements médicaux</w:t>
            </w:r>
          </w:p>
        </w:tc>
        <w:tc>
          <w:tcPr>
            <w:tcW w:w="1701"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235 747 521</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569 334 468</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3 720 774 143</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4 386 023 496</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right"/>
              <w:rPr>
                <w:rFonts w:ascii="Arial" w:eastAsia="Times New Roman" w:hAnsi="Arial" w:cs="Arial"/>
                <w:i/>
                <w:iCs/>
                <w:sz w:val="16"/>
                <w:szCs w:val="16"/>
              </w:rPr>
            </w:pPr>
            <w:r>
              <w:rPr>
                <w:rFonts w:ascii="Arial" w:eastAsia="Times New Roman" w:hAnsi="Arial" w:cs="Arial"/>
                <w:i/>
                <w:iCs/>
                <w:sz w:val="16"/>
                <w:szCs w:val="16"/>
              </w:rPr>
              <w:t>Matériel de transport</w:t>
            </w:r>
          </w:p>
        </w:tc>
        <w:tc>
          <w:tcPr>
            <w:tcW w:w="1701"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375 758 922</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14 839 745</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1 593 305 985</w:t>
            </w:r>
          </w:p>
        </w:tc>
        <w:tc>
          <w:tcPr>
            <w:tcW w:w="1559" w:type="dxa"/>
            <w:tcBorders>
              <w:top w:val="single" w:sz="4" w:space="0" w:color="E5B8B7"/>
              <w:left w:val="single" w:sz="4" w:space="0" w:color="E5B8B7"/>
              <w:bottom w:val="single" w:sz="4" w:space="0" w:color="E5B8B7"/>
              <w:right w:val="single" w:sz="4" w:space="0" w:color="E5B8B7"/>
            </w:tcBorders>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6"/>
                <w:szCs w:val="16"/>
              </w:rPr>
            </w:pPr>
            <w:r>
              <w:rPr>
                <w:rFonts w:ascii="Arial" w:eastAsia="Times New Roman" w:hAnsi="Arial" w:cs="Arial"/>
                <w:sz w:val="16"/>
                <w:szCs w:val="16"/>
              </w:rPr>
              <w:t>777 295 346</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E5B8B7"/>
              <w:left w:val="single" w:sz="4" w:space="0" w:color="E5B8B7"/>
              <w:bottom w:val="single" w:sz="4" w:space="0" w:color="E5B8B7"/>
              <w:right w:val="single" w:sz="4" w:space="0" w:color="E5B8B7"/>
            </w:tcBorders>
            <w:noWrap/>
            <w:vAlign w:val="center"/>
            <w:hideMark/>
          </w:tcPr>
          <w:p w:rsidR="008F3A9E" w:rsidRDefault="008F3A9E" w:rsidP="000E25ED">
            <w:pPr>
              <w:jc w:val="right"/>
              <w:rPr>
                <w:rFonts w:ascii="Arial" w:eastAsia="Times New Roman" w:hAnsi="Arial" w:cs="Arial"/>
                <w:i/>
                <w:iCs/>
                <w:sz w:val="18"/>
                <w:szCs w:val="18"/>
              </w:rPr>
            </w:pPr>
            <w:r>
              <w:rPr>
                <w:rFonts w:ascii="Arial" w:eastAsia="Times New Roman" w:hAnsi="Arial" w:cs="Arial"/>
                <w:i/>
                <w:iCs/>
                <w:sz w:val="18"/>
                <w:szCs w:val="18"/>
              </w:rPr>
              <w:t>Total</w:t>
            </w:r>
          </w:p>
        </w:tc>
        <w:tc>
          <w:tcPr>
            <w:tcW w:w="1701" w:type="dxa"/>
            <w:tcBorders>
              <w:top w:val="single" w:sz="4" w:space="0" w:color="E5B8B7"/>
              <w:left w:val="single" w:sz="4" w:space="0" w:color="E5B8B7"/>
              <w:bottom w:val="single" w:sz="4" w:space="0" w:color="E5B8B7"/>
              <w:right w:val="single" w:sz="4" w:space="0" w:color="E5B8B7"/>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1 633 826 680</w:t>
            </w:r>
          </w:p>
        </w:tc>
        <w:tc>
          <w:tcPr>
            <w:tcW w:w="1559" w:type="dxa"/>
            <w:tcBorders>
              <w:top w:val="single" w:sz="4" w:space="0" w:color="E5B8B7"/>
              <w:left w:val="single" w:sz="4" w:space="0" w:color="E5B8B7"/>
              <w:bottom w:val="single" w:sz="4" w:space="0" w:color="E5B8B7"/>
              <w:right w:val="single" w:sz="4" w:space="0" w:color="E5B8B7"/>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2 484 569 559</w:t>
            </w:r>
          </w:p>
        </w:tc>
        <w:tc>
          <w:tcPr>
            <w:tcW w:w="1559" w:type="dxa"/>
            <w:tcBorders>
              <w:top w:val="single" w:sz="4" w:space="0" w:color="E5B8B7"/>
              <w:left w:val="single" w:sz="4" w:space="0" w:color="E5B8B7"/>
              <w:bottom w:val="single" w:sz="4" w:space="0" w:color="E5B8B7"/>
              <w:right w:val="single" w:sz="4" w:space="0" w:color="E5B8B7"/>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12 481 119 568</w:t>
            </w:r>
          </w:p>
        </w:tc>
        <w:tc>
          <w:tcPr>
            <w:tcW w:w="1559" w:type="dxa"/>
            <w:tcBorders>
              <w:top w:val="single" w:sz="4" w:space="0" w:color="E5B8B7"/>
              <w:left w:val="single" w:sz="4" w:space="0" w:color="E5B8B7"/>
              <w:bottom w:val="single" w:sz="4" w:space="0" w:color="E5B8B7"/>
              <w:right w:val="single" w:sz="4" w:space="0" w:color="E5B8B7"/>
            </w:tcBorders>
            <w:noWrap/>
            <w:vAlign w:val="center"/>
            <w:hideMark/>
          </w:tcPr>
          <w:p w:rsidR="008F3A9E" w:rsidRDefault="008F3A9E" w:rsidP="000E25ED">
            <w:pPr>
              <w:jc w:val="center"/>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8"/>
                <w:szCs w:val="18"/>
              </w:rPr>
            </w:pPr>
            <w:r>
              <w:rPr>
                <w:rFonts w:ascii="Arial" w:eastAsia="Times New Roman" w:hAnsi="Arial" w:cs="Arial"/>
                <w:sz w:val="18"/>
                <w:szCs w:val="18"/>
              </w:rPr>
              <w:t>10 387 105 805</w:t>
            </w:r>
          </w:p>
        </w:tc>
      </w:tr>
    </w:tbl>
    <w:p w:rsidR="008F3A9E" w:rsidRDefault="008F3A9E" w:rsidP="008F3A9E"/>
    <w:p w:rsidR="008F3A9E" w:rsidRDefault="008F3A9E" w:rsidP="008F3A9E">
      <w:pPr>
        <w:pStyle w:val="Titre3"/>
      </w:pPr>
      <w:bookmarkStart w:id="5" w:name="_Toc496429527"/>
      <w:r>
        <w:t>Analyse des dépenses courantes</w:t>
      </w:r>
      <w:bookmarkEnd w:id="5"/>
    </w:p>
    <w:p w:rsidR="008F3A9E" w:rsidRDefault="008F3A9E" w:rsidP="008F3A9E">
      <w:pPr>
        <w:rPr>
          <w:u w:val="single"/>
          <w:lang w:eastAsia="fr-FR"/>
        </w:rPr>
      </w:pPr>
      <w:bookmarkStart w:id="6" w:name="_Toc479871089"/>
      <w:r>
        <w:rPr>
          <w:u w:val="single"/>
          <w:lang w:eastAsia="fr-FR"/>
        </w:rPr>
        <w:t>Les recettes des régimes de financement</w:t>
      </w:r>
      <w:bookmarkEnd w:id="6"/>
    </w:p>
    <w:p w:rsidR="008F3A9E" w:rsidRDefault="008F3A9E" w:rsidP="008F3A9E">
      <w:pPr>
        <w:autoSpaceDE w:val="0"/>
        <w:autoSpaceDN w:val="0"/>
        <w:adjustRightInd w:val="0"/>
        <w:spacing w:after="120"/>
        <w:jc w:val="both"/>
        <w:rPr>
          <w:rFonts w:asciiTheme="majorBidi" w:eastAsiaTheme="minorEastAsia" w:hAnsiTheme="majorBidi" w:cstheme="majorBidi"/>
          <w:lang w:eastAsia="fr-FR"/>
        </w:rPr>
      </w:pPr>
      <w:r>
        <w:rPr>
          <w:rFonts w:asciiTheme="majorBidi" w:eastAsiaTheme="minorEastAsia" w:hAnsiTheme="majorBidi" w:cstheme="majorBidi"/>
          <w:lang w:eastAsia="fr-FR"/>
        </w:rPr>
        <w:t>Les cotisations d’assurance sociale représentent en moyenne 8,6% dans les recettes des régimes de financement entre 2012 et 2015. Ce poids n’a évolué que d’un point sur la période.</w:t>
      </w:r>
      <w:bookmarkStart w:id="7" w:name="_Toc441059053"/>
      <w:r>
        <w:rPr>
          <w:rFonts w:asciiTheme="majorBidi" w:eastAsiaTheme="minorEastAsia" w:hAnsiTheme="majorBidi" w:cstheme="majorBidi"/>
          <w:lang w:eastAsia="fr-FR"/>
        </w:rPr>
        <w:t xml:space="preserve"> La contribution des ménages par paiement direct représente au contraire 48%. Ceci rend compte du fait que le mécanisme de mutualisation par cotisation des ménages reste limité.</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i/>
          <w:iCs/>
          <w:lang w:eastAsia="fr-FR"/>
        </w:rPr>
      </w:pPr>
      <w:r>
        <w:rPr>
          <w:rFonts w:asciiTheme="majorBidi" w:eastAsiaTheme="minorEastAsia" w:hAnsiTheme="majorBidi" w:cstheme="majorBidi"/>
          <w:i/>
          <w:iCs/>
          <w:lang w:eastAsia="fr-FR"/>
        </w:rPr>
        <w:t>Poids des recettes des différents régimes 2012-2015</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lang w:eastAsia="fr-FR"/>
        </w:rPr>
      </w:pPr>
      <w:r>
        <w:rPr>
          <w:rFonts w:asciiTheme="majorBidi" w:eastAsiaTheme="minorEastAsia" w:hAnsiTheme="majorBidi" w:cstheme="majorBidi"/>
          <w:noProof/>
          <w:lang w:eastAsia="fr-FR"/>
        </w:rPr>
        <w:drawing>
          <wp:inline distT="0" distB="0" distL="0" distR="0" wp14:anchorId="1FADB35A" wp14:editId="65C65777">
            <wp:extent cx="5086830" cy="3163141"/>
            <wp:effectExtent l="0" t="0" r="0" b="0"/>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087279" cy="3163420"/>
                    </a:xfrm>
                    <a:prstGeom prst="rect">
                      <a:avLst/>
                    </a:prstGeom>
                    <a:noFill/>
                    <a:ln>
                      <a:noFill/>
                    </a:ln>
                  </pic:spPr>
                </pic:pic>
              </a:graphicData>
            </a:graphic>
          </wp:inline>
        </w:drawing>
      </w:r>
    </w:p>
    <w:p w:rsidR="008F3A9E" w:rsidRPr="00410D44" w:rsidRDefault="008F3A9E" w:rsidP="008F3A9E">
      <w:pPr>
        <w:rPr>
          <w:lang w:eastAsia="fr-FR"/>
        </w:rPr>
      </w:pPr>
      <w:bookmarkStart w:id="8" w:name="_Toc479871091"/>
      <w:bookmarkEnd w:id="7"/>
      <w:r w:rsidRPr="00410D44">
        <w:rPr>
          <w:lang w:eastAsia="fr-FR"/>
        </w:rPr>
        <w:t>Comparaison du poids du paiement direct des ménages avec d’autres pays :</w:t>
      </w:r>
    </w:p>
    <w:p w:rsidR="008F3A9E" w:rsidRDefault="008F3A9E" w:rsidP="008F3A9E">
      <w:pPr>
        <w:rPr>
          <w:u w:val="single"/>
          <w:lang w:eastAsia="fr-FR"/>
        </w:rPr>
      </w:pPr>
      <w:r>
        <w:rPr>
          <w:noProof/>
          <w:lang w:eastAsia="fr-FR"/>
        </w:rPr>
        <w:lastRenderedPageBreak/>
        <w:drawing>
          <wp:inline distT="0" distB="0" distL="0" distR="0" wp14:anchorId="05164CEC" wp14:editId="4391A14C">
            <wp:extent cx="5471160" cy="3627120"/>
            <wp:effectExtent l="0" t="0" r="0" b="0"/>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71160" cy="3627120"/>
                    </a:xfrm>
                    <a:prstGeom prst="rect">
                      <a:avLst/>
                    </a:prstGeom>
                    <a:noFill/>
                    <a:ln>
                      <a:noFill/>
                    </a:ln>
                  </pic:spPr>
                </pic:pic>
              </a:graphicData>
            </a:graphic>
          </wp:inline>
        </w:drawing>
      </w:r>
    </w:p>
    <w:p w:rsidR="008F3A9E" w:rsidRDefault="008F3A9E" w:rsidP="008F3A9E">
      <w:pPr>
        <w:rPr>
          <w:lang w:eastAsia="fr-FR"/>
        </w:rPr>
      </w:pPr>
      <w:r>
        <w:rPr>
          <w:lang w:eastAsia="fr-FR"/>
        </w:rPr>
        <w:t>Pour rappel, l’OMS considère qu’au-delà de 20%, ce taux reflète un risque important que les populations subissent des dépenses catastrophiques et tombent dans la pauvreté.</w:t>
      </w:r>
    </w:p>
    <w:p w:rsidR="008F3A9E" w:rsidRDefault="008F3A9E" w:rsidP="008F3A9E">
      <w:pPr>
        <w:rPr>
          <w:lang w:eastAsia="fr-FR"/>
        </w:rPr>
      </w:pPr>
      <w:r>
        <w:rPr>
          <w:lang w:eastAsia="fr-FR"/>
        </w:rPr>
        <w:t>NB : le taux élevé au Maroc- que ce pays cherche désormais activement à comprendre et à diminuer - illustre probablement l’existence d’une médecine à deux vitesses : le quintile le plus aisé dépense beaucoup en paiement direct auprès du secteur privé.</w:t>
      </w:r>
    </w:p>
    <w:p w:rsidR="008F3A9E" w:rsidRDefault="008F3A9E" w:rsidP="008F3A9E">
      <w:pPr>
        <w:rPr>
          <w:u w:val="single"/>
          <w:lang w:eastAsia="fr-FR"/>
        </w:rPr>
      </w:pPr>
      <w:r>
        <w:rPr>
          <w:u w:val="single"/>
          <w:lang w:eastAsia="fr-FR"/>
        </w:rPr>
        <w:t>Prestataires des soins</w:t>
      </w:r>
      <w:bookmarkEnd w:id="8"/>
      <w:r>
        <w:rPr>
          <w:u w:val="single"/>
          <w:lang w:eastAsia="fr-FR"/>
        </w:rPr>
        <w:t xml:space="preserve"> destinataires des dépenses courantes</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sz w:val="24"/>
          <w:szCs w:val="24"/>
          <w:lang w:eastAsia="fr-FR"/>
        </w:rPr>
        <w:t>La répartition des dépenses courantes de santé selon les prestataires révèle les hôpitaux comme principal prestataire durant la période 2012-2015. Leurs parts en moyenne est de 35% suivis par les pharmacies (29%) puis les prestataires des services auxiliaires (labos et imagerie) à hauteur de 11%.</w:t>
      </w:r>
    </w:p>
    <w:p w:rsidR="008F3A9E" w:rsidRDefault="008F3A9E" w:rsidP="008F3A9E">
      <w:pPr>
        <w:autoSpaceDE w:val="0"/>
        <w:autoSpaceDN w:val="0"/>
        <w:adjustRightInd w:val="0"/>
        <w:spacing w:after="0" w:line="240" w:lineRule="auto"/>
        <w:rPr>
          <w:rFonts w:asciiTheme="majorBidi" w:eastAsiaTheme="minorEastAsia" w:hAnsiTheme="majorBidi" w:cstheme="majorBidi"/>
          <w:i/>
          <w:iCs/>
          <w:sz w:val="18"/>
          <w:szCs w:val="18"/>
          <w:lang w:eastAsia="fr-FR"/>
        </w:rPr>
      </w:pPr>
      <w:r>
        <w:rPr>
          <w:rFonts w:asciiTheme="majorBidi" w:eastAsiaTheme="minorEastAsia" w:hAnsiTheme="majorBidi" w:cstheme="majorBidi"/>
          <w:i/>
          <w:iCs/>
          <w:color w:val="0070C0"/>
          <w:u w:val="single"/>
          <w:lang w:eastAsia="fr-FR"/>
        </w:rPr>
        <w:t>Graphique 13</w:t>
      </w:r>
      <w:r>
        <w:rPr>
          <w:rFonts w:asciiTheme="majorBidi" w:eastAsiaTheme="minorEastAsia" w:hAnsiTheme="majorBidi" w:cstheme="majorBidi"/>
          <w:i/>
          <w:iCs/>
          <w:color w:val="0070C0"/>
          <w:sz w:val="24"/>
          <w:szCs w:val="24"/>
          <w:u w:val="single"/>
          <w:lang w:eastAsia="fr-FR"/>
        </w:rPr>
        <w:t> </w:t>
      </w:r>
      <w:r>
        <w:rPr>
          <w:rFonts w:asciiTheme="majorBidi" w:eastAsiaTheme="minorEastAsia" w:hAnsiTheme="majorBidi" w:cstheme="majorBidi"/>
          <w:sz w:val="24"/>
          <w:szCs w:val="24"/>
          <w:lang w:eastAsia="fr-FR"/>
        </w:rPr>
        <w:t>: Répartition</w:t>
      </w:r>
      <w:r>
        <w:rPr>
          <w:rFonts w:asciiTheme="majorBidi" w:eastAsiaTheme="minorEastAsia" w:hAnsiTheme="majorBidi" w:cstheme="majorBidi"/>
          <w:i/>
          <w:iCs/>
          <w:sz w:val="20"/>
          <w:szCs w:val="20"/>
          <w:lang w:eastAsia="fr-FR"/>
        </w:rPr>
        <w:t xml:space="preserve"> en pourcentage des dépenses courantes de santé par prestataires 2012-2015</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lang w:eastAsia="fr-FR"/>
        </w:rPr>
      </w:pPr>
      <w:r>
        <w:rPr>
          <w:rFonts w:asciiTheme="majorBidi" w:eastAsiaTheme="minorEastAsia" w:hAnsiTheme="majorBidi" w:cstheme="majorBidi"/>
          <w:noProof/>
          <w:lang w:eastAsia="fr-FR"/>
        </w:rPr>
        <w:lastRenderedPageBreak/>
        <w:drawing>
          <wp:inline distT="0" distB="0" distL="0" distR="0" wp14:anchorId="34F379F6" wp14:editId="7B9AA60F">
            <wp:extent cx="5409565" cy="2750820"/>
            <wp:effectExtent l="0" t="0" r="635" b="0"/>
            <wp:docPr id="34" name="Imag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9565" cy="2750820"/>
                    </a:xfrm>
                    <a:prstGeom prst="rect">
                      <a:avLst/>
                    </a:prstGeom>
                    <a:noFill/>
                    <a:ln>
                      <a:noFill/>
                    </a:ln>
                  </pic:spPr>
                </pic:pic>
              </a:graphicData>
            </a:graphic>
          </wp:inline>
        </w:drawing>
      </w:r>
    </w:p>
    <w:p w:rsidR="008F3A9E" w:rsidRDefault="008F3A9E" w:rsidP="008F3A9E">
      <w:pPr>
        <w:rPr>
          <w:u w:val="single"/>
          <w:lang w:eastAsia="fr-FR"/>
        </w:rPr>
      </w:pPr>
      <w:bookmarkStart w:id="9" w:name="_Toc479871092"/>
      <w:r>
        <w:rPr>
          <w:u w:val="single"/>
          <w:lang w:eastAsia="fr-FR"/>
        </w:rPr>
        <w:t>Fonctions des soins</w:t>
      </w:r>
      <w:bookmarkEnd w:id="9"/>
      <w:r>
        <w:rPr>
          <w:u w:val="single"/>
          <w:lang w:eastAsia="fr-FR"/>
        </w:rPr>
        <w:t xml:space="preserve"> destinataires des dépenses courantes</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sz w:val="24"/>
          <w:szCs w:val="24"/>
          <w:lang w:eastAsia="fr-FR"/>
        </w:rPr>
        <w:t xml:space="preserve">Les dépenses courantes de santé sont principalement utilisées pour assurer des soins curatifs. En effet, de 2012 à 2015, les dépenses courantes de santé liées aux soins curatifs ont représenté en moyenne environ la moitié de l’ensemble (48%). </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sz w:val="24"/>
          <w:szCs w:val="24"/>
          <w:lang w:eastAsia="fr-FR"/>
        </w:rPr>
        <w:t>Les services auxiliaires (tels que les labos et l’imagerie) ont représenté en moyenne 10% durant la période étudié. Leurs poids ont évolué de 9% en 2012 à 11% en 2015.</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sz w:val="24"/>
          <w:szCs w:val="24"/>
          <w:lang w:eastAsia="fr-FR"/>
        </w:rPr>
      </w:pPr>
      <w:r>
        <w:rPr>
          <w:rFonts w:asciiTheme="majorBidi" w:eastAsiaTheme="minorEastAsia" w:hAnsiTheme="majorBidi" w:cstheme="majorBidi"/>
          <w:sz w:val="24"/>
          <w:szCs w:val="24"/>
          <w:lang w:eastAsia="fr-FR"/>
        </w:rPr>
        <w:t xml:space="preserve">Outre cela, les postes de gouvernance, d’administration du système de santé et des financements ont absorbé en moyenne 8% des dépenses courantes de santé pour atteindre 10% du total des dépenses courantes en 2015. </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i/>
          <w:iCs/>
          <w:color w:val="0070C0"/>
          <w:u w:val="single"/>
          <w:lang w:eastAsia="fr-FR"/>
        </w:rPr>
      </w:pPr>
      <w:r>
        <w:rPr>
          <w:rFonts w:asciiTheme="majorBidi" w:eastAsiaTheme="minorEastAsia" w:hAnsiTheme="majorBidi" w:cstheme="majorBidi"/>
          <w:sz w:val="24"/>
          <w:szCs w:val="24"/>
          <w:lang w:eastAsia="fr-FR"/>
        </w:rPr>
        <w:t>S’agissant des soins préventifs, ils ont justifiés en 2015 une proportion de 6% des dépenses courantes de santé contre 3% en 2012. Ils représentent en moyenne durant cette période 5%.</w:t>
      </w:r>
      <w:r>
        <w:rPr>
          <w:rFonts w:asciiTheme="majorBidi" w:eastAsiaTheme="minorEastAsia" w:hAnsiTheme="majorBidi" w:cstheme="majorBidi"/>
          <w:i/>
          <w:iCs/>
          <w:color w:val="0070C0"/>
          <w:u w:val="single"/>
          <w:lang w:eastAsia="fr-FR"/>
        </w:rPr>
        <w:br w:type="page"/>
      </w:r>
    </w:p>
    <w:p w:rsidR="008F3A9E" w:rsidRDefault="008F3A9E" w:rsidP="008F3A9E">
      <w:pPr>
        <w:autoSpaceDE w:val="0"/>
        <w:autoSpaceDN w:val="0"/>
        <w:adjustRightInd w:val="0"/>
        <w:spacing w:after="0" w:line="240" w:lineRule="auto"/>
        <w:rPr>
          <w:rFonts w:asciiTheme="majorBidi" w:eastAsiaTheme="minorEastAsia" w:hAnsiTheme="majorBidi" w:cstheme="majorBidi"/>
          <w:i/>
          <w:iCs/>
          <w:sz w:val="24"/>
          <w:szCs w:val="24"/>
          <w:lang w:eastAsia="fr-FR"/>
        </w:rPr>
      </w:pPr>
      <w:r>
        <w:rPr>
          <w:rFonts w:asciiTheme="majorBidi" w:eastAsiaTheme="minorEastAsia" w:hAnsiTheme="majorBidi" w:cstheme="majorBidi"/>
          <w:i/>
          <w:iCs/>
          <w:color w:val="0070C0"/>
          <w:u w:val="single"/>
          <w:lang w:eastAsia="fr-FR"/>
        </w:rPr>
        <w:lastRenderedPageBreak/>
        <w:t>Graphique 15</w:t>
      </w:r>
      <w:r>
        <w:rPr>
          <w:rFonts w:asciiTheme="majorBidi" w:eastAsiaTheme="minorEastAsia" w:hAnsiTheme="majorBidi" w:cstheme="majorBidi"/>
          <w:i/>
          <w:iCs/>
          <w:color w:val="0070C0"/>
          <w:sz w:val="24"/>
          <w:szCs w:val="24"/>
          <w:u w:val="single"/>
          <w:lang w:eastAsia="fr-FR"/>
        </w:rPr>
        <w:t> </w:t>
      </w:r>
      <w:r>
        <w:rPr>
          <w:rFonts w:asciiTheme="majorBidi" w:eastAsiaTheme="minorEastAsia" w:hAnsiTheme="majorBidi" w:cstheme="majorBidi"/>
          <w:sz w:val="24"/>
          <w:szCs w:val="24"/>
          <w:lang w:eastAsia="fr-FR"/>
        </w:rPr>
        <w:t xml:space="preserve">: </w:t>
      </w:r>
      <w:r>
        <w:rPr>
          <w:rFonts w:asciiTheme="majorBidi" w:eastAsiaTheme="minorEastAsia" w:hAnsiTheme="majorBidi" w:cstheme="majorBidi"/>
          <w:i/>
          <w:iCs/>
          <w:sz w:val="24"/>
          <w:szCs w:val="24"/>
          <w:lang w:eastAsia="fr-FR"/>
        </w:rPr>
        <w:t xml:space="preserve">Evolution des DCS par fonction des soins </w:t>
      </w:r>
    </w:p>
    <w:p w:rsidR="008F3A9E" w:rsidRDefault="008F3A9E" w:rsidP="008F3A9E">
      <w:pPr>
        <w:autoSpaceDE w:val="0"/>
        <w:autoSpaceDN w:val="0"/>
        <w:adjustRightInd w:val="0"/>
        <w:spacing w:after="0" w:line="240" w:lineRule="auto"/>
        <w:rPr>
          <w:rFonts w:asciiTheme="majorBidi" w:eastAsiaTheme="minorEastAsia" w:hAnsiTheme="majorBidi" w:cstheme="majorBidi"/>
          <w:i/>
          <w:iCs/>
          <w:sz w:val="18"/>
          <w:szCs w:val="18"/>
          <w:lang w:eastAsia="fr-FR"/>
        </w:rPr>
      </w:pP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lang w:eastAsia="fr-FR"/>
        </w:rPr>
      </w:pPr>
      <w:r>
        <w:rPr>
          <w:rFonts w:asciiTheme="majorBidi" w:eastAsiaTheme="minorEastAsia" w:hAnsiTheme="majorBidi" w:cstheme="majorBidi"/>
          <w:noProof/>
          <w:lang w:eastAsia="fr-FR"/>
        </w:rPr>
        <w:drawing>
          <wp:inline distT="0" distB="0" distL="0" distR="0" wp14:anchorId="506BEBE2" wp14:editId="57450FF9">
            <wp:extent cx="5563235" cy="2266950"/>
            <wp:effectExtent l="0" t="0" r="0"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63235" cy="2266950"/>
                    </a:xfrm>
                    <a:prstGeom prst="rect">
                      <a:avLst/>
                    </a:prstGeom>
                    <a:noFill/>
                    <a:ln>
                      <a:noFill/>
                    </a:ln>
                  </pic:spPr>
                </pic:pic>
              </a:graphicData>
            </a:graphic>
          </wp:inline>
        </w:drawing>
      </w:r>
    </w:p>
    <w:p w:rsidR="008F3A9E" w:rsidRDefault="008F3A9E" w:rsidP="008F3A9E">
      <w:pPr>
        <w:rPr>
          <w:u w:val="single"/>
          <w:lang w:eastAsia="fr-FR"/>
        </w:rPr>
      </w:pPr>
      <w:bookmarkStart w:id="10" w:name="_Toc479871093"/>
      <w:r>
        <w:rPr>
          <w:u w:val="single"/>
          <w:lang w:eastAsia="fr-FR"/>
        </w:rPr>
        <w:t>Analyse des dépenses courantes par facteurs de prestations des soins</w:t>
      </w:r>
      <w:bookmarkEnd w:id="10"/>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lang w:eastAsia="fr-FR"/>
        </w:rPr>
      </w:pPr>
      <w:r>
        <w:rPr>
          <w:rFonts w:asciiTheme="majorBidi" w:eastAsiaTheme="minorEastAsia" w:hAnsiTheme="majorBidi" w:cstheme="majorBidi"/>
          <w:lang w:eastAsia="fr-FR"/>
        </w:rPr>
        <w:t xml:space="preserve">Les recettes des prestataires de soins de santé sont principalement allouées aux salaires (38% en 2015) et aux produits pharmaceutiques (42% en 2015). </w:t>
      </w:r>
    </w:p>
    <w:p w:rsidR="008F3A9E" w:rsidRDefault="008F3A9E" w:rsidP="008F3A9E">
      <w:pPr>
        <w:autoSpaceDE w:val="0"/>
        <w:autoSpaceDN w:val="0"/>
        <w:adjustRightInd w:val="0"/>
        <w:spacing w:after="0" w:line="240" w:lineRule="auto"/>
        <w:rPr>
          <w:rFonts w:asciiTheme="majorBidi" w:eastAsiaTheme="minorEastAsia" w:hAnsiTheme="majorBidi" w:cstheme="majorBidi"/>
          <w:i/>
          <w:iCs/>
          <w:sz w:val="16"/>
          <w:szCs w:val="16"/>
          <w:lang w:eastAsia="fr-FR"/>
        </w:rPr>
      </w:pPr>
      <w:r>
        <w:rPr>
          <w:rFonts w:asciiTheme="majorBidi" w:eastAsiaTheme="minorEastAsia" w:hAnsiTheme="majorBidi" w:cstheme="majorBidi"/>
          <w:i/>
          <w:iCs/>
          <w:color w:val="0070C0"/>
          <w:u w:val="single"/>
          <w:lang w:eastAsia="fr-FR"/>
        </w:rPr>
        <w:t>Graphique 16</w:t>
      </w:r>
      <w:r>
        <w:rPr>
          <w:rFonts w:asciiTheme="majorBidi" w:eastAsiaTheme="minorEastAsia" w:hAnsiTheme="majorBidi" w:cstheme="majorBidi"/>
          <w:i/>
          <w:iCs/>
          <w:color w:val="0070C0"/>
          <w:sz w:val="24"/>
          <w:szCs w:val="24"/>
          <w:u w:val="single"/>
          <w:lang w:eastAsia="fr-FR"/>
        </w:rPr>
        <w:t> </w:t>
      </w:r>
      <w:r>
        <w:rPr>
          <w:rFonts w:asciiTheme="majorBidi" w:eastAsiaTheme="minorEastAsia" w:hAnsiTheme="majorBidi" w:cstheme="majorBidi"/>
          <w:sz w:val="24"/>
          <w:szCs w:val="24"/>
          <w:lang w:eastAsia="fr-FR"/>
        </w:rPr>
        <w:t xml:space="preserve">: </w:t>
      </w:r>
      <w:r>
        <w:rPr>
          <w:rFonts w:asciiTheme="majorBidi" w:eastAsiaTheme="minorEastAsia" w:hAnsiTheme="majorBidi" w:cstheme="majorBidi"/>
          <w:i/>
          <w:iCs/>
          <w:lang w:eastAsia="fr-FR"/>
        </w:rPr>
        <w:t xml:space="preserve">Part moyenne des facteurs des prestations des soins </w:t>
      </w:r>
    </w:p>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lang w:eastAsia="fr-FR"/>
        </w:rPr>
      </w:pPr>
      <w:r>
        <w:rPr>
          <w:rFonts w:asciiTheme="majorBidi" w:eastAsiaTheme="minorEastAsia" w:hAnsiTheme="majorBidi" w:cstheme="majorBidi"/>
          <w:noProof/>
          <w:lang w:eastAsia="fr-FR"/>
        </w:rPr>
        <w:drawing>
          <wp:inline distT="0" distB="0" distL="0" distR="0" wp14:anchorId="14E1476B" wp14:editId="217D9C54">
            <wp:extent cx="3534410" cy="2021205"/>
            <wp:effectExtent l="0" t="0" r="8890" b="0"/>
            <wp:docPr id="32" name="Imag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534410" cy="2021205"/>
                    </a:xfrm>
                    <a:prstGeom prst="rect">
                      <a:avLst/>
                    </a:prstGeom>
                    <a:noFill/>
                    <a:ln>
                      <a:noFill/>
                    </a:ln>
                  </pic:spPr>
                </pic:pic>
              </a:graphicData>
            </a:graphic>
          </wp:inline>
        </w:drawing>
      </w:r>
    </w:p>
    <w:p w:rsidR="008F3A9E" w:rsidRDefault="008F3A9E" w:rsidP="008F3A9E">
      <w:pPr>
        <w:rPr>
          <w:u w:val="single"/>
          <w:lang w:eastAsia="fr-FR"/>
        </w:rPr>
      </w:pPr>
      <w:bookmarkStart w:id="11" w:name="_Toc479871094"/>
      <w:bookmarkStart w:id="12" w:name="_Toc423219321"/>
      <w:bookmarkStart w:id="13" w:name="_Toc414531416"/>
      <w:r>
        <w:rPr>
          <w:u w:val="single"/>
          <w:lang w:eastAsia="fr-FR"/>
        </w:rPr>
        <w:t>Analyse des DCS selon la classification par maladie/affection</w:t>
      </w:r>
      <w:bookmarkEnd w:id="11"/>
      <w:bookmarkEnd w:id="12"/>
      <w:bookmarkEnd w:id="13"/>
      <w:r w:rsidRPr="00410D44">
        <w:rPr>
          <w:lang w:eastAsia="fr-FR"/>
        </w:rPr>
        <w:fldChar w:fldCharType="begin"/>
      </w:r>
      <w:r w:rsidRPr="00410D44">
        <w:rPr>
          <w:lang w:eastAsia="fr-FR"/>
        </w:rPr>
        <w:instrText xml:space="preserve"> HYPERLINK "file:///C:\\Users\\bigearda\\Documents\\A.%20Travail\\DOSSIERS%20PAR%20PAYS\\Mauritanie\\2017\\mission%20Octobre\\partie%20dépenses%20de%20santé%20revue%20Alexis.docx" \l "_Toc207618722" </w:instrText>
      </w:r>
      <w:r w:rsidRPr="00410D44">
        <w:rPr>
          <w:lang w:eastAsia="fr-FR"/>
        </w:rPr>
        <w:fldChar w:fldCharType="separate"/>
      </w:r>
      <w:r w:rsidRPr="00410D44">
        <w:rPr>
          <w:rStyle w:val="Lienhypertexte"/>
          <w:webHidden/>
        </w:rPr>
        <w:tab/>
      </w:r>
      <w:r w:rsidRPr="00410D44">
        <w:rPr>
          <w:lang w:eastAsia="fr-FR"/>
        </w:rPr>
        <w:fldChar w:fldCharType="end"/>
      </w:r>
    </w:p>
    <w:p w:rsidR="008F3A9E" w:rsidRDefault="008F3A9E" w:rsidP="008F3A9E">
      <w:pPr>
        <w:autoSpaceDE w:val="0"/>
        <w:autoSpaceDN w:val="0"/>
        <w:adjustRightInd w:val="0"/>
        <w:spacing w:before="120" w:after="0"/>
        <w:jc w:val="both"/>
        <w:rPr>
          <w:rFonts w:asciiTheme="majorBidi" w:eastAsiaTheme="minorEastAsia" w:hAnsiTheme="majorBidi" w:cstheme="majorBidi"/>
          <w:lang w:eastAsia="fr-FR"/>
        </w:rPr>
      </w:pPr>
      <w:r>
        <w:rPr>
          <w:rFonts w:asciiTheme="majorBidi" w:eastAsiaTheme="minorEastAsia" w:hAnsiTheme="majorBidi" w:cstheme="majorBidi"/>
          <w:lang w:eastAsia="fr-FR"/>
        </w:rPr>
        <w:t>La prise en charge des maladies infectieuses et parasitaires représente en moyenne sur la période 2012-2015 37% des dépenses courantes de santé. En effet, sur cette période, les dépenses dues aux maladies infectieuses et parasitaires varient entre 36% (2012) et 38%(2015) de l’ensemble. Les trois principales maladies infectieuses et parasitaires</w:t>
      </w:r>
      <w:r>
        <w:rPr>
          <w:rFonts w:ascii="Arial Narrow" w:eastAsiaTheme="minorEastAsia" w:hAnsi="Arial Narrow" w:cs="Arial"/>
          <w:i/>
          <w:iCs/>
          <w:szCs w:val="20"/>
          <w:lang w:eastAsia="fr-FR"/>
        </w:rPr>
        <w:t xml:space="preserve"> </w:t>
      </w:r>
      <w:r>
        <w:rPr>
          <w:rFonts w:asciiTheme="majorBidi" w:eastAsiaTheme="minorEastAsia" w:hAnsiTheme="majorBidi" w:cstheme="majorBidi"/>
          <w:lang w:eastAsia="fr-FR"/>
        </w:rPr>
        <w:t xml:space="preserve">consommant le plus de ressources sont respectivement : le paludisme (28%), les infections des voies respiratoires (IRA) (26%) et les maladies diarrhéiques (24%). </w:t>
      </w:r>
    </w:p>
    <w:p w:rsidR="008F3A9E" w:rsidRDefault="008F3A9E" w:rsidP="008F3A9E">
      <w:pPr>
        <w:autoSpaceDE w:val="0"/>
        <w:autoSpaceDN w:val="0"/>
        <w:adjustRightInd w:val="0"/>
        <w:spacing w:before="120" w:after="0"/>
        <w:jc w:val="both"/>
        <w:rPr>
          <w:rFonts w:asciiTheme="majorBidi" w:eastAsiaTheme="minorEastAsia" w:hAnsiTheme="majorBidi" w:cstheme="majorBidi"/>
          <w:lang w:eastAsia="fr-FR"/>
        </w:rPr>
      </w:pPr>
      <w:r>
        <w:rPr>
          <w:rFonts w:asciiTheme="majorBidi" w:eastAsiaTheme="minorEastAsia" w:hAnsiTheme="majorBidi" w:cstheme="majorBidi"/>
          <w:lang w:eastAsia="fr-FR"/>
        </w:rPr>
        <w:t>Les maladies non transmissibles constituent le premier poste des dépenses pour la moyenne de la période 2012-2015 avec 38% des dépenses courantes. En effet, les dépenses liées aux MNT varient entre 41% (2012) et 38% (2015) de l’ensemble. Les maladies cardio-vasculaires, les troubles des organes des sens et les maladies bucco-dentaires occupent les trois premières places avec successivement 23%, 15% des dépenses sur les maladies non transmissibles.</w:t>
      </w:r>
    </w:p>
    <w:p w:rsidR="008F3A9E" w:rsidRDefault="008F3A9E" w:rsidP="008F3A9E">
      <w:pPr>
        <w:autoSpaceDE w:val="0"/>
        <w:autoSpaceDN w:val="0"/>
        <w:adjustRightInd w:val="0"/>
        <w:spacing w:before="120" w:after="0"/>
        <w:jc w:val="both"/>
        <w:rPr>
          <w:rFonts w:asciiTheme="majorBidi" w:eastAsiaTheme="minorEastAsia" w:hAnsiTheme="majorBidi" w:cstheme="majorBidi"/>
          <w:lang w:eastAsia="fr-FR"/>
        </w:rPr>
      </w:pPr>
      <w:r>
        <w:rPr>
          <w:rFonts w:asciiTheme="majorBidi" w:eastAsiaTheme="minorEastAsia" w:hAnsiTheme="majorBidi" w:cstheme="majorBidi"/>
          <w:lang w:eastAsia="fr-FR"/>
        </w:rPr>
        <w:lastRenderedPageBreak/>
        <w:t>Quant aux dépenses dues aux traumatismes, elles représentent 2% en moyenne de l’ensemble pour la période 2012-2015.</w:t>
      </w:r>
    </w:p>
    <w:p w:rsidR="008F3A9E" w:rsidRDefault="008F3A9E" w:rsidP="008F3A9E">
      <w:pPr>
        <w:autoSpaceDE w:val="0"/>
        <w:autoSpaceDN w:val="0"/>
        <w:adjustRightInd w:val="0"/>
        <w:spacing w:before="120" w:after="0"/>
        <w:jc w:val="both"/>
        <w:rPr>
          <w:rFonts w:asciiTheme="majorBidi" w:eastAsiaTheme="minorEastAsia" w:hAnsiTheme="majorBidi" w:cstheme="majorBidi"/>
          <w:lang w:eastAsia="fr-FR"/>
        </w:rPr>
      </w:pPr>
      <w:r>
        <w:rPr>
          <w:rFonts w:asciiTheme="majorBidi" w:eastAsiaTheme="minorEastAsia" w:hAnsiTheme="majorBidi" w:cstheme="majorBidi"/>
          <w:lang w:eastAsia="fr-FR"/>
        </w:rPr>
        <w:t>A l’exception de l’année 2013, Les dépenses courantes de santé au titre des carences nutritionnelles sont en constante augmentation depuis 2012 en termes de volume. Elles sont passées de 345 millions MRO en 2012 à plus 1,7 milliards MRO en 2014.</w:t>
      </w:r>
    </w:p>
    <w:p w:rsidR="008F3A9E" w:rsidRDefault="008F3A9E" w:rsidP="008F3A9E">
      <w:pPr>
        <w:tabs>
          <w:tab w:val="right" w:leader="underscore" w:pos="9062"/>
        </w:tabs>
        <w:spacing w:before="240" w:after="240"/>
        <w:jc w:val="both"/>
        <w:rPr>
          <w:rFonts w:asciiTheme="majorBidi" w:eastAsia="Calibri" w:hAnsiTheme="majorBidi" w:cstheme="majorBidi"/>
          <w:i/>
          <w:iCs/>
        </w:rPr>
      </w:pPr>
      <w:r>
        <w:rPr>
          <w:rFonts w:asciiTheme="majorBidi" w:eastAsiaTheme="minorEastAsia" w:hAnsiTheme="majorBidi" w:cstheme="majorBidi"/>
          <w:i/>
          <w:iCs/>
          <w:color w:val="0070C0"/>
          <w:u w:val="single"/>
          <w:lang w:eastAsia="fr-FR"/>
        </w:rPr>
        <w:t>Tableau 16</w:t>
      </w:r>
      <w:r>
        <w:rPr>
          <w:rFonts w:ascii="Book Antiqua" w:eastAsia="Calibri" w:hAnsi="Book Antiqua" w:cs="Arial"/>
          <w:sz w:val="28"/>
          <w:szCs w:val="28"/>
        </w:rPr>
        <w:t xml:space="preserve"> : </w:t>
      </w:r>
      <w:r>
        <w:rPr>
          <w:rFonts w:asciiTheme="majorBidi" w:eastAsia="Calibri" w:hAnsiTheme="majorBidi" w:cstheme="majorBidi"/>
          <w:i/>
          <w:iCs/>
        </w:rPr>
        <w:t xml:space="preserve">Evolution des DC par Maladies </w:t>
      </w:r>
    </w:p>
    <w:tbl>
      <w:tblPr>
        <w:tblStyle w:val="TableauGrille1Clair-Accentuation21"/>
        <w:tblW w:w="9072" w:type="dxa"/>
        <w:tblLook w:val="04A0" w:firstRow="1" w:lastRow="0" w:firstColumn="1" w:lastColumn="0" w:noHBand="0" w:noVBand="1"/>
      </w:tblPr>
      <w:tblGrid>
        <w:gridCol w:w="2835"/>
        <w:gridCol w:w="1418"/>
        <w:gridCol w:w="1559"/>
        <w:gridCol w:w="1418"/>
        <w:gridCol w:w="1842"/>
      </w:tblGrid>
      <w:tr w:rsidR="008F3A9E" w:rsidTr="000E25ED">
        <w:trPr>
          <w:cnfStyle w:val="100000000000" w:firstRow="1" w:lastRow="0" w:firstColumn="0" w:lastColumn="0" w:oddVBand="0" w:evenVBand="0" w:oddHBand="0" w:evenHBand="0" w:firstRowFirstColumn="0" w:firstRowLastColumn="0" w:lastRowFirstColumn="0" w:lastRowLastColumn="0"/>
          <w:trHeight w:val="255"/>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right w:val="single" w:sz="4" w:space="0" w:color="E5B8B7"/>
            </w:tcBorders>
            <w:noWrap/>
            <w:hideMark/>
          </w:tcPr>
          <w:p w:rsidR="008F3A9E" w:rsidRDefault="008F3A9E" w:rsidP="000E25ED"/>
        </w:tc>
        <w:tc>
          <w:tcPr>
            <w:tcW w:w="1418"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14"/>
                <w:szCs w:val="14"/>
              </w:rPr>
            </w:pPr>
            <w:r>
              <w:rPr>
                <w:rFonts w:ascii="Arial" w:eastAsia="Times New Roman" w:hAnsi="Arial" w:cs="Arial"/>
                <w:i/>
                <w:iCs/>
                <w:sz w:val="14"/>
                <w:szCs w:val="14"/>
              </w:rPr>
              <w:t>2012</w:t>
            </w:r>
          </w:p>
        </w:tc>
        <w:tc>
          <w:tcPr>
            <w:tcW w:w="1559"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14"/>
                <w:szCs w:val="14"/>
              </w:rPr>
            </w:pPr>
            <w:r>
              <w:rPr>
                <w:rFonts w:ascii="Arial" w:eastAsia="Times New Roman" w:hAnsi="Arial" w:cs="Arial"/>
                <w:i/>
                <w:iCs/>
                <w:sz w:val="14"/>
                <w:szCs w:val="14"/>
              </w:rPr>
              <w:t>2013</w:t>
            </w:r>
          </w:p>
        </w:tc>
        <w:tc>
          <w:tcPr>
            <w:tcW w:w="1418"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14"/>
                <w:szCs w:val="14"/>
              </w:rPr>
            </w:pPr>
            <w:r>
              <w:rPr>
                <w:rFonts w:ascii="Arial" w:eastAsia="Times New Roman" w:hAnsi="Arial" w:cs="Arial"/>
                <w:i/>
                <w:iCs/>
                <w:sz w:val="14"/>
                <w:szCs w:val="14"/>
              </w:rPr>
              <w:t>2014</w:t>
            </w:r>
          </w:p>
        </w:tc>
        <w:tc>
          <w:tcPr>
            <w:tcW w:w="1842" w:type="dxa"/>
            <w:tcBorders>
              <w:top w:val="single" w:sz="4" w:space="0" w:color="E5B8B7"/>
              <w:left w:val="single" w:sz="4" w:space="0" w:color="E5B8B7"/>
              <w:right w:val="single" w:sz="4" w:space="0" w:color="E5B8B7"/>
            </w:tcBorders>
            <w:noWrap/>
            <w:hideMark/>
          </w:tcPr>
          <w:p w:rsidR="008F3A9E" w:rsidRDefault="008F3A9E" w:rsidP="000E25ED">
            <w:pPr>
              <w:jc w:val="right"/>
              <w:cnfStyle w:val="100000000000" w:firstRow="1" w:lastRow="0" w:firstColumn="0" w:lastColumn="0" w:oddVBand="0" w:evenVBand="0" w:oddHBand="0" w:evenHBand="0" w:firstRowFirstColumn="0" w:firstRowLastColumn="0" w:lastRowFirstColumn="0" w:lastRowLastColumn="0"/>
              <w:rPr>
                <w:rFonts w:ascii="Arial" w:eastAsia="Times New Roman" w:hAnsi="Arial" w:cs="Arial"/>
                <w:i/>
                <w:iCs/>
                <w:sz w:val="14"/>
                <w:szCs w:val="14"/>
              </w:rPr>
            </w:pPr>
            <w:r>
              <w:rPr>
                <w:rFonts w:ascii="Arial" w:eastAsia="Times New Roman" w:hAnsi="Arial" w:cs="Arial"/>
                <w:i/>
                <w:iCs/>
                <w:sz w:val="14"/>
                <w:szCs w:val="14"/>
              </w:rPr>
              <w:t>2015</w:t>
            </w:r>
          </w:p>
        </w:tc>
      </w:tr>
      <w:tr w:rsidR="008F3A9E" w:rsidTr="000E25ED">
        <w:trPr>
          <w:trHeight w:val="236"/>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bottom w:val="single" w:sz="4" w:space="0" w:color="E5B8B7"/>
              <w:right w:val="single" w:sz="4" w:space="0" w:color="E5B8B7"/>
            </w:tcBorders>
            <w:hideMark/>
          </w:tcPr>
          <w:p w:rsidR="008F3A9E" w:rsidRDefault="008F3A9E" w:rsidP="008F3A9E">
            <w:pPr>
              <w:ind w:firstLineChars="100" w:firstLine="141"/>
              <w:jc w:val="right"/>
              <w:rPr>
                <w:rFonts w:ascii="Arial" w:eastAsia="Times New Roman" w:hAnsi="Arial" w:cs="Arial"/>
                <w:i/>
                <w:iCs/>
                <w:sz w:val="14"/>
                <w:szCs w:val="14"/>
              </w:rPr>
            </w:pPr>
            <w:r>
              <w:rPr>
                <w:rFonts w:ascii="Arial" w:eastAsia="Times New Roman" w:hAnsi="Arial" w:cs="Arial"/>
                <w:i/>
                <w:iCs/>
                <w:sz w:val="14"/>
                <w:szCs w:val="14"/>
              </w:rPr>
              <w:t>Maladies infectieuses et parasitaires</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18 496 091 388</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22 454 766 947</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26 673 996 378</w:t>
            </w:r>
          </w:p>
        </w:tc>
        <w:tc>
          <w:tcPr>
            <w:tcW w:w="1842"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27 476 857 812</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bottom w:val="single" w:sz="4" w:space="0" w:color="E5B8B7"/>
              <w:right w:val="single" w:sz="4" w:space="0" w:color="E5B8B7"/>
            </w:tcBorders>
            <w:hideMark/>
          </w:tcPr>
          <w:p w:rsidR="008F3A9E" w:rsidRDefault="008F3A9E" w:rsidP="008F3A9E">
            <w:pPr>
              <w:ind w:firstLineChars="100" w:firstLine="141"/>
              <w:jc w:val="right"/>
              <w:rPr>
                <w:rFonts w:ascii="Arial" w:eastAsia="Times New Roman" w:hAnsi="Arial" w:cs="Arial"/>
                <w:i/>
                <w:iCs/>
                <w:sz w:val="14"/>
                <w:szCs w:val="14"/>
              </w:rPr>
            </w:pPr>
            <w:r>
              <w:rPr>
                <w:rFonts w:ascii="Arial" w:eastAsia="Times New Roman" w:hAnsi="Arial" w:cs="Arial"/>
                <w:i/>
                <w:iCs/>
                <w:sz w:val="14"/>
                <w:szCs w:val="14"/>
              </w:rPr>
              <w:t>Santé de la reproduction</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3 186 654 464</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3 943 877 034</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4 115 066 245</w:t>
            </w:r>
          </w:p>
        </w:tc>
        <w:tc>
          <w:tcPr>
            <w:tcW w:w="1842"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4 365 240 792</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bottom w:val="single" w:sz="4" w:space="0" w:color="E5B8B7"/>
              <w:right w:val="single" w:sz="4" w:space="0" w:color="E5B8B7"/>
            </w:tcBorders>
            <w:hideMark/>
          </w:tcPr>
          <w:p w:rsidR="008F3A9E" w:rsidRDefault="008F3A9E" w:rsidP="008F3A9E">
            <w:pPr>
              <w:ind w:firstLineChars="100" w:firstLine="141"/>
              <w:jc w:val="right"/>
              <w:rPr>
                <w:rFonts w:ascii="Arial" w:eastAsia="Times New Roman" w:hAnsi="Arial" w:cs="Arial"/>
                <w:i/>
                <w:iCs/>
                <w:sz w:val="14"/>
                <w:szCs w:val="14"/>
              </w:rPr>
            </w:pPr>
            <w:r>
              <w:rPr>
                <w:rFonts w:ascii="Arial" w:eastAsia="Times New Roman" w:hAnsi="Arial" w:cs="Arial"/>
                <w:i/>
                <w:iCs/>
                <w:sz w:val="14"/>
                <w:szCs w:val="14"/>
              </w:rPr>
              <w:t>Carences nutritionnelles</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345 042 583</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2 485 998 237</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1 720 513 114</w:t>
            </w:r>
          </w:p>
        </w:tc>
        <w:tc>
          <w:tcPr>
            <w:tcW w:w="1842"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1 724 160 604</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bottom w:val="single" w:sz="4" w:space="0" w:color="E5B8B7"/>
              <w:right w:val="single" w:sz="4" w:space="0" w:color="E5B8B7"/>
            </w:tcBorders>
            <w:hideMark/>
          </w:tcPr>
          <w:p w:rsidR="008F3A9E" w:rsidRDefault="008F3A9E" w:rsidP="008F3A9E">
            <w:pPr>
              <w:ind w:firstLineChars="100" w:firstLine="141"/>
              <w:jc w:val="right"/>
              <w:rPr>
                <w:rFonts w:ascii="Arial" w:eastAsia="Times New Roman" w:hAnsi="Arial" w:cs="Arial"/>
                <w:i/>
                <w:iCs/>
                <w:sz w:val="14"/>
                <w:szCs w:val="14"/>
              </w:rPr>
            </w:pPr>
            <w:r>
              <w:rPr>
                <w:rFonts w:ascii="Arial" w:eastAsia="Times New Roman" w:hAnsi="Arial" w:cs="Arial"/>
                <w:i/>
                <w:iCs/>
                <w:sz w:val="14"/>
                <w:szCs w:val="14"/>
              </w:rPr>
              <w:t>Maladies non transmissibles</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21 060 327 169</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21 897 096 321</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24 881 901 461</w:t>
            </w:r>
          </w:p>
        </w:tc>
        <w:tc>
          <w:tcPr>
            <w:tcW w:w="1842"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27 835 840 085</w:t>
            </w:r>
          </w:p>
        </w:tc>
      </w:tr>
      <w:tr w:rsidR="008F3A9E" w:rsidTr="000E25ED">
        <w:trPr>
          <w:trHeight w:val="60"/>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bottom w:val="single" w:sz="4" w:space="0" w:color="E5B8B7"/>
              <w:right w:val="single" w:sz="4" w:space="0" w:color="E5B8B7"/>
            </w:tcBorders>
            <w:hideMark/>
          </w:tcPr>
          <w:p w:rsidR="008F3A9E" w:rsidRDefault="008F3A9E" w:rsidP="008F3A9E">
            <w:pPr>
              <w:ind w:firstLineChars="100" w:firstLine="141"/>
              <w:jc w:val="right"/>
              <w:rPr>
                <w:rFonts w:ascii="Arial" w:eastAsia="Times New Roman" w:hAnsi="Arial" w:cs="Arial"/>
                <w:i/>
                <w:iCs/>
                <w:sz w:val="14"/>
                <w:szCs w:val="14"/>
              </w:rPr>
            </w:pPr>
            <w:r>
              <w:rPr>
                <w:rFonts w:ascii="Arial" w:eastAsia="Times New Roman" w:hAnsi="Arial" w:cs="Arial"/>
                <w:i/>
                <w:iCs/>
                <w:sz w:val="14"/>
                <w:szCs w:val="14"/>
              </w:rPr>
              <w:t>Traumatismes</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1 136 812 522</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1 317 688 872</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1 629 417 673</w:t>
            </w:r>
          </w:p>
        </w:tc>
        <w:tc>
          <w:tcPr>
            <w:tcW w:w="1842"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1 823 076 149</w:t>
            </w:r>
          </w:p>
        </w:tc>
      </w:tr>
      <w:tr w:rsidR="008F3A9E" w:rsidTr="000E25ED">
        <w:trPr>
          <w:trHeight w:val="146"/>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bottom w:val="single" w:sz="4" w:space="0" w:color="E5B8B7"/>
              <w:right w:val="single" w:sz="4" w:space="0" w:color="E5B8B7"/>
            </w:tcBorders>
            <w:hideMark/>
          </w:tcPr>
          <w:p w:rsidR="008F3A9E" w:rsidRDefault="008F3A9E" w:rsidP="008F3A9E">
            <w:pPr>
              <w:ind w:firstLineChars="100" w:firstLine="141"/>
              <w:jc w:val="right"/>
              <w:rPr>
                <w:rFonts w:ascii="Arial" w:eastAsia="Times New Roman" w:hAnsi="Arial" w:cs="Arial"/>
                <w:i/>
                <w:iCs/>
                <w:sz w:val="14"/>
                <w:szCs w:val="14"/>
              </w:rPr>
            </w:pPr>
            <w:r>
              <w:rPr>
                <w:rFonts w:ascii="Arial" w:eastAsia="Times New Roman" w:hAnsi="Arial" w:cs="Arial"/>
                <w:i/>
                <w:iCs/>
                <w:sz w:val="14"/>
                <w:szCs w:val="14"/>
              </w:rPr>
              <w:t>Autres</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7 664 063 813</w:t>
            </w:r>
          </w:p>
        </w:tc>
        <w:tc>
          <w:tcPr>
            <w:tcW w:w="1559"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9 426 818 754</w:t>
            </w:r>
          </w:p>
        </w:tc>
        <w:tc>
          <w:tcPr>
            <w:tcW w:w="1418"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9 318 602 204</w:t>
            </w:r>
          </w:p>
        </w:tc>
        <w:tc>
          <w:tcPr>
            <w:tcW w:w="1842" w:type="dxa"/>
            <w:tcBorders>
              <w:top w:val="single" w:sz="4" w:space="0" w:color="E5B8B7"/>
              <w:left w:val="single" w:sz="4" w:space="0" w:color="E5B8B7"/>
              <w:bottom w:val="single" w:sz="4" w:space="0" w:color="E5B8B7"/>
              <w:right w:val="single" w:sz="4" w:space="0" w:color="E5B8B7"/>
            </w:tcBorders>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9 573 239 437</w:t>
            </w:r>
          </w:p>
        </w:tc>
      </w:tr>
      <w:tr w:rsidR="008F3A9E" w:rsidTr="000E25ED">
        <w:trPr>
          <w:trHeight w:val="255"/>
        </w:trPr>
        <w:tc>
          <w:tcPr>
            <w:cnfStyle w:val="001000000000" w:firstRow="0" w:lastRow="0" w:firstColumn="1" w:lastColumn="0" w:oddVBand="0" w:evenVBand="0" w:oddHBand="0" w:evenHBand="0" w:firstRowFirstColumn="0" w:firstRowLastColumn="0" w:lastRowFirstColumn="0" w:lastRowLastColumn="0"/>
            <w:tcW w:w="2835"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rPr>
                <w:rFonts w:ascii="Arial" w:eastAsia="Times New Roman" w:hAnsi="Arial" w:cs="Arial"/>
                <w:i/>
                <w:iCs/>
                <w:sz w:val="14"/>
                <w:szCs w:val="14"/>
              </w:rPr>
            </w:pPr>
            <w:r>
              <w:rPr>
                <w:rFonts w:ascii="Arial" w:eastAsia="Times New Roman" w:hAnsi="Arial" w:cs="Arial"/>
                <w:i/>
                <w:iCs/>
                <w:sz w:val="14"/>
                <w:szCs w:val="14"/>
              </w:rPr>
              <w:t>Total</w:t>
            </w:r>
          </w:p>
        </w:tc>
        <w:tc>
          <w:tcPr>
            <w:tcW w:w="1418"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51 888 991 939</w:t>
            </w:r>
          </w:p>
        </w:tc>
        <w:tc>
          <w:tcPr>
            <w:tcW w:w="1559"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61 526 246 165</w:t>
            </w:r>
          </w:p>
        </w:tc>
        <w:tc>
          <w:tcPr>
            <w:tcW w:w="1418"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68 339 497 074</w:t>
            </w:r>
          </w:p>
        </w:tc>
        <w:tc>
          <w:tcPr>
            <w:tcW w:w="1842" w:type="dxa"/>
            <w:tcBorders>
              <w:top w:val="single" w:sz="4" w:space="0" w:color="E5B8B7"/>
              <w:left w:val="single" w:sz="4" w:space="0" w:color="E5B8B7"/>
              <w:bottom w:val="single" w:sz="4" w:space="0" w:color="E5B8B7"/>
              <w:right w:val="single" w:sz="4" w:space="0" w:color="E5B8B7"/>
            </w:tcBorders>
            <w:noWrap/>
            <w:hideMark/>
          </w:tcPr>
          <w:p w:rsidR="008F3A9E" w:rsidRDefault="008F3A9E" w:rsidP="000E25ED">
            <w:pPr>
              <w:jc w:val="right"/>
              <w:cnfStyle w:val="000000000000" w:firstRow="0" w:lastRow="0" w:firstColumn="0" w:lastColumn="0" w:oddVBand="0" w:evenVBand="0" w:oddHBand="0" w:evenHBand="0" w:firstRowFirstColumn="0" w:firstRowLastColumn="0" w:lastRowFirstColumn="0" w:lastRowLastColumn="0"/>
              <w:rPr>
                <w:rFonts w:ascii="Arial" w:eastAsia="Times New Roman" w:hAnsi="Arial" w:cs="Arial"/>
                <w:sz w:val="14"/>
                <w:szCs w:val="14"/>
              </w:rPr>
            </w:pPr>
            <w:r>
              <w:rPr>
                <w:rFonts w:ascii="Arial" w:eastAsia="Times New Roman" w:hAnsi="Arial" w:cs="Arial"/>
                <w:sz w:val="14"/>
                <w:szCs w:val="14"/>
              </w:rPr>
              <w:t>72 798 414 879</w:t>
            </w:r>
          </w:p>
        </w:tc>
      </w:tr>
    </w:tbl>
    <w:tbl>
      <w:tblPr>
        <w:tblStyle w:val="Grilledutableau1"/>
        <w:tblW w:w="10500" w:type="dxa"/>
        <w:tblInd w:w="-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83"/>
        <w:gridCol w:w="5117"/>
      </w:tblGrid>
      <w:tr w:rsidR="008F3A9E" w:rsidTr="000E25ED">
        <w:trPr>
          <w:trHeight w:val="435"/>
        </w:trPr>
        <w:tc>
          <w:tcPr>
            <w:tcW w:w="5387" w:type="dxa"/>
            <w:hideMark/>
          </w:tcPr>
          <w:p w:rsidR="008F3A9E" w:rsidRDefault="008F3A9E" w:rsidP="000E25ED">
            <w:pPr>
              <w:tabs>
                <w:tab w:val="right" w:leader="underscore" w:pos="9062"/>
              </w:tabs>
              <w:spacing w:before="240" w:after="240"/>
              <w:jc w:val="both"/>
              <w:rPr>
                <w:rFonts w:asciiTheme="majorBidi" w:eastAsia="Calibri" w:hAnsiTheme="majorBidi" w:cstheme="majorBidi"/>
                <w:i/>
                <w:iCs/>
                <w:color w:val="000000" w:themeColor="text1"/>
                <w:sz w:val="24"/>
                <w:szCs w:val="24"/>
              </w:rPr>
            </w:pPr>
            <w:r>
              <w:rPr>
                <w:rFonts w:asciiTheme="majorBidi" w:hAnsiTheme="majorBidi" w:cstheme="majorBidi"/>
                <w:i/>
                <w:iCs/>
                <w:color w:val="0070C0"/>
                <w:sz w:val="16"/>
                <w:szCs w:val="16"/>
                <w:u w:val="single"/>
              </w:rPr>
              <w:t>Graphique 16</w:t>
            </w:r>
            <w:r>
              <w:rPr>
                <w:rFonts w:ascii="Book Antiqua" w:eastAsia="Calibri" w:hAnsi="Book Antiqua" w:cs="Arial"/>
                <w:color w:val="000000" w:themeColor="text1"/>
              </w:rPr>
              <w:t xml:space="preserve"> : </w:t>
            </w:r>
            <w:r>
              <w:rPr>
                <w:rFonts w:asciiTheme="majorBidi" w:eastAsia="Calibri" w:hAnsiTheme="majorBidi" w:cstheme="majorBidi"/>
                <w:i/>
                <w:iCs/>
                <w:color w:val="000000" w:themeColor="text1"/>
                <w:sz w:val="18"/>
                <w:szCs w:val="18"/>
              </w:rPr>
              <w:t xml:space="preserve">DC par maladies (moyenne 2012-2015) </w:t>
            </w:r>
          </w:p>
        </w:tc>
        <w:tc>
          <w:tcPr>
            <w:tcW w:w="5120" w:type="dxa"/>
            <w:hideMark/>
          </w:tcPr>
          <w:p w:rsidR="008F3A9E" w:rsidRDefault="008F3A9E" w:rsidP="000E25ED">
            <w:pPr>
              <w:tabs>
                <w:tab w:val="right" w:leader="underscore" w:pos="9062"/>
              </w:tabs>
              <w:spacing w:before="240" w:after="240"/>
              <w:jc w:val="both"/>
              <w:rPr>
                <w:rFonts w:asciiTheme="majorBidi" w:eastAsia="Calibri" w:hAnsiTheme="majorBidi" w:cstheme="majorBidi"/>
                <w:i/>
                <w:iCs/>
                <w:color w:val="000000" w:themeColor="text1"/>
                <w:sz w:val="24"/>
                <w:szCs w:val="24"/>
              </w:rPr>
            </w:pPr>
            <w:r>
              <w:rPr>
                <w:rFonts w:asciiTheme="majorBidi" w:hAnsiTheme="majorBidi" w:cstheme="majorBidi"/>
                <w:i/>
                <w:iCs/>
                <w:color w:val="0070C0"/>
                <w:sz w:val="16"/>
                <w:szCs w:val="16"/>
                <w:u w:val="single"/>
              </w:rPr>
              <w:t>Graphique 17</w:t>
            </w:r>
            <w:r>
              <w:rPr>
                <w:rFonts w:ascii="Book Antiqua" w:eastAsia="Calibri" w:hAnsi="Book Antiqua" w:cs="Arial"/>
                <w:color w:val="000000" w:themeColor="text1"/>
              </w:rPr>
              <w:t xml:space="preserve"> : </w:t>
            </w:r>
            <w:r>
              <w:rPr>
                <w:rFonts w:asciiTheme="majorBidi" w:eastAsia="Calibri" w:hAnsiTheme="majorBidi" w:cstheme="majorBidi"/>
                <w:i/>
                <w:iCs/>
                <w:color w:val="000000" w:themeColor="text1"/>
                <w:sz w:val="18"/>
                <w:szCs w:val="18"/>
              </w:rPr>
              <w:t xml:space="preserve">Evolution des poids des maladies dans les DC </w:t>
            </w:r>
          </w:p>
        </w:tc>
      </w:tr>
      <w:tr w:rsidR="008F3A9E" w:rsidTr="000E25ED">
        <w:tc>
          <w:tcPr>
            <w:tcW w:w="5387" w:type="dxa"/>
            <w:hideMark/>
          </w:tcPr>
          <w:p w:rsidR="008F3A9E" w:rsidRDefault="008F3A9E" w:rsidP="000E25ED">
            <w:pPr>
              <w:tabs>
                <w:tab w:val="right" w:leader="underscore" w:pos="9062"/>
              </w:tabs>
              <w:spacing w:before="240" w:after="240"/>
              <w:jc w:val="both"/>
              <w:rPr>
                <w:rFonts w:asciiTheme="majorBidi" w:eastAsia="Calibri" w:hAnsiTheme="majorBidi" w:cstheme="majorBidi"/>
                <w:i/>
                <w:iCs/>
                <w:color w:val="000000" w:themeColor="text1"/>
                <w:sz w:val="24"/>
                <w:szCs w:val="24"/>
              </w:rPr>
            </w:pPr>
            <w:r>
              <w:rPr>
                <w:rFonts w:asciiTheme="majorBidi" w:eastAsia="Calibri" w:hAnsiTheme="majorBidi"/>
                <w:i/>
                <w:noProof/>
                <w:color w:val="000000" w:themeColor="text1"/>
                <w:sz w:val="24"/>
                <w:szCs w:val="24"/>
              </w:rPr>
              <w:drawing>
                <wp:inline distT="0" distB="0" distL="0" distR="0" wp14:anchorId="2177543D" wp14:editId="79E75EDB">
                  <wp:extent cx="3288665" cy="2190115"/>
                  <wp:effectExtent l="0" t="0" r="6985" b="63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288665" cy="2190115"/>
                          </a:xfrm>
                          <a:prstGeom prst="rect">
                            <a:avLst/>
                          </a:prstGeom>
                          <a:noFill/>
                          <a:ln>
                            <a:noFill/>
                          </a:ln>
                        </pic:spPr>
                      </pic:pic>
                    </a:graphicData>
                  </a:graphic>
                </wp:inline>
              </w:drawing>
            </w:r>
          </w:p>
        </w:tc>
        <w:tc>
          <w:tcPr>
            <w:tcW w:w="5120" w:type="dxa"/>
            <w:hideMark/>
          </w:tcPr>
          <w:p w:rsidR="008F3A9E" w:rsidRDefault="008F3A9E" w:rsidP="000E25ED">
            <w:pPr>
              <w:tabs>
                <w:tab w:val="right" w:leader="underscore" w:pos="9062"/>
              </w:tabs>
              <w:spacing w:before="240" w:after="240"/>
              <w:jc w:val="both"/>
              <w:rPr>
                <w:rFonts w:asciiTheme="majorBidi" w:eastAsia="Calibri" w:hAnsiTheme="majorBidi" w:cstheme="majorBidi"/>
                <w:i/>
                <w:iCs/>
                <w:color w:val="000000" w:themeColor="text1"/>
                <w:sz w:val="24"/>
                <w:szCs w:val="24"/>
              </w:rPr>
            </w:pPr>
            <w:r>
              <w:rPr>
                <w:rFonts w:asciiTheme="majorBidi" w:eastAsia="Calibri" w:hAnsiTheme="majorBidi"/>
                <w:i/>
                <w:noProof/>
                <w:color w:val="000000" w:themeColor="text1"/>
                <w:sz w:val="24"/>
                <w:szCs w:val="24"/>
              </w:rPr>
              <w:drawing>
                <wp:inline distT="0" distB="0" distL="0" distR="0" wp14:anchorId="6E93A03A" wp14:editId="3076B660">
                  <wp:extent cx="3073400" cy="2212975"/>
                  <wp:effectExtent l="0" t="0" r="0" b="0"/>
                  <wp:docPr id="30"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73400" cy="2212975"/>
                          </a:xfrm>
                          <a:prstGeom prst="rect">
                            <a:avLst/>
                          </a:prstGeom>
                          <a:noFill/>
                          <a:ln>
                            <a:noFill/>
                          </a:ln>
                        </pic:spPr>
                      </pic:pic>
                    </a:graphicData>
                  </a:graphic>
                </wp:inline>
              </w:drawing>
            </w:r>
          </w:p>
        </w:tc>
      </w:tr>
    </w:tbl>
    <w:p w:rsidR="008F3A9E" w:rsidRDefault="008F3A9E" w:rsidP="008F3A9E">
      <w:pPr>
        <w:pBdr>
          <w:top w:val="single" w:sz="4" w:space="1" w:color="auto"/>
          <w:left w:val="single" w:sz="4" w:space="0" w:color="auto"/>
          <w:bottom w:val="single" w:sz="4" w:space="1" w:color="auto"/>
          <w:right w:val="single" w:sz="4" w:space="4" w:color="auto"/>
        </w:pBdr>
        <w:shd w:val="clear" w:color="auto" w:fill="F2F2F2" w:themeFill="background1" w:themeFillShade="F2"/>
        <w:ind w:left="284" w:firstLine="425"/>
        <w:rPr>
          <w:b/>
          <w:u w:val="single"/>
        </w:rPr>
      </w:pPr>
      <w:r>
        <w:rPr>
          <w:b/>
          <w:u w:val="single"/>
        </w:rPr>
        <w:t>Quelques points saillants de l’analyse des dépenses totales de santé :</w:t>
      </w:r>
    </w:p>
    <w:p w:rsidR="008F3A9E" w:rsidRDefault="008F3A9E" w:rsidP="008F3A9E">
      <w:pPr>
        <w:pStyle w:val="Paragraphedeliste"/>
        <w:numPr>
          <w:ilvl w:val="0"/>
          <w:numId w:val="1"/>
        </w:numPr>
        <w:pBdr>
          <w:top w:val="single" w:sz="4" w:space="1" w:color="auto"/>
          <w:left w:val="single" w:sz="4" w:space="4" w:color="auto"/>
          <w:bottom w:val="single" w:sz="4" w:space="1" w:color="auto"/>
          <w:right w:val="single" w:sz="4" w:space="4" w:color="auto"/>
        </w:pBdr>
      </w:pPr>
      <w:r>
        <w:t xml:space="preserve">Les dépenses de santé par habitant sont 1,5 fois supérieures à celles du Sénégal et 2,5 fois inférieures à celles du Maroc. </w:t>
      </w:r>
    </w:p>
    <w:p w:rsidR="008F3A9E" w:rsidRDefault="008F3A9E" w:rsidP="008F3A9E">
      <w:pPr>
        <w:pStyle w:val="Paragraphedeliste"/>
        <w:numPr>
          <w:ilvl w:val="0"/>
          <w:numId w:val="1"/>
        </w:numPr>
        <w:pBdr>
          <w:top w:val="single" w:sz="4" w:space="1" w:color="auto"/>
          <w:left w:val="single" w:sz="4" w:space="4" w:color="auto"/>
          <w:bottom w:val="single" w:sz="4" w:space="1" w:color="auto"/>
          <w:right w:val="single" w:sz="4" w:space="4" w:color="auto"/>
        </w:pBdr>
      </w:pPr>
      <w:r>
        <w:t>Les paiements directs des ménages représentent 46% des dépenses totales de santé, ce qui est très élevé, signifiant que l’accès aux soins de la population est très largement dépendant de ses revenus, autrement dit que la barrière financière à l’accès reste largement à lever.</w:t>
      </w:r>
    </w:p>
    <w:p w:rsidR="008F3A9E" w:rsidRDefault="008F3A9E" w:rsidP="008F3A9E">
      <w:pPr>
        <w:pStyle w:val="Paragraphedeliste"/>
        <w:numPr>
          <w:ilvl w:val="0"/>
          <w:numId w:val="1"/>
        </w:numPr>
        <w:pBdr>
          <w:top w:val="single" w:sz="4" w:space="1" w:color="auto"/>
          <w:left w:val="single" w:sz="4" w:space="4" w:color="auto"/>
          <w:bottom w:val="single" w:sz="4" w:space="1" w:color="auto"/>
          <w:right w:val="single" w:sz="4" w:space="4" w:color="auto"/>
        </w:pBdr>
      </w:pPr>
      <w:r>
        <w:t>Le régime des cotisations est faible dans le financement de la santé, elles ne représentent que 9% du total des dépenses nationales de santé. Il y a donc peu de mutualisation du risque en dehors du budget de l’Etat.</w:t>
      </w:r>
    </w:p>
    <w:p w:rsidR="008F3A9E" w:rsidRDefault="008F3A9E" w:rsidP="008F3A9E">
      <w:pPr>
        <w:pStyle w:val="Paragraphedeliste"/>
        <w:numPr>
          <w:ilvl w:val="0"/>
          <w:numId w:val="1"/>
        </w:numPr>
        <w:pBdr>
          <w:top w:val="single" w:sz="4" w:space="1" w:color="auto"/>
          <w:left w:val="single" w:sz="4" w:space="4" w:color="auto"/>
          <w:bottom w:val="single" w:sz="4" w:space="1" w:color="auto"/>
          <w:right w:val="single" w:sz="4" w:space="4" w:color="auto"/>
        </w:pBdr>
      </w:pPr>
      <w:r>
        <w:t xml:space="preserve">L’accroissement des dépenses de santé ces dernières années s’est notamment fait en faveur de l’investissement. </w:t>
      </w:r>
    </w:p>
    <w:p w:rsidR="006518BD" w:rsidRPr="008F3A9E" w:rsidRDefault="008F3A9E" w:rsidP="008F3A9E">
      <w:pPr>
        <w:pStyle w:val="Paragraphedeliste"/>
        <w:numPr>
          <w:ilvl w:val="0"/>
          <w:numId w:val="1"/>
        </w:numPr>
        <w:pBdr>
          <w:top w:val="single" w:sz="4" w:space="1" w:color="auto"/>
          <w:left w:val="single" w:sz="4" w:space="4" w:color="auto"/>
          <w:bottom w:val="single" w:sz="4" w:space="1" w:color="auto"/>
          <w:right w:val="single" w:sz="4" w:space="4" w:color="auto"/>
        </w:pBdr>
        <w:rPr>
          <w:rFonts w:asciiTheme="majorHAnsi" w:eastAsiaTheme="majorEastAsia" w:hAnsiTheme="majorHAnsi" w:cstheme="majorBidi"/>
          <w:b/>
          <w:bCs/>
          <w:color w:val="4F81BD" w:themeColor="accent1"/>
          <w:sz w:val="26"/>
          <w:szCs w:val="26"/>
        </w:rPr>
      </w:pPr>
      <w:r>
        <w:t>Les dépenses courantes de santé servent surtout le curatif (44%) mais très peu le préventif (6%). Les dépenses de l’administration sont en forte croissance relative.</w:t>
      </w:r>
    </w:p>
    <w:sectPr w:rsidR="006518BD" w:rsidRPr="008F3A9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77CB" w:rsidRDefault="00F177CB" w:rsidP="008F3A9E">
      <w:pPr>
        <w:spacing w:after="0" w:line="240" w:lineRule="auto"/>
      </w:pPr>
      <w:r>
        <w:separator/>
      </w:r>
    </w:p>
  </w:endnote>
  <w:endnote w:type="continuationSeparator" w:id="0">
    <w:p w:rsidR="00F177CB" w:rsidRDefault="00F177CB" w:rsidP="008F3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 Antiqua">
    <w:altName w:val="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77CB" w:rsidRDefault="00F177CB" w:rsidP="008F3A9E">
      <w:pPr>
        <w:spacing w:after="0" w:line="240" w:lineRule="auto"/>
      </w:pPr>
      <w:r>
        <w:separator/>
      </w:r>
    </w:p>
  </w:footnote>
  <w:footnote w:type="continuationSeparator" w:id="0">
    <w:p w:rsidR="00F177CB" w:rsidRDefault="00F177CB" w:rsidP="008F3A9E">
      <w:pPr>
        <w:spacing w:after="0" w:line="240" w:lineRule="auto"/>
      </w:pPr>
      <w:r>
        <w:continuationSeparator/>
      </w:r>
    </w:p>
  </w:footnote>
  <w:footnote w:id="1">
    <w:p w:rsidR="008F3A9E" w:rsidRDefault="008F3A9E" w:rsidP="008F3A9E">
      <w:pPr>
        <w:autoSpaceDE w:val="0"/>
        <w:autoSpaceDN w:val="0"/>
        <w:adjustRightInd w:val="0"/>
        <w:spacing w:before="120" w:after="120" w:line="360" w:lineRule="auto"/>
        <w:jc w:val="both"/>
        <w:rPr>
          <w:rFonts w:asciiTheme="majorBidi" w:eastAsiaTheme="minorEastAsia" w:hAnsiTheme="majorBidi" w:cstheme="majorBidi"/>
          <w:i/>
          <w:iCs/>
          <w:sz w:val="24"/>
          <w:szCs w:val="24"/>
          <w:lang w:eastAsia="fr-FR"/>
        </w:rPr>
      </w:pPr>
      <w:r>
        <w:rPr>
          <w:rStyle w:val="Appelnotedebasdep"/>
        </w:rPr>
        <w:footnoteRef/>
      </w:r>
      <w:r>
        <w:t xml:space="preserve"> </w:t>
      </w:r>
      <w:r>
        <w:rPr>
          <w:rFonts w:asciiTheme="majorBidi" w:eastAsiaTheme="minorEastAsia" w:hAnsiTheme="majorBidi" w:cstheme="majorBidi"/>
          <w:i/>
          <w:iCs/>
          <w:sz w:val="24"/>
          <w:szCs w:val="24"/>
          <w:lang w:eastAsia="fr-FR"/>
        </w:rPr>
        <w:t xml:space="preserve">Source : pour les autres pays : </w:t>
      </w:r>
      <w:hyperlink r:id="rId1" w:history="1">
        <w:r>
          <w:rPr>
            <w:rStyle w:val="Lienhypertexte"/>
            <w:rFonts w:asciiTheme="majorBidi" w:eastAsiaTheme="minorEastAsia" w:hAnsiTheme="majorBidi" w:cstheme="majorBidi"/>
            <w:i/>
            <w:iCs/>
            <w:sz w:val="24"/>
            <w:szCs w:val="24"/>
          </w:rPr>
          <w:t>http://donnees.banquemondiale.org/indicator/SH.XPD.PCAP</w:t>
        </w:r>
      </w:hyperlink>
    </w:p>
    <w:p w:rsidR="008F3A9E" w:rsidRDefault="008F3A9E" w:rsidP="008F3A9E">
      <w:pPr>
        <w:pStyle w:val="Notedebasdepage"/>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157539"/>
    <w:multiLevelType w:val="hybridMultilevel"/>
    <w:tmpl w:val="1212BC46"/>
    <w:lvl w:ilvl="0" w:tplc="65E0BB4E">
      <w:start w:val="83"/>
      <w:numFmt w:val="bullet"/>
      <w:lvlText w:val=""/>
      <w:lvlJc w:val="left"/>
      <w:pPr>
        <w:ind w:left="720" w:hanging="360"/>
      </w:pPr>
      <w:rPr>
        <w:rFonts w:ascii="Symbol" w:eastAsiaTheme="minorHAnsi" w:hAnsi="Symbol" w:cstheme="minorBid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A9E"/>
    <w:rsid w:val="006518BD"/>
    <w:rsid w:val="008F3A9E"/>
    <w:rsid w:val="00F177C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A9E"/>
  </w:style>
  <w:style w:type="paragraph" w:styleId="Titre1">
    <w:name w:val="heading 1"/>
    <w:basedOn w:val="Normal"/>
    <w:next w:val="Normal"/>
    <w:link w:val="Titre1Car"/>
    <w:uiPriority w:val="9"/>
    <w:qFormat/>
    <w:rsid w:val="008F3A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8F3A9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link w:val="Titre3Car"/>
    <w:uiPriority w:val="9"/>
    <w:qFormat/>
    <w:rsid w:val="008F3A9E"/>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F3A9E"/>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8F3A9E"/>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8F3A9E"/>
    <w:rPr>
      <w:rFonts w:ascii="Times New Roman" w:eastAsia="Times New Roman" w:hAnsi="Times New Roman" w:cs="Times New Roman"/>
      <w:b/>
      <w:bCs/>
      <w:sz w:val="27"/>
      <w:szCs w:val="27"/>
      <w:lang w:eastAsia="fr-FR"/>
    </w:rPr>
  </w:style>
  <w:style w:type="paragraph" w:styleId="Paragraphedeliste">
    <w:name w:val="List Paragraph"/>
    <w:aliases w:val="Bullets"/>
    <w:basedOn w:val="Normal"/>
    <w:link w:val="ParagraphedelisteCar"/>
    <w:uiPriority w:val="34"/>
    <w:qFormat/>
    <w:rsid w:val="008F3A9E"/>
    <w:pPr>
      <w:ind w:left="720"/>
      <w:contextualSpacing/>
    </w:pPr>
  </w:style>
  <w:style w:type="paragraph" w:styleId="Notedebasdepage">
    <w:name w:val="footnote text"/>
    <w:aliases w:val="ALTS FOOTNOTE,Fodnotetekst Tegn,single space,footnote text Char,Fodnotetekst Tegn Char,single space Char,footnote text Char Char Char,Fodnotetekst Tegn Char1,single space Char1,footnote text Char Char1,Fodnotetekst Tegn Char Char,fn"/>
    <w:basedOn w:val="Normal"/>
    <w:link w:val="NotedebasdepageCar"/>
    <w:uiPriority w:val="99"/>
    <w:unhideWhenUsed/>
    <w:qFormat/>
    <w:rsid w:val="008F3A9E"/>
    <w:pPr>
      <w:spacing w:after="0" w:line="240" w:lineRule="auto"/>
    </w:pPr>
    <w:rPr>
      <w:sz w:val="20"/>
      <w:szCs w:val="20"/>
    </w:rPr>
  </w:style>
  <w:style w:type="character" w:customStyle="1" w:styleId="NotedebasdepageCar">
    <w:name w:val="Note de bas de page Car"/>
    <w:aliases w:val="ALTS FOOTNOTE Car,Fodnotetekst Tegn Car,single space Car,footnote text Char Car,Fodnotetekst Tegn Char Car,single space Char Car,footnote text Char Char Char Car,Fodnotetekst Tegn Char1 Car,single space Char1 Car,fn Car"/>
    <w:basedOn w:val="Policepardfaut"/>
    <w:link w:val="Notedebasdepage"/>
    <w:uiPriority w:val="99"/>
    <w:rsid w:val="008F3A9E"/>
    <w:rPr>
      <w:sz w:val="20"/>
      <w:szCs w:val="20"/>
    </w:rPr>
  </w:style>
  <w:style w:type="character" w:styleId="Appelnotedebasdep">
    <w:name w:val="footnote reference"/>
    <w:aliases w:val="ftref,16 Point,Superscript 6 Point,Знак сноски 1,CAF Footnote Reference,Footnote  superscript, BVI fnr Car Car1 Car Car,BVI fnr Car Car Car1 Car, BVI fnr Car Car Car Car Car Car,BVI fnr Car Car Car1 Car Car"/>
    <w:basedOn w:val="Policepardfaut"/>
    <w:link w:val="BVIfnrCarCar1Car"/>
    <w:uiPriority w:val="99"/>
    <w:unhideWhenUsed/>
    <w:qFormat/>
    <w:rsid w:val="008F3A9E"/>
    <w:rPr>
      <w:vertAlign w:val="superscript"/>
    </w:rPr>
  </w:style>
  <w:style w:type="character" w:styleId="Lienhypertexte">
    <w:name w:val="Hyperlink"/>
    <w:basedOn w:val="Policepardfaut"/>
    <w:uiPriority w:val="99"/>
    <w:unhideWhenUsed/>
    <w:rsid w:val="008F3A9E"/>
    <w:rPr>
      <w:color w:val="0000FF" w:themeColor="hyperlink"/>
      <w:u w:val="single"/>
    </w:rPr>
  </w:style>
  <w:style w:type="character" w:customStyle="1" w:styleId="ParagraphedelisteCar">
    <w:name w:val="Paragraphe de liste Car"/>
    <w:aliases w:val="Bullets Car"/>
    <w:link w:val="Paragraphedeliste"/>
    <w:uiPriority w:val="34"/>
    <w:rsid w:val="008F3A9E"/>
  </w:style>
  <w:style w:type="table" w:customStyle="1" w:styleId="Grilledutableau1">
    <w:name w:val="Grille du tableau1"/>
    <w:basedOn w:val="TableauNormal"/>
    <w:next w:val="Grilledutableau"/>
    <w:uiPriority w:val="59"/>
    <w:rsid w:val="008F3A9E"/>
    <w:pPr>
      <w:spacing w:after="0" w:line="240" w:lineRule="auto"/>
    </w:pPr>
    <w:rPr>
      <w:rFonts w:eastAsiaTheme="minorEastAsia"/>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
    <w:name w:val="BVI fnr Car Car1 Car"/>
    <w:aliases w:val="BVI fnr Car Car Car1, BVI fnr Car Car Car Car Car, BVI fnr Car Car Car Car Char Car Car Car Car, BVI fnr Car Car Car Car Char Char Car Car Car"/>
    <w:basedOn w:val="Normal"/>
    <w:link w:val="Appelnotedebasdep"/>
    <w:uiPriority w:val="99"/>
    <w:rsid w:val="008F3A9E"/>
    <w:pPr>
      <w:spacing w:after="160" w:line="240" w:lineRule="exact"/>
      <w:jc w:val="both"/>
    </w:pPr>
    <w:rPr>
      <w:vertAlign w:val="superscript"/>
    </w:rPr>
  </w:style>
  <w:style w:type="table" w:customStyle="1" w:styleId="TableauGrille1Clair-Accentuation21">
    <w:name w:val="Tableau Grille 1 Clair - Accentuation 21"/>
    <w:basedOn w:val="TableauNormal"/>
    <w:uiPriority w:val="46"/>
    <w:rsid w:val="008F3A9E"/>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eauGrille1Clair1">
    <w:name w:val="Tableau Grille 1 Clair1"/>
    <w:basedOn w:val="TableauNormal"/>
    <w:uiPriority w:val="46"/>
    <w:rsid w:val="008F3A9E"/>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lledutableau">
    <w:name w:val="Table Grid"/>
    <w:basedOn w:val="TableauNormal"/>
    <w:uiPriority w:val="59"/>
    <w:rsid w:val="008F3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8F3A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F3A9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footnote reference"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3A9E"/>
  </w:style>
  <w:style w:type="paragraph" w:styleId="Titre1">
    <w:name w:val="heading 1"/>
    <w:basedOn w:val="Normal"/>
    <w:next w:val="Normal"/>
    <w:link w:val="Titre1Car"/>
    <w:uiPriority w:val="9"/>
    <w:qFormat/>
    <w:rsid w:val="008F3A9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8F3A9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link w:val="Titre3Car"/>
    <w:uiPriority w:val="9"/>
    <w:qFormat/>
    <w:rsid w:val="008F3A9E"/>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8F3A9E"/>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8F3A9E"/>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8F3A9E"/>
    <w:rPr>
      <w:rFonts w:ascii="Times New Roman" w:eastAsia="Times New Roman" w:hAnsi="Times New Roman" w:cs="Times New Roman"/>
      <w:b/>
      <w:bCs/>
      <w:sz w:val="27"/>
      <w:szCs w:val="27"/>
      <w:lang w:eastAsia="fr-FR"/>
    </w:rPr>
  </w:style>
  <w:style w:type="paragraph" w:styleId="Paragraphedeliste">
    <w:name w:val="List Paragraph"/>
    <w:aliases w:val="Bullets"/>
    <w:basedOn w:val="Normal"/>
    <w:link w:val="ParagraphedelisteCar"/>
    <w:uiPriority w:val="34"/>
    <w:qFormat/>
    <w:rsid w:val="008F3A9E"/>
    <w:pPr>
      <w:ind w:left="720"/>
      <w:contextualSpacing/>
    </w:pPr>
  </w:style>
  <w:style w:type="paragraph" w:styleId="Notedebasdepage">
    <w:name w:val="footnote text"/>
    <w:aliases w:val="ALTS FOOTNOTE,Fodnotetekst Tegn,single space,footnote text Char,Fodnotetekst Tegn Char,single space Char,footnote text Char Char Char,Fodnotetekst Tegn Char1,single space Char1,footnote text Char Char1,Fodnotetekst Tegn Char Char,fn"/>
    <w:basedOn w:val="Normal"/>
    <w:link w:val="NotedebasdepageCar"/>
    <w:uiPriority w:val="99"/>
    <w:unhideWhenUsed/>
    <w:qFormat/>
    <w:rsid w:val="008F3A9E"/>
    <w:pPr>
      <w:spacing w:after="0" w:line="240" w:lineRule="auto"/>
    </w:pPr>
    <w:rPr>
      <w:sz w:val="20"/>
      <w:szCs w:val="20"/>
    </w:rPr>
  </w:style>
  <w:style w:type="character" w:customStyle="1" w:styleId="NotedebasdepageCar">
    <w:name w:val="Note de bas de page Car"/>
    <w:aliases w:val="ALTS FOOTNOTE Car,Fodnotetekst Tegn Car,single space Car,footnote text Char Car,Fodnotetekst Tegn Char Car,single space Char Car,footnote text Char Char Char Car,Fodnotetekst Tegn Char1 Car,single space Char1 Car,fn Car"/>
    <w:basedOn w:val="Policepardfaut"/>
    <w:link w:val="Notedebasdepage"/>
    <w:uiPriority w:val="99"/>
    <w:rsid w:val="008F3A9E"/>
    <w:rPr>
      <w:sz w:val="20"/>
      <w:szCs w:val="20"/>
    </w:rPr>
  </w:style>
  <w:style w:type="character" w:styleId="Appelnotedebasdep">
    <w:name w:val="footnote reference"/>
    <w:aliases w:val="ftref,16 Point,Superscript 6 Point,Знак сноски 1,CAF Footnote Reference,Footnote  superscript, BVI fnr Car Car1 Car Car,BVI fnr Car Car Car1 Car, BVI fnr Car Car Car Car Car Car,BVI fnr Car Car Car1 Car Car"/>
    <w:basedOn w:val="Policepardfaut"/>
    <w:link w:val="BVIfnrCarCar1Car"/>
    <w:uiPriority w:val="99"/>
    <w:unhideWhenUsed/>
    <w:qFormat/>
    <w:rsid w:val="008F3A9E"/>
    <w:rPr>
      <w:vertAlign w:val="superscript"/>
    </w:rPr>
  </w:style>
  <w:style w:type="character" w:styleId="Lienhypertexte">
    <w:name w:val="Hyperlink"/>
    <w:basedOn w:val="Policepardfaut"/>
    <w:uiPriority w:val="99"/>
    <w:unhideWhenUsed/>
    <w:rsid w:val="008F3A9E"/>
    <w:rPr>
      <w:color w:val="0000FF" w:themeColor="hyperlink"/>
      <w:u w:val="single"/>
    </w:rPr>
  </w:style>
  <w:style w:type="character" w:customStyle="1" w:styleId="ParagraphedelisteCar">
    <w:name w:val="Paragraphe de liste Car"/>
    <w:aliases w:val="Bullets Car"/>
    <w:link w:val="Paragraphedeliste"/>
    <w:uiPriority w:val="34"/>
    <w:rsid w:val="008F3A9E"/>
  </w:style>
  <w:style w:type="table" w:customStyle="1" w:styleId="Grilledutableau1">
    <w:name w:val="Grille du tableau1"/>
    <w:basedOn w:val="TableauNormal"/>
    <w:next w:val="Grilledutableau"/>
    <w:uiPriority w:val="59"/>
    <w:rsid w:val="008F3A9E"/>
    <w:pPr>
      <w:spacing w:after="0" w:line="240" w:lineRule="auto"/>
    </w:pPr>
    <w:rPr>
      <w:rFonts w:eastAsiaTheme="minorEastAsia"/>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
    <w:name w:val="BVI fnr Car Car1 Car"/>
    <w:aliases w:val="BVI fnr Car Car Car1, BVI fnr Car Car Car Car Car, BVI fnr Car Car Car Car Char Car Car Car Car, BVI fnr Car Car Car Car Char Char Car Car Car"/>
    <w:basedOn w:val="Normal"/>
    <w:link w:val="Appelnotedebasdep"/>
    <w:uiPriority w:val="99"/>
    <w:rsid w:val="008F3A9E"/>
    <w:pPr>
      <w:spacing w:after="160" w:line="240" w:lineRule="exact"/>
      <w:jc w:val="both"/>
    </w:pPr>
    <w:rPr>
      <w:vertAlign w:val="superscript"/>
    </w:rPr>
  </w:style>
  <w:style w:type="table" w:customStyle="1" w:styleId="TableauGrille1Clair-Accentuation21">
    <w:name w:val="Tableau Grille 1 Clair - Accentuation 21"/>
    <w:basedOn w:val="TableauNormal"/>
    <w:uiPriority w:val="46"/>
    <w:rsid w:val="008F3A9E"/>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eauGrille1Clair1">
    <w:name w:val="Tableau Grille 1 Clair1"/>
    <w:basedOn w:val="TableauNormal"/>
    <w:uiPriority w:val="46"/>
    <w:rsid w:val="008F3A9E"/>
    <w:pPr>
      <w:spacing w:after="0" w:line="240" w:lineRule="auto"/>
    </w:pPr>
    <w:rPr>
      <w:rFonts w:ascii="Calibri" w:eastAsia="Calibri" w:hAnsi="Calibri" w:cs="Times New Roman"/>
      <w:sz w:val="20"/>
      <w:szCs w:val="20"/>
      <w:lang w:eastAsia="fr-FR"/>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lledutableau">
    <w:name w:val="Table Grid"/>
    <w:basedOn w:val="TableauNormal"/>
    <w:uiPriority w:val="59"/>
    <w:rsid w:val="008F3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8F3A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F3A9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_rels/footnotes.xml.rels><?xml version="1.0" encoding="UTF-8" standalone="yes"?>
<Relationships xmlns="http://schemas.openxmlformats.org/package/2006/relationships"><Relationship Id="rId1" Type="http://schemas.openxmlformats.org/officeDocument/2006/relationships/hyperlink" Target="http://donnees.banquemondiale.org/indicator/SH.XPD.PCAP"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1269</Words>
  <Characters>6982</Characters>
  <Application>Microsoft Office Word</Application>
  <DocSecurity>0</DocSecurity>
  <Lines>58</Lines>
  <Paragraphs>16</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8235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Bigeard, Mr Alexis - bf</dc:creator>
  <cp:lastModifiedBy>Bigeard, Mr Alexis - bf</cp:lastModifiedBy>
  <cp:revision>1</cp:revision>
  <dcterms:created xsi:type="dcterms:W3CDTF">2017-10-23T15:04:00Z</dcterms:created>
  <dcterms:modified xsi:type="dcterms:W3CDTF">2017-10-23T15:05:00Z</dcterms:modified>
</cp:coreProperties>
</file>